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5F4540">
      <w:pPr>
        <w:spacing w:line="540" w:lineRule="exact"/>
        <w:jc w:val="center"/>
        <w:rPr>
          <w:rFonts w:hint="default" w:ascii="Times New Roman" w:hAnsi="Times New Roman" w:eastAsia="华文中宋" w:cs="Times New Roman"/>
          <w:b/>
          <w:kern w:val="0"/>
          <w:sz w:val="52"/>
          <w:szCs w:val="52"/>
        </w:rPr>
      </w:pPr>
    </w:p>
    <w:p w14:paraId="5FF69884">
      <w:pPr>
        <w:spacing w:line="540" w:lineRule="exact"/>
        <w:rPr>
          <w:rFonts w:hint="default" w:ascii="Times New Roman" w:hAnsi="Times New Roman" w:eastAsia="华文中宋" w:cs="Times New Roman"/>
          <w:b/>
          <w:kern w:val="0"/>
          <w:sz w:val="52"/>
          <w:szCs w:val="52"/>
        </w:rPr>
      </w:pPr>
    </w:p>
    <w:p w14:paraId="63662508">
      <w:pPr>
        <w:spacing w:line="540" w:lineRule="exact"/>
        <w:jc w:val="center"/>
        <w:rPr>
          <w:rFonts w:hint="default" w:ascii="Times New Roman" w:hAnsi="Times New Roman" w:eastAsia="华文中宋" w:cs="Times New Roman"/>
          <w:b/>
          <w:kern w:val="0"/>
          <w:sz w:val="52"/>
          <w:szCs w:val="52"/>
        </w:rPr>
      </w:pPr>
    </w:p>
    <w:p w14:paraId="25AB8039">
      <w:pPr>
        <w:spacing w:line="540" w:lineRule="exact"/>
        <w:jc w:val="center"/>
        <w:rPr>
          <w:rFonts w:hint="default" w:ascii="Times New Roman" w:hAnsi="Times New Roman" w:eastAsia="华文中宋" w:cs="Times New Roman"/>
          <w:b/>
          <w:kern w:val="0"/>
          <w:sz w:val="52"/>
          <w:szCs w:val="52"/>
        </w:rPr>
      </w:pPr>
    </w:p>
    <w:p w14:paraId="2095DBE6">
      <w:pPr>
        <w:spacing w:line="540" w:lineRule="exact"/>
        <w:jc w:val="center"/>
        <w:rPr>
          <w:rFonts w:hint="default" w:ascii="Times New Roman" w:hAnsi="Times New Roman" w:eastAsia="方正小标宋_GBK" w:cs="Times New Roman"/>
          <w:kern w:val="0"/>
          <w:sz w:val="48"/>
          <w:szCs w:val="48"/>
        </w:rPr>
      </w:pPr>
      <w:r>
        <w:rPr>
          <w:rFonts w:hint="default" w:ascii="Times New Roman" w:hAnsi="Times New Roman" w:eastAsia="方正小标宋_GBK" w:cs="Times New Roman"/>
          <w:kern w:val="0"/>
          <w:sz w:val="48"/>
          <w:szCs w:val="48"/>
        </w:rPr>
        <w:t>2025年党报党刊征订支出绩效评价</w:t>
      </w:r>
    </w:p>
    <w:p w14:paraId="194199C3">
      <w:pPr>
        <w:spacing w:line="540" w:lineRule="exact"/>
        <w:jc w:val="center"/>
        <w:rPr>
          <w:rFonts w:hint="default" w:ascii="Times New Roman" w:hAnsi="Times New Roman" w:eastAsia="方正小标宋_GBK" w:cs="Times New Roman"/>
          <w:kern w:val="0"/>
          <w:sz w:val="48"/>
          <w:szCs w:val="48"/>
        </w:rPr>
      </w:pPr>
      <w:r>
        <w:rPr>
          <w:rFonts w:hint="default" w:ascii="Times New Roman" w:hAnsi="Times New Roman" w:eastAsia="方正小标宋_GBK" w:cs="Times New Roman"/>
          <w:kern w:val="0"/>
          <w:sz w:val="48"/>
          <w:szCs w:val="48"/>
        </w:rPr>
        <w:t>报告</w:t>
      </w:r>
    </w:p>
    <w:p w14:paraId="0E66B02F">
      <w:pPr>
        <w:spacing w:line="540" w:lineRule="exact"/>
        <w:jc w:val="center"/>
        <w:rPr>
          <w:rFonts w:hint="default" w:ascii="Times New Roman" w:hAnsi="Times New Roman" w:eastAsia="华文中宋" w:cs="Times New Roman"/>
          <w:b/>
          <w:kern w:val="0"/>
          <w:sz w:val="52"/>
          <w:szCs w:val="52"/>
        </w:rPr>
      </w:pPr>
    </w:p>
    <w:p w14:paraId="777F23D2">
      <w:pPr>
        <w:spacing w:line="540" w:lineRule="exact"/>
        <w:jc w:val="center"/>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（202</w:t>
      </w:r>
      <w:r>
        <w:rPr>
          <w:rFonts w:hint="default" w:ascii="Times New Roman" w:hAnsi="Times New Roman" w:eastAsia="仿宋_GB2312" w:cs="Times New Roman"/>
          <w:kern w:val="0"/>
          <w:sz w:val="36"/>
          <w:szCs w:val="36"/>
          <w:lang w:val="en-US" w:eastAsia="zh-CN"/>
        </w:rPr>
        <w:t>4</w:t>
      </w:r>
      <w:r>
        <w:rPr>
          <w:rFonts w:hint="default" w:ascii="Times New Roman" w:hAnsi="Times New Roman" w:eastAsia="仿宋_GB2312" w:cs="Times New Roman"/>
          <w:kern w:val="0"/>
          <w:sz w:val="36"/>
          <w:szCs w:val="36"/>
        </w:rPr>
        <w:t>年度）</w:t>
      </w:r>
    </w:p>
    <w:p w14:paraId="1A282AB1">
      <w:pPr>
        <w:spacing w:line="540" w:lineRule="exact"/>
        <w:jc w:val="center"/>
        <w:rPr>
          <w:rFonts w:hint="default" w:ascii="Times New Roman" w:hAnsi="Times New Roman" w:eastAsia="仿宋_GB2312" w:cs="Times New Roman"/>
          <w:kern w:val="0"/>
          <w:sz w:val="30"/>
          <w:szCs w:val="30"/>
        </w:rPr>
      </w:pPr>
    </w:p>
    <w:p w14:paraId="78487AB9">
      <w:pPr>
        <w:spacing w:line="540" w:lineRule="exact"/>
        <w:jc w:val="center"/>
        <w:rPr>
          <w:rFonts w:hint="default" w:ascii="Times New Roman" w:hAnsi="Times New Roman" w:eastAsia="仿宋_GB2312" w:cs="Times New Roman"/>
          <w:kern w:val="0"/>
          <w:sz w:val="30"/>
          <w:szCs w:val="30"/>
        </w:rPr>
      </w:pPr>
    </w:p>
    <w:p w14:paraId="3B2F4348">
      <w:pPr>
        <w:spacing w:line="540" w:lineRule="exact"/>
        <w:jc w:val="center"/>
        <w:rPr>
          <w:rFonts w:hint="default" w:ascii="Times New Roman" w:hAnsi="Times New Roman" w:eastAsia="仿宋_GB2312" w:cs="Times New Roman"/>
          <w:kern w:val="0"/>
          <w:sz w:val="30"/>
          <w:szCs w:val="30"/>
        </w:rPr>
      </w:pPr>
    </w:p>
    <w:p w14:paraId="2D6184FA">
      <w:pPr>
        <w:pStyle w:val="2"/>
        <w:rPr>
          <w:rFonts w:hint="default" w:ascii="Times New Roman" w:hAnsi="Times New Roman" w:cs="Times New Roman"/>
        </w:rPr>
      </w:pPr>
    </w:p>
    <w:p w14:paraId="56A0B2DC">
      <w:pPr>
        <w:spacing w:line="540" w:lineRule="exact"/>
        <w:jc w:val="center"/>
        <w:rPr>
          <w:rFonts w:hint="default" w:ascii="Times New Roman" w:hAnsi="Times New Roman" w:eastAsia="仿宋_GB2312" w:cs="Times New Roman"/>
          <w:kern w:val="0"/>
          <w:sz w:val="30"/>
          <w:szCs w:val="30"/>
        </w:rPr>
      </w:pPr>
    </w:p>
    <w:p w14:paraId="0DA0CED6">
      <w:pPr>
        <w:spacing w:line="540" w:lineRule="exact"/>
        <w:rPr>
          <w:rFonts w:hint="default" w:ascii="Times New Roman" w:hAnsi="Times New Roman" w:eastAsia="仿宋_GB2312" w:cs="Times New Roman"/>
          <w:kern w:val="0"/>
          <w:sz w:val="30"/>
          <w:szCs w:val="30"/>
        </w:rPr>
      </w:pPr>
    </w:p>
    <w:p w14:paraId="057B117A">
      <w:pPr>
        <w:spacing w:line="700" w:lineRule="exact"/>
        <w:ind w:firstLine="1440" w:firstLineChars="400"/>
        <w:jc w:val="left"/>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项目名称：2025年党报党刊征订</w:t>
      </w:r>
    </w:p>
    <w:p w14:paraId="637AD73E">
      <w:pPr>
        <w:spacing w:line="700" w:lineRule="exact"/>
        <w:ind w:left="1436" w:leftChars="684" w:firstLine="0" w:firstLineChars="0"/>
        <w:jc w:val="left"/>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实施单位：中共奇台县委员会宣传部</w:t>
      </w:r>
    </w:p>
    <w:p w14:paraId="7ADBA84B">
      <w:pPr>
        <w:spacing w:line="700" w:lineRule="exact"/>
        <w:ind w:left="1436" w:leftChars="684" w:firstLine="0" w:firstLineChars="0"/>
        <w:jc w:val="left"/>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主管部门：中共奇台县委员会宣传部</w:t>
      </w:r>
    </w:p>
    <w:p w14:paraId="35A4386E">
      <w:pPr>
        <w:spacing w:line="700" w:lineRule="exact"/>
        <w:ind w:firstLine="1440" w:firstLineChars="400"/>
        <w:jc w:val="left"/>
        <w:rPr>
          <w:rFonts w:hint="eastAsia" w:ascii="Times New Roman" w:hAnsi="Times New Roman" w:eastAsia="仿宋_GB2312" w:cs="Times New Roman"/>
          <w:kern w:val="0"/>
          <w:sz w:val="36"/>
          <w:szCs w:val="36"/>
          <w:lang w:val="en-US" w:eastAsia="zh-CN"/>
        </w:rPr>
      </w:pPr>
      <w:r>
        <w:rPr>
          <w:rFonts w:hint="default" w:ascii="Times New Roman" w:hAnsi="Times New Roman" w:eastAsia="仿宋_GB2312" w:cs="Times New Roman"/>
          <w:kern w:val="0"/>
          <w:sz w:val="36"/>
          <w:szCs w:val="36"/>
        </w:rPr>
        <w:t>项目负责人（签章）：</w:t>
      </w:r>
      <w:r>
        <w:rPr>
          <w:rFonts w:hint="eastAsia" w:eastAsia="仿宋_GB2312" w:cs="Times New Roman"/>
          <w:kern w:val="0"/>
          <w:sz w:val="36"/>
          <w:szCs w:val="36"/>
          <w:lang w:eastAsia="zh-CN"/>
        </w:rPr>
        <w:t>白生春</w:t>
      </w:r>
    </w:p>
    <w:p w14:paraId="2636CF71">
      <w:pPr>
        <w:spacing w:line="700" w:lineRule="exact"/>
        <w:ind w:firstLine="1440" w:firstLineChars="400"/>
        <w:jc w:val="left"/>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填报时间：</w:t>
      </w:r>
      <w:r>
        <w:rPr>
          <w:rFonts w:hint="eastAsia" w:eastAsia="仿宋_GB2312" w:cs="Times New Roman"/>
          <w:kern w:val="0"/>
          <w:sz w:val="36"/>
          <w:szCs w:val="36"/>
          <w:lang w:val="en-US" w:eastAsia="zh-CN"/>
        </w:rPr>
        <w:t>2025</w:t>
      </w:r>
      <w:r>
        <w:rPr>
          <w:rFonts w:hint="default" w:ascii="Times New Roman" w:hAnsi="Times New Roman" w:eastAsia="仿宋_GB2312" w:cs="Times New Roman"/>
          <w:kern w:val="0"/>
          <w:sz w:val="36"/>
          <w:szCs w:val="36"/>
        </w:rPr>
        <w:t>年</w:t>
      </w:r>
      <w:r>
        <w:rPr>
          <w:rFonts w:hint="eastAsia" w:eastAsia="仿宋_GB2312" w:cs="Times New Roman"/>
          <w:kern w:val="0"/>
          <w:sz w:val="36"/>
          <w:szCs w:val="36"/>
          <w:lang w:val="en-US" w:eastAsia="zh-CN"/>
        </w:rPr>
        <w:t>5</w:t>
      </w:r>
      <w:r>
        <w:rPr>
          <w:rFonts w:hint="default" w:ascii="Times New Roman" w:hAnsi="Times New Roman" w:eastAsia="仿宋_GB2312" w:cs="Times New Roman"/>
          <w:kern w:val="0"/>
          <w:sz w:val="36"/>
          <w:szCs w:val="36"/>
        </w:rPr>
        <w:t>月</w:t>
      </w:r>
      <w:r>
        <w:rPr>
          <w:rFonts w:hint="eastAsia" w:eastAsia="仿宋_GB2312" w:cs="Times New Roman"/>
          <w:kern w:val="0"/>
          <w:sz w:val="36"/>
          <w:szCs w:val="36"/>
          <w:lang w:val="en-US" w:eastAsia="zh-CN"/>
        </w:rPr>
        <w:t>6</w:t>
      </w:r>
      <w:r>
        <w:rPr>
          <w:rFonts w:hint="default" w:ascii="Times New Roman" w:hAnsi="Times New Roman" w:eastAsia="仿宋_GB2312" w:cs="Times New Roman"/>
          <w:kern w:val="0"/>
          <w:sz w:val="36"/>
          <w:szCs w:val="36"/>
        </w:rPr>
        <w:t>日</w:t>
      </w:r>
    </w:p>
    <w:p w14:paraId="1B317F46">
      <w:pPr>
        <w:spacing w:line="540" w:lineRule="exact"/>
        <w:jc w:val="center"/>
        <w:rPr>
          <w:rFonts w:hint="default" w:ascii="Times New Roman" w:hAnsi="Times New Roman" w:eastAsia="仿宋_GB2312" w:cs="Times New Roman"/>
          <w:kern w:val="0"/>
          <w:sz w:val="30"/>
          <w:szCs w:val="30"/>
        </w:rPr>
      </w:pPr>
    </w:p>
    <w:p w14:paraId="704DAAF5">
      <w:pPr>
        <w:spacing w:line="540" w:lineRule="exact"/>
        <w:rPr>
          <w:rStyle w:val="16"/>
          <w:rFonts w:hint="default" w:ascii="Times New Roman" w:hAnsi="Times New Roman" w:eastAsia="黑体" w:cs="Times New Roman"/>
          <w:b w:val="0"/>
          <w:spacing w:val="-4"/>
          <w:sz w:val="32"/>
          <w:szCs w:val="32"/>
        </w:rPr>
      </w:pPr>
    </w:p>
    <w:p w14:paraId="09A5B3D3">
      <w:pPr>
        <w:spacing w:line="540" w:lineRule="exact"/>
        <w:ind w:firstLine="640"/>
        <w:rPr>
          <w:rStyle w:val="16"/>
          <w:rFonts w:hint="default" w:ascii="Times New Roman" w:hAnsi="Times New Roman" w:eastAsia="黑体" w:cs="Times New Roman"/>
          <w:b w:val="0"/>
          <w:spacing w:val="-4"/>
          <w:sz w:val="32"/>
          <w:szCs w:val="32"/>
        </w:rPr>
      </w:pPr>
    </w:p>
    <w:p w14:paraId="43B95A5A">
      <w:pPr>
        <w:spacing w:line="540" w:lineRule="exact"/>
        <w:rPr>
          <w:rStyle w:val="16"/>
          <w:rFonts w:hint="default" w:ascii="Times New Roman" w:hAnsi="Times New Roman" w:eastAsia="黑体" w:cs="Times New Roman"/>
          <w:b w:val="0"/>
          <w:spacing w:val="-4"/>
          <w:sz w:val="32"/>
          <w:szCs w:val="32"/>
        </w:rPr>
      </w:pPr>
    </w:p>
    <w:p w14:paraId="65220C67">
      <w:pPr>
        <w:spacing w:line="560" w:lineRule="exact"/>
        <w:ind w:firstLine="640" w:firstLineChars="200"/>
        <w:rPr>
          <w:rFonts w:hint="default" w:ascii="Times New Roman" w:hAnsi="Times New Roman" w:eastAsia="黑体" w:cs="Times New Roman"/>
          <w:bCs/>
          <w:sz w:val="32"/>
          <w:szCs w:val="32"/>
        </w:rPr>
        <w:sectPr>
          <w:pgSz w:w="11906" w:h="16838"/>
          <w:pgMar w:top="1440" w:right="1558" w:bottom="1440" w:left="1800" w:header="851" w:footer="992" w:gutter="0"/>
          <w:cols w:space="425" w:num="1"/>
          <w:docGrid w:type="lines" w:linePitch="312" w:charSpace="0"/>
        </w:sectPr>
      </w:pPr>
    </w:p>
    <w:p w14:paraId="6E3FEB13">
      <w:pPr>
        <w:spacing w:line="560" w:lineRule="exact"/>
        <w:ind w:firstLine="640" w:firstLineChars="200"/>
        <w:rPr>
          <w:rFonts w:hint="default" w:ascii="Times New Roman" w:hAnsi="Times New Roman" w:eastAsia="黑体" w:cs="Times New Roman"/>
          <w:bCs/>
          <w:sz w:val="32"/>
          <w:szCs w:val="32"/>
        </w:rPr>
      </w:pPr>
      <w:r>
        <w:rPr>
          <w:rFonts w:hint="default" w:ascii="Times New Roman" w:hAnsi="Times New Roman" w:eastAsia="黑体" w:cs="Times New Roman"/>
          <w:bCs/>
          <w:sz w:val="32"/>
          <w:szCs w:val="32"/>
        </w:rPr>
        <w:t>一、基本情况</w:t>
      </w:r>
    </w:p>
    <w:p w14:paraId="30E1CA75">
      <w:pPr>
        <w:spacing w:line="560" w:lineRule="exac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（一）项目概况</w:t>
      </w:r>
    </w:p>
    <w:p w14:paraId="31E6AAAB">
      <w:pPr>
        <w:spacing w:line="560" w:lineRule="exact"/>
        <w:ind w:firstLine="643" w:firstLineChars="200"/>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bCs/>
          <w:sz w:val="32"/>
          <w:szCs w:val="32"/>
        </w:rPr>
        <w:t>项目背景</w:t>
      </w:r>
    </w:p>
    <w:p w14:paraId="48EC9882">
      <w:pPr>
        <w:pStyle w:val="2"/>
        <w:numPr>
          <w:ilvl w:val="0"/>
          <w:numId w:val="0"/>
        </w:numPr>
        <w:spacing w:before="0" w:after="0" w:line="560" w:lineRule="exact"/>
        <w:ind w:firstLine="640" w:firstLineChars="200"/>
        <w:jc w:val="both"/>
        <w:rPr>
          <w:rFonts w:hint="default" w:ascii="Times New Roman" w:hAnsi="Times New Roman" w:eastAsia="仿宋_GB2312" w:cs="Times New Roman"/>
          <w:b w:val="0"/>
          <w:bCs w:val="0"/>
          <w:kern w:val="2"/>
          <w:sz w:val="32"/>
          <w:szCs w:val="32"/>
          <w:lang w:val="en-US" w:eastAsia="zh-CN" w:bidi="ar-SA"/>
        </w:rPr>
      </w:pPr>
      <w:r>
        <w:rPr>
          <w:rFonts w:hint="default" w:ascii="Times New Roman" w:hAnsi="Times New Roman" w:eastAsia="仿宋_GB2312" w:cs="Times New Roman"/>
          <w:b w:val="0"/>
          <w:bCs w:val="0"/>
          <w:kern w:val="2"/>
          <w:sz w:val="32"/>
          <w:szCs w:val="32"/>
          <w:lang w:val="en-US" w:eastAsia="zh-CN" w:bidi="ar-SA"/>
        </w:rPr>
        <w:t>本项目拟投入149.02万元用于完成</w:t>
      </w:r>
      <w:r>
        <w:rPr>
          <w:rFonts w:hint="eastAsia" w:ascii="Times New Roman" w:hAnsi="Times New Roman" w:eastAsia="仿宋_GB2312" w:cs="Times New Roman"/>
          <w:b w:val="0"/>
          <w:bCs w:val="0"/>
          <w:kern w:val="2"/>
          <w:sz w:val="32"/>
          <w:szCs w:val="32"/>
          <w:lang w:val="en-US" w:eastAsia="zh-CN" w:bidi="ar-SA"/>
        </w:rPr>
        <w:t>2025</w:t>
      </w:r>
      <w:r>
        <w:rPr>
          <w:rFonts w:hint="default" w:ascii="Times New Roman" w:hAnsi="Times New Roman" w:eastAsia="仿宋_GB2312" w:cs="Times New Roman"/>
          <w:b w:val="0"/>
          <w:bCs w:val="0"/>
          <w:kern w:val="2"/>
          <w:sz w:val="32"/>
          <w:szCs w:val="32"/>
          <w:lang w:val="en-US" w:eastAsia="zh-CN" w:bidi="ar-SA"/>
        </w:rPr>
        <w:t>年党报党刊征订工作，主要实施内容为：征订党报党刊5370份，按照中央、自治区、州党委的文件要求，完成订阅人民日报300份、求是杂志200份、新疆日报1500份、今日新疆1100份、昌吉日报2000份、以及光明日报60份、经济日报60份、新华每日电讯150份任务，做到党报党刊订阅全覆盖。</w:t>
      </w:r>
    </w:p>
    <w:p w14:paraId="73FC9223">
      <w:pPr>
        <w:pStyle w:val="2"/>
        <w:numPr>
          <w:ilvl w:val="0"/>
          <w:numId w:val="0"/>
        </w:numPr>
        <w:spacing w:before="0" w:after="0" w:line="560" w:lineRule="exact"/>
        <w:ind w:firstLine="643" w:firstLineChars="200"/>
        <w:jc w:val="both"/>
        <w:rPr>
          <w:rFonts w:hint="default" w:ascii="Times New Roman" w:hAnsi="Times New Roman" w:eastAsia="仿宋_GB2312" w:cs="Times New Roman"/>
          <w:kern w:val="2"/>
        </w:rPr>
      </w:pPr>
      <w:r>
        <w:rPr>
          <w:rFonts w:hint="default" w:ascii="Times New Roman" w:hAnsi="Times New Roman" w:eastAsia="仿宋_GB2312" w:cs="Times New Roman"/>
          <w:kern w:val="2"/>
          <w:lang w:val="en-US" w:eastAsia="zh-CN"/>
        </w:rPr>
        <w:t>2.</w:t>
      </w:r>
      <w:r>
        <w:rPr>
          <w:rFonts w:hint="default" w:ascii="Times New Roman" w:hAnsi="Times New Roman" w:eastAsia="仿宋_GB2312" w:cs="Times New Roman"/>
          <w:kern w:val="2"/>
        </w:rPr>
        <w:t>项目主要内容：</w:t>
      </w:r>
    </w:p>
    <w:p w14:paraId="66819A11">
      <w:pPr>
        <w:spacing w:line="560" w:lineRule="exact"/>
        <w:ind w:firstLine="600" w:firstLineChars="200"/>
        <w:rPr>
          <w:rFonts w:hint="default" w:ascii="Times New Roman" w:hAnsi="Times New Roman" w:eastAsia="仿宋_GB2312" w:cs="Times New Roman"/>
          <w:sz w:val="30"/>
          <w:szCs w:val="30"/>
          <w:highlight w:val="none"/>
          <w:lang w:val="en-US" w:eastAsia="zh-CN"/>
        </w:rPr>
      </w:pPr>
      <w:r>
        <w:rPr>
          <w:rFonts w:hint="default" w:ascii="Times New Roman" w:hAnsi="Times New Roman" w:eastAsia="仿宋_GB2312" w:cs="Times New Roman"/>
          <w:sz w:val="30"/>
          <w:szCs w:val="30"/>
          <w:highlight w:val="none"/>
          <w:lang w:val="en-US" w:eastAsia="zh-CN"/>
        </w:rPr>
        <w:t>项目主要内容：本项目拟投入149.02万元用于完成</w:t>
      </w:r>
      <w:r>
        <w:rPr>
          <w:rFonts w:hint="eastAsia" w:eastAsia="仿宋_GB2312" w:cs="Times New Roman"/>
          <w:sz w:val="30"/>
          <w:szCs w:val="30"/>
          <w:highlight w:val="none"/>
          <w:lang w:val="en-US" w:eastAsia="zh-CN"/>
        </w:rPr>
        <w:t>2025</w:t>
      </w:r>
      <w:r>
        <w:rPr>
          <w:rFonts w:hint="default" w:ascii="Times New Roman" w:hAnsi="Times New Roman" w:eastAsia="仿宋_GB2312" w:cs="Times New Roman"/>
          <w:sz w:val="30"/>
          <w:szCs w:val="30"/>
          <w:highlight w:val="none"/>
          <w:lang w:val="en-US" w:eastAsia="zh-CN"/>
        </w:rPr>
        <w:t>年党报党刊征订工作，完成订阅人民日报300份、求是杂志200份、新疆日报1500份、今日新疆1100份、昌吉日报2000份、以及光明日报60份、经济日报60份、新华每日电讯150份任务，做到党报党刊订阅全覆盖。</w:t>
      </w:r>
    </w:p>
    <w:p w14:paraId="5BE0F811">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项目实施情况：本项目由奇台县委宣传部负责实施，单位主要职责为主要职能是宣传中国共产党路线、方针、政策；负责制定我县宣传文化事业发展的工作方针；指导宣传文化系统精神文化产品的创作工作；对奇台县新闻、出版、电视和电影等媒体宣传工作进行监督指导；提供舆情信息的服务，并且负责组织协调和指导宣传文化系统的舆情信息工作；推进精神文明建设。本项目的实施与县委宣传部的职能密切相关，具备实施本项目的主体资格。本项目的实施与奇台县委宣传部的职能密切相关，具备本项目的主体资格。奇台县委宣传部具备实施本项目所需的物资与设备，确保项目实施不受资金供应影响，保障项目按预定时间完成</w:t>
      </w:r>
      <w:r>
        <w:rPr>
          <w:rFonts w:hint="eastAsia" w:eastAsia="仿宋_GB2312" w:cs="Times New Roman"/>
          <w:sz w:val="32"/>
          <w:szCs w:val="32"/>
          <w:lang w:eastAsia="zh-CN"/>
        </w:rPr>
        <w:t>。</w:t>
      </w:r>
      <w:r>
        <w:rPr>
          <w:rFonts w:hint="default" w:ascii="Times New Roman" w:hAnsi="Times New Roman" w:eastAsia="仿宋_GB2312" w:cs="Times New Roman"/>
          <w:sz w:val="32"/>
          <w:szCs w:val="32"/>
        </w:rPr>
        <w:t>本项目本年预算</w:t>
      </w:r>
      <w:r>
        <w:rPr>
          <w:rFonts w:hint="eastAsia" w:eastAsia="仿宋_GB2312" w:cs="Times New Roman"/>
          <w:sz w:val="32"/>
          <w:szCs w:val="32"/>
          <w:lang w:val="en-US" w:eastAsia="zh-CN"/>
        </w:rPr>
        <w:t>149.02</w:t>
      </w:r>
      <w:r>
        <w:rPr>
          <w:rFonts w:hint="default" w:ascii="Times New Roman" w:hAnsi="Times New Roman" w:eastAsia="仿宋_GB2312" w:cs="Times New Roman"/>
          <w:sz w:val="32"/>
          <w:szCs w:val="32"/>
        </w:rPr>
        <w:t>万元，资金来源为申请一般转移支付</w:t>
      </w:r>
      <w:r>
        <w:rPr>
          <w:rFonts w:hint="eastAsia" w:eastAsia="仿宋_GB2312" w:cs="Times New Roman"/>
          <w:sz w:val="32"/>
          <w:szCs w:val="32"/>
          <w:lang w:eastAsia="zh-CN"/>
        </w:rPr>
        <w:t>。</w:t>
      </w:r>
      <w:r>
        <w:rPr>
          <w:rFonts w:hint="default" w:ascii="Times New Roman" w:hAnsi="Times New Roman" w:eastAsia="仿宋_GB2312" w:cs="Times New Roman"/>
          <w:sz w:val="32"/>
          <w:szCs w:val="32"/>
        </w:rPr>
        <w:t>项目资金均能及时到位。</w:t>
      </w:r>
    </w:p>
    <w:p w14:paraId="23657AE2">
      <w:pPr>
        <w:spacing w:line="560" w:lineRule="exact"/>
        <w:ind w:firstLine="643" w:firstLineChars="200"/>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bCs/>
          <w:sz w:val="32"/>
          <w:szCs w:val="32"/>
        </w:rPr>
        <w:t>资金投入和使用情况</w:t>
      </w:r>
    </w:p>
    <w:p w14:paraId="23E90DA4">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（1）资金投入情况</w:t>
      </w:r>
    </w:p>
    <w:p w14:paraId="20C743A0">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该项目年初预算数</w:t>
      </w:r>
      <w:r>
        <w:rPr>
          <w:rFonts w:hint="eastAsia" w:eastAsia="仿宋_GB2312" w:cs="Times New Roman"/>
          <w:color w:val="auto"/>
          <w:sz w:val="32"/>
          <w:szCs w:val="32"/>
          <w:highlight w:val="none"/>
          <w:lang w:val="en-US" w:eastAsia="zh-CN"/>
        </w:rPr>
        <w:t>149.02</w:t>
      </w:r>
      <w:r>
        <w:rPr>
          <w:rFonts w:hint="default" w:ascii="Times New Roman" w:hAnsi="Times New Roman" w:eastAsia="仿宋_GB2312" w:cs="Times New Roman"/>
          <w:color w:val="auto"/>
          <w:sz w:val="32"/>
          <w:szCs w:val="32"/>
          <w:highlight w:val="none"/>
          <w:lang w:val="en-US" w:eastAsia="zh-CN"/>
        </w:rPr>
        <w:t>万元，全年预算数</w:t>
      </w:r>
      <w:r>
        <w:rPr>
          <w:rFonts w:hint="eastAsia" w:eastAsia="仿宋_GB2312" w:cs="Times New Roman"/>
          <w:color w:val="auto"/>
          <w:sz w:val="32"/>
          <w:szCs w:val="32"/>
          <w:highlight w:val="none"/>
          <w:lang w:val="en-US" w:eastAsia="zh-CN"/>
        </w:rPr>
        <w:t>149.02</w:t>
      </w:r>
      <w:r>
        <w:rPr>
          <w:rFonts w:hint="default" w:ascii="Times New Roman" w:hAnsi="Times New Roman" w:eastAsia="仿宋_GB2312" w:cs="Times New Roman"/>
          <w:color w:val="auto"/>
          <w:sz w:val="32"/>
          <w:szCs w:val="32"/>
          <w:highlight w:val="none"/>
          <w:lang w:val="en-US" w:eastAsia="zh-CN"/>
        </w:rPr>
        <w:t>万元，该项目资金已全部落实到位，资金来源为</w:t>
      </w:r>
      <w:r>
        <w:rPr>
          <w:rFonts w:hint="eastAsia" w:eastAsia="仿宋_GB2312" w:cs="Times New Roman"/>
          <w:color w:val="auto"/>
          <w:sz w:val="32"/>
          <w:szCs w:val="32"/>
          <w:highlight w:val="none"/>
          <w:lang w:val="en-US" w:eastAsia="zh-CN"/>
        </w:rPr>
        <w:t>财政拨款</w:t>
      </w:r>
      <w:r>
        <w:rPr>
          <w:rFonts w:hint="default" w:ascii="Times New Roman" w:hAnsi="Times New Roman" w:eastAsia="仿宋_GB2312" w:cs="Times New Roman"/>
          <w:color w:val="auto"/>
          <w:sz w:val="32"/>
          <w:szCs w:val="32"/>
          <w:highlight w:val="none"/>
          <w:lang w:val="en-US" w:eastAsia="zh-CN"/>
        </w:rPr>
        <w:t>。</w:t>
      </w:r>
    </w:p>
    <w:p w14:paraId="22450C76">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（2）资金使用情况</w:t>
      </w:r>
    </w:p>
    <w:p w14:paraId="2C7DDB76">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该项目年初预算数</w:t>
      </w:r>
      <w:r>
        <w:rPr>
          <w:rFonts w:hint="eastAsia" w:eastAsia="仿宋_GB2312" w:cs="Times New Roman"/>
          <w:color w:val="auto"/>
          <w:sz w:val="32"/>
          <w:szCs w:val="32"/>
          <w:highlight w:val="none"/>
          <w:lang w:val="en-US" w:eastAsia="zh-CN"/>
        </w:rPr>
        <w:t>149.02</w:t>
      </w:r>
      <w:r>
        <w:rPr>
          <w:rFonts w:hint="default" w:ascii="Times New Roman" w:hAnsi="Times New Roman" w:eastAsia="仿宋_GB2312" w:cs="Times New Roman"/>
          <w:color w:val="auto"/>
          <w:sz w:val="32"/>
          <w:szCs w:val="32"/>
          <w:highlight w:val="none"/>
          <w:lang w:val="en-US" w:eastAsia="zh-CN"/>
        </w:rPr>
        <w:t>万元，全年预算数</w:t>
      </w:r>
      <w:r>
        <w:rPr>
          <w:rFonts w:hint="eastAsia" w:eastAsia="仿宋_GB2312" w:cs="Times New Roman"/>
          <w:color w:val="auto"/>
          <w:sz w:val="32"/>
          <w:szCs w:val="32"/>
          <w:highlight w:val="none"/>
          <w:lang w:val="en-US" w:eastAsia="zh-CN"/>
        </w:rPr>
        <w:t>149.02</w:t>
      </w:r>
      <w:r>
        <w:rPr>
          <w:rFonts w:hint="default" w:ascii="Times New Roman" w:hAnsi="Times New Roman" w:eastAsia="仿宋_GB2312" w:cs="Times New Roman"/>
          <w:color w:val="auto"/>
          <w:sz w:val="32"/>
          <w:szCs w:val="32"/>
          <w:highlight w:val="none"/>
          <w:lang w:val="en-US" w:eastAsia="zh-CN"/>
        </w:rPr>
        <w:t>万元</w:t>
      </w:r>
      <w:r>
        <w:rPr>
          <w:rFonts w:hint="eastAsia"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全年执行数</w:t>
      </w:r>
      <w:r>
        <w:rPr>
          <w:rFonts w:hint="eastAsia" w:eastAsia="仿宋_GB2312" w:cs="Times New Roman"/>
          <w:color w:val="auto"/>
          <w:sz w:val="32"/>
          <w:szCs w:val="32"/>
          <w:highlight w:val="none"/>
          <w:lang w:val="en-US" w:eastAsia="zh-CN"/>
        </w:rPr>
        <w:t>149.02</w:t>
      </w:r>
      <w:r>
        <w:rPr>
          <w:rFonts w:hint="default" w:ascii="Times New Roman" w:hAnsi="Times New Roman" w:eastAsia="仿宋_GB2312" w:cs="Times New Roman"/>
          <w:color w:val="auto"/>
          <w:sz w:val="32"/>
          <w:szCs w:val="32"/>
          <w:highlight w:val="none"/>
          <w:lang w:val="en-US" w:eastAsia="zh-CN"/>
        </w:rPr>
        <w:t>万元，预算执行率为</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lang w:val="en-US" w:eastAsia="zh-CN"/>
        </w:rPr>
        <w:t>%，主要用于：阅人民日报300份、求是杂志200份、新疆日报1500</w:t>
      </w:r>
      <w:r>
        <w:rPr>
          <w:rFonts w:hint="default" w:ascii="Times New Roman" w:hAnsi="Times New Roman" w:eastAsia="仿宋_GB2312" w:cs="Times New Roman"/>
          <w:sz w:val="32"/>
          <w:szCs w:val="32"/>
          <w:highlight w:val="none"/>
          <w:lang w:val="en-US" w:eastAsia="zh-CN"/>
        </w:rPr>
        <w:t>份、今日新疆1100份、昌吉日报2000份、以及光明日报60份、经济日报60份、新华每日电讯150份任务，做到党报党刊订阅全覆盖。</w:t>
      </w:r>
    </w:p>
    <w:p w14:paraId="5809D138">
      <w:pPr>
        <w:spacing w:line="560" w:lineRule="exac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（二）项目绩效目标</w:t>
      </w:r>
    </w:p>
    <w:p w14:paraId="5DB6FE0A">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sz w:val="32"/>
          <w:szCs w:val="32"/>
        </w:rPr>
        <w:t>总体目标</w:t>
      </w:r>
    </w:p>
    <w:p w14:paraId="4A05570D">
      <w:pPr>
        <w:spacing w:line="560" w:lineRule="exact"/>
        <w:ind w:firstLine="640" w:firstLineChars="200"/>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本项目拟投入149.02万元用于完成202</w:t>
      </w:r>
      <w:r>
        <w:rPr>
          <w:rFonts w:hint="eastAsia" w:eastAsia="仿宋_GB2312" w:cs="Times New Roman"/>
          <w:sz w:val="32"/>
          <w:szCs w:val="32"/>
          <w:lang w:val="en-US" w:eastAsia="zh-CN"/>
        </w:rPr>
        <w:t>5</w:t>
      </w:r>
      <w:r>
        <w:rPr>
          <w:rFonts w:hint="default" w:ascii="Times New Roman" w:hAnsi="Times New Roman" w:eastAsia="仿宋_GB2312" w:cs="Times New Roman"/>
          <w:sz w:val="32"/>
          <w:szCs w:val="32"/>
          <w:lang w:eastAsia="zh-CN"/>
        </w:rPr>
        <w:t>年党报党刊征订工作，主要实施内容为：征订党报党刊5370份，保质保量完成年度征订工作，于202</w:t>
      </w:r>
      <w:r>
        <w:rPr>
          <w:rFonts w:hint="eastAsia" w:eastAsia="仿宋_GB2312" w:cs="Times New Roman"/>
          <w:sz w:val="32"/>
          <w:szCs w:val="32"/>
          <w:lang w:val="en-US" w:eastAsia="zh-CN"/>
        </w:rPr>
        <w:t>4</w:t>
      </w:r>
      <w:r>
        <w:rPr>
          <w:rFonts w:hint="default" w:ascii="Times New Roman" w:hAnsi="Times New Roman" w:eastAsia="仿宋_GB2312" w:cs="Times New Roman"/>
          <w:sz w:val="32"/>
          <w:szCs w:val="32"/>
          <w:lang w:eastAsia="zh-CN"/>
        </w:rPr>
        <w:t>年12月31日前完工，通过本项目的实施，增强“四个意识”，坚定“四个自信”，自觉承担起聚旗帜、聚民心、育新人、兴文化、展形象的使命任务，提供坚强思想保证和强大精神动力，使受益部门满意度达到95%绩效目标信息</w:t>
      </w:r>
      <w:r>
        <w:rPr>
          <w:rFonts w:hint="eastAsia" w:eastAsia="仿宋_GB2312" w:cs="Times New Roman"/>
          <w:sz w:val="32"/>
          <w:szCs w:val="32"/>
          <w:lang w:eastAsia="zh-CN"/>
        </w:rPr>
        <w:t>。</w:t>
      </w:r>
    </w:p>
    <w:p w14:paraId="2F10595A">
      <w:pPr>
        <w:numPr>
          <w:ilvl w:val="0"/>
          <w:numId w:val="1"/>
        </w:num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阶段性目标</w:t>
      </w:r>
    </w:p>
    <w:p w14:paraId="4D6CEB2C">
      <w:pPr>
        <w:spacing w:line="560" w:lineRule="exact"/>
        <w:ind w:firstLine="640" w:firstLineChars="200"/>
        <w:rPr>
          <w:rFonts w:hint="eastAsia"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eastAsia="zh-CN"/>
        </w:rPr>
        <w:t>本项目</w:t>
      </w:r>
      <w:r>
        <w:rPr>
          <w:rFonts w:hint="eastAsia" w:eastAsia="仿宋_GB2312" w:cs="Times New Roman"/>
          <w:sz w:val="32"/>
          <w:szCs w:val="32"/>
          <w:lang w:eastAsia="zh-CN"/>
        </w:rPr>
        <w:t>全年</w:t>
      </w:r>
      <w:r>
        <w:rPr>
          <w:rFonts w:hint="default" w:ascii="Times New Roman" w:hAnsi="Times New Roman" w:eastAsia="仿宋_GB2312" w:cs="Times New Roman"/>
          <w:sz w:val="32"/>
          <w:szCs w:val="32"/>
          <w:lang w:eastAsia="zh-CN"/>
        </w:rPr>
        <w:t>投入149.02万元用于完成202</w:t>
      </w:r>
      <w:r>
        <w:rPr>
          <w:rFonts w:hint="eastAsia" w:eastAsia="仿宋_GB2312" w:cs="Times New Roman"/>
          <w:sz w:val="32"/>
          <w:szCs w:val="32"/>
          <w:lang w:val="en-US" w:eastAsia="zh-CN"/>
        </w:rPr>
        <w:t>5</w:t>
      </w:r>
      <w:r>
        <w:rPr>
          <w:rFonts w:hint="default" w:ascii="Times New Roman" w:hAnsi="Times New Roman" w:eastAsia="仿宋_GB2312" w:cs="Times New Roman"/>
          <w:sz w:val="32"/>
          <w:szCs w:val="32"/>
          <w:lang w:eastAsia="zh-CN"/>
        </w:rPr>
        <w:t>年党报党刊征订工作，</w:t>
      </w:r>
      <w:r>
        <w:rPr>
          <w:rFonts w:hint="eastAsia" w:eastAsia="仿宋_GB2312" w:cs="Times New Roman"/>
          <w:sz w:val="32"/>
          <w:szCs w:val="32"/>
          <w:lang w:eastAsia="zh-CN"/>
        </w:rPr>
        <w:t>上半</w:t>
      </w:r>
      <w:r>
        <w:rPr>
          <w:rFonts w:hint="default" w:ascii="Times New Roman" w:hAnsi="Times New Roman" w:eastAsia="仿宋_GB2312" w:cs="Times New Roman"/>
          <w:b w:val="0"/>
          <w:bCs w:val="0"/>
          <w:kern w:val="2"/>
          <w:sz w:val="32"/>
          <w:szCs w:val="32"/>
          <w:lang w:val="en-US" w:eastAsia="zh-CN" w:bidi="ar-SA"/>
        </w:rPr>
        <w:t>征订党报党刊</w:t>
      </w:r>
      <w:r>
        <w:rPr>
          <w:rFonts w:hint="eastAsia" w:eastAsia="仿宋_GB2312" w:cs="Times New Roman"/>
          <w:b w:val="0"/>
          <w:bCs w:val="0"/>
          <w:kern w:val="2"/>
          <w:sz w:val="32"/>
          <w:szCs w:val="32"/>
          <w:lang w:val="en-US" w:eastAsia="zh-CN" w:bidi="ar-SA"/>
        </w:rPr>
        <w:t>2685</w:t>
      </w:r>
      <w:r>
        <w:rPr>
          <w:rFonts w:hint="default" w:ascii="Times New Roman" w:hAnsi="Times New Roman" w:eastAsia="仿宋_GB2312" w:cs="Times New Roman"/>
          <w:b w:val="0"/>
          <w:bCs w:val="0"/>
          <w:kern w:val="2"/>
          <w:sz w:val="32"/>
          <w:szCs w:val="32"/>
          <w:lang w:val="en-US" w:eastAsia="zh-CN" w:bidi="ar-SA"/>
        </w:rPr>
        <w:t>份，完成订阅人民日报</w:t>
      </w:r>
      <w:r>
        <w:rPr>
          <w:rFonts w:hint="eastAsia" w:eastAsia="仿宋_GB2312" w:cs="Times New Roman"/>
          <w:b w:val="0"/>
          <w:bCs w:val="0"/>
          <w:kern w:val="2"/>
          <w:sz w:val="32"/>
          <w:szCs w:val="32"/>
          <w:lang w:val="en-US" w:eastAsia="zh-CN" w:bidi="ar-SA"/>
        </w:rPr>
        <w:t>150</w:t>
      </w:r>
      <w:r>
        <w:rPr>
          <w:rFonts w:hint="default" w:ascii="Times New Roman" w:hAnsi="Times New Roman" w:eastAsia="仿宋_GB2312" w:cs="Times New Roman"/>
          <w:b w:val="0"/>
          <w:bCs w:val="0"/>
          <w:kern w:val="2"/>
          <w:sz w:val="32"/>
          <w:szCs w:val="32"/>
          <w:lang w:val="en-US" w:eastAsia="zh-CN" w:bidi="ar-SA"/>
        </w:rPr>
        <w:t>份、求是杂志</w:t>
      </w:r>
      <w:r>
        <w:rPr>
          <w:rFonts w:hint="eastAsia" w:eastAsia="仿宋_GB2312" w:cs="Times New Roman"/>
          <w:b w:val="0"/>
          <w:bCs w:val="0"/>
          <w:kern w:val="2"/>
          <w:sz w:val="32"/>
          <w:szCs w:val="32"/>
          <w:lang w:val="en-US" w:eastAsia="zh-CN" w:bidi="ar-SA"/>
        </w:rPr>
        <w:t>100</w:t>
      </w:r>
      <w:r>
        <w:rPr>
          <w:rFonts w:hint="default" w:ascii="Times New Roman" w:hAnsi="Times New Roman" w:eastAsia="仿宋_GB2312" w:cs="Times New Roman"/>
          <w:b w:val="0"/>
          <w:bCs w:val="0"/>
          <w:kern w:val="2"/>
          <w:sz w:val="32"/>
          <w:szCs w:val="32"/>
          <w:lang w:val="en-US" w:eastAsia="zh-CN" w:bidi="ar-SA"/>
        </w:rPr>
        <w:t>份、新疆日报</w:t>
      </w:r>
      <w:r>
        <w:rPr>
          <w:rFonts w:hint="eastAsia" w:eastAsia="仿宋_GB2312" w:cs="Times New Roman"/>
          <w:b w:val="0"/>
          <w:bCs w:val="0"/>
          <w:kern w:val="2"/>
          <w:sz w:val="32"/>
          <w:szCs w:val="32"/>
          <w:lang w:val="en-US" w:eastAsia="zh-CN" w:bidi="ar-SA"/>
        </w:rPr>
        <w:t>750</w:t>
      </w:r>
      <w:r>
        <w:rPr>
          <w:rFonts w:hint="default" w:ascii="Times New Roman" w:hAnsi="Times New Roman" w:eastAsia="仿宋_GB2312" w:cs="Times New Roman"/>
          <w:b w:val="0"/>
          <w:bCs w:val="0"/>
          <w:kern w:val="2"/>
          <w:sz w:val="32"/>
          <w:szCs w:val="32"/>
          <w:lang w:val="en-US" w:eastAsia="zh-CN" w:bidi="ar-SA"/>
        </w:rPr>
        <w:t>份、今日新疆</w:t>
      </w:r>
      <w:r>
        <w:rPr>
          <w:rFonts w:hint="eastAsia" w:eastAsia="仿宋_GB2312" w:cs="Times New Roman"/>
          <w:b w:val="0"/>
          <w:bCs w:val="0"/>
          <w:kern w:val="2"/>
          <w:sz w:val="32"/>
          <w:szCs w:val="32"/>
          <w:lang w:val="en-US" w:eastAsia="zh-CN" w:bidi="ar-SA"/>
        </w:rPr>
        <w:t>550</w:t>
      </w:r>
      <w:r>
        <w:rPr>
          <w:rFonts w:hint="default" w:ascii="Times New Roman" w:hAnsi="Times New Roman" w:eastAsia="仿宋_GB2312" w:cs="Times New Roman"/>
          <w:b w:val="0"/>
          <w:bCs w:val="0"/>
          <w:kern w:val="2"/>
          <w:sz w:val="32"/>
          <w:szCs w:val="32"/>
          <w:lang w:val="en-US" w:eastAsia="zh-CN" w:bidi="ar-SA"/>
        </w:rPr>
        <w:t>份、昌吉日报</w:t>
      </w:r>
      <w:r>
        <w:rPr>
          <w:rFonts w:hint="eastAsia" w:eastAsia="仿宋_GB2312" w:cs="Times New Roman"/>
          <w:b w:val="0"/>
          <w:bCs w:val="0"/>
          <w:kern w:val="2"/>
          <w:sz w:val="32"/>
          <w:szCs w:val="32"/>
          <w:lang w:val="en-US" w:eastAsia="zh-CN" w:bidi="ar-SA"/>
        </w:rPr>
        <w:t>1000</w:t>
      </w:r>
      <w:r>
        <w:rPr>
          <w:rFonts w:hint="default" w:ascii="Times New Roman" w:hAnsi="Times New Roman" w:eastAsia="仿宋_GB2312" w:cs="Times New Roman"/>
          <w:b w:val="0"/>
          <w:bCs w:val="0"/>
          <w:kern w:val="2"/>
          <w:sz w:val="32"/>
          <w:szCs w:val="32"/>
          <w:lang w:val="en-US" w:eastAsia="zh-CN" w:bidi="ar-SA"/>
        </w:rPr>
        <w:t>份、以及光明日报</w:t>
      </w:r>
      <w:r>
        <w:rPr>
          <w:rFonts w:hint="eastAsia" w:eastAsia="仿宋_GB2312" w:cs="Times New Roman"/>
          <w:b w:val="0"/>
          <w:bCs w:val="0"/>
          <w:kern w:val="2"/>
          <w:sz w:val="32"/>
          <w:szCs w:val="32"/>
          <w:lang w:val="en-US" w:eastAsia="zh-CN" w:bidi="ar-SA"/>
        </w:rPr>
        <w:t>30</w:t>
      </w:r>
      <w:r>
        <w:rPr>
          <w:rFonts w:hint="default" w:ascii="Times New Roman" w:hAnsi="Times New Roman" w:eastAsia="仿宋_GB2312" w:cs="Times New Roman"/>
          <w:b w:val="0"/>
          <w:bCs w:val="0"/>
          <w:kern w:val="2"/>
          <w:sz w:val="32"/>
          <w:szCs w:val="32"/>
          <w:lang w:val="en-US" w:eastAsia="zh-CN" w:bidi="ar-SA"/>
        </w:rPr>
        <w:t>份、经济日报</w:t>
      </w:r>
      <w:r>
        <w:rPr>
          <w:rFonts w:hint="eastAsia" w:eastAsia="仿宋_GB2312" w:cs="Times New Roman"/>
          <w:b w:val="0"/>
          <w:bCs w:val="0"/>
          <w:kern w:val="2"/>
          <w:sz w:val="32"/>
          <w:szCs w:val="32"/>
          <w:lang w:val="en-US" w:eastAsia="zh-CN" w:bidi="ar-SA"/>
        </w:rPr>
        <w:t>3</w:t>
      </w:r>
      <w:r>
        <w:rPr>
          <w:rFonts w:hint="default" w:ascii="Times New Roman" w:hAnsi="Times New Roman" w:eastAsia="仿宋_GB2312" w:cs="Times New Roman"/>
          <w:b w:val="0"/>
          <w:bCs w:val="0"/>
          <w:kern w:val="2"/>
          <w:sz w:val="32"/>
          <w:szCs w:val="32"/>
          <w:lang w:val="en-US" w:eastAsia="zh-CN" w:bidi="ar-SA"/>
        </w:rPr>
        <w:t>0份、新华每日电讯</w:t>
      </w:r>
      <w:r>
        <w:rPr>
          <w:rFonts w:hint="eastAsia" w:eastAsia="仿宋_GB2312" w:cs="Times New Roman"/>
          <w:b w:val="0"/>
          <w:bCs w:val="0"/>
          <w:kern w:val="2"/>
          <w:sz w:val="32"/>
          <w:szCs w:val="32"/>
          <w:lang w:val="en-US" w:eastAsia="zh-CN" w:bidi="ar-SA"/>
        </w:rPr>
        <w:t>7</w:t>
      </w:r>
      <w:r>
        <w:rPr>
          <w:rFonts w:hint="default" w:ascii="Times New Roman" w:hAnsi="Times New Roman" w:eastAsia="仿宋_GB2312" w:cs="Times New Roman"/>
          <w:b w:val="0"/>
          <w:bCs w:val="0"/>
          <w:kern w:val="2"/>
          <w:sz w:val="32"/>
          <w:szCs w:val="32"/>
          <w:lang w:val="en-US" w:eastAsia="zh-CN" w:bidi="ar-SA"/>
        </w:rPr>
        <w:t>份任务，</w:t>
      </w:r>
      <w:r>
        <w:rPr>
          <w:rFonts w:hint="eastAsia" w:ascii="Times New Roman" w:hAnsi="Times New Roman" w:eastAsia="仿宋_GB2312" w:cs="Times New Roman"/>
          <w:b w:val="0"/>
          <w:bCs w:val="0"/>
          <w:kern w:val="2"/>
          <w:sz w:val="32"/>
          <w:szCs w:val="32"/>
          <w:lang w:val="en-US" w:eastAsia="zh-CN" w:bidi="ar-SA"/>
        </w:rPr>
        <w:t>征订种类</w:t>
      </w:r>
      <w:r>
        <w:rPr>
          <w:rFonts w:hint="eastAsia" w:eastAsia="仿宋_GB2312" w:cs="Times New Roman"/>
          <w:b w:val="0"/>
          <w:bCs w:val="0"/>
          <w:kern w:val="2"/>
          <w:sz w:val="32"/>
          <w:szCs w:val="32"/>
          <w:lang w:val="en-US" w:eastAsia="zh-CN" w:bidi="ar-SA"/>
        </w:rPr>
        <w:t>4</w:t>
      </w:r>
      <w:r>
        <w:rPr>
          <w:rFonts w:hint="eastAsia" w:ascii="Times New Roman" w:hAnsi="Times New Roman" w:eastAsia="仿宋_GB2312" w:cs="Times New Roman"/>
          <w:b w:val="0"/>
          <w:bCs w:val="0"/>
          <w:kern w:val="2"/>
          <w:sz w:val="32"/>
          <w:szCs w:val="32"/>
          <w:lang w:val="en-US" w:eastAsia="zh-CN" w:bidi="ar-SA"/>
        </w:rPr>
        <w:t>种，征订率达到</w:t>
      </w:r>
      <w:r>
        <w:rPr>
          <w:rFonts w:hint="eastAsia" w:eastAsia="仿宋_GB2312" w:cs="Times New Roman"/>
          <w:b w:val="0"/>
          <w:bCs w:val="0"/>
          <w:kern w:val="2"/>
          <w:sz w:val="32"/>
          <w:szCs w:val="32"/>
          <w:lang w:val="en-US" w:eastAsia="zh-CN" w:bidi="ar-SA"/>
        </w:rPr>
        <w:t>50</w:t>
      </w:r>
      <w:r>
        <w:rPr>
          <w:rFonts w:hint="eastAsia" w:ascii="Times New Roman" w:hAnsi="Times New Roman" w:eastAsia="仿宋_GB2312" w:cs="Times New Roman"/>
          <w:b w:val="0"/>
          <w:bCs w:val="0"/>
          <w:kern w:val="2"/>
          <w:sz w:val="32"/>
          <w:szCs w:val="32"/>
          <w:lang w:val="en-US" w:eastAsia="zh-CN" w:bidi="ar-SA"/>
        </w:rPr>
        <w:t>%，征订完成及时率</w:t>
      </w:r>
      <w:r>
        <w:rPr>
          <w:rFonts w:hint="eastAsia" w:eastAsia="仿宋_GB2312" w:cs="Times New Roman"/>
          <w:b w:val="0"/>
          <w:bCs w:val="0"/>
          <w:kern w:val="2"/>
          <w:sz w:val="32"/>
          <w:szCs w:val="32"/>
          <w:lang w:val="en-US" w:eastAsia="zh-CN" w:bidi="ar-SA"/>
        </w:rPr>
        <w:t>50</w:t>
      </w:r>
      <w:r>
        <w:rPr>
          <w:rFonts w:hint="eastAsia" w:ascii="Times New Roman" w:hAnsi="Times New Roman" w:eastAsia="仿宋_GB2312" w:cs="Times New Roman"/>
          <w:b w:val="0"/>
          <w:bCs w:val="0"/>
          <w:kern w:val="2"/>
          <w:sz w:val="32"/>
          <w:szCs w:val="32"/>
          <w:lang w:val="en-US" w:eastAsia="zh-CN" w:bidi="ar-SA"/>
        </w:rPr>
        <w:t>%</w:t>
      </w:r>
      <w:r>
        <w:rPr>
          <w:rFonts w:hint="eastAsia" w:eastAsia="仿宋_GB2312" w:cs="Times New Roman"/>
          <w:sz w:val="32"/>
          <w:szCs w:val="32"/>
          <w:lang w:eastAsia="zh-CN"/>
        </w:rPr>
        <w:t>。全年</w:t>
      </w:r>
      <w:r>
        <w:rPr>
          <w:rFonts w:hint="default" w:ascii="Times New Roman" w:hAnsi="Times New Roman" w:eastAsia="仿宋_GB2312" w:cs="Times New Roman"/>
          <w:b w:val="0"/>
          <w:bCs w:val="0"/>
          <w:kern w:val="2"/>
          <w:sz w:val="32"/>
          <w:szCs w:val="32"/>
          <w:lang w:val="en-US" w:eastAsia="zh-CN" w:bidi="ar-SA"/>
        </w:rPr>
        <w:t>征订党报党刊</w:t>
      </w:r>
      <w:r>
        <w:rPr>
          <w:rFonts w:hint="default" w:ascii="Times New Roman" w:hAnsi="Times New Roman" w:eastAsia="仿宋_GB2312" w:cs="Times New Roman"/>
          <w:sz w:val="32"/>
          <w:szCs w:val="32"/>
          <w:lang w:eastAsia="zh-CN"/>
        </w:rPr>
        <w:t>5370</w:t>
      </w:r>
      <w:r>
        <w:rPr>
          <w:rFonts w:hint="default" w:ascii="Times New Roman" w:hAnsi="Times New Roman" w:eastAsia="仿宋_GB2312" w:cs="Times New Roman"/>
          <w:b w:val="0"/>
          <w:bCs w:val="0"/>
          <w:kern w:val="2"/>
          <w:sz w:val="32"/>
          <w:szCs w:val="32"/>
          <w:lang w:val="en-US" w:eastAsia="zh-CN" w:bidi="ar-SA"/>
        </w:rPr>
        <w:t>份，</w:t>
      </w:r>
      <w:r>
        <w:rPr>
          <w:rFonts w:hint="default" w:ascii="Times New Roman" w:hAnsi="Times New Roman" w:eastAsia="仿宋_GB2312" w:cs="Times New Roman"/>
          <w:sz w:val="32"/>
          <w:szCs w:val="32"/>
          <w:lang w:eastAsia="zh-CN"/>
        </w:rPr>
        <w:t>通过本项目的实施，增强“四个意识”，坚定“四个自信”，自觉承担起聚旗帜、聚民心、育新人、兴文化、展形象的使命任务，提供坚强思想保证和强大精神动力，使受益部门满意度达到</w:t>
      </w:r>
      <w:r>
        <w:rPr>
          <w:rFonts w:hint="eastAsia" w:eastAsia="仿宋_GB2312" w:cs="Times New Roman"/>
          <w:sz w:val="32"/>
          <w:szCs w:val="32"/>
          <w:lang w:val="en-US" w:eastAsia="zh-CN"/>
        </w:rPr>
        <w:t>95</w:t>
      </w:r>
      <w:r>
        <w:rPr>
          <w:rFonts w:hint="default" w:ascii="Times New Roman" w:hAnsi="Times New Roman" w:eastAsia="仿宋_GB2312" w:cs="Times New Roman"/>
          <w:sz w:val="32"/>
          <w:szCs w:val="32"/>
          <w:lang w:eastAsia="zh-CN"/>
        </w:rPr>
        <w:t>%绩效目标信息</w:t>
      </w:r>
      <w:r>
        <w:rPr>
          <w:rFonts w:hint="eastAsia" w:eastAsia="仿宋_GB2312" w:cs="Times New Roman"/>
          <w:sz w:val="32"/>
          <w:szCs w:val="32"/>
          <w:lang w:eastAsia="zh-CN"/>
        </w:rPr>
        <w:t>。</w:t>
      </w:r>
    </w:p>
    <w:p w14:paraId="6269BBFE">
      <w:pPr>
        <w:pStyle w:val="2"/>
        <w:numPr>
          <w:ilvl w:val="0"/>
          <w:numId w:val="0"/>
        </w:numPr>
        <w:spacing w:before="0" w:after="0" w:line="560" w:lineRule="exact"/>
        <w:ind w:firstLine="640" w:firstLineChars="200"/>
        <w:jc w:val="both"/>
        <w:rPr>
          <w:rFonts w:hint="default" w:ascii="Times New Roman" w:hAnsi="Times New Roman" w:eastAsia="仿宋_GB2312" w:cs="Times New Roman"/>
          <w:b w:val="0"/>
          <w:bCs w:val="0"/>
          <w:kern w:val="2"/>
          <w:sz w:val="32"/>
          <w:szCs w:val="32"/>
          <w:lang w:val="en-US" w:eastAsia="zh-CN" w:bidi="ar-SA"/>
        </w:rPr>
      </w:pPr>
    </w:p>
    <w:p w14:paraId="05CB0DCC">
      <w:pPr>
        <w:spacing w:line="560" w:lineRule="exac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二、绩效评价工作开展情况</w:t>
      </w:r>
    </w:p>
    <w:p w14:paraId="37E15080">
      <w:pPr>
        <w:spacing w:line="560" w:lineRule="exac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（一）绩效评价目的、对象和范围</w:t>
      </w:r>
    </w:p>
    <w:p w14:paraId="078A9F1A">
      <w:pPr>
        <w:pStyle w:val="2"/>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lang w:val="en-US" w:eastAsia="zh-CN"/>
        </w:rPr>
      </w:pPr>
      <w:r>
        <w:rPr>
          <w:rFonts w:hint="default" w:ascii="Times New Roman" w:hAnsi="Times New Roman" w:eastAsia="仿宋_GB2312" w:cs="Times New Roman"/>
          <w:b w:val="0"/>
          <w:bCs w:val="0"/>
          <w:highlight w:val="none"/>
          <w:lang w:val="en-US" w:eastAsia="zh-CN"/>
        </w:rPr>
        <w:t>1.绩效评价完整性</w:t>
      </w:r>
    </w:p>
    <w:p w14:paraId="56DFF55C">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本项目预算绩效评价报告在编制过程中，严格遵循相关法规与标准，确保评价内容的全面性与准确性。报告涵盖了项目从预算编制、执行到完成的全过程，对项目的各项绩效指标进行了细致的梳理与评估。</w:t>
      </w:r>
    </w:p>
    <w:p w14:paraId="2973B854">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在评价指标体系的构建上，充分考虑了项目的性质、目标以及预期成果，选取了具有代表性和可衡量性的关键指标，涵盖了社会效益、</w:t>
      </w:r>
      <w:r>
        <w:rPr>
          <w:rFonts w:hint="eastAsia" w:eastAsia="仿宋_GB2312" w:cs="Times New Roman"/>
          <w:sz w:val="32"/>
          <w:szCs w:val="32"/>
          <w:highlight w:val="none"/>
          <w:lang w:val="en-US" w:eastAsia="zh-CN"/>
        </w:rPr>
        <w:t>满意度</w:t>
      </w:r>
      <w:r>
        <w:rPr>
          <w:rFonts w:hint="default" w:ascii="Times New Roman" w:hAnsi="Times New Roman" w:eastAsia="仿宋_GB2312" w:cs="Times New Roman"/>
          <w:sz w:val="32"/>
          <w:szCs w:val="32"/>
          <w:highlight w:val="none"/>
          <w:lang w:val="en-US" w:eastAsia="zh-CN"/>
        </w:rPr>
        <w:t>等多个维度，力求全方位反映项目的绩效状况。同时，对于每个指标的评价标准和数据来源均进行了明确说明，确保评价结果的客观性和可追溯性。</w:t>
      </w:r>
    </w:p>
    <w:p w14:paraId="32AB7292">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p>
    <w:p w14:paraId="1E0A14D2">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p>
    <w:p w14:paraId="18BC2466">
      <w:p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p>
    <w:p w14:paraId="1870624A">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rPr>
        <w:t>绩效评价的目的</w:t>
      </w:r>
    </w:p>
    <w:p w14:paraId="2DA9B34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（1）评估项目实施效果</w:t>
      </w:r>
    </w:p>
    <w:p w14:paraId="1E4FAEA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通过对项目预算执行情况及各项绩效目标达成程度的系统性分析，全面、客观地评估项目在预定周期内的实施效果，包括社会效益、</w:t>
      </w:r>
      <w:r>
        <w:rPr>
          <w:rFonts w:hint="eastAsia" w:eastAsia="仿宋_GB2312" w:cs="Times New Roman"/>
          <w:sz w:val="32"/>
          <w:szCs w:val="32"/>
          <w:highlight w:val="none"/>
          <w:lang w:val="en-US" w:eastAsia="zh-CN"/>
        </w:rPr>
        <w:t>满意度</w:t>
      </w:r>
      <w:r>
        <w:rPr>
          <w:rFonts w:hint="default" w:ascii="Times New Roman" w:hAnsi="Times New Roman" w:eastAsia="仿宋_GB2312" w:cs="Times New Roman"/>
          <w:sz w:val="32"/>
          <w:szCs w:val="32"/>
          <w:highlight w:val="none"/>
        </w:rPr>
        <w:t>等多维度指标，为项目后续的改进与优化提供科学依据。</w:t>
      </w:r>
    </w:p>
    <w:p w14:paraId="01302CF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（2）提升资源利用效率</w:t>
      </w:r>
    </w:p>
    <w:p w14:paraId="79F73E1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p>
    <w:p w14:paraId="0666AED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（3）强化项目管理责任</w:t>
      </w:r>
    </w:p>
    <w:p w14:paraId="0027349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14:paraId="5AC1BAE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（4）为决策提供支持</w:t>
      </w:r>
    </w:p>
    <w:p w14:paraId="08F9853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14:paraId="5E6CCC0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（5）促进项目持续改进</w:t>
      </w:r>
    </w:p>
    <w:p w14:paraId="131725A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p>
    <w:p w14:paraId="1ACE90B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highlight w:val="none"/>
        </w:rPr>
      </w:pPr>
      <w:r>
        <w:rPr>
          <w:rFonts w:hint="default" w:ascii="Times New Roman" w:hAnsi="Times New Roman" w:eastAsia="仿宋_GB2312" w:cs="Times New Roman"/>
          <w:sz w:val="32"/>
          <w:szCs w:val="32"/>
          <w:highlight w:val="none"/>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p>
    <w:p w14:paraId="6D4CFC75">
      <w:pPr>
        <w:pStyle w:val="2"/>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lang w:val="en-US" w:eastAsia="zh-CN"/>
        </w:rPr>
        <w:t>3</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val="0"/>
          <w:bCs w:val="0"/>
        </w:rPr>
        <w:t>绩效评价的对象</w:t>
      </w:r>
    </w:p>
    <w:p w14:paraId="5B35406D">
      <w:pPr>
        <w:pStyle w:val="2"/>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highlight w:val="none"/>
        </w:rPr>
        <w:t>本项目预算绩效评价报告的评价对象是202</w:t>
      </w:r>
      <w:r>
        <w:rPr>
          <w:rFonts w:hint="eastAsia" w:ascii="Times New Roman" w:hAnsi="Times New Roman" w:eastAsia="仿宋_GB2312" w:cs="Times New Roman"/>
          <w:b w:val="0"/>
          <w:bCs w:val="0"/>
          <w:highlight w:val="none"/>
          <w:lang w:val="en-US" w:eastAsia="zh-CN"/>
        </w:rPr>
        <w:t>5</w:t>
      </w:r>
      <w:r>
        <w:rPr>
          <w:rFonts w:hint="default" w:ascii="Times New Roman" w:hAnsi="Times New Roman" w:eastAsia="仿宋_GB2312" w:cs="Times New Roman"/>
          <w:b w:val="0"/>
          <w:bCs w:val="0"/>
          <w:highlight w:val="none"/>
        </w:rPr>
        <w:t>年党报党刊征订及其预算执行情况。该项目由中共奇台县委员会宣传部负责实施，旨在本项目拟投入149.02万元用于完成</w:t>
      </w:r>
      <w:r>
        <w:rPr>
          <w:rFonts w:hint="eastAsia" w:ascii="Times New Roman" w:hAnsi="Times New Roman" w:eastAsia="仿宋_GB2312" w:cs="Times New Roman"/>
          <w:b w:val="0"/>
          <w:bCs w:val="0"/>
          <w:highlight w:val="none"/>
          <w:lang w:val="en-US" w:eastAsia="zh-CN"/>
        </w:rPr>
        <w:t>2024</w:t>
      </w:r>
      <w:r>
        <w:rPr>
          <w:rFonts w:hint="eastAsia" w:ascii="Times New Roman" w:hAnsi="Times New Roman" w:eastAsia="仿宋_GB2312" w:cs="Times New Roman"/>
          <w:b w:val="0"/>
          <w:bCs w:val="0"/>
          <w:highlight w:val="none"/>
          <w:lang w:eastAsia="zh-CN"/>
        </w:rPr>
        <w:t>年</w:t>
      </w:r>
      <w:r>
        <w:rPr>
          <w:rFonts w:hint="default" w:ascii="Times New Roman" w:hAnsi="Times New Roman" w:eastAsia="仿宋_GB2312" w:cs="Times New Roman"/>
          <w:b w:val="0"/>
          <w:bCs w:val="0"/>
          <w:highlight w:val="none"/>
        </w:rPr>
        <w:t>党报党刊征订工作，主要实施内容为：征订党报党刊5370份，保质保量完成年度征订工作，于202</w:t>
      </w:r>
      <w:r>
        <w:rPr>
          <w:rFonts w:hint="eastAsia" w:ascii="Times New Roman" w:hAnsi="Times New Roman" w:eastAsia="仿宋_GB2312" w:cs="Times New Roman"/>
          <w:b w:val="0"/>
          <w:bCs w:val="0"/>
          <w:highlight w:val="none"/>
          <w:lang w:val="en-US" w:eastAsia="zh-CN"/>
        </w:rPr>
        <w:t>4</w:t>
      </w:r>
      <w:r>
        <w:rPr>
          <w:rFonts w:hint="default" w:ascii="Times New Roman" w:hAnsi="Times New Roman" w:eastAsia="仿宋_GB2312" w:cs="Times New Roman"/>
          <w:b w:val="0"/>
          <w:bCs w:val="0"/>
          <w:highlight w:val="none"/>
        </w:rPr>
        <w:t>年12月31日前完工，通过本项目的实施，增强“四个意识”，坚定“四个自信”，自觉承担起聚旗帜、聚民心、育新人、兴文化、展形象的使命任务，提供坚强思想保证和强大精神动力，使受益部门满意度达到95%绩效目标信息。项目预算涵盖从2024-01-01至2024-12-31的全部资金投入与支出，涉及资金总额为</w:t>
      </w:r>
      <w:r>
        <w:rPr>
          <w:rFonts w:hint="eastAsia" w:ascii="Times New Roman" w:hAnsi="Times New Roman" w:eastAsia="仿宋_GB2312" w:cs="Times New Roman"/>
          <w:b w:val="0"/>
          <w:bCs w:val="0"/>
          <w:color w:val="auto"/>
          <w:highlight w:val="none"/>
          <w:lang w:val="en-US" w:eastAsia="zh-CN"/>
        </w:rPr>
        <w:t>149.02</w:t>
      </w:r>
      <w:r>
        <w:rPr>
          <w:rFonts w:hint="default" w:ascii="Times New Roman" w:hAnsi="Times New Roman" w:eastAsia="仿宋_GB2312" w:cs="Times New Roman"/>
          <w:b w:val="0"/>
          <w:bCs w:val="0"/>
          <w:color w:val="auto"/>
          <w:highlight w:val="none"/>
          <w:lang w:val="en-US" w:eastAsia="zh-CN"/>
        </w:rPr>
        <w:t>万</w:t>
      </w:r>
      <w:r>
        <w:rPr>
          <w:rFonts w:hint="default" w:ascii="Times New Roman" w:hAnsi="Times New Roman" w:eastAsia="仿宋_GB2312" w:cs="Times New Roman"/>
          <w:b w:val="0"/>
          <w:bCs w:val="0"/>
          <w:highlight w:val="none"/>
        </w:rPr>
        <w:t>元。</w:t>
      </w:r>
    </w:p>
    <w:p w14:paraId="2864EEF4">
      <w:pPr>
        <w:pStyle w:val="2"/>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lang w:val="en-US" w:eastAsia="zh-CN"/>
        </w:rPr>
        <w:t>4.</w:t>
      </w:r>
      <w:r>
        <w:rPr>
          <w:rFonts w:hint="default" w:ascii="Times New Roman" w:hAnsi="Times New Roman" w:eastAsia="仿宋_GB2312" w:cs="Times New Roman"/>
          <w:b w:val="0"/>
          <w:bCs w:val="0"/>
        </w:rPr>
        <w:t>绩效评价的范围</w:t>
      </w:r>
    </w:p>
    <w:p w14:paraId="0C9EED0E">
      <w:pPr>
        <w:pStyle w:val="2"/>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本项目预算绩效评价报告的评价范围广泛而全面，涵盖了从项目立项至评价时点期间的所有关键预算活动和财务流程。具体而言，评价范围包括但不限于以下几个方面：</w:t>
      </w:r>
    </w:p>
    <w:p w14:paraId="2C48AFD7">
      <w:pPr>
        <w:pStyle w:val="2"/>
        <w:widowControl w:val="0"/>
        <w:numPr>
          <w:ilvl w:val="0"/>
          <w:numId w:val="2"/>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项目预算编制与执行：全面审视项目预算的编制依据、合理性、科学性以及实际执行情况，包括预算调整的原因和效果。</w:t>
      </w:r>
    </w:p>
    <w:p w14:paraId="7740D45D">
      <w:pPr>
        <w:pStyle w:val="2"/>
        <w:widowControl w:val="0"/>
        <w:numPr>
          <w:ilvl w:val="0"/>
          <w:numId w:val="2"/>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资金管理：深入分析项目资金的分配、使用和监管情况，确保资金使用的合规性、高效性和透明度。</w:t>
      </w:r>
    </w:p>
    <w:p w14:paraId="282BC719">
      <w:pPr>
        <w:pStyle w:val="2"/>
        <w:widowControl w:val="0"/>
        <w:numPr>
          <w:ilvl w:val="0"/>
          <w:numId w:val="2"/>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项目实施进度与产出：评估项目是否按照既定计划顺利推进，各项任务是否按时完成，以及项目产出的数量、质量和时效性是否符合预期。</w:t>
      </w:r>
    </w:p>
    <w:p w14:paraId="56A3CBA6">
      <w:pPr>
        <w:pStyle w:val="2"/>
        <w:widowControl w:val="0"/>
        <w:numPr>
          <w:ilvl w:val="0"/>
          <w:numId w:val="2"/>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社会影响：考察项目对社会、</w:t>
      </w:r>
      <w:r>
        <w:rPr>
          <w:rFonts w:hint="eastAsia" w:ascii="Times New Roman" w:hAnsi="Times New Roman" w:eastAsia="仿宋_GB2312" w:cs="Times New Roman"/>
          <w:b w:val="0"/>
          <w:bCs w:val="0"/>
          <w:highlight w:val="none"/>
          <w:lang w:val="en-US" w:eastAsia="zh-CN"/>
        </w:rPr>
        <w:t>满意度</w:t>
      </w:r>
      <w:r>
        <w:rPr>
          <w:rFonts w:hint="default" w:ascii="Times New Roman" w:hAnsi="Times New Roman" w:eastAsia="仿宋_GB2312" w:cs="Times New Roman"/>
          <w:b w:val="0"/>
          <w:bCs w:val="0"/>
          <w:highlight w:val="none"/>
        </w:rPr>
        <w:t>等方面的综合影响。</w:t>
      </w:r>
    </w:p>
    <w:p w14:paraId="474366C7">
      <w:pPr>
        <w:spacing w:line="560" w:lineRule="exact"/>
        <w:ind w:firstLine="643" w:firstLineChars="200"/>
        <w:rPr>
          <w:rFonts w:hint="default" w:ascii="Times New Roman" w:hAnsi="Times New Roman" w:cs="Times New Roman"/>
        </w:rPr>
      </w:pPr>
      <w:r>
        <w:rPr>
          <w:rFonts w:hint="default" w:ascii="Times New Roman" w:hAnsi="Times New Roman" w:eastAsia="楷体_GB2312" w:cs="Times New Roman"/>
          <w:b/>
          <w:bCs/>
          <w:sz w:val="32"/>
          <w:szCs w:val="32"/>
        </w:rPr>
        <w:t>（二）绩效评价原则、评价指标体系（详情见表1）、评价方法、评价标准。</w:t>
      </w:r>
    </w:p>
    <w:p w14:paraId="64D1DFB1">
      <w:pPr>
        <w:pStyle w:val="2"/>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1</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val="0"/>
          <w:bCs w:val="0"/>
        </w:rPr>
        <w:t>绩效评价原则</w:t>
      </w:r>
    </w:p>
    <w:p w14:paraId="046301DF">
      <w:pPr>
        <w:spacing w:line="560" w:lineRule="exact"/>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本次项目绩效评价遵循以下基本原则：</w:t>
      </w:r>
    </w:p>
    <w:p w14:paraId="09480BAF">
      <w:pPr>
        <w:pStyle w:val="2"/>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（1）科学公正。绩效评价应当运用科学合理的方法，按照规范的程序，对项目绩效进行客观、公正的反映。</w:t>
      </w:r>
    </w:p>
    <w:p w14:paraId="3CF43E16">
      <w:pPr>
        <w:pStyle w:val="2"/>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（2）统筹兼顾。单位自评、部门评价和财政评价应职责明确，各有侧重，相互衔接。单位自评应由项目单位自主实施，即“谁支出、谁自评”。部门评价和财政评价应在单位自评的基础上开展。</w:t>
      </w:r>
    </w:p>
    <w:p w14:paraId="736ACDF5">
      <w:pPr>
        <w:pStyle w:val="2"/>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（3）激励约束。绩效评价结果应与预算安排、政策调整、改进管理实质性挂钩，体现奖优罚劣和激励相容导向，有效要安排、低效要压减、无效要问责。</w:t>
      </w:r>
    </w:p>
    <w:p w14:paraId="43FF3EA4">
      <w:pPr>
        <w:pStyle w:val="2"/>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（4）公开透明。绩效评价结果应依法依规公开，并自觉接受社会监督。</w:t>
      </w:r>
    </w:p>
    <w:p w14:paraId="70E95C6D">
      <w:pPr>
        <w:pStyle w:val="2"/>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2</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val="0"/>
          <w:bCs w:val="0"/>
        </w:rPr>
        <w:t>评价指标体系</w:t>
      </w:r>
    </w:p>
    <w:p w14:paraId="06E4E8EB">
      <w:pPr>
        <w:spacing w:line="560" w:lineRule="exact"/>
        <w:ind w:firstLine="708" w:firstLineChars="200"/>
        <w:rPr>
          <w:rFonts w:hint="default" w:ascii="Times New Roman" w:hAnsi="Times New Roman" w:cs="Times New Roman"/>
          <w:color w:val="000000"/>
          <w:spacing w:val="17"/>
          <w:sz w:val="32"/>
          <w:szCs w:val="32"/>
        </w:rPr>
      </w:pPr>
      <w:r>
        <w:rPr>
          <w:rFonts w:hint="default" w:ascii="Times New Roman" w:hAnsi="Times New Roman" w:eastAsia="仿宋_GB2312" w:cs="Times New Roman"/>
          <w:color w:val="000000"/>
          <w:spacing w:val="17"/>
          <w:sz w:val="32"/>
          <w:szCs w:val="32"/>
        </w:rPr>
        <w:t>绩效评价框架是开展绩效评价的核心。绩效评价框架包括评价准则、关键评价问题、评价指标、数据来源、数据收集方法等。指标体系建立过程如下：</w:t>
      </w:r>
    </w:p>
    <w:p w14:paraId="4D204F0D">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（1）确定评价指标</w:t>
      </w:r>
    </w:p>
    <w:p w14:paraId="61DC2988">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14:paraId="700A0043">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（2）确定权重</w:t>
      </w:r>
    </w:p>
    <w:p w14:paraId="493419B4">
      <w:pPr>
        <w:spacing w:line="560" w:lineRule="exact"/>
        <w:ind w:firstLine="708" w:firstLineChars="200"/>
        <w:rPr>
          <w:rFonts w:hint="default" w:ascii="Times New Roman" w:hAnsi="Times New Roman" w:eastAsia="仿宋_GB2312" w:cs="Times New Roman"/>
          <w:color w:val="FF0000"/>
          <w:spacing w:val="17"/>
          <w:sz w:val="32"/>
          <w:szCs w:val="32"/>
          <w:lang w:eastAsia="zh-CN"/>
        </w:rPr>
      </w:pPr>
      <w:r>
        <w:rPr>
          <w:rFonts w:hint="default" w:ascii="Times New Roman" w:hAnsi="Times New Roman" w:eastAsia="仿宋_GB2312" w:cs="Times New Roman"/>
          <w:color w:val="000000"/>
          <w:spacing w:val="17"/>
          <w:sz w:val="32"/>
          <w:szCs w:val="32"/>
        </w:rPr>
        <w:t>确定各个指标相对于项目总体绩效的权重分值。在绩效评价指标体系中，项目决策权重为20分，项目过程权重为20分，项目产出权重为40分，项目效益权重为20分。</w:t>
      </w:r>
    </w:p>
    <w:p w14:paraId="1B1E230B">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（3）确定指标标准值</w:t>
      </w:r>
    </w:p>
    <w:p w14:paraId="1A742E93">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指标标准值是绩效评价指标的尺度，既要反映同类项目的先进水平，又要符合项目的实际绩效水平。具体采用计划标准等确定此次绩效评价指标标准值。</w:t>
      </w:r>
    </w:p>
    <w:p w14:paraId="5B4D16A8">
      <w:pPr>
        <w:pStyle w:val="2"/>
        <w:spacing w:before="0" w:after="0" w:line="560" w:lineRule="exact"/>
        <w:ind w:firstLine="708" w:firstLineChars="200"/>
        <w:jc w:val="both"/>
        <w:rPr>
          <w:rFonts w:hint="default" w:ascii="Times New Roman" w:hAnsi="Times New Roman" w:eastAsia="仿宋_GB2312" w:cs="Times New Roman"/>
          <w:b w:val="0"/>
          <w:bCs w:val="0"/>
          <w:color w:val="000000"/>
          <w:spacing w:val="17"/>
          <w:kern w:val="2"/>
        </w:rPr>
      </w:pPr>
      <w:r>
        <w:rPr>
          <w:rFonts w:hint="default" w:ascii="Times New Roman" w:hAnsi="Times New Roman" w:eastAsia="仿宋_GB2312" w:cs="Times New Roman"/>
          <w:b w:val="0"/>
          <w:bCs w:val="0"/>
          <w:color w:val="000000"/>
          <w:spacing w:val="17"/>
          <w:kern w:val="2"/>
        </w:rPr>
        <w:t>绩效评价总分值100分，根据综合评分结果，90（含）-100分为优、80（含）-90分为良、60（含）-80分为中、60分以下为差。</w:t>
      </w:r>
    </w:p>
    <w:p w14:paraId="5E704CCD">
      <w:pPr>
        <w:pStyle w:val="2"/>
        <w:widowControl w:val="0"/>
        <w:spacing w:before="0" w:after="0" w:line="560" w:lineRule="exact"/>
        <w:ind w:firstLine="708" w:firstLineChars="200"/>
        <w:jc w:val="both"/>
        <w:outlineLvl w:val="9"/>
        <w:rPr>
          <w:rFonts w:hint="default" w:ascii="Times New Roman" w:hAnsi="Times New Roman" w:eastAsia="仿宋_GB2312" w:cs="Times New Roman"/>
          <w:b w:val="0"/>
          <w:bCs w:val="0"/>
          <w:color w:val="000000"/>
          <w:spacing w:val="17"/>
        </w:rPr>
      </w:pPr>
      <w:r>
        <w:rPr>
          <w:rFonts w:hint="default" w:ascii="Times New Roman" w:hAnsi="Times New Roman" w:eastAsia="仿宋_GB2312" w:cs="Times New Roman"/>
          <w:b w:val="0"/>
          <w:bCs w:val="0"/>
          <w:color w:val="000000"/>
          <w:spacing w:val="17"/>
        </w:rPr>
        <w:t>具体评价指标体系详情见附件1</w:t>
      </w:r>
    </w:p>
    <w:p w14:paraId="75AA8A6C">
      <w:pPr>
        <w:pStyle w:val="2"/>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3</w:t>
      </w:r>
      <w:r>
        <w:rPr>
          <w:rFonts w:hint="default" w:ascii="Times New Roman" w:hAnsi="Times New Roman" w:eastAsia="仿宋_GB2312" w:cs="Times New Roman"/>
          <w:b w:val="0"/>
          <w:bCs w:val="0"/>
          <w:lang w:val="en-US" w:eastAsia="zh-CN"/>
        </w:rPr>
        <w:t>.</w:t>
      </w:r>
      <w:r>
        <w:rPr>
          <w:rFonts w:hint="default" w:ascii="Times New Roman" w:hAnsi="Times New Roman" w:eastAsia="仿宋_GB2312" w:cs="Times New Roman"/>
          <w:b w:val="0"/>
          <w:bCs w:val="0"/>
        </w:rPr>
        <w:t>绩效评价方法</w:t>
      </w:r>
    </w:p>
    <w:p w14:paraId="2FF88E08">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绩效评价从项目决策、项目过程、项目产出、项目效益四个维度进行评价。评价对象为项目目标实施情况，评价核心为资金的支出完成情况和项目的产出效益。</w:t>
      </w:r>
    </w:p>
    <w:p w14:paraId="5F60F1FA">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本次评价指标中，既有定性指标又有定量指标，各类指标因考核内容不同和客观标准不同存在较大差异，因此核定具体指标时采用了不同方法，具体评价方法如下：</w:t>
      </w:r>
    </w:p>
    <w:p w14:paraId="25AF8559">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 xml:space="preserve">（一）成本效益分析法。是指将投入与产出、效益进行关联性分析的方法。 </w:t>
      </w:r>
    </w:p>
    <w:p w14:paraId="1E82B691">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（二）比较法。是指将实施情况与绩效目标、历史情况、不同部门和地区同类支出情况进行比较的方法。</w:t>
      </w:r>
    </w:p>
    <w:p w14:paraId="51DCC83B">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（三）因素分析法。是指综合分析影响绩效目标实现、实施效果的内外部因素的方法。</w:t>
      </w:r>
    </w:p>
    <w:p w14:paraId="3E1FEDF6">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（四）最低成本法。是指在绩效目标确定的前提下，成本最小者为优的方法。</w:t>
      </w:r>
    </w:p>
    <w:p w14:paraId="137F0D90">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（五）公众评判法。是指通过专家评估、公众问卷及抽样调查等方式进行评判的方法。</w:t>
      </w:r>
    </w:p>
    <w:p w14:paraId="3A3B2B1F">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（六）标杆管理法。是指以国内外同行业中较高的绩效水平为标杆进行评判的方法。</w:t>
      </w:r>
    </w:p>
    <w:p w14:paraId="363B64C7">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（七）其他评价方法。</w:t>
      </w:r>
    </w:p>
    <w:p w14:paraId="50D715A9">
      <w:pPr>
        <w:pStyle w:val="2"/>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4</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val="0"/>
          <w:bCs w:val="0"/>
        </w:rPr>
        <w:t>评价标准</w:t>
      </w:r>
    </w:p>
    <w:p w14:paraId="04C40281">
      <w:pPr>
        <w:pStyle w:val="2"/>
        <w:widowControl w:val="0"/>
        <w:spacing w:before="0" w:after="0" w:line="560" w:lineRule="exact"/>
        <w:ind w:firstLine="640" w:firstLineChars="200"/>
        <w:jc w:val="both"/>
        <w:outlineLvl w:val="9"/>
        <w:rPr>
          <w:rFonts w:hint="default" w:ascii="Times New Roman" w:hAnsi="Times New Roman" w:eastAsia="仿宋_GB2312" w:cs="Times New Roman"/>
          <w:b w:val="0"/>
          <w:bCs w:val="0"/>
          <w:lang w:eastAsia="zh-CN"/>
        </w:rPr>
      </w:pPr>
      <w:r>
        <w:rPr>
          <w:rFonts w:hint="default" w:ascii="Times New Roman" w:hAnsi="Times New Roman" w:eastAsia="仿宋_GB2312" w:cs="Times New Roman"/>
          <w:b w:val="0"/>
          <w:bCs w:val="0"/>
        </w:rPr>
        <w:t>绩效评价标准通常包括计划标准、行业标准、历史标准等，用于对绩效指标完成情况进行比较、分析、评价。本次评价主要采用了计划标准。</w:t>
      </w:r>
    </w:p>
    <w:p w14:paraId="1BF53DCA">
      <w:pPr>
        <w:pStyle w:val="2"/>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lang w:eastAsia="zh-CN"/>
        </w:rPr>
        <w:t>（</w:t>
      </w:r>
      <w:r>
        <w:rPr>
          <w:rFonts w:hint="default" w:ascii="Times New Roman" w:hAnsi="Times New Roman" w:eastAsia="仿宋_GB2312" w:cs="Times New Roman"/>
          <w:b w:val="0"/>
          <w:bCs w:val="0"/>
          <w:lang w:val="en-US" w:eastAsia="zh-CN"/>
        </w:rPr>
        <w:t>1</w:t>
      </w:r>
      <w:r>
        <w:rPr>
          <w:rFonts w:hint="default" w:ascii="Times New Roman" w:hAnsi="Times New Roman" w:eastAsia="仿宋_GB2312" w:cs="Times New Roman"/>
          <w:b w:val="0"/>
          <w:bCs w:val="0"/>
          <w:lang w:eastAsia="zh-CN"/>
        </w:rPr>
        <w:t>）</w:t>
      </w:r>
      <w:r>
        <w:rPr>
          <w:rFonts w:hint="default" w:ascii="Times New Roman" w:hAnsi="Times New Roman" w:eastAsia="仿宋_GB2312" w:cs="Times New Roman"/>
          <w:b w:val="0"/>
          <w:bCs w:val="0"/>
        </w:rPr>
        <w:t>计划标准。指以预先制定的目标、计划、预算、定额等作为评价标准。</w:t>
      </w:r>
    </w:p>
    <w:p w14:paraId="1CDABCC4">
      <w:pPr>
        <w:pStyle w:val="2"/>
        <w:numPr>
          <w:ilvl w:val="0"/>
          <w:numId w:val="3"/>
        </w:numPr>
        <w:spacing w:before="0" w:after="0" w:line="560" w:lineRule="exact"/>
        <w:ind w:firstLine="711" w:firstLineChars="200"/>
        <w:jc w:val="both"/>
        <w:rPr>
          <w:rFonts w:hint="default" w:ascii="Times New Roman" w:hAnsi="Times New Roman" w:eastAsia="楷体" w:cs="Times New Roman"/>
          <w:color w:val="auto"/>
          <w:spacing w:val="17"/>
        </w:rPr>
      </w:pPr>
      <w:r>
        <w:rPr>
          <w:rFonts w:hint="default" w:ascii="Times New Roman" w:hAnsi="Times New Roman" w:eastAsia="楷体" w:cs="Times New Roman"/>
          <w:color w:val="auto"/>
          <w:spacing w:val="17"/>
        </w:rPr>
        <w:t>绩效评价工作过程</w:t>
      </w:r>
    </w:p>
    <w:p w14:paraId="6A75657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1</w:t>
      </w: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前期准备与规划</w:t>
      </w:r>
    </w:p>
    <w:p w14:paraId="4E4D6FF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在项目绩效评价工作启动之初，成立了专门的评价工作小组，小组成员由财务</w:t>
      </w:r>
      <w:r>
        <w:rPr>
          <w:rFonts w:hint="eastAsia" w:eastAsia="仿宋_GB2312" w:cs="Times New Roman"/>
          <w:sz w:val="32"/>
          <w:szCs w:val="32"/>
          <w:highlight w:val="none"/>
          <w:lang w:eastAsia="zh-CN"/>
        </w:rPr>
        <w:t>人员</w:t>
      </w:r>
      <w:r>
        <w:rPr>
          <w:rFonts w:hint="default" w:ascii="Times New Roman" w:hAnsi="Times New Roman" w:eastAsia="仿宋_GB2312" w:cs="Times New Roman"/>
          <w:sz w:val="32"/>
          <w:szCs w:val="32"/>
          <w:highlight w:val="none"/>
        </w:rPr>
        <w:t>、项目管理专业人员及相关领域技术骨干组成，确保从多角度、全方位对项目绩效进行评价。同时，明确了评价工作的目标、范围、重点及时间安排，制定了详细的工作计划，为评价工作的顺利开展奠定了坚实基础。</w:t>
      </w:r>
    </w:p>
    <w:p w14:paraId="62FFA5F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lang w:eastAsia="zh-CN"/>
        </w:rPr>
        <w:t>）指标体系构建</w:t>
      </w:r>
    </w:p>
    <w:p w14:paraId="6CFB566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依据项目的性质、目标以及预期成果，构建了科学合理的绩效评价指标体系。该指标体系涵盖了</w:t>
      </w:r>
      <w:r>
        <w:rPr>
          <w:rFonts w:hint="default" w:ascii="Times New Roman" w:hAnsi="Times New Roman" w:eastAsia="仿宋_GB2312" w:cs="Times New Roman"/>
          <w:color w:val="000000"/>
          <w:spacing w:val="17"/>
          <w:sz w:val="32"/>
          <w:szCs w:val="32"/>
          <w:highlight w:val="none"/>
        </w:rPr>
        <w:t>项目决策、项目过程、项目产出、项目效益四个维度</w:t>
      </w:r>
      <w:r>
        <w:rPr>
          <w:rFonts w:hint="default" w:ascii="Times New Roman" w:hAnsi="Times New Roman" w:eastAsia="仿宋_GB2312" w:cs="Times New Roman"/>
          <w:sz w:val="32"/>
          <w:szCs w:val="32"/>
          <w:highlight w:val="none"/>
          <w:lang w:eastAsia="zh-CN"/>
        </w:rPr>
        <w:t>，选取了具有代表性和可衡量性的关键指标，并为每个指标设定了明确的评价标准与权重，确保评价结果能够全面、准确地反映项目的绩效状况。</w:t>
      </w:r>
    </w:p>
    <w:p w14:paraId="0F51447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3</w:t>
      </w:r>
      <w:r>
        <w:rPr>
          <w:rFonts w:hint="default" w:ascii="Times New Roman" w:hAnsi="Times New Roman" w:eastAsia="仿宋_GB2312" w:cs="Times New Roman"/>
          <w:sz w:val="32"/>
          <w:szCs w:val="32"/>
          <w:highlight w:val="none"/>
          <w:lang w:eastAsia="zh-CN"/>
        </w:rPr>
        <w:t>）数据收集与整理</w:t>
      </w:r>
    </w:p>
    <w:p w14:paraId="6C696E2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w:t>
      </w:r>
    </w:p>
    <w:p w14:paraId="148A63E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4</w:t>
      </w:r>
      <w:r>
        <w:rPr>
          <w:rFonts w:hint="default" w:ascii="Times New Roman" w:hAnsi="Times New Roman" w:eastAsia="仿宋_GB2312" w:cs="Times New Roman"/>
          <w:sz w:val="32"/>
          <w:szCs w:val="32"/>
          <w:highlight w:val="none"/>
          <w:lang w:eastAsia="zh-CN"/>
        </w:rPr>
        <w:t>）数据分析与评估</w:t>
      </w:r>
    </w:p>
    <w:p w14:paraId="66A01B9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p>
    <w:p w14:paraId="4A0E057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5</w:t>
      </w:r>
      <w:r>
        <w:rPr>
          <w:rFonts w:hint="default" w:ascii="Times New Roman" w:hAnsi="Times New Roman" w:eastAsia="仿宋_GB2312" w:cs="Times New Roman"/>
          <w:sz w:val="32"/>
          <w:szCs w:val="32"/>
          <w:highlight w:val="none"/>
          <w:lang w:eastAsia="zh-CN"/>
        </w:rPr>
        <w:t>）报告撰写与反馈</w:t>
      </w:r>
    </w:p>
    <w:p w14:paraId="28B1923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p>
    <w:p w14:paraId="4F7C834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6</w:t>
      </w:r>
      <w:r>
        <w:rPr>
          <w:rFonts w:hint="default" w:ascii="Times New Roman" w:hAnsi="Times New Roman" w:eastAsia="仿宋_GB2312" w:cs="Times New Roman"/>
          <w:sz w:val="32"/>
          <w:szCs w:val="32"/>
          <w:highlight w:val="none"/>
          <w:lang w:eastAsia="zh-CN"/>
        </w:rPr>
        <w:t>）后续跟踪与改进</w:t>
      </w:r>
    </w:p>
    <w:p w14:paraId="73A36A1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14:paraId="003C69B3">
      <w:pPr>
        <w:numPr>
          <w:ilvl w:val="0"/>
          <w:numId w:val="4"/>
        </w:numPr>
        <w:spacing w:line="560" w:lineRule="exac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综合评价情况及评价结论（附相关评分表）</w:t>
      </w:r>
    </w:p>
    <w:p w14:paraId="145B1B05">
      <w:pPr>
        <w:pStyle w:val="2"/>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default" w:ascii="Times New Roman" w:hAnsi="Times New Roman" w:eastAsia="楷体_GB2312" w:cs="Times New Roman"/>
          <w:lang w:val="en-US" w:eastAsia="zh-CN"/>
        </w:rPr>
      </w:pP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一</w:t>
      </w: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评价情况</w:t>
      </w:r>
    </w:p>
    <w:p w14:paraId="0D7EE39F">
      <w:pPr>
        <w:pStyle w:val="10"/>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本项目的综合评价基于对项目各方面绩效的深入分析与评估。从项目目标的达成情况来看，</w:t>
      </w:r>
      <w:r>
        <w:rPr>
          <w:rFonts w:hint="eastAsia" w:eastAsia="仿宋_GB2312" w:cs="Times New Roman"/>
          <w:sz w:val="32"/>
          <w:szCs w:val="32"/>
          <w:highlight w:val="none"/>
          <w:lang w:val="en-US" w:eastAsia="zh-CN"/>
        </w:rPr>
        <w:t>2025</w:t>
      </w:r>
      <w:r>
        <w:rPr>
          <w:rFonts w:hint="default" w:ascii="Times New Roman" w:hAnsi="Times New Roman" w:eastAsia="仿宋_GB2312" w:cs="Times New Roman"/>
          <w:sz w:val="32"/>
          <w:szCs w:val="32"/>
          <w:highlight w:val="none"/>
        </w:rPr>
        <w:t>年党报党刊征订在征订党报党刊5370份，党报党刊种类</w:t>
      </w:r>
      <w:r>
        <w:rPr>
          <w:rFonts w:hint="eastAsia" w:eastAsia="仿宋_GB2312" w:cs="Times New Roman"/>
          <w:sz w:val="32"/>
          <w:szCs w:val="32"/>
          <w:highlight w:val="none"/>
          <w:lang w:val="en-US" w:eastAsia="zh-CN"/>
        </w:rPr>
        <w:t>8种，</w:t>
      </w:r>
      <w:r>
        <w:rPr>
          <w:rFonts w:hint="default" w:ascii="Times New Roman" w:hAnsi="Times New Roman" w:eastAsia="仿宋_GB2312" w:cs="Times New Roman"/>
          <w:sz w:val="32"/>
          <w:szCs w:val="32"/>
          <w:highlight w:val="none"/>
        </w:rPr>
        <w:t>同时，项目也在增强“四个意识”，坚定“四个自信”，取得了显著的成效，如受益部门满意度达到95%等。</w:t>
      </w:r>
    </w:p>
    <w:p w14:paraId="345B85BB">
      <w:pPr>
        <w:pStyle w:val="10"/>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在项目管理方面，</w:t>
      </w:r>
      <w:r>
        <w:rPr>
          <w:rFonts w:hint="eastAsia" w:eastAsia="仿宋_GB2312" w:cs="Times New Roman"/>
          <w:sz w:val="32"/>
          <w:szCs w:val="32"/>
          <w:highlight w:val="none"/>
          <w:lang w:eastAsia="zh-CN"/>
        </w:rPr>
        <w:t>中共奇台县委宣传部</w:t>
      </w:r>
      <w:r>
        <w:rPr>
          <w:rFonts w:hint="default" w:ascii="Times New Roman" w:hAnsi="Times New Roman" w:eastAsia="仿宋_GB2312" w:cs="Times New Roman"/>
          <w:sz w:val="32"/>
          <w:szCs w:val="32"/>
          <w:highlight w:val="none"/>
        </w:rPr>
        <w:t>通过有效的规划、组织与协调，项目得以顺利实施，并在预算与时间上保持了良好的控制。</w:t>
      </w:r>
    </w:p>
    <w:p w14:paraId="78D90546">
      <w:pPr>
        <w:pStyle w:val="10"/>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green"/>
        </w:rPr>
      </w:pPr>
      <w:r>
        <w:rPr>
          <w:rFonts w:hint="default" w:ascii="Times New Roman" w:hAnsi="Times New Roman" w:eastAsia="仿宋_GB2312" w:cs="Times New Roman"/>
          <w:sz w:val="32"/>
          <w:szCs w:val="32"/>
          <w:highlight w:val="none"/>
        </w:rPr>
        <w:t>从项目效益的角度来看，本项目不仅实现了预期的社会效益、等方面产生了积极的影响。具体而言，增强四个意识，坚定四个自信</w:t>
      </w:r>
      <w:r>
        <w:rPr>
          <w:rFonts w:hint="eastAsia" w:eastAsia="仿宋_GB2312" w:cs="Times New Roman"/>
          <w:sz w:val="32"/>
          <w:szCs w:val="32"/>
          <w:highlight w:val="none"/>
          <w:lang w:eastAsia="zh-CN"/>
        </w:rPr>
        <w:t>、受益部门满意度提高</w:t>
      </w:r>
      <w:r>
        <w:rPr>
          <w:rFonts w:hint="default" w:ascii="Times New Roman" w:hAnsi="Times New Roman" w:eastAsia="仿宋_GB2312" w:cs="Times New Roman"/>
          <w:sz w:val="32"/>
          <w:szCs w:val="32"/>
          <w:highlight w:val="none"/>
        </w:rPr>
        <w:t>等方面的提升，为项目的利益相关者带来了实实在在的利益。</w:t>
      </w:r>
    </w:p>
    <w:p w14:paraId="1DD740FF">
      <w:pPr>
        <w:pStyle w:val="10"/>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cs="Times New Roman"/>
          <w:highlight w:val="none"/>
        </w:rPr>
      </w:pPr>
      <w:r>
        <w:rPr>
          <w:rFonts w:hint="default" w:ascii="Times New Roman" w:hAnsi="Times New Roman" w:eastAsia="仿宋_GB2312" w:cs="Times New Roman"/>
          <w:sz w:val="32"/>
          <w:szCs w:val="32"/>
          <w:highlight w:val="none"/>
        </w:rPr>
        <w:t>综上所述，2025年党报党刊征订在绩效评价中表现出色，达到了项目的预期目标，并在多个方面取得了显著的成效。</w:t>
      </w:r>
    </w:p>
    <w:p w14:paraId="36B4255C">
      <w:pPr>
        <w:pStyle w:val="2"/>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default" w:ascii="Times New Roman" w:hAnsi="Times New Roman" w:eastAsia="楷体_GB2312" w:cs="Times New Roman"/>
          <w:highlight w:val="none"/>
          <w:lang w:val="en-US" w:eastAsia="zh-CN"/>
        </w:rPr>
      </w:pPr>
      <w:r>
        <w:rPr>
          <w:rFonts w:hint="default" w:ascii="Times New Roman" w:hAnsi="Times New Roman" w:eastAsia="楷体_GB2312" w:cs="Times New Roman"/>
          <w:highlight w:val="none"/>
          <w:lang w:eastAsia="zh-CN"/>
        </w:rPr>
        <w:t>（</w:t>
      </w:r>
      <w:r>
        <w:rPr>
          <w:rFonts w:hint="default" w:ascii="Times New Roman" w:hAnsi="Times New Roman" w:eastAsia="楷体_GB2312" w:cs="Times New Roman"/>
          <w:highlight w:val="none"/>
          <w:lang w:val="en-US" w:eastAsia="zh-CN"/>
        </w:rPr>
        <w:t>二</w:t>
      </w:r>
      <w:r>
        <w:rPr>
          <w:rFonts w:hint="default" w:ascii="Times New Roman" w:hAnsi="Times New Roman" w:eastAsia="楷体_GB2312" w:cs="Times New Roman"/>
          <w:highlight w:val="none"/>
          <w:lang w:eastAsia="zh-CN"/>
        </w:rPr>
        <w:t>）</w:t>
      </w:r>
      <w:r>
        <w:rPr>
          <w:rFonts w:hint="default" w:ascii="Times New Roman" w:hAnsi="Times New Roman" w:eastAsia="楷体_GB2312" w:cs="Times New Roman"/>
          <w:highlight w:val="none"/>
          <w:lang w:val="en-US" w:eastAsia="zh-CN"/>
        </w:rPr>
        <w:t>评价结论</w:t>
      </w:r>
    </w:p>
    <w:p w14:paraId="0E7DBBB8">
      <w:pPr>
        <w:pStyle w:val="2"/>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rPr>
        <w:t>运用绩效评价组制定的评价指标体系以及财政部《项目支出绩效评价管理办法》（财预〔2020〕10号）文件的评分标准，通过数据采集、问卷调查及访谈等方式，对本项目进行客观评价，最终评分结果：</w:t>
      </w:r>
      <w:r>
        <w:rPr>
          <w:rFonts w:hint="default" w:ascii="Times New Roman" w:hAnsi="Times New Roman" w:eastAsia="仿宋_GB2312" w:cs="Times New Roman"/>
          <w:b w:val="0"/>
          <w:bCs w:val="0"/>
          <w:highlight w:val="none"/>
        </w:rPr>
        <w:t xml:space="preserve">总得分为 </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 xml:space="preserve">分，属于“优”。其中，项目决策类指标权重为20分，得分为 </w:t>
      </w:r>
      <w:r>
        <w:rPr>
          <w:rFonts w:hint="eastAsia" w:ascii="Times New Roman" w:hAnsi="Times New Roman" w:eastAsia="仿宋_GB2312" w:cs="Times New Roman"/>
          <w:b w:val="0"/>
          <w:bCs w:val="0"/>
          <w:highlight w:val="none"/>
          <w:lang w:val="en-US" w:eastAsia="zh-CN"/>
        </w:rPr>
        <w:t>20</w:t>
      </w:r>
      <w:r>
        <w:rPr>
          <w:rFonts w:hint="default" w:ascii="Times New Roman" w:hAnsi="Times New Roman" w:eastAsia="仿宋_GB2312" w:cs="Times New Roman"/>
          <w:b w:val="0"/>
          <w:bCs w:val="0"/>
          <w:highlight w:val="none"/>
        </w:rPr>
        <w:t>分，得分率为</w:t>
      </w:r>
      <w:r>
        <w:rPr>
          <w:rFonts w:hint="eastAsia" w:ascii="Times New Roman" w:hAnsi="Times New Roman" w:eastAsia="仿宋_GB2312" w:cs="Times New Roman"/>
          <w:b w:val="0"/>
          <w:bCs w:val="0"/>
          <w:highlight w:val="none"/>
          <w:lang w:val="en-US" w:eastAsia="zh-CN"/>
        </w:rPr>
        <w:t>90</w:t>
      </w:r>
      <w:r>
        <w:rPr>
          <w:rFonts w:hint="default" w:ascii="Times New Roman" w:hAnsi="Times New Roman" w:eastAsia="仿宋_GB2312" w:cs="Times New Roman"/>
          <w:b w:val="0"/>
          <w:bCs w:val="0"/>
          <w:highlight w:val="none"/>
        </w:rPr>
        <w:t>%。项目过程类指标权重为20分，得分为</w:t>
      </w:r>
      <w:r>
        <w:rPr>
          <w:rFonts w:hint="eastAsia" w:ascii="Times New Roman" w:hAnsi="Times New Roman" w:eastAsia="仿宋_GB2312" w:cs="Times New Roman"/>
          <w:b w:val="0"/>
          <w:bCs w:val="0"/>
          <w:highlight w:val="none"/>
          <w:lang w:val="en-US" w:eastAsia="zh-CN"/>
        </w:rPr>
        <w:t>20</w:t>
      </w:r>
      <w:r>
        <w:rPr>
          <w:rFonts w:hint="default" w:ascii="Times New Roman" w:hAnsi="Times New Roman" w:eastAsia="仿宋_GB2312" w:cs="Times New Roman"/>
          <w:b w:val="0"/>
          <w:bCs w:val="0"/>
          <w:highlight w:val="none"/>
        </w:rPr>
        <w:t>分，得分率为</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%。项目产出类指标权重为40分，得分为</w:t>
      </w:r>
      <w:r>
        <w:rPr>
          <w:rFonts w:hint="eastAsia" w:ascii="Times New Roman" w:hAnsi="Times New Roman" w:eastAsia="仿宋_GB2312" w:cs="Times New Roman"/>
          <w:b w:val="0"/>
          <w:bCs w:val="0"/>
          <w:highlight w:val="none"/>
          <w:lang w:val="en-US" w:eastAsia="zh-CN"/>
        </w:rPr>
        <w:t>40</w:t>
      </w:r>
      <w:r>
        <w:rPr>
          <w:rFonts w:hint="default" w:ascii="Times New Roman" w:hAnsi="Times New Roman" w:eastAsia="仿宋_GB2312" w:cs="Times New Roman"/>
          <w:b w:val="0"/>
          <w:bCs w:val="0"/>
          <w:highlight w:val="none"/>
        </w:rPr>
        <w:t>分，得分率为</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%。项目效益类指标权重为20分，得分为</w:t>
      </w:r>
      <w:r>
        <w:rPr>
          <w:rFonts w:hint="eastAsia" w:ascii="Times New Roman" w:hAnsi="Times New Roman" w:eastAsia="仿宋_GB2312" w:cs="Times New Roman"/>
          <w:b w:val="0"/>
          <w:bCs w:val="0"/>
          <w:highlight w:val="none"/>
          <w:lang w:val="en-US" w:eastAsia="zh-CN"/>
        </w:rPr>
        <w:t>20</w:t>
      </w:r>
      <w:r>
        <w:rPr>
          <w:rFonts w:hint="default" w:ascii="Times New Roman" w:hAnsi="Times New Roman" w:eastAsia="仿宋_GB2312" w:cs="Times New Roman"/>
          <w:b w:val="0"/>
          <w:bCs w:val="0"/>
          <w:highlight w:val="none"/>
        </w:rPr>
        <w:t>分，得分率为</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%。具体打分情况详见：附件1综合评分表</w:t>
      </w:r>
      <w:r>
        <w:rPr>
          <w:rFonts w:hint="default" w:ascii="Times New Roman" w:hAnsi="Times New Roman" w:eastAsia="仿宋_GB2312" w:cs="Times New Roman"/>
          <w:b w:val="0"/>
          <w:bCs w:val="0"/>
          <w:highlight w:val="none"/>
          <w:lang w:eastAsia="zh-CN"/>
        </w:rPr>
        <w:t>。</w:t>
      </w:r>
    </w:p>
    <w:p w14:paraId="7CC334EE">
      <w:pPr>
        <w:pStyle w:val="2"/>
        <w:keepNext w:val="0"/>
        <w:keepLines w:val="0"/>
        <w:pageBreakBefore w:val="0"/>
        <w:widowControl/>
        <w:kinsoku/>
        <w:wordWrap/>
        <w:overflowPunct/>
        <w:topLinePunct w:val="0"/>
        <w:autoSpaceDE/>
        <w:autoSpaceDN/>
        <w:bidi w:val="0"/>
        <w:adjustRightInd/>
        <w:snapToGrid/>
        <w:spacing w:before="0" w:after="0"/>
        <w:textAlignment w:val="auto"/>
        <w:rPr>
          <w:rFonts w:hint="default" w:ascii="Times New Roman" w:hAnsi="Times New Roman" w:eastAsia="仿宋_GB2312" w:cs="Times New Roman"/>
          <w:sz w:val="21"/>
          <w:szCs w:val="21"/>
          <w:highlight w:val="none"/>
        </w:rPr>
      </w:pPr>
      <w:r>
        <w:rPr>
          <w:rFonts w:hint="default" w:ascii="Times New Roman" w:hAnsi="Times New Roman" w:eastAsia="仿宋_GB2312" w:cs="Times New Roman"/>
          <w:sz w:val="21"/>
          <w:szCs w:val="21"/>
          <w:highlight w:val="none"/>
        </w:rPr>
        <w:t>表1综合评分表</w:t>
      </w:r>
    </w:p>
    <w:tbl>
      <w:tblPr>
        <w:tblStyle w:val="14"/>
        <w:tblW w:w="8760" w:type="dxa"/>
        <w:jc w:val="center"/>
        <w:tblLayout w:type="fixed"/>
        <w:tblCellMar>
          <w:top w:w="0" w:type="dxa"/>
          <w:left w:w="108" w:type="dxa"/>
          <w:bottom w:w="0" w:type="dxa"/>
          <w:right w:w="108" w:type="dxa"/>
        </w:tblCellMar>
      </w:tblPr>
      <w:tblGrid>
        <w:gridCol w:w="2787"/>
        <w:gridCol w:w="1927"/>
        <w:gridCol w:w="2023"/>
        <w:gridCol w:w="2023"/>
      </w:tblGrid>
      <w:tr w14:paraId="73186E7C">
        <w:tblPrEx>
          <w:tblCellMar>
            <w:top w:w="0" w:type="dxa"/>
            <w:left w:w="108" w:type="dxa"/>
            <w:bottom w:w="0" w:type="dxa"/>
            <w:right w:w="108" w:type="dxa"/>
          </w:tblCellMar>
        </w:tblPrEx>
        <w:trPr>
          <w:trHeight w:val="90" w:hRule="atLeast"/>
          <w:tblHeader/>
          <w:jc w:val="center"/>
        </w:trPr>
        <w:tc>
          <w:tcPr>
            <w:tcW w:w="278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14:paraId="7CC22454">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一级指标</w:t>
            </w:r>
          </w:p>
        </w:tc>
        <w:tc>
          <w:tcPr>
            <w:tcW w:w="1927"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14:paraId="2B3F139D">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权重分</w:t>
            </w:r>
          </w:p>
        </w:tc>
        <w:tc>
          <w:tcPr>
            <w:tcW w:w="2023"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14:paraId="5AFEE017">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得分</w:t>
            </w:r>
          </w:p>
        </w:tc>
        <w:tc>
          <w:tcPr>
            <w:tcW w:w="2023"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14:paraId="2B49E646">
            <w:pPr>
              <w:jc w:val="center"/>
              <w:rPr>
                <w:rFonts w:hint="eastAsia" w:ascii="Times New Roman" w:hAnsi="Times New Roman" w:eastAsia="仿宋_GB2312" w:cs="Times New Roman"/>
                <w:b/>
                <w:bCs/>
                <w:color w:val="000000"/>
                <w:sz w:val="21"/>
                <w:szCs w:val="21"/>
                <w:lang w:val="en-US" w:eastAsia="zh-CN"/>
              </w:rPr>
            </w:pPr>
            <w:r>
              <w:rPr>
                <w:rFonts w:hint="eastAsia" w:eastAsia="仿宋_GB2312" w:cs="Times New Roman"/>
                <w:b/>
                <w:bCs/>
                <w:color w:val="000000"/>
                <w:sz w:val="21"/>
                <w:szCs w:val="21"/>
                <w:lang w:val="en-US" w:eastAsia="zh-CN"/>
              </w:rPr>
              <w:t>得分率</w:t>
            </w:r>
          </w:p>
        </w:tc>
      </w:tr>
      <w:tr w14:paraId="525AF125">
        <w:tblPrEx>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14:paraId="1BEC8CC7">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项目决策</w:t>
            </w:r>
          </w:p>
        </w:tc>
        <w:tc>
          <w:tcPr>
            <w:tcW w:w="1927" w:type="dxa"/>
            <w:tcBorders>
              <w:top w:val="nil"/>
              <w:left w:val="nil"/>
              <w:bottom w:val="single" w:color="auto" w:sz="4" w:space="0"/>
              <w:right w:val="single" w:color="auto" w:sz="4" w:space="0"/>
            </w:tcBorders>
            <w:shd w:val="clear" w:color="auto" w:fill="auto"/>
            <w:vAlign w:val="center"/>
          </w:tcPr>
          <w:p w14:paraId="357DBB3A">
            <w:pPr>
              <w:jc w:val="center"/>
              <w:rPr>
                <w:rFonts w:hint="default" w:ascii="Times New Roman" w:hAnsi="Times New Roman" w:eastAsia="仿宋_GB2312" w:cs="Times New Roman"/>
                <w:color w:val="000000"/>
                <w:sz w:val="21"/>
                <w:szCs w:val="21"/>
                <w:highlight w:val="none"/>
                <w:lang w:val="en-US" w:eastAsia="zh-CN"/>
              </w:rPr>
            </w:pPr>
            <w:r>
              <w:rPr>
                <w:rFonts w:hint="default" w:ascii="Times New Roman" w:hAnsi="Times New Roman" w:eastAsia="仿宋_GB2312" w:cs="Times New Roman"/>
                <w:color w:val="000000"/>
                <w:sz w:val="21"/>
                <w:szCs w:val="21"/>
                <w:highlight w:val="none"/>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14:paraId="3511C4F9">
            <w:pPr>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14:paraId="0E6D3A44">
            <w:pPr>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100%</w:t>
            </w:r>
          </w:p>
        </w:tc>
      </w:tr>
      <w:tr w14:paraId="0A250D80">
        <w:tblPrEx>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14:paraId="4DA098AC">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项目过程</w:t>
            </w:r>
          </w:p>
        </w:tc>
        <w:tc>
          <w:tcPr>
            <w:tcW w:w="1927" w:type="dxa"/>
            <w:tcBorders>
              <w:top w:val="nil"/>
              <w:left w:val="nil"/>
              <w:bottom w:val="single" w:color="auto" w:sz="4" w:space="0"/>
              <w:right w:val="single" w:color="auto" w:sz="4" w:space="0"/>
            </w:tcBorders>
            <w:shd w:val="clear" w:color="auto" w:fill="auto"/>
            <w:vAlign w:val="center"/>
          </w:tcPr>
          <w:p w14:paraId="6B232874">
            <w:pPr>
              <w:jc w:val="center"/>
              <w:rPr>
                <w:rFonts w:hint="default" w:ascii="Times New Roman" w:hAnsi="Times New Roman" w:eastAsia="仿宋_GB2312" w:cs="Times New Roman"/>
                <w:color w:val="000000"/>
                <w:sz w:val="21"/>
                <w:szCs w:val="21"/>
                <w:highlight w:val="none"/>
                <w:lang w:val="en-US" w:eastAsia="zh-CN"/>
              </w:rPr>
            </w:pPr>
            <w:r>
              <w:rPr>
                <w:rFonts w:hint="default" w:ascii="Times New Roman" w:hAnsi="Times New Roman" w:eastAsia="仿宋_GB2312" w:cs="Times New Roman"/>
                <w:color w:val="000000"/>
                <w:sz w:val="21"/>
                <w:szCs w:val="21"/>
                <w:highlight w:val="none"/>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14:paraId="509324FA">
            <w:pPr>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14:paraId="320F46EF">
            <w:pPr>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100%</w:t>
            </w:r>
          </w:p>
        </w:tc>
      </w:tr>
      <w:tr w14:paraId="38246B16">
        <w:tblPrEx>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14:paraId="76929ACB">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项目产出</w:t>
            </w:r>
          </w:p>
        </w:tc>
        <w:tc>
          <w:tcPr>
            <w:tcW w:w="1927" w:type="dxa"/>
            <w:tcBorders>
              <w:top w:val="nil"/>
              <w:left w:val="nil"/>
              <w:bottom w:val="single" w:color="auto" w:sz="4" w:space="0"/>
              <w:right w:val="single" w:color="auto" w:sz="4" w:space="0"/>
            </w:tcBorders>
            <w:shd w:val="clear" w:color="auto" w:fill="auto"/>
            <w:vAlign w:val="center"/>
          </w:tcPr>
          <w:p w14:paraId="1B624E46">
            <w:pPr>
              <w:jc w:val="center"/>
              <w:rPr>
                <w:rFonts w:hint="default" w:ascii="Times New Roman" w:hAnsi="Times New Roman" w:eastAsia="仿宋_GB2312" w:cs="Times New Roman"/>
                <w:color w:val="000000"/>
                <w:sz w:val="21"/>
                <w:szCs w:val="21"/>
                <w:highlight w:val="none"/>
                <w:lang w:val="en-US" w:eastAsia="zh-CN"/>
              </w:rPr>
            </w:pPr>
            <w:r>
              <w:rPr>
                <w:rFonts w:hint="default" w:ascii="Times New Roman" w:hAnsi="Times New Roman" w:eastAsia="仿宋_GB2312" w:cs="Times New Roman"/>
                <w:color w:val="000000"/>
                <w:sz w:val="21"/>
                <w:szCs w:val="21"/>
                <w:highlight w:val="none"/>
                <w:lang w:val="en-US" w:eastAsia="zh-CN"/>
              </w:rPr>
              <w:t>40</w:t>
            </w:r>
          </w:p>
        </w:tc>
        <w:tc>
          <w:tcPr>
            <w:tcW w:w="2023" w:type="dxa"/>
            <w:tcBorders>
              <w:top w:val="nil"/>
              <w:left w:val="nil"/>
              <w:bottom w:val="single" w:color="auto" w:sz="4" w:space="0"/>
              <w:right w:val="single" w:color="auto" w:sz="4" w:space="0"/>
            </w:tcBorders>
            <w:shd w:val="clear" w:color="auto" w:fill="auto"/>
            <w:vAlign w:val="center"/>
          </w:tcPr>
          <w:p w14:paraId="7662E474">
            <w:pPr>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40</w:t>
            </w:r>
          </w:p>
        </w:tc>
        <w:tc>
          <w:tcPr>
            <w:tcW w:w="2023" w:type="dxa"/>
            <w:tcBorders>
              <w:top w:val="nil"/>
              <w:left w:val="nil"/>
              <w:bottom w:val="single" w:color="auto" w:sz="4" w:space="0"/>
              <w:right w:val="single" w:color="auto" w:sz="4" w:space="0"/>
            </w:tcBorders>
            <w:shd w:val="clear" w:color="auto" w:fill="auto"/>
            <w:vAlign w:val="center"/>
          </w:tcPr>
          <w:p w14:paraId="3A75A989">
            <w:pPr>
              <w:jc w:val="center"/>
              <w:rPr>
                <w:rFonts w:hint="default" w:ascii="Times New Roman" w:hAnsi="Times New Roman" w:eastAsia="仿宋_GB2312" w:cs="Times New Roman"/>
                <w:color w:val="000000"/>
                <w:sz w:val="21"/>
                <w:szCs w:val="21"/>
              </w:rPr>
            </w:pPr>
            <w:r>
              <w:rPr>
                <w:rFonts w:hint="eastAsia" w:eastAsia="仿宋_GB2312" w:cs="Times New Roman"/>
                <w:color w:val="000000"/>
                <w:sz w:val="21"/>
                <w:szCs w:val="21"/>
                <w:lang w:val="en-US" w:eastAsia="zh-CN"/>
              </w:rPr>
              <w:t>100%</w:t>
            </w:r>
          </w:p>
        </w:tc>
      </w:tr>
      <w:tr w14:paraId="7573A5EC">
        <w:tblPrEx>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14:paraId="19D01AB0">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项目效益</w:t>
            </w:r>
          </w:p>
        </w:tc>
        <w:tc>
          <w:tcPr>
            <w:tcW w:w="1927" w:type="dxa"/>
            <w:tcBorders>
              <w:top w:val="nil"/>
              <w:left w:val="nil"/>
              <w:bottom w:val="single" w:color="auto" w:sz="4" w:space="0"/>
              <w:right w:val="single" w:color="auto" w:sz="4" w:space="0"/>
            </w:tcBorders>
            <w:shd w:val="clear" w:color="auto" w:fill="auto"/>
            <w:vAlign w:val="center"/>
          </w:tcPr>
          <w:p w14:paraId="1C545BE7">
            <w:pPr>
              <w:jc w:val="center"/>
              <w:rPr>
                <w:rFonts w:hint="default" w:ascii="Times New Roman" w:hAnsi="Times New Roman" w:eastAsia="仿宋_GB2312" w:cs="Times New Roman"/>
                <w:color w:val="000000"/>
                <w:sz w:val="21"/>
                <w:szCs w:val="21"/>
                <w:highlight w:val="none"/>
                <w:lang w:val="en-US" w:eastAsia="zh-CN"/>
              </w:rPr>
            </w:pPr>
            <w:r>
              <w:rPr>
                <w:rFonts w:hint="default" w:ascii="Times New Roman" w:hAnsi="Times New Roman" w:eastAsia="仿宋_GB2312" w:cs="Times New Roman"/>
                <w:color w:val="000000"/>
                <w:sz w:val="21"/>
                <w:szCs w:val="21"/>
                <w:highlight w:val="none"/>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14:paraId="79C475B8">
            <w:pPr>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14:paraId="32B5E7EB">
            <w:pPr>
              <w:jc w:val="center"/>
              <w:rPr>
                <w:rFonts w:hint="default" w:ascii="Times New Roman" w:hAnsi="Times New Roman" w:eastAsia="仿宋_GB2312" w:cs="Times New Roman"/>
                <w:color w:val="000000"/>
                <w:sz w:val="21"/>
                <w:szCs w:val="21"/>
              </w:rPr>
            </w:pPr>
            <w:r>
              <w:rPr>
                <w:rFonts w:hint="eastAsia" w:eastAsia="仿宋_GB2312" w:cs="Times New Roman"/>
                <w:color w:val="000000"/>
                <w:sz w:val="21"/>
                <w:szCs w:val="21"/>
                <w:lang w:val="en-US" w:eastAsia="zh-CN"/>
              </w:rPr>
              <w:t>100%</w:t>
            </w:r>
          </w:p>
        </w:tc>
      </w:tr>
      <w:tr w14:paraId="41AC7682">
        <w:tblPrEx>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14:paraId="2249940D">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合计</w:t>
            </w:r>
          </w:p>
        </w:tc>
        <w:tc>
          <w:tcPr>
            <w:tcW w:w="1927" w:type="dxa"/>
            <w:tcBorders>
              <w:top w:val="nil"/>
              <w:left w:val="nil"/>
              <w:bottom w:val="single" w:color="auto" w:sz="4" w:space="0"/>
              <w:right w:val="single" w:color="auto" w:sz="4" w:space="0"/>
            </w:tcBorders>
            <w:shd w:val="clear" w:color="auto" w:fill="auto"/>
            <w:vAlign w:val="center"/>
          </w:tcPr>
          <w:p w14:paraId="1630DCDC">
            <w:pPr>
              <w:jc w:val="center"/>
              <w:rPr>
                <w:rFonts w:hint="default" w:ascii="Times New Roman" w:hAnsi="Times New Roman" w:eastAsia="仿宋_GB2312" w:cs="Times New Roman"/>
                <w:b/>
                <w:bCs/>
                <w:color w:val="000000"/>
                <w:sz w:val="21"/>
                <w:szCs w:val="21"/>
                <w:lang w:val="en-US" w:eastAsia="zh-CN"/>
              </w:rPr>
            </w:pPr>
            <w:r>
              <w:rPr>
                <w:rFonts w:hint="default" w:ascii="Times New Roman" w:hAnsi="Times New Roman" w:eastAsia="仿宋_GB2312" w:cs="Times New Roman"/>
                <w:b/>
                <w:bCs/>
                <w:color w:val="000000"/>
                <w:sz w:val="21"/>
                <w:szCs w:val="21"/>
                <w:lang w:val="en-US" w:eastAsia="zh-CN"/>
              </w:rPr>
              <w:t>100</w:t>
            </w:r>
          </w:p>
        </w:tc>
        <w:tc>
          <w:tcPr>
            <w:tcW w:w="2023" w:type="dxa"/>
            <w:tcBorders>
              <w:top w:val="nil"/>
              <w:left w:val="nil"/>
              <w:bottom w:val="single" w:color="auto" w:sz="4" w:space="0"/>
              <w:right w:val="single" w:color="auto" w:sz="4" w:space="0"/>
            </w:tcBorders>
            <w:shd w:val="clear" w:color="auto" w:fill="auto"/>
            <w:vAlign w:val="center"/>
          </w:tcPr>
          <w:p w14:paraId="2C21E6F0">
            <w:pPr>
              <w:jc w:val="center"/>
              <w:rPr>
                <w:rFonts w:hint="default" w:ascii="Times New Roman" w:hAnsi="Times New Roman" w:eastAsia="仿宋_GB2312" w:cs="Times New Roman"/>
                <w:b/>
                <w:bCs/>
                <w:color w:val="000000"/>
                <w:sz w:val="21"/>
                <w:szCs w:val="21"/>
                <w:lang w:val="en-US" w:eastAsia="zh-CN"/>
              </w:rPr>
            </w:pPr>
            <w:r>
              <w:rPr>
                <w:rFonts w:hint="eastAsia" w:eastAsia="仿宋_GB2312" w:cs="Times New Roman"/>
                <w:b/>
                <w:bCs/>
                <w:color w:val="000000"/>
                <w:sz w:val="21"/>
                <w:szCs w:val="21"/>
                <w:lang w:val="en-US" w:eastAsia="zh-CN"/>
              </w:rPr>
              <w:t>100</w:t>
            </w:r>
          </w:p>
        </w:tc>
        <w:tc>
          <w:tcPr>
            <w:tcW w:w="2023" w:type="dxa"/>
            <w:tcBorders>
              <w:top w:val="nil"/>
              <w:left w:val="nil"/>
              <w:bottom w:val="single" w:color="auto" w:sz="4" w:space="0"/>
              <w:right w:val="single" w:color="auto" w:sz="4" w:space="0"/>
            </w:tcBorders>
            <w:shd w:val="clear" w:color="auto" w:fill="auto"/>
            <w:vAlign w:val="center"/>
          </w:tcPr>
          <w:p w14:paraId="6BF90970">
            <w:pPr>
              <w:jc w:val="center"/>
              <w:rPr>
                <w:rFonts w:hint="default" w:ascii="Times New Roman" w:hAnsi="Times New Roman" w:eastAsia="仿宋_GB2312" w:cs="Times New Roman"/>
                <w:b/>
                <w:bCs/>
                <w:color w:val="000000"/>
                <w:sz w:val="21"/>
                <w:szCs w:val="21"/>
              </w:rPr>
            </w:pPr>
            <w:r>
              <w:rPr>
                <w:rFonts w:hint="eastAsia" w:eastAsia="仿宋_GB2312" w:cs="Times New Roman"/>
                <w:color w:val="000000"/>
                <w:sz w:val="21"/>
                <w:szCs w:val="21"/>
                <w:lang w:val="en-US" w:eastAsia="zh-CN"/>
              </w:rPr>
              <w:t>100%</w:t>
            </w:r>
          </w:p>
        </w:tc>
      </w:tr>
    </w:tbl>
    <w:p w14:paraId="60123C11">
      <w:pPr>
        <w:spacing w:line="560" w:lineRule="exac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四、绩效评价指标分析</w:t>
      </w:r>
    </w:p>
    <w:p w14:paraId="5472D554">
      <w:pPr>
        <w:pStyle w:val="2"/>
        <w:spacing w:before="0" w:after="0" w:line="560" w:lineRule="exact"/>
        <w:ind w:firstLine="643" w:firstLineChars="200"/>
        <w:jc w:val="both"/>
        <w:rPr>
          <w:rFonts w:hint="default" w:ascii="Times New Roman" w:hAnsi="Times New Roman" w:eastAsia="楷体_GB2312" w:cs="Times New Roman"/>
        </w:rPr>
      </w:pPr>
      <w:r>
        <w:rPr>
          <w:rFonts w:hint="default" w:ascii="Times New Roman" w:hAnsi="Times New Roman" w:eastAsia="楷体_GB2312" w:cs="Times New Roman"/>
        </w:rPr>
        <w:t>（一）项目决策情况</w:t>
      </w:r>
    </w:p>
    <w:p w14:paraId="02B99D4A">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项目决策类指标包括项目立项、绩效目标和资金投入三方面的内容，由6个三级指标构成，权重分值为20分，实际得分</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p>
    <w:p w14:paraId="08230F43">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1.项目立项</w:t>
      </w:r>
    </w:p>
    <w:p w14:paraId="069D3BE4">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（1）立项依据充分性</w:t>
      </w:r>
    </w:p>
    <w:p w14:paraId="12FEC5B2">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p>
    <w:p w14:paraId="73D8A462">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（2）立项程序规范性</w:t>
      </w:r>
    </w:p>
    <w:p w14:paraId="420B04A5">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rPr>
        <w:t>项目申请、设立过程符合相关要求，</w:t>
      </w:r>
      <w:r>
        <w:rPr>
          <w:rFonts w:hint="default" w:ascii="Times New Roman" w:hAnsi="Times New Roman" w:eastAsia="仿宋_GB2312" w:cs="Times New Roman"/>
          <w:sz w:val="32"/>
          <w:szCs w:val="32"/>
          <w:lang w:eastAsia="zh-Hans"/>
        </w:rPr>
        <w:t>严格按照审批流程准备符合要求的文件、材料；</w:t>
      </w:r>
      <w:r>
        <w:rPr>
          <w:rFonts w:hint="default" w:ascii="Times New Roman" w:hAnsi="Times New Roman" w:eastAsia="仿宋_GB2312" w:cs="Times New Roman"/>
          <w:sz w:val="32"/>
          <w:szCs w:val="32"/>
          <w:highlight w:val="none"/>
          <w:lang w:val="en-US" w:eastAsia="zh-CN"/>
        </w:rPr>
        <w:t>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w:t>
      </w:r>
    </w:p>
    <w:p w14:paraId="5A2B7C45">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2.绩效目标</w:t>
      </w:r>
    </w:p>
    <w:p w14:paraId="317AAA1F">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（1）绩效目标合理性</w:t>
      </w:r>
    </w:p>
    <w:p w14:paraId="2BE7F458">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Hans"/>
        </w:rPr>
        <w:t>年初结合实际工作内容</w:t>
      </w:r>
      <w:r>
        <w:rPr>
          <w:rFonts w:hint="default" w:ascii="Times New Roman" w:hAnsi="Times New Roman" w:eastAsia="仿宋_GB2312" w:cs="Times New Roman"/>
          <w:sz w:val="32"/>
          <w:szCs w:val="32"/>
          <w:lang w:val="en-US" w:eastAsia="zh-CN"/>
        </w:rPr>
        <w:t>设定绩效目标</w:t>
      </w:r>
      <w:r>
        <w:rPr>
          <w:rFonts w:hint="default" w:ascii="Times New Roman" w:hAnsi="Times New Roman" w:eastAsia="仿宋_GB2312" w:cs="Times New Roman"/>
          <w:sz w:val="32"/>
          <w:szCs w:val="32"/>
          <w:lang w:val="en-US" w:eastAsia="zh-Hans"/>
        </w:rPr>
        <w:t>，绩效目标</w:t>
      </w:r>
      <w:r>
        <w:rPr>
          <w:rFonts w:hint="default" w:ascii="Times New Roman" w:hAnsi="Times New Roman" w:eastAsia="仿宋_GB2312" w:cs="Times New Roman"/>
          <w:sz w:val="32"/>
          <w:szCs w:val="32"/>
          <w:lang w:val="en-US" w:eastAsia="zh-CN"/>
        </w:rPr>
        <w:t>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14:paraId="41080B37">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（2）绩效指标明确性</w:t>
      </w:r>
    </w:p>
    <w:p w14:paraId="3DBC7301">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项目设置了明确的预期产出效益和效果，将绩效目标细化分解为具体的绩效指标，绩效目标与项目目标任务数相对应，绩效目标设定的绩效指标清晰、细化、可衡量。</w:t>
      </w:r>
    </w:p>
    <w:p w14:paraId="70D83902">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3.资金投入</w:t>
      </w:r>
    </w:p>
    <w:p w14:paraId="16D92380">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（1）预算编制科学性</w:t>
      </w:r>
    </w:p>
    <w:p w14:paraId="7B58AB6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p>
    <w:p w14:paraId="3386B260">
      <w:pPr>
        <w:shd w:val="clear"/>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在预算编制过程中，</w:t>
      </w:r>
      <w:r>
        <w:rPr>
          <w:rFonts w:hint="default" w:ascii="Times New Roman" w:hAnsi="Times New Roman" w:eastAsia="仿宋_GB2312" w:cs="Times New Roman"/>
          <w:sz w:val="32"/>
          <w:szCs w:val="32"/>
          <w:highlight w:val="none"/>
          <w:lang w:val="en-US" w:eastAsia="zh-CN"/>
        </w:rPr>
        <w:t>还</w:t>
      </w:r>
      <w:r>
        <w:rPr>
          <w:rFonts w:hint="default" w:ascii="Times New Roman" w:hAnsi="Times New Roman" w:eastAsia="仿宋_GB2312" w:cs="Times New Roman"/>
          <w:sz w:val="32"/>
          <w:szCs w:val="32"/>
          <w:highlight w:val="none"/>
          <w:lang w:eastAsia="zh-CN"/>
        </w:rPr>
        <w:t>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p>
    <w:p w14:paraId="420325E5">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（2）资金分配合理性</w:t>
      </w:r>
    </w:p>
    <w:p w14:paraId="75E2A96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本项目的资金分配遵循了公平、公正、透明的原则，确保了项目资源的合理配置与高效利用。在资金分配过程中，我们充分考虑了项目的实际需求与目标，对不同阶段、不同任务的资金进行了科学的规划与安排。</w:t>
      </w:r>
    </w:p>
    <w:p w14:paraId="5D4B045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p>
    <w:p w14:paraId="3989C72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综上所述，本项目的资金分配是合理的、科学的，既符合项目的实际情况，又满足了资金使用的效益最大化要求。资金分配的合理性为项目的成功实施提供了有力的保障，也为项目的绩效评价奠定了坚实的基础。</w:t>
      </w:r>
    </w:p>
    <w:p w14:paraId="423328F5">
      <w:pPr>
        <w:pStyle w:val="2"/>
        <w:numPr>
          <w:ilvl w:val="0"/>
          <w:numId w:val="5"/>
        </w:numPr>
        <w:spacing w:before="0" w:after="0" w:line="560" w:lineRule="exact"/>
        <w:ind w:firstLine="643" w:firstLineChars="200"/>
        <w:jc w:val="both"/>
        <w:rPr>
          <w:rFonts w:hint="default" w:ascii="Times New Roman" w:hAnsi="Times New Roman" w:eastAsia="楷体" w:cs="Times New Roman"/>
        </w:rPr>
      </w:pPr>
      <w:r>
        <w:rPr>
          <w:rFonts w:hint="default" w:ascii="Times New Roman" w:hAnsi="Times New Roman" w:eastAsia="楷体" w:cs="Times New Roman"/>
        </w:rPr>
        <w:t>项目过程情况</w:t>
      </w:r>
    </w:p>
    <w:p w14:paraId="423B0ADD">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lang w:val="en-US" w:eastAsia="zh-CN"/>
        </w:rPr>
        <w:t>项目过程类指标包括资金管理和组织实施两方面的内容，由</w:t>
      </w:r>
      <w:r>
        <w:rPr>
          <w:rFonts w:hint="default" w:ascii="Times New Roman" w:hAnsi="Times New Roman" w:eastAsia="仿宋_GB2312" w:cs="Times New Roman"/>
          <w:sz w:val="32"/>
          <w:szCs w:val="32"/>
          <w:highlight w:val="none"/>
          <w:lang w:val="en-US" w:eastAsia="zh-CN"/>
        </w:rPr>
        <w:t>5个</w:t>
      </w:r>
      <w:r>
        <w:rPr>
          <w:rFonts w:hint="default" w:ascii="Times New Roman" w:hAnsi="Times New Roman" w:eastAsia="仿宋_GB2312" w:cs="Times New Roman"/>
          <w:sz w:val="32"/>
          <w:szCs w:val="32"/>
          <w:lang w:val="en-US" w:eastAsia="zh-CN"/>
        </w:rPr>
        <w:t>三级指标构成，权重分值为20分</w:t>
      </w:r>
      <w:r>
        <w:rPr>
          <w:rFonts w:hint="default" w:ascii="Times New Roman" w:hAnsi="Times New Roman" w:eastAsia="仿宋_GB2312" w:cs="Times New Roman"/>
          <w:sz w:val="32"/>
          <w:szCs w:val="32"/>
          <w:highlight w:val="none"/>
          <w:lang w:val="en-US" w:eastAsia="zh-CN"/>
        </w:rPr>
        <w:t>，实际得分</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p>
    <w:p w14:paraId="0CFA6B5E">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1.资金管理</w:t>
      </w:r>
    </w:p>
    <w:p w14:paraId="516817ED">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（1）资金到位率</w:t>
      </w:r>
    </w:p>
    <w:p w14:paraId="146A74A6">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本项目总投资</w:t>
      </w:r>
      <w:r>
        <w:rPr>
          <w:rFonts w:hint="eastAsia" w:eastAsia="仿宋_GB2312" w:cs="Times New Roman"/>
          <w:sz w:val="32"/>
          <w:szCs w:val="32"/>
          <w:highlight w:val="none"/>
          <w:lang w:val="en-US" w:eastAsia="zh-CN"/>
        </w:rPr>
        <w:t>149.02</w:t>
      </w:r>
      <w:r>
        <w:rPr>
          <w:rFonts w:hint="default" w:ascii="Times New Roman" w:hAnsi="Times New Roman" w:eastAsia="仿宋_GB2312" w:cs="Times New Roman"/>
          <w:sz w:val="32"/>
          <w:szCs w:val="32"/>
          <w:highlight w:val="none"/>
          <w:lang w:val="en-US" w:eastAsia="zh-CN"/>
        </w:rPr>
        <w:t>万元，财政资金及时足额到位，到位率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%，预算资金按计划进度执行。</w:t>
      </w:r>
    </w:p>
    <w:p w14:paraId="17011F2D">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（2）预算执行率</w:t>
      </w:r>
    </w:p>
    <w:p w14:paraId="4FFC509B">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预算编制较为详细，项目资金支出总体能够按照预算执行，预算资金支出</w:t>
      </w:r>
      <w:r>
        <w:rPr>
          <w:rFonts w:hint="eastAsia" w:eastAsia="仿宋_GB2312" w:cs="Times New Roman"/>
          <w:sz w:val="32"/>
          <w:szCs w:val="32"/>
          <w:highlight w:val="none"/>
          <w:lang w:val="en-US" w:eastAsia="zh-CN"/>
        </w:rPr>
        <w:t>149.02</w:t>
      </w:r>
      <w:r>
        <w:rPr>
          <w:rFonts w:hint="default" w:ascii="Times New Roman" w:hAnsi="Times New Roman" w:eastAsia="仿宋_GB2312" w:cs="Times New Roman"/>
          <w:sz w:val="32"/>
          <w:szCs w:val="32"/>
          <w:highlight w:val="none"/>
          <w:lang w:val="en-US" w:eastAsia="zh-CN"/>
        </w:rPr>
        <w:t>万元，预算执行率为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p>
    <w:p w14:paraId="19F3C324">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（3）资金使用合规性</w:t>
      </w:r>
    </w:p>
    <w:p w14:paraId="60438C9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本项目的资金使用严格遵循了国家相关法律法规与财务制度，确保了资金的合规性与安全性。在资金使用过程中，我们建立了完善的财务管理体系，对资金的流动进行了全程监控与记录。</w:t>
      </w:r>
    </w:p>
    <w:p w14:paraId="6E9CD9F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p>
    <w:p w14:paraId="6B1AD12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p>
    <w:p w14:paraId="31C1E30B">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2.组织实施</w:t>
      </w:r>
    </w:p>
    <w:p w14:paraId="661F443D">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（1）管理制度健全性</w:t>
      </w:r>
    </w:p>
    <w:p w14:paraId="515B3F2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本项目拥有一套完善、健全的管理制度体系，为项目的成功实施提供了坚实的制度保障。项目管理制度的制定紧密结合了项目的特点与实际情况，涵盖了项目的策划、组织、实施、监控与收尾等各个环节。</w:t>
      </w:r>
    </w:p>
    <w:p w14:paraId="1EAD265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在制度设计上，我们注重了制度的科学性与可操作性，确保制度能够切实指导项目的执行与管理。</w:t>
      </w:r>
    </w:p>
    <w:p w14:paraId="7C7004B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p>
    <w:p w14:paraId="7C8B7CBC">
      <w:pPr>
        <w:shd w:val="clear"/>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综上所述，本项目的管理制度是健全的、有效的，既符合项目的实际情况，又满足了项目管理的需要。管理制度的健全性为项目的成功实施提供了有力的保障，也为项目的绩效评价奠定了坚实的基础。</w:t>
      </w:r>
    </w:p>
    <w:p w14:paraId="0E838A66">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（2）制度执行有效性</w:t>
      </w:r>
    </w:p>
    <w:p w14:paraId="58E2502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本项目在执行过程中，管理制度得到了全面、有效的落实，为确保项目的顺利实施与目标实现提供了坚实的保障。项目</w:t>
      </w:r>
      <w:r>
        <w:rPr>
          <w:rFonts w:hint="default" w:ascii="Times New Roman" w:hAnsi="Times New Roman" w:eastAsia="仿宋_GB2312" w:cs="Times New Roman"/>
          <w:sz w:val="32"/>
          <w:szCs w:val="32"/>
          <w:lang w:val="en-US" w:eastAsia="zh-CN"/>
        </w:rPr>
        <w:t>单位</w:t>
      </w:r>
      <w:r>
        <w:rPr>
          <w:rFonts w:hint="default" w:ascii="Times New Roman" w:hAnsi="Times New Roman" w:eastAsia="仿宋_GB2312" w:cs="Times New Roman"/>
          <w:sz w:val="32"/>
          <w:szCs w:val="32"/>
          <w:lang w:eastAsia="zh-CN"/>
        </w:rPr>
        <w:t>重视制度执行的重要性，通过明确责任分工、制定详细执行计划、加强监督考核等措施，确保了各项管理制度能够得到有效执行。</w:t>
      </w:r>
    </w:p>
    <w:p w14:paraId="32AC6B0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在具体执行过程中，项目团队成员严格按照制度要求进行操作。同时，我们还建立了有效的沟通机制与反馈机制，确保项目信息的及时传递与问题的及时解决，进一步提高了制度执行的效率与效果。</w:t>
      </w:r>
    </w:p>
    <w:p w14:paraId="1A4122D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eastAsia="zh-CN"/>
        </w:rPr>
        <w:t>综上所述，本项目的管理制度在执行过程中表现出了高度的有效性，既确保了项目的顺利进行，又实现了项目目标的有效达成。</w:t>
      </w:r>
    </w:p>
    <w:p w14:paraId="62CCE9A6">
      <w:pPr>
        <w:pStyle w:val="12"/>
        <w:numPr>
          <w:ilvl w:val="0"/>
          <w:numId w:val="5"/>
        </w:numPr>
        <w:spacing w:line="560" w:lineRule="exact"/>
        <w:ind w:firstLine="643"/>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项目产出</w:t>
      </w:r>
      <w:r>
        <w:rPr>
          <w:rFonts w:hint="default" w:ascii="Times New Roman" w:hAnsi="Times New Roman" w:eastAsia="楷体_GB2312" w:cs="Times New Roman"/>
          <w:b/>
          <w:bCs/>
          <w:sz w:val="32"/>
          <w:szCs w:val="32"/>
          <w:lang w:val="en-US" w:eastAsia="zh-CN"/>
        </w:rPr>
        <w:t>情况</w:t>
      </w:r>
    </w:p>
    <w:p w14:paraId="61CE05AE">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项目产出类指标包括产出数量、产出质量、产出时效、产出成本四方面的内容，由</w:t>
      </w:r>
      <w:r>
        <w:rPr>
          <w:rFonts w:hint="eastAsia" w:eastAsia="仿宋_GB2312" w:cs="Times New Roman"/>
          <w:sz w:val="32"/>
          <w:szCs w:val="32"/>
          <w:lang w:val="en-US" w:eastAsia="zh-CN"/>
        </w:rPr>
        <w:t>5</w:t>
      </w:r>
      <w:r>
        <w:rPr>
          <w:rFonts w:hint="default" w:ascii="Times New Roman" w:hAnsi="Times New Roman" w:eastAsia="仿宋_GB2312" w:cs="Times New Roman"/>
          <w:sz w:val="32"/>
          <w:szCs w:val="32"/>
          <w:lang w:val="en-US" w:eastAsia="zh-CN"/>
        </w:rPr>
        <w:t>个三级指标构成，权重分为40分，</w:t>
      </w:r>
      <w:r>
        <w:rPr>
          <w:rFonts w:hint="default" w:ascii="Times New Roman" w:hAnsi="Times New Roman" w:eastAsia="仿宋_GB2312" w:cs="Times New Roman"/>
          <w:sz w:val="32"/>
          <w:szCs w:val="32"/>
          <w:highlight w:val="none"/>
          <w:lang w:val="en-US" w:eastAsia="zh-CN"/>
        </w:rPr>
        <w:t>实际得分</w:t>
      </w:r>
      <w:r>
        <w:rPr>
          <w:rFonts w:hint="eastAsia" w:eastAsia="仿宋_GB2312" w:cs="Times New Roman"/>
          <w:sz w:val="32"/>
          <w:szCs w:val="32"/>
          <w:highlight w:val="none"/>
          <w:lang w:val="en-US" w:eastAsia="zh-CN"/>
        </w:rPr>
        <w:t>40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%。具</w:t>
      </w:r>
      <w:r>
        <w:rPr>
          <w:rFonts w:hint="default" w:ascii="Times New Roman" w:hAnsi="Times New Roman" w:eastAsia="仿宋_GB2312" w:cs="Times New Roman"/>
          <w:sz w:val="32"/>
          <w:szCs w:val="32"/>
          <w:lang w:val="en-US" w:eastAsia="zh-CN"/>
        </w:rPr>
        <w:t>体产出指标完成情况如下：</w:t>
      </w:r>
    </w:p>
    <w:p w14:paraId="4F28888E">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1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①</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数量指标：</w:t>
      </w:r>
    </w:p>
    <w:p w14:paraId="26A4C270">
      <w:pPr>
        <w:shd w:val="clear"/>
        <w:spacing w:line="600" w:lineRule="exact"/>
        <w:ind w:firstLine="640" w:firstLineChars="200"/>
        <w:outlineLvl w:val="0"/>
        <w:rPr>
          <w:rFonts w:hint="eastAsia"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指标1：党报党报征订份量(份），指标值：=5370份，实际完成值：5370份，指标完成率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w:t>
      </w:r>
    </w:p>
    <w:p w14:paraId="79CA3960">
      <w:pPr>
        <w:shd w:val="clear"/>
        <w:spacing w:line="600" w:lineRule="exact"/>
        <w:ind w:firstLine="640" w:firstLineChars="200"/>
        <w:outlineLvl w:val="0"/>
        <w:rPr>
          <w:rFonts w:hint="eastAsia" w:eastAsia="仿宋_GB2312" w:cs="Times New Roman"/>
          <w:sz w:val="32"/>
          <w:szCs w:val="32"/>
          <w:highlight w:val="none"/>
          <w:lang w:eastAsia="zh-CN"/>
        </w:rPr>
      </w:pPr>
      <w:r>
        <w:rPr>
          <w:rFonts w:hint="default" w:ascii="Times New Roman" w:hAnsi="Times New Roman" w:eastAsia="仿宋_GB2312" w:cs="Times New Roman"/>
          <w:b w:val="0"/>
          <w:bCs w:val="0"/>
          <w:kern w:val="2"/>
          <w:sz w:val="32"/>
          <w:szCs w:val="32"/>
          <w:highlight w:val="none"/>
          <w:lang w:val="en-US" w:eastAsia="zh-CN" w:bidi="ar-SA"/>
        </w:rPr>
        <w:t>指标</w:t>
      </w:r>
      <w:r>
        <w:rPr>
          <w:rFonts w:hint="eastAsia" w:ascii="Times New Roman" w:hAnsi="Times New Roman" w:eastAsia="仿宋_GB2312" w:cs="Times New Roman"/>
          <w:b w:val="0"/>
          <w:bCs w:val="0"/>
          <w:kern w:val="2"/>
          <w:sz w:val="32"/>
          <w:szCs w:val="32"/>
          <w:highlight w:val="none"/>
          <w:lang w:val="en-US" w:eastAsia="zh-CN" w:bidi="ar-SA"/>
        </w:rPr>
        <w:t>2</w:t>
      </w:r>
      <w:r>
        <w:rPr>
          <w:rFonts w:hint="default" w:ascii="Times New Roman" w:hAnsi="Times New Roman" w:eastAsia="仿宋_GB2312" w:cs="Times New Roman"/>
          <w:b w:val="0"/>
          <w:bCs w:val="0"/>
          <w:kern w:val="2"/>
          <w:sz w:val="32"/>
          <w:szCs w:val="32"/>
          <w:highlight w:val="none"/>
          <w:lang w:val="en-US" w:eastAsia="zh-CN" w:bidi="ar-SA"/>
        </w:rPr>
        <w:t>：党报党刊种类</w:t>
      </w:r>
      <w:r>
        <w:rPr>
          <w:rFonts w:hint="eastAsia" w:eastAsia="仿宋_GB2312" w:cs="Times New Roman"/>
          <w:b w:val="0"/>
          <w:bCs w:val="0"/>
          <w:kern w:val="2"/>
          <w:sz w:val="32"/>
          <w:szCs w:val="32"/>
          <w:highlight w:val="none"/>
          <w:lang w:val="en-US" w:eastAsia="zh-CN" w:bidi="ar-SA"/>
        </w:rPr>
        <w:t>，</w:t>
      </w:r>
      <w:r>
        <w:rPr>
          <w:rFonts w:hint="default" w:ascii="Times New Roman" w:hAnsi="Times New Roman" w:eastAsia="仿宋_GB2312" w:cs="Times New Roman"/>
          <w:sz w:val="32"/>
          <w:szCs w:val="32"/>
          <w:highlight w:val="none"/>
        </w:rPr>
        <w:t>指标值：&gt;=8种，实际完成值：</w:t>
      </w:r>
      <w:r>
        <w:rPr>
          <w:rFonts w:hint="eastAsia" w:eastAsia="仿宋_GB2312" w:cs="Times New Roman"/>
          <w:sz w:val="32"/>
          <w:szCs w:val="32"/>
          <w:highlight w:val="none"/>
          <w:lang w:val="en-US" w:eastAsia="zh-CN"/>
        </w:rPr>
        <w:t>8种</w:t>
      </w:r>
      <w:r>
        <w:rPr>
          <w:rFonts w:hint="default" w:ascii="Times New Roman" w:hAnsi="Times New Roman" w:eastAsia="仿宋_GB2312" w:cs="Times New Roman"/>
          <w:sz w:val="32"/>
          <w:szCs w:val="32"/>
          <w:highlight w:val="none"/>
        </w:rPr>
        <w:t>份，指标完成率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w:t>
      </w:r>
    </w:p>
    <w:p w14:paraId="2809A9A9">
      <w:pPr>
        <w:shd w:val="clear"/>
        <w:spacing w:line="600" w:lineRule="exact"/>
        <w:ind w:firstLine="420" w:firstLineChars="200"/>
        <w:outlineLvl w:val="0"/>
        <w:rPr>
          <w:rFonts w:hint="default" w:ascii="Times New Roman" w:hAnsi="Times New Roman" w:eastAsia="仿宋_GB2312" w:cs="Times New Roman"/>
          <w:sz w:val="32"/>
          <w:szCs w:val="32"/>
          <w:highlight w:val="none"/>
        </w:rPr>
      </w:pPr>
      <w:r>
        <w:rPr>
          <w:rFonts w:hint="eastAsia"/>
          <w:lang w:eastAsia="zh-CN"/>
        </w:rPr>
        <w:tab/>
      </w: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2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②</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质量指标：</w:t>
      </w:r>
    </w:p>
    <w:p w14:paraId="2FB1DCB0">
      <w:pPr>
        <w:pStyle w:val="2"/>
        <w:tabs>
          <w:tab w:val="left" w:pos="594"/>
        </w:tabs>
        <w:ind w:firstLine="640" w:firstLineChars="200"/>
        <w:jc w:val="left"/>
        <w:rPr>
          <w:rFonts w:hint="eastAsia" w:ascii="Times New Roman" w:hAnsi="Times New Roman" w:eastAsia="仿宋_GB2312" w:cs="Times New Roman"/>
          <w:b w:val="0"/>
          <w:bCs w:val="0"/>
          <w:kern w:val="2"/>
          <w:sz w:val="32"/>
          <w:szCs w:val="32"/>
          <w:highlight w:val="none"/>
          <w:lang w:val="en-US" w:eastAsia="zh-CN" w:bidi="ar-SA"/>
        </w:rPr>
      </w:pPr>
      <w:r>
        <w:rPr>
          <w:rFonts w:hint="default" w:ascii="Times New Roman" w:hAnsi="Times New Roman" w:eastAsia="仿宋_GB2312" w:cs="Times New Roman"/>
          <w:b w:val="0"/>
          <w:bCs w:val="0"/>
          <w:kern w:val="2"/>
          <w:sz w:val="32"/>
          <w:szCs w:val="32"/>
          <w:highlight w:val="none"/>
          <w:lang w:val="en-US" w:eastAsia="zh-CN" w:bidi="ar-SA"/>
        </w:rPr>
        <w:t>指标</w:t>
      </w:r>
      <w:r>
        <w:rPr>
          <w:rFonts w:hint="eastAsia" w:ascii="Times New Roman" w:hAnsi="Times New Roman" w:eastAsia="仿宋_GB2312" w:cs="Times New Roman"/>
          <w:b w:val="0"/>
          <w:bCs w:val="0"/>
          <w:kern w:val="2"/>
          <w:sz w:val="32"/>
          <w:szCs w:val="32"/>
          <w:highlight w:val="none"/>
          <w:lang w:val="en-US" w:eastAsia="zh-CN" w:bidi="ar-SA"/>
        </w:rPr>
        <w:t>1</w:t>
      </w:r>
      <w:r>
        <w:rPr>
          <w:rFonts w:hint="default" w:ascii="Times New Roman" w:hAnsi="Times New Roman" w:eastAsia="仿宋_GB2312" w:cs="Times New Roman"/>
          <w:b w:val="0"/>
          <w:bCs w:val="0"/>
          <w:kern w:val="2"/>
          <w:sz w:val="32"/>
          <w:szCs w:val="32"/>
          <w:highlight w:val="none"/>
          <w:lang w:val="en-US" w:eastAsia="zh-CN" w:bidi="ar-SA"/>
        </w:rPr>
        <w:t>：党报党刊征订率</w:t>
      </w:r>
      <w:r>
        <w:rPr>
          <w:rFonts w:hint="eastAsia" w:ascii="Times New Roman" w:hAnsi="Times New Roman" w:eastAsia="仿宋_GB2312" w:cs="Times New Roman"/>
          <w:b w:val="0"/>
          <w:bCs w:val="0"/>
          <w:kern w:val="2"/>
          <w:sz w:val="32"/>
          <w:szCs w:val="32"/>
          <w:highlight w:val="none"/>
          <w:lang w:val="en-US" w:eastAsia="zh-CN" w:bidi="ar-SA"/>
        </w:rPr>
        <w:t>，</w:t>
      </w:r>
      <w:r>
        <w:rPr>
          <w:rFonts w:hint="default" w:ascii="Times New Roman" w:hAnsi="Times New Roman" w:eastAsia="仿宋_GB2312" w:cs="Times New Roman"/>
          <w:b w:val="0"/>
          <w:bCs w:val="0"/>
          <w:kern w:val="2"/>
          <w:sz w:val="32"/>
          <w:szCs w:val="32"/>
          <w:highlight w:val="none"/>
          <w:lang w:val="en-US" w:eastAsia="zh-CN" w:bidi="ar-SA"/>
        </w:rPr>
        <w:t>指标值：=100%，实际完成值：100%，指标完成率</w:t>
      </w:r>
      <w:r>
        <w:rPr>
          <w:rFonts w:hint="eastAsia" w:ascii="Times New Roman" w:hAnsi="Times New Roman" w:eastAsia="仿宋_GB2312" w:cs="Times New Roman"/>
          <w:b w:val="0"/>
          <w:bCs w:val="0"/>
          <w:kern w:val="2"/>
          <w:sz w:val="32"/>
          <w:szCs w:val="32"/>
          <w:highlight w:val="none"/>
          <w:lang w:val="en-US" w:eastAsia="zh-CN" w:bidi="ar-SA"/>
        </w:rPr>
        <w:t>100</w:t>
      </w:r>
      <w:r>
        <w:rPr>
          <w:rFonts w:hint="default" w:ascii="Times New Roman" w:hAnsi="Times New Roman" w:eastAsia="仿宋_GB2312" w:cs="Times New Roman"/>
          <w:b w:val="0"/>
          <w:bCs w:val="0"/>
          <w:kern w:val="2"/>
          <w:sz w:val="32"/>
          <w:szCs w:val="32"/>
          <w:highlight w:val="none"/>
          <w:lang w:val="en-US" w:eastAsia="zh-CN" w:bidi="ar-SA"/>
        </w:rPr>
        <w:t>%</w:t>
      </w:r>
      <w:r>
        <w:rPr>
          <w:rFonts w:hint="eastAsia" w:ascii="Times New Roman" w:hAnsi="Times New Roman" w:eastAsia="仿宋_GB2312" w:cs="Times New Roman"/>
          <w:b w:val="0"/>
          <w:bCs w:val="0"/>
          <w:kern w:val="2"/>
          <w:sz w:val="32"/>
          <w:szCs w:val="32"/>
          <w:highlight w:val="none"/>
          <w:lang w:val="en-US" w:eastAsia="zh-CN" w:bidi="ar-SA"/>
        </w:rPr>
        <w:t>。</w:t>
      </w:r>
    </w:p>
    <w:p w14:paraId="33FE92B7">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3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③</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时效指标：</w:t>
      </w:r>
    </w:p>
    <w:p w14:paraId="247ABB82">
      <w:pPr>
        <w:pStyle w:val="2"/>
        <w:tabs>
          <w:tab w:val="left" w:pos="594"/>
        </w:tabs>
        <w:ind w:firstLine="640" w:firstLineChars="200"/>
        <w:jc w:val="left"/>
        <w:rPr>
          <w:rFonts w:hint="eastAsia" w:ascii="Times New Roman" w:hAnsi="Times New Roman" w:eastAsia="仿宋_GB2312" w:cs="Times New Roman"/>
          <w:b w:val="0"/>
          <w:bCs w:val="0"/>
          <w:kern w:val="2"/>
          <w:sz w:val="32"/>
          <w:szCs w:val="32"/>
          <w:highlight w:val="none"/>
          <w:lang w:val="en-US" w:eastAsia="zh-CN" w:bidi="ar-SA"/>
        </w:rPr>
      </w:pPr>
      <w:r>
        <w:rPr>
          <w:rFonts w:hint="default" w:ascii="Times New Roman" w:hAnsi="Times New Roman" w:eastAsia="仿宋_GB2312" w:cs="Times New Roman"/>
          <w:b w:val="0"/>
          <w:bCs w:val="0"/>
          <w:kern w:val="2"/>
          <w:sz w:val="32"/>
          <w:szCs w:val="32"/>
          <w:highlight w:val="none"/>
          <w:lang w:val="en-US" w:eastAsia="zh-CN" w:bidi="ar-SA"/>
        </w:rPr>
        <w:t>指标</w:t>
      </w:r>
      <w:r>
        <w:rPr>
          <w:rFonts w:hint="eastAsia" w:ascii="Times New Roman" w:hAnsi="Times New Roman" w:eastAsia="仿宋_GB2312" w:cs="Times New Roman"/>
          <w:b w:val="0"/>
          <w:bCs w:val="0"/>
          <w:kern w:val="2"/>
          <w:sz w:val="32"/>
          <w:szCs w:val="32"/>
          <w:highlight w:val="none"/>
          <w:lang w:val="en-US" w:eastAsia="zh-CN" w:bidi="ar-SA"/>
        </w:rPr>
        <w:t>1</w:t>
      </w:r>
      <w:r>
        <w:rPr>
          <w:rFonts w:hint="default" w:ascii="Times New Roman" w:hAnsi="Times New Roman" w:eastAsia="仿宋_GB2312" w:cs="Times New Roman"/>
          <w:b w:val="0"/>
          <w:bCs w:val="0"/>
          <w:kern w:val="2"/>
          <w:sz w:val="32"/>
          <w:szCs w:val="32"/>
          <w:highlight w:val="none"/>
          <w:lang w:val="en-US" w:eastAsia="zh-CN" w:bidi="ar-SA"/>
        </w:rPr>
        <w:t>：党报党刊征订完成及时率</w:t>
      </w:r>
      <w:r>
        <w:rPr>
          <w:rFonts w:hint="eastAsia" w:eastAsia="仿宋_GB2312" w:cs="Times New Roman"/>
          <w:b w:val="0"/>
          <w:bCs w:val="0"/>
          <w:kern w:val="2"/>
          <w:sz w:val="32"/>
          <w:szCs w:val="32"/>
          <w:highlight w:val="none"/>
          <w:lang w:val="en-US" w:eastAsia="zh-CN" w:bidi="ar-SA"/>
        </w:rPr>
        <w:t>，</w:t>
      </w:r>
      <w:r>
        <w:rPr>
          <w:rFonts w:hint="default" w:ascii="Times New Roman" w:hAnsi="Times New Roman" w:eastAsia="仿宋_GB2312" w:cs="Times New Roman"/>
          <w:b w:val="0"/>
          <w:bCs w:val="0"/>
          <w:kern w:val="2"/>
          <w:sz w:val="32"/>
          <w:szCs w:val="32"/>
          <w:highlight w:val="none"/>
          <w:lang w:val="en-US" w:eastAsia="zh-CN" w:bidi="ar-SA"/>
        </w:rPr>
        <w:t>指标值：=100%，实际完成值：100%，指标完成率</w:t>
      </w:r>
      <w:r>
        <w:rPr>
          <w:rFonts w:hint="eastAsia" w:ascii="Times New Roman" w:hAnsi="Times New Roman" w:eastAsia="仿宋_GB2312" w:cs="Times New Roman"/>
          <w:b w:val="0"/>
          <w:bCs w:val="0"/>
          <w:kern w:val="2"/>
          <w:sz w:val="32"/>
          <w:szCs w:val="32"/>
          <w:highlight w:val="none"/>
          <w:lang w:val="en-US" w:eastAsia="zh-CN" w:bidi="ar-SA"/>
        </w:rPr>
        <w:t>100</w:t>
      </w:r>
      <w:r>
        <w:rPr>
          <w:rFonts w:hint="default" w:ascii="Times New Roman" w:hAnsi="Times New Roman" w:eastAsia="仿宋_GB2312" w:cs="Times New Roman"/>
          <w:b w:val="0"/>
          <w:bCs w:val="0"/>
          <w:kern w:val="2"/>
          <w:sz w:val="32"/>
          <w:szCs w:val="32"/>
          <w:highlight w:val="none"/>
          <w:lang w:val="en-US" w:eastAsia="zh-CN" w:bidi="ar-SA"/>
        </w:rPr>
        <w:t>%</w:t>
      </w:r>
      <w:r>
        <w:rPr>
          <w:rFonts w:hint="eastAsia" w:ascii="Times New Roman" w:hAnsi="Times New Roman" w:eastAsia="仿宋_GB2312" w:cs="Times New Roman"/>
          <w:b w:val="0"/>
          <w:bCs w:val="0"/>
          <w:kern w:val="2"/>
          <w:sz w:val="32"/>
          <w:szCs w:val="32"/>
          <w:highlight w:val="none"/>
          <w:lang w:val="en-US" w:eastAsia="zh-CN" w:bidi="ar-SA"/>
        </w:rPr>
        <w:t>。</w:t>
      </w:r>
    </w:p>
    <w:p w14:paraId="51C9F017">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4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④</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成本指标：</w:t>
      </w:r>
    </w:p>
    <w:p w14:paraId="2E84D842">
      <w:pPr>
        <w:pStyle w:val="2"/>
        <w:tabs>
          <w:tab w:val="left" w:pos="594"/>
        </w:tabs>
        <w:ind w:firstLine="640" w:firstLineChars="200"/>
        <w:jc w:val="left"/>
        <w:rPr>
          <w:rFonts w:hint="eastAsia" w:ascii="Times New Roman" w:hAnsi="Times New Roman" w:eastAsia="仿宋_GB2312" w:cs="Times New Roman"/>
          <w:b w:val="0"/>
          <w:bCs w:val="0"/>
          <w:kern w:val="2"/>
          <w:sz w:val="32"/>
          <w:szCs w:val="32"/>
          <w:highlight w:val="none"/>
          <w:lang w:val="en-US" w:eastAsia="zh-CN" w:bidi="ar-SA"/>
        </w:rPr>
      </w:pPr>
      <w:r>
        <w:rPr>
          <w:rFonts w:hint="default" w:ascii="Times New Roman" w:hAnsi="Times New Roman" w:eastAsia="仿宋_GB2312" w:cs="Times New Roman"/>
          <w:b w:val="0"/>
          <w:bCs w:val="0"/>
          <w:kern w:val="2"/>
          <w:sz w:val="32"/>
          <w:szCs w:val="32"/>
          <w:highlight w:val="none"/>
          <w:lang w:val="en-US" w:eastAsia="zh-CN" w:bidi="ar-SA"/>
        </w:rPr>
        <w:t>指标</w:t>
      </w:r>
      <w:r>
        <w:rPr>
          <w:rFonts w:hint="eastAsia" w:ascii="Times New Roman" w:hAnsi="Times New Roman" w:eastAsia="仿宋_GB2312" w:cs="Times New Roman"/>
          <w:b w:val="0"/>
          <w:bCs w:val="0"/>
          <w:kern w:val="2"/>
          <w:sz w:val="32"/>
          <w:szCs w:val="32"/>
          <w:highlight w:val="none"/>
          <w:lang w:val="en-US" w:eastAsia="zh-CN" w:bidi="ar-SA"/>
        </w:rPr>
        <w:t>1</w:t>
      </w:r>
      <w:r>
        <w:rPr>
          <w:rFonts w:hint="default" w:ascii="Times New Roman" w:hAnsi="Times New Roman" w:eastAsia="仿宋_GB2312" w:cs="Times New Roman"/>
          <w:b w:val="0"/>
          <w:bCs w:val="0"/>
          <w:kern w:val="2"/>
          <w:sz w:val="32"/>
          <w:szCs w:val="32"/>
          <w:highlight w:val="none"/>
          <w:lang w:val="en-US" w:eastAsia="zh-CN" w:bidi="ar-SA"/>
        </w:rPr>
        <w:t>：党报党刊征订经费</w:t>
      </w:r>
      <w:r>
        <w:rPr>
          <w:rFonts w:hint="eastAsia" w:eastAsia="仿宋_GB2312" w:cs="Times New Roman"/>
          <w:b w:val="0"/>
          <w:bCs w:val="0"/>
          <w:kern w:val="2"/>
          <w:sz w:val="32"/>
          <w:szCs w:val="32"/>
          <w:highlight w:val="none"/>
          <w:lang w:val="en-US" w:eastAsia="zh-CN" w:bidi="ar-SA"/>
        </w:rPr>
        <w:t>，</w:t>
      </w:r>
      <w:r>
        <w:rPr>
          <w:rFonts w:hint="default" w:ascii="Times New Roman" w:hAnsi="Times New Roman" w:eastAsia="仿宋_GB2312" w:cs="Times New Roman"/>
          <w:b w:val="0"/>
          <w:bCs w:val="0"/>
          <w:kern w:val="2"/>
          <w:sz w:val="32"/>
          <w:szCs w:val="32"/>
          <w:highlight w:val="none"/>
          <w:lang w:val="en-US" w:eastAsia="zh-CN" w:bidi="ar-SA"/>
        </w:rPr>
        <w:t>指标值：&lt;=149.02万元，实际完成值：149.02万元，指标完成率</w:t>
      </w:r>
      <w:r>
        <w:rPr>
          <w:rFonts w:hint="eastAsia" w:ascii="Times New Roman" w:hAnsi="Times New Roman" w:eastAsia="仿宋_GB2312" w:cs="Times New Roman"/>
          <w:b w:val="0"/>
          <w:bCs w:val="0"/>
          <w:kern w:val="2"/>
          <w:sz w:val="32"/>
          <w:szCs w:val="32"/>
          <w:highlight w:val="none"/>
          <w:lang w:val="en-US" w:eastAsia="zh-CN" w:bidi="ar-SA"/>
        </w:rPr>
        <w:t>100</w:t>
      </w:r>
      <w:r>
        <w:rPr>
          <w:rFonts w:hint="default" w:ascii="Times New Roman" w:hAnsi="Times New Roman" w:eastAsia="仿宋_GB2312" w:cs="Times New Roman"/>
          <w:b w:val="0"/>
          <w:bCs w:val="0"/>
          <w:kern w:val="2"/>
          <w:sz w:val="32"/>
          <w:szCs w:val="32"/>
          <w:highlight w:val="none"/>
          <w:lang w:val="en-US" w:eastAsia="zh-CN" w:bidi="ar-SA"/>
        </w:rPr>
        <w:t>%</w:t>
      </w:r>
      <w:r>
        <w:rPr>
          <w:rFonts w:hint="eastAsia" w:ascii="Times New Roman" w:hAnsi="Times New Roman" w:eastAsia="仿宋_GB2312" w:cs="Times New Roman"/>
          <w:b w:val="0"/>
          <w:bCs w:val="0"/>
          <w:kern w:val="2"/>
          <w:sz w:val="32"/>
          <w:szCs w:val="32"/>
          <w:highlight w:val="none"/>
          <w:lang w:val="en-US" w:eastAsia="zh-CN" w:bidi="ar-SA"/>
        </w:rPr>
        <w:t>。</w:t>
      </w:r>
    </w:p>
    <w:p w14:paraId="1C3372E8">
      <w:pPr>
        <w:pStyle w:val="12"/>
        <w:numPr>
          <w:ilvl w:val="0"/>
          <w:numId w:val="5"/>
        </w:numPr>
        <w:spacing w:line="560" w:lineRule="exact"/>
        <w:ind w:firstLine="643"/>
        <w:rPr>
          <w:rFonts w:hint="default" w:ascii="Times New Roman" w:hAnsi="Times New Roman" w:eastAsia="楷体_GB2312" w:cs="Times New Roman"/>
          <w:b/>
          <w:bCs/>
          <w:sz w:val="32"/>
          <w:szCs w:val="32"/>
          <w:lang w:val="en-US" w:eastAsia="zh-CN"/>
        </w:rPr>
      </w:pPr>
      <w:r>
        <w:rPr>
          <w:rFonts w:hint="default" w:ascii="Times New Roman" w:hAnsi="Times New Roman" w:eastAsia="楷体_GB2312" w:cs="Times New Roman"/>
          <w:b/>
          <w:bCs/>
          <w:sz w:val="32"/>
          <w:szCs w:val="32"/>
          <w:lang w:val="en-US" w:eastAsia="zh-CN"/>
        </w:rPr>
        <w:t>项目效益情况</w:t>
      </w:r>
    </w:p>
    <w:p w14:paraId="3A98ACE2">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项目效益类指标包括项目</w:t>
      </w:r>
      <w:r>
        <w:rPr>
          <w:rFonts w:hint="default" w:ascii="Times New Roman" w:hAnsi="Times New Roman" w:eastAsia="仿宋_GB2312" w:cs="Times New Roman"/>
          <w:color w:val="auto"/>
          <w:sz w:val="32"/>
          <w:szCs w:val="32"/>
          <w:highlight w:val="none"/>
          <w:lang w:val="en-US" w:eastAsia="zh-CN"/>
        </w:rPr>
        <w:t>实施效益和满意度两方面的内容，由</w:t>
      </w:r>
      <w:r>
        <w:rPr>
          <w:rFonts w:hint="eastAsia" w:eastAsia="仿宋_GB2312" w:cs="Times New Roman"/>
          <w:color w:val="auto"/>
          <w:sz w:val="32"/>
          <w:szCs w:val="32"/>
          <w:highlight w:val="none"/>
          <w:lang w:val="en-US" w:eastAsia="zh-CN"/>
        </w:rPr>
        <w:t>2</w:t>
      </w:r>
      <w:r>
        <w:rPr>
          <w:rFonts w:hint="default" w:ascii="Times New Roman" w:hAnsi="Times New Roman" w:eastAsia="仿宋_GB2312" w:cs="Times New Roman"/>
          <w:color w:val="auto"/>
          <w:sz w:val="32"/>
          <w:szCs w:val="32"/>
          <w:highlight w:val="none"/>
          <w:lang w:val="en-US" w:eastAsia="zh-CN"/>
        </w:rPr>
        <w:t>个三级指标构成，权重分为20分，实际得分</w:t>
      </w:r>
      <w:r>
        <w:rPr>
          <w:rFonts w:hint="eastAsia" w:eastAsia="仿宋_GB2312" w:cs="Times New Roman"/>
          <w:color w:val="auto"/>
          <w:sz w:val="32"/>
          <w:szCs w:val="32"/>
          <w:highlight w:val="none"/>
          <w:lang w:val="en-US" w:eastAsia="zh-CN"/>
        </w:rPr>
        <w:t>20</w:t>
      </w:r>
      <w:r>
        <w:rPr>
          <w:rFonts w:hint="default" w:ascii="Times New Roman" w:hAnsi="Times New Roman" w:eastAsia="仿宋_GB2312" w:cs="Times New Roman"/>
          <w:color w:val="auto"/>
          <w:sz w:val="32"/>
          <w:szCs w:val="32"/>
          <w:highlight w:val="none"/>
          <w:lang w:val="en-US" w:eastAsia="zh-CN"/>
        </w:rPr>
        <w:t>分，得分率为</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lang w:val="en-US" w:eastAsia="zh-CN"/>
        </w:rPr>
        <w:t>%。具体效益指标及满意度指标完成情况如下</w:t>
      </w:r>
      <w:r>
        <w:rPr>
          <w:rFonts w:hint="default" w:ascii="Times New Roman" w:hAnsi="Times New Roman" w:eastAsia="仿宋_GB2312" w:cs="Times New Roman"/>
          <w:sz w:val="32"/>
          <w:szCs w:val="32"/>
          <w:lang w:val="en-US" w:eastAsia="zh-CN"/>
        </w:rPr>
        <w:t>：</w:t>
      </w:r>
    </w:p>
    <w:p w14:paraId="32B9BD47">
      <w:pPr>
        <w:numPr>
          <w:ilvl w:val="0"/>
          <w:numId w:val="6"/>
        </w:num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实施效益</w:t>
      </w:r>
    </w:p>
    <w:p w14:paraId="244FD0FA">
      <w:pPr>
        <w:numPr>
          <w:ilvl w:val="0"/>
          <w:numId w:val="0"/>
        </w:num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①</w:t>
      </w:r>
      <w:r>
        <w:rPr>
          <w:rFonts w:hint="default" w:ascii="Times New Roman" w:hAnsi="Times New Roman" w:eastAsia="仿宋_GB2312" w:cs="Times New Roman"/>
          <w:sz w:val="32"/>
          <w:szCs w:val="32"/>
          <w:highlight w:val="none"/>
        </w:rPr>
        <w:t>社会效益指标：</w:t>
      </w:r>
    </w:p>
    <w:p w14:paraId="6BF253A6">
      <w:pPr>
        <w:pStyle w:val="2"/>
        <w:tabs>
          <w:tab w:val="left" w:pos="594"/>
        </w:tabs>
        <w:ind w:firstLine="640" w:firstLineChars="200"/>
        <w:jc w:val="left"/>
        <w:rPr>
          <w:rFonts w:hint="default" w:ascii="Times New Roman" w:hAnsi="Times New Roman" w:eastAsia="仿宋_GB2312" w:cs="Times New Roman"/>
          <w:b w:val="0"/>
          <w:bCs w:val="0"/>
          <w:color w:val="auto"/>
          <w:kern w:val="2"/>
          <w:sz w:val="32"/>
          <w:szCs w:val="32"/>
          <w:highlight w:val="none"/>
          <w:lang w:val="en-US" w:eastAsia="zh-CN" w:bidi="ar-SA"/>
        </w:rPr>
      </w:pPr>
      <w:r>
        <w:rPr>
          <w:rFonts w:hint="default" w:ascii="Times New Roman" w:hAnsi="Times New Roman" w:eastAsia="仿宋_GB2312" w:cs="Times New Roman"/>
          <w:b w:val="0"/>
          <w:bCs w:val="0"/>
          <w:kern w:val="2"/>
          <w:sz w:val="32"/>
          <w:szCs w:val="32"/>
          <w:highlight w:val="none"/>
          <w:lang w:val="en-US" w:eastAsia="zh-CN" w:bidi="ar-SA"/>
        </w:rPr>
        <w:t>指标</w:t>
      </w:r>
      <w:r>
        <w:rPr>
          <w:rFonts w:hint="eastAsia" w:ascii="Times New Roman" w:hAnsi="Times New Roman" w:eastAsia="仿宋_GB2312" w:cs="Times New Roman"/>
          <w:b w:val="0"/>
          <w:bCs w:val="0"/>
          <w:kern w:val="2"/>
          <w:sz w:val="32"/>
          <w:szCs w:val="32"/>
          <w:highlight w:val="none"/>
          <w:lang w:val="en-US" w:eastAsia="zh-CN" w:bidi="ar-SA"/>
        </w:rPr>
        <w:t>1</w:t>
      </w:r>
      <w:r>
        <w:rPr>
          <w:rFonts w:hint="default" w:ascii="Times New Roman" w:hAnsi="Times New Roman" w:eastAsia="仿宋_GB2312" w:cs="Times New Roman"/>
          <w:b w:val="0"/>
          <w:bCs w:val="0"/>
          <w:kern w:val="2"/>
          <w:sz w:val="32"/>
          <w:szCs w:val="32"/>
          <w:highlight w:val="none"/>
          <w:lang w:val="en-US" w:eastAsia="zh-CN" w:bidi="ar-SA"/>
        </w:rPr>
        <w:t>：增强四个意识，坚定四个自信</w:t>
      </w:r>
      <w:r>
        <w:rPr>
          <w:rFonts w:hint="eastAsia" w:eastAsia="仿宋_GB2312" w:cs="Times New Roman"/>
          <w:b w:val="0"/>
          <w:bCs w:val="0"/>
          <w:kern w:val="2"/>
          <w:sz w:val="32"/>
          <w:szCs w:val="32"/>
          <w:highlight w:val="none"/>
          <w:lang w:val="en-US" w:eastAsia="zh-CN" w:bidi="ar-SA"/>
        </w:rPr>
        <w:t>，</w:t>
      </w:r>
      <w:r>
        <w:rPr>
          <w:rFonts w:hint="default" w:ascii="Times New Roman" w:hAnsi="Times New Roman" w:eastAsia="仿宋_GB2312" w:cs="Times New Roman"/>
          <w:b w:val="0"/>
          <w:bCs w:val="0"/>
          <w:color w:val="auto"/>
          <w:kern w:val="2"/>
          <w:sz w:val="32"/>
          <w:szCs w:val="32"/>
          <w:highlight w:val="none"/>
          <w:lang w:val="en-US" w:eastAsia="zh-CN" w:bidi="ar-SA"/>
        </w:rPr>
        <w:t>指标值：显著提高，实际完成值：显著提高，指标完成率</w:t>
      </w:r>
      <w:r>
        <w:rPr>
          <w:rFonts w:hint="eastAsia" w:ascii="Times New Roman" w:hAnsi="Times New Roman" w:eastAsia="仿宋_GB2312" w:cs="Times New Roman"/>
          <w:b w:val="0"/>
          <w:bCs w:val="0"/>
          <w:color w:val="auto"/>
          <w:kern w:val="2"/>
          <w:sz w:val="32"/>
          <w:szCs w:val="32"/>
          <w:highlight w:val="none"/>
          <w:lang w:val="en-US" w:eastAsia="zh-CN" w:bidi="ar-SA"/>
        </w:rPr>
        <w:t>100</w:t>
      </w:r>
      <w:r>
        <w:rPr>
          <w:rFonts w:hint="default" w:ascii="Times New Roman" w:hAnsi="Times New Roman" w:eastAsia="仿宋_GB2312" w:cs="Times New Roman"/>
          <w:b w:val="0"/>
          <w:bCs w:val="0"/>
          <w:color w:val="auto"/>
          <w:kern w:val="2"/>
          <w:sz w:val="32"/>
          <w:szCs w:val="32"/>
          <w:highlight w:val="none"/>
          <w:lang w:val="en-US" w:eastAsia="zh-CN" w:bidi="ar-SA"/>
        </w:rPr>
        <w:t>%</w:t>
      </w:r>
      <w:r>
        <w:rPr>
          <w:rFonts w:hint="eastAsia" w:ascii="Times New Roman" w:hAnsi="Times New Roman" w:eastAsia="仿宋_GB2312" w:cs="Times New Roman"/>
          <w:b w:val="0"/>
          <w:bCs w:val="0"/>
          <w:color w:val="auto"/>
          <w:kern w:val="2"/>
          <w:sz w:val="32"/>
          <w:szCs w:val="32"/>
          <w:highlight w:val="none"/>
          <w:lang w:val="en-US" w:eastAsia="zh-CN" w:bidi="ar-SA"/>
        </w:rPr>
        <w:t>。</w:t>
      </w:r>
    </w:p>
    <w:p w14:paraId="0A0A2441">
      <w:pPr>
        <w:numPr>
          <w:ilvl w:val="0"/>
          <w:numId w:val="0"/>
        </w:num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①满意度指标</w:t>
      </w:r>
    </w:p>
    <w:p w14:paraId="1A13D20A">
      <w:pPr>
        <w:pStyle w:val="2"/>
        <w:tabs>
          <w:tab w:val="left" w:pos="594"/>
        </w:tabs>
        <w:ind w:firstLine="640" w:firstLineChars="200"/>
        <w:jc w:val="left"/>
        <w:rPr>
          <w:rFonts w:hint="default" w:ascii="Times New Roman" w:hAnsi="Times New Roman" w:eastAsia="仿宋_GB2312" w:cs="Times New Roman"/>
          <w:b w:val="0"/>
          <w:bCs w:val="0"/>
          <w:color w:val="auto"/>
          <w:kern w:val="2"/>
          <w:sz w:val="32"/>
          <w:szCs w:val="32"/>
          <w:highlight w:val="none"/>
          <w:lang w:val="en-US" w:eastAsia="zh-CN" w:bidi="ar-SA"/>
        </w:rPr>
      </w:pPr>
      <w:r>
        <w:rPr>
          <w:rFonts w:hint="default" w:ascii="Times New Roman" w:hAnsi="Times New Roman" w:eastAsia="仿宋_GB2312" w:cs="Times New Roman"/>
          <w:b w:val="0"/>
          <w:bCs w:val="0"/>
          <w:color w:val="auto"/>
          <w:kern w:val="2"/>
          <w:sz w:val="32"/>
          <w:szCs w:val="32"/>
          <w:highlight w:val="none"/>
          <w:lang w:val="en-US" w:eastAsia="zh-CN" w:bidi="ar-SA"/>
        </w:rPr>
        <w:t>指标1：受益部门满意度（%）指标，</w:t>
      </w:r>
      <w:r>
        <w:rPr>
          <w:rFonts w:hint="eastAsia" w:ascii="Times New Roman" w:hAnsi="Times New Roman" w:eastAsia="仿宋_GB2312" w:cs="Times New Roman"/>
          <w:b w:val="0"/>
          <w:bCs w:val="0"/>
          <w:color w:val="auto"/>
          <w:kern w:val="2"/>
          <w:sz w:val="32"/>
          <w:szCs w:val="32"/>
          <w:highlight w:val="none"/>
          <w:lang w:val="en-US" w:eastAsia="zh-CN" w:bidi="ar-SA"/>
        </w:rPr>
        <w:t>指标值：</w:t>
      </w:r>
      <w:r>
        <w:rPr>
          <w:rFonts w:hint="default" w:ascii="Times New Roman" w:hAnsi="Times New Roman" w:eastAsia="仿宋_GB2312" w:cs="Times New Roman"/>
          <w:b w:val="0"/>
          <w:bCs w:val="0"/>
          <w:color w:val="auto"/>
          <w:kern w:val="2"/>
          <w:sz w:val="32"/>
          <w:szCs w:val="32"/>
          <w:highlight w:val="none"/>
          <w:lang w:val="en-US" w:eastAsia="zh-CN" w:bidi="ar-SA"/>
        </w:rPr>
        <w:t>预期指标值为&gt;=95%</w:t>
      </w:r>
      <w:r>
        <w:rPr>
          <w:rFonts w:hint="eastAsia" w:ascii="Times New Roman" w:hAnsi="Times New Roman" w:eastAsia="仿宋_GB2312" w:cs="Times New Roman"/>
          <w:b w:val="0"/>
          <w:bCs w:val="0"/>
          <w:color w:val="auto"/>
          <w:kern w:val="2"/>
          <w:sz w:val="32"/>
          <w:szCs w:val="32"/>
          <w:highlight w:val="none"/>
          <w:lang w:val="en-US" w:eastAsia="zh-CN" w:bidi="ar-SA"/>
        </w:rPr>
        <w:t>，完成值：</w:t>
      </w:r>
      <w:r>
        <w:rPr>
          <w:rFonts w:hint="default" w:ascii="Times New Roman" w:hAnsi="Times New Roman" w:eastAsia="仿宋_GB2312" w:cs="Times New Roman"/>
          <w:b w:val="0"/>
          <w:bCs w:val="0"/>
          <w:color w:val="auto"/>
          <w:kern w:val="2"/>
          <w:sz w:val="32"/>
          <w:szCs w:val="32"/>
          <w:highlight w:val="none"/>
          <w:lang w:val="en-US" w:eastAsia="zh-CN" w:bidi="ar-SA"/>
        </w:rPr>
        <w:t>95%</w:t>
      </w:r>
      <w:r>
        <w:rPr>
          <w:rFonts w:hint="eastAsia" w:ascii="Times New Roman" w:hAnsi="Times New Roman" w:eastAsia="仿宋_GB2312" w:cs="Times New Roman"/>
          <w:b w:val="0"/>
          <w:bCs w:val="0"/>
          <w:color w:val="auto"/>
          <w:kern w:val="2"/>
          <w:sz w:val="32"/>
          <w:szCs w:val="32"/>
          <w:highlight w:val="none"/>
          <w:lang w:val="en-US" w:eastAsia="zh-CN" w:bidi="ar-SA"/>
        </w:rPr>
        <w:t>,</w:t>
      </w:r>
      <w:r>
        <w:rPr>
          <w:rFonts w:hint="default" w:ascii="Times New Roman" w:hAnsi="Times New Roman" w:eastAsia="仿宋_GB2312" w:cs="Times New Roman"/>
          <w:b w:val="0"/>
          <w:bCs w:val="0"/>
          <w:color w:val="auto"/>
          <w:kern w:val="2"/>
          <w:sz w:val="32"/>
          <w:szCs w:val="32"/>
          <w:highlight w:val="none"/>
          <w:lang w:val="en-US" w:eastAsia="zh-CN" w:bidi="ar-SA"/>
        </w:rPr>
        <w:t>指标完成率</w:t>
      </w:r>
      <w:r>
        <w:rPr>
          <w:rFonts w:hint="eastAsia" w:ascii="Times New Roman" w:hAnsi="Times New Roman" w:eastAsia="仿宋_GB2312" w:cs="Times New Roman"/>
          <w:b w:val="0"/>
          <w:bCs w:val="0"/>
          <w:color w:val="auto"/>
          <w:kern w:val="2"/>
          <w:sz w:val="32"/>
          <w:szCs w:val="32"/>
          <w:highlight w:val="none"/>
          <w:lang w:val="en-US" w:eastAsia="zh-CN" w:bidi="ar-SA"/>
        </w:rPr>
        <w:t>100</w:t>
      </w:r>
      <w:r>
        <w:rPr>
          <w:rFonts w:hint="default" w:ascii="Times New Roman" w:hAnsi="Times New Roman" w:eastAsia="仿宋_GB2312" w:cs="Times New Roman"/>
          <w:b w:val="0"/>
          <w:bCs w:val="0"/>
          <w:color w:val="auto"/>
          <w:kern w:val="2"/>
          <w:sz w:val="32"/>
          <w:szCs w:val="32"/>
          <w:highlight w:val="none"/>
          <w:lang w:val="en-US" w:eastAsia="zh-CN" w:bidi="ar-SA"/>
        </w:rPr>
        <w:t>%</w:t>
      </w:r>
      <w:r>
        <w:rPr>
          <w:rFonts w:hint="eastAsia" w:ascii="Times New Roman" w:hAnsi="Times New Roman" w:eastAsia="仿宋_GB2312" w:cs="Times New Roman"/>
          <w:b w:val="0"/>
          <w:bCs w:val="0"/>
          <w:color w:val="auto"/>
          <w:kern w:val="2"/>
          <w:sz w:val="32"/>
          <w:szCs w:val="32"/>
          <w:highlight w:val="none"/>
          <w:lang w:val="en-US" w:eastAsia="zh-CN" w:bidi="ar-SA"/>
        </w:rPr>
        <w:t>。</w:t>
      </w:r>
    </w:p>
    <w:p w14:paraId="40389A41">
      <w:pPr>
        <w:spacing w:line="560" w:lineRule="exact"/>
        <w:ind w:firstLine="643" w:firstLineChars="200"/>
        <w:rPr>
          <w:rFonts w:hint="default" w:ascii="Times New Roman" w:hAnsi="Times New Roman" w:eastAsia="楷体_GB2312" w:cs="Times New Roman"/>
          <w:b/>
          <w:bCs/>
          <w:sz w:val="32"/>
          <w:szCs w:val="32"/>
          <w:lang w:val="en-US" w:eastAsia="zh-Hans"/>
        </w:rPr>
      </w:pPr>
      <w:r>
        <w:rPr>
          <w:rFonts w:hint="default" w:ascii="Times New Roman" w:hAnsi="Times New Roman" w:eastAsia="楷体_GB2312" w:cs="Times New Roman"/>
          <w:b/>
          <w:bCs/>
          <w:sz w:val="32"/>
          <w:szCs w:val="32"/>
          <w:lang w:val="en-US" w:eastAsia="zh-CN"/>
        </w:rPr>
        <w:t>（五）</w:t>
      </w:r>
      <w:r>
        <w:rPr>
          <w:rFonts w:hint="default" w:ascii="Times New Roman" w:hAnsi="Times New Roman" w:eastAsia="楷体_GB2312" w:cs="Times New Roman"/>
          <w:b/>
          <w:bCs/>
          <w:sz w:val="32"/>
          <w:szCs w:val="32"/>
          <w:lang w:val="en-US" w:eastAsia="zh-Hans"/>
        </w:rPr>
        <w:t>预算执行进度与绩效指标总体完成率偏差</w:t>
      </w:r>
    </w:p>
    <w:p w14:paraId="7EC45A69">
      <w:pPr>
        <w:shd w:val="clear"/>
        <w:spacing w:line="600" w:lineRule="exact"/>
        <w:ind w:firstLine="640" w:firstLineChars="200"/>
        <w:outlineLvl w:val="0"/>
        <w:rPr>
          <w:rFonts w:hint="eastAsia"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202</w:t>
      </w:r>
      <w:r>
        <w:rPr>
          <w:rFonts w:hint="eastAsia" w:eastAsia="仿宋_GB2312" w:cs="Times New Roman"/>
          <w:color w:val="auto"/>
          <w:sz w:val="32"/>
          <w:szCs w:val="32"/>
          <w:highlight w:val="none"/>
          <w:lang w:val="en-US" w:eastAsia="zh-CN"/>
        </w:rPr>
        <w:t>5</w:t>
      </w:r>
      <w:r>
        <w:rPr>
          <w:rFonts w:hint="default" w:ascii="Times New Roman" w:hAnsi="Times New Roman" w:eastAsia="仿宋_GB2312" w:cs="Times New Roman"/>
          <w:color w:val="auto"/>
          <w:sz w:val="32"/>
          <w:szCs w:val="32"/>
          <w:highlight w:val="none"/>
          <w:lang w:val="en-US" w:eastAsia="zh-CN"/>
        </w:rPr>
        <w:t>年党报党刊征订项目年初预算</w:t>
      </w:r>
      <w:r>
        <w:rPr>
          <w:rFonts w:hint="eastAsia" w:ascii="Times New Roman" w:hAnsi="Times New Roman" w:eastAsia="仿宋_GB2312" w:cs="Times New Roman"/>
          <w:color w:val="auto"/>
          <w:sz w:val="32"/>
          <w:szCs w:val="32"/>
          <w:highlight w:val="none"/>
          <w:lang w:val="en-US" w:eastAsia="zh-CN"/>
        </w:rPr>
        <w:t>149.02</w:t>
      </w:r>
      <w:r>
        <w:rPr>
          <w:rFonts w:hint="default" w:ascii="Times New Roman" w:hAnsi="Times New Roman" w:eastAsia="仿宋_GB2312" w:cs="Times New Roman"/>
          <w:color w:val="auto"/>
          <w:sz w:val="32"/>
          <w:szCs w:val="32"/>
          <w:highlight w:val="none"/>
          <w:lang w:val="en-US" w:eastAsia="zh-CN"/>
        </w:rPr>
        <w:t>万元，全年预算</w:t>
      </w:r>
      <w:r>
        <w:rPr>
          <w:rFonts w:hint="eastAsia" w:ascii="Times New Roman" w:hAnsi="Times New Roman" w:eastAsia="仿宋_GB2312" w:cs="Times New Roman"/>
          <w:color w:val="auto"/>
          <w:sz w:val="32"/>
          <w:szCs w:val="32"/>
          <w:highlight w:val="none"/>
          <w:lang w:val="en-US" w:eastAsia="zh-CN"/>
        </w:rPr>
        <w:t>149.02</w:t>
      </w:r>
      <w:r>
        <w:rPr>
          <w:rFonts w:hint="default" w:ascii="Times New Roman" w:hAnsi="Times New Roman" w:eastAsia="仿宋_GB2312" w:cs="Times New Roman"/>
          <w:color w:val="auto"/>
          <w:sz w:val="32"/>
          <w:szCs w:val="32"/>
          <w:highlight w:val="none"/>
          <w:lang w:val="en-US" w:eastAsia="zh-CN"/>
        </w:rPr>
        <w:t>万元，实际支出</w:t>
      </w:r>
      <w:r>
        <w:rPr>
          <w:rFonts w:hint="eastAsia" w:ascii="Times New Roman" w:hAnsi="Times New Roman" w:eastAsia="仿宋_GB2312" w:cs="Times New Roman"/>
          <w:color w:val="auto"/>
          <w:sz w:val="32"/>
          <w:szCs w:val="32"/>
          <w:highlight w:val="none"/>
          <w:lang w:val="en-US" w:eastAsia="zh-CN"/>
        </w:rPr>
        <w:t>149.02</w:t>
      </w:r>
      <w:r>
        <w:rPr>
          <w:rFonts w:hint="default" w:ascii="Times New Roman" w:hAnsi="Times New Roman" w:eastAsia="仿宋_GB2312" w:cs="Times New Roman"/>
          <w:color w:val="auto"/>
          <w:sz w:val="32"/>
          <w:szCs w:val="32"/>
          <w:highlight w:val="none"/>
          <w:lang w:val="en-US" w:eastAsia="zh-CN"/>
        </w:rPr>
        <w:t>万元，预算执行率为</w:t>
      </w:r>
      <w:r>
        <w:rPr>
          <w:rFonts w:hint="eastAsia" w:ascii="Times New Roman" w:hAnsi="Times New Roman"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lang w:val="en-US" w:eastAsia="zh-CN"/>
        </w:rPr>
        <w:t>%，项目绩效指标总体完成率为</w:t>
      </w:r>
      <w:r>
        <w:rPr>
          <w:rFonts w:hint="eastAsia" w:ascii="Times New Roman" w:hAnsi="Times New Roman"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Hans"/>
        </w:rPr>
        <w:t>总体</w:t>
      </w:r>
      <w:r>
        <w:rPr>
          <w:rFonts w:hint="default" w:ascii="Times New Roman" w:hAnsi="Times New Roman" w:eastAsia="仿宋_GB2312" w:cs="Times New Roman"/>
          <w:color w:val="auto"/>
          <w:sz w:val="32"/>
          <w:szCs w:val="32"/>
          <w:highlight w:val="none"/>
          <w:lang w:val="en-US" w:eastAsia="zh-CN"/>
        </w:rPr>
        <w:t>偏差率为</w:t>
      </w:r>
      <w:r>
        <w:rPr>
          <w:rFonts w:hint="eastAsia" w:ascii="Times New Roman" w:hAnsi="Times New Roman" w:eastAsia="仿宋_GB2312" w:cs="Times New Roman"/>
          <w:color w:val="auto"/>
          <w:sz w:val="32"/>
          <w:szCs w:val="32"/>
          <w:highlight w:val="none"/>
          <w:lang w:val="en-US" w:eastAsia="zh-CN"/>
        </w:rPr>
        <w:t>0</w:t>
      </w:r>
      <w:r>
        <w:rPr>
          <w:rFonts w:hint="default" w:ascii="Times New Roman" w:hAnsi="Times New Roman" w:eastAsia="仿宋_GB2312" w:cs="Times New Roman"/>
          <w:color w:val="auto"/>
          <w:sz w:val="32"/>
          <w:szCs w:val="32"/>
          <w:highlight w:val="none"/>
          <w:lang w:val="en-US" w:eastAsia="zh-CN"/>
        </w:rPr>
        <w:t>%</w:t>
      </w:r>
      <w:r>
        <w:rPr>
          <w:rFonts w:hint="eastAsia" w:ascii="Times New Roman" w:hAnsi="Times New Roman" w:eastAsia="仿宋_GB2312" w:cs="Times New Roman"/>
          <w:color w:val="auto"/>
          <w:sz w:val="32"/>
          <w:szCs w:val="32"/>
          <w:highlight w:val="none"/>
          <w:lang w:val="en-US" w:eastAsia="zh-CN"/>
        </w:rPr>
        <w:t>。</w:t>
      </w:r>
    </w:p>
    <w:p w14:paraId="140885EF">
      <w:pPr>
        <w:spacing w:line="560" w:lineRule="exact"/>
        <w:ind w:firstLine="640" w:firstLineChars="200"/>
        <w:rPr>
          <w:rStyle w:val="18"/>
          <w:rFonts w:hint="default" w:ascii="Times New Roman" w:hAnsi="Times New Roman" w:cs="Times New Roman"/>
          <w:color w:val="auto"/>
        </w:rPr>
      </w:pPr>
      <w:r>
        <w:rPr>
          <w:rFonts w:hint="eastAsia" w:eastAsia="黑体" w:cs="Times New Roman"/>
          <w:sz w:val="32"/>
          <w:szCs w:val="32"/>
          <w:lang w:val="en-US" w:eastAsia="zh-CN"/>
        </w:rPr>
        <w:t>五、</w:t>
      </w:r>
      <w:r>
        <w:rPr>
          <w:rFonts w:hint="default" w:ascii="Times New Roman" w:hAnsi="Times New Roman" w:eastAsia="黑体" w:cs="Times New Roman"/>
          <w:sz w:val="32"/>
          <w:szCs w:val="32"/>
        </w:rPr>
        <w:t>主要经验及做法、存在的问题及原因分析</w:t>
      </w:r>
    </w:p>
    <w:p w14:paraId="0776064D">
      <w:pPr>
        <w:spacing w:line="560" w:lineRule="exact"/>
        <w:ind w:firstLine="627" w:firstLineChars="200"/>
        <w:rPr>
          <w:rFonts w:hint="default" w:ascii="Times New Roman" w:hAnsi="Times New Roman" w:eastAsia="楷体" w:cs="Times New Roman"/>
          <w:b/>
          <w:spacing w:val="-4"/>
          <w:sz w:val="32"/>
          <w:szCs w:val="32"/>
        </w:rPr>
      </w:pPr>
      <w:r>
        <w:rPr>
          <w:rFonts w:hint="default" w:ascii="Times New Roman" w:hAnsi="Times New Roman" w:eastAsia="楷体" w:cs="Times New Roman"/>
          <w:b/>
          <w:spacing w:val="-4"/>
          <w:sz w:val="32"/>
          <w:szCs w:val="32"/>
        </w:rPr>
        <w:t>（一）主要经验及做法</w:t>
      </w:r>
    </w:p>
    <w:p w14:paraId="2980BCE8">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奇台县委宣传部单位建立健全了预算管理规章制度，各部门严格按预算编制的原则和要求做好当年预算编制工作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14:paraId="11A2C822">
      <w:pPr>
        <w:pStyle w:val="2"/>
        <w:spacing w:before="0" w:after="0" w:line="560" w:lineRule="exact"/>
        <w:ind w:firstLine="640" w:firstLineChars="200"/>
        <w:jc w:val="left"/>
        <w:rPr>
          <w:rFonts w:hint="default" w:ascii="Times New Roman" w:hAnsi="Times New Roman" w:eastAsia="仿宋_GB2312" w:cs="Times New Roman"/>
          <w:b w:val="0"/>
          <w:bCs w:val="0"/>
          <w:kern w:val="2"/>
        </w:rPr>
      </w:pPr>
      <w:r>
        <w:rPr>
          <w:rFonts w:hint="default" w:ascii="Times New Roman" w:hAnsi="Times New Roman" w:eastAsia="仿宋_GB2312" w:cs="Times New Roman"/>
          <w:b w:val="0"/>
          <w:bCs w:val="0"/>
          <w:kern w:val="2"/>
        </w:rPr>
        <w:t>严格坚持先做事、后验收、再拨付的原则，</w:t>
      </w:r>
      <w:r>
        <w:rPr>
          <w:rFonts w:hint="eastAsia" w:ascii="Times New Roman" w:hAnsi="Times New Roman" w:eastAsia="仿宋_GB2312" w:cs="Times New Roman"/>
          <w:b w:val="0"/>
          <w:bCs w:val="0"/>
          <w:kern w:val="2"/>
          <w:lang w:eastAsia="zh-CN"/>
        </w:rPr>
        <w:t>杜绝</w:t>
      </w:r>
      <w:r>
        <w:rPr>
          <w:rFonts w:hint="default" w:ascii="Times New Roman" w:hAnsi="Times New Roman" w:eastAsia="仿宋_GB2312" w:cs="Times New Roman"/>
          <w:b w:val="0"/>
          <w:bCs w:val="0"/>
          <w:kern w:val="2"/>
        </w:rPr>
        <w:t>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14:paraId="595E3CC9">
      <w:pPr>
        <w:keepNext/>
        <w:keepLines/>
        <w:numPr>
          <w:ilvl w:val="0"/>
          <w:numId w:val="7"/>
        </w:numPr>
        <w:spacing w:line="560" w:lineRule="exac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存在的问题及原因分析</w:t>
      </w:r>
    </w:p>
    <w:p w14:paraId="24C5A5AB">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w:t>
      </w:r>
    </w:p>
    <w:p w14:paraId="4A523D90">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2.因轮岗、调动</w:t>
      </w:r>
      <w:r>
        <w:rPr>
          <w:rFonts w:hint="eastAsia" w:ascii="Times New Roman" w:hAnsi="Times New Roman" w:eastAsia="仿宋_GB2312" w:cs="Times New Roman"/>
          <w:sz w:val="32"/>
          <w:szCs w:val="32"/>
          <w:highlight w:val="none"/>
          <w:lang w:val="en-US" w:eastAsia="zh-CN"/>
        </w:rPr>
        <w:t>等</w:t>
      </w:r>
      <w:r>
        <w:rPr>
          <w:rFonts w:hint="default" w:ascii="Times New Roman" w:hAnsi="Times New Roman" w:eastAsia="仿宋_GB2312" w:cs="Times New Roman"/>
          <w:sz w:val="32"/>
          <w:szCs w:val="32"/>
          <w:highlight w:val="none"/>
          <w:lang w:val="en-US" w:eastAsia="zh-CN"/>
        </w:rPr>
        <w:t>因素使我单位绩效工作人员流动频繁，</w:t>
      </w:r>
      <w:r>
        <w:rPr>
          <w:rFonts w:hint="eastAsia" w:ascii="Times New Roman" w:hAnsi="Times New Roman" w:eastAsia="仿宋_GB2312" w:cs="Times New Roman"/>
          <w:sz w:val="32"/>
          <w:szCs w:val="32"/>
          <w:highlight w:val="none"/>
          <w:lang w:val="en-US" w:eastAsia="zh-CN"/>
        </w:rPr>
        <w:t>造成</w:t>
      </w:r>
      <w:r>
        <w:rPr>
          <w:rFonts w:hint="default" w:ascii="Times New Roman" w:hAnsi="Times New Roman" w:eastAsia="仿宋_GB2312" w:cs="Times New Roman"/>
          <w:sz w:val="32"/>
          <w:szCs w:val="32"/>
          <w:highlight w:val="none"/>
          <w:lang w:val="en-US" w:eastAsia="zh-CN"/>
        </w:rPr>
        <w:t>工作衔接不到位的情况。</w:t>
      </w:r>
    </w:p>
    <w:p w14:paraId="1DC610E1">
      <w:pPr>
        <w:spacing w:line="560" w:lineRule="exact"/>
        <w:ind w:firstLine="640" w:firstLineChars="200"/>
        <w:rPr>
          <w:rFonts w:hint="default" w:ascii="Times New Roman" w:hAnsi="Times New Roman" w:eastAsia="黑体" w:cs="Times New Roman"/>
          <w:sz w:val="32"/>
          <w:szCs w:val="32"/>
        </w:rPr>
      </w:pPr>
      <w:r>
        <w:rPr>
          <w:rFonts w:hint="eastAsia" w:eastAsia="黑体" w:cs="Times New Roman"/>
          <w:sz w:val="32"/>
          <w:szCs w:val="32"/>
          <w:lang w:val="en-US" w:eastAsia="zh-CN"/>
        </w:rPr>
        <w:t>六、</w:t>
      </w:r>
      <w:r>
        <w:rPr>
          <w:rFonts w:hint="default" w:ascii="Times New Roman" w:hAnsi="Times New Roman" w:eastAsia="黑体" w:cs="Times New Roman"/>
          <w:sz w:val="32"/>
          <w:szCs w:val="32"/>
        </w:rPr>
        <w:t>有关建议</w:t>
      </w:r>
    </w:p>
    <w:p w14:paraId="7D00B55A">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1.多进行有关绩效管理工作方面的培训。积极组织第三方开展绩效管理工作培训，进一步夯实业务基础，提高我单位绩效人员水平。</w:t>
      </w:r>
    </w:p>
    <w:p w14:paraId="063DBDFD">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2.专门设定对绩效工作人员定职、定岗、定责等相关制度措施，进一步提升我单位绩效管理工作业务水平，扎实做好绩效管理工作。</w:t>
      </w:r>
    </w:p>
    <w:p w14:paraId="38BF08BD">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3.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r>
    </w:p>
    <w:p w14:paraId="05539FA4">
      <w:pPr>
        <w:shd w:val="clear"/>
        <w:spacing w:line="600" w:lineRule="exact"/>
        <w:ind w:firstLine="640" w:firstLineChars="200"/>
        <w:outlineLvl w:val="0"/>
        <w:rPr>
          <w:rFonts w:hint="default" w:ascii="Times New Roman" w:hAnsi="Times New Roman" w:cs="Times New Roman"/>
          <w:sz w:val="22"/>
          <w:szCs w:val="28"/>
        </w:rPr>
      </w:pPr>
      <w:r>
        <w:rPr>
          <w:rFonts w:hint="default" w:ascii="Times New Roman" w:hAnsi="Times New Roman" w:eastAsia="仿宋_GB2312" w:cs="Times New Roman"/>
          <w:sz w:val="32"/>
          <w:szCs w:val="32"/>
          <w:highlight w:val="none"/>
          <w:lang w:val="en-US" w:eastAsia="zh-CN"/>
        </w:rPr>
        <w:t>4.进一步完善项目评价过程中有关数据和资料的收集、整理、审核及分析。项目启动时同步做好档案的归纳与整理，及时整理、收集、汇总，健全档案资料。项目后续管理有待进一步加强和跟踪</w:t>
      </w:r>
      <w:r>
        <w:rPr>
          <w:rFonts w:hint="default" w:ascii="Times New Roman" w:hAnsi="Times New Roman" w:eastAsia="仿宋_GB2312" w:cs="Times New Roman"/>
          <w:sz w:val="36"/>
          <w:szCs w:val="32"/>
        </w:rPr>
        <w:t>。</w:t>
      </w:r>
    </w:p>
    <w:p w14:paraId="4D3CD1DF">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5.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14:paraId="18FEC244">
      <w:pPr>
        <w:spacing w:line="560" w:lineRule="exact"/>
        <w:ind w:firstLine="640" w:firstLineChars="200"/>
        <w:rPr>
          <w:rFonts w:hint="default" w:ascii="Times New Roman" w:hAnsi="Times New Roman" w:eastAsia="黑体" w:cs="Times New Roman"/>
          <w:sz w:val="32"/>
          <w:szCs w:val="32"/>
        </w:rPr>
      </w:pPr>
      <w:r>
        <w:rPr>
          <w:rFonts w:hint="eastAsia" w:eastAsia="黑体" w:cs="Times New Roman"/>
          <w:sz w:val="32"/>
          <w:szCs w:val="32"/>
          <w:lang w:val="en-US" w:eastAsia="zh-CN"/>
        </w:rPr>
        <w:t>七、</w:t>
      </w:r>
      <w:r>
        <w:rPr>
          <w:rFonts w:hint="default" w:ascii="Times New Roman" w:hAnsi="Times New Roman" w:eastAsia="黑体" w:cs="Times New Roman"/>
          <w:sz w:val="32"/>
          <w:szCs w:val="32"/>
        </w:rPr>
        <w:t>其他需要说</w:t>
      </w:r>
      <w:bookmarkStart w:id="0" w:name="page8"/>
      <w:bookmarkEnd w:id="0"/>
      <w:r>
        <w:rPr>
          <w:rFonts w:hint="default" w:ascii="Times New Roman" w:hAnsi="Times New Roman" w:eastAsia="黑体" w:cs="Times New Roman"/>
          <w:sz w:val="32"/>
          <w:szCs w:val="32"/>
        </w:rPr>
        <w:t>明的问题</w:t>
      </w:r>
    </w:p>
    <w:p w14:paraId="04D801E9">
      <w:pPr>
        <w:pStyle w:val="13"/>
        <w:spacing w:after="0" w:line="560" w:lineRule="exact"/>
        <w:ind w:left="0" w:leftChars="0" w:firstLine="640"/>
        <w:rPr>
          <w:rFonts w:hint="default" w:ascii="Times New Roman" w:hAnsi="Times New Roman" w:eastAsia="仿宋_GB2312" w:cs="Times New Roman"/>
          <w:sz w:val="32"/>
          <w:szCs w:val="32"/>
          <w:lang w:eastAsia="zh-Hans"/>
        </w:rPr>
      </w:pPr>
      <w:r>
        <w:rPr>
          <w:rFonts w:hint="default" w:ascii="Times New Roman" w:hAnsi="Times New Roman" w:eastAsia="仿宋_GB2312" w:cs="Times New Roman"/>
          <w:sz w:val="32"/>
          <w:szCs w:val="32"/>
          <w:lang w:eastAsia="zh-Hans"/>
        </w:rPr>
        <w:t>本项目无其他需说明的问题。</w:t>
      </w:r>
    </w:p>
    <w:p w14:paraId="79A09DEB">
      <w:pPr>
        <w:pStyle w:val="13"/>
        <w:spacing w:after="0" w:line="560" w:lineRule="exact"/>
        <w:ind w:left="0" w:leftChars="0" w:firstLine="0" w:firstLineChars="0"/>
        <w:rPr>
          <w:rFonts w:hint="eastAsia" w:ascii="Times New Roman" w:hAnsi="Times New Roman" w:eastAsia="仿宋_GB2312" w:cs="Times New Roman"/>
          <w:sz w:val="32"/>
          <w:szCs w:val="32"/>
          <w:lang w:eastAsia="zh-CN"/>
        </w:rPr>
      </w:pPr>
    </w:p>
    <w:p w14:paraId="7ED76CA5">
      <w:pPr>
        <w:pStyle w:val="13"/>
        <w:spacing w:after="0" w:line="560" w:lineRule="exact"/>
        <w:ind w:left="0" w:leftChars="0" w:firstLine="640"/>
        <w:rPr>
          <w:rFonts w:hint="default" w:ascii="Times New Roman" w:hAnsi="Times New Roman" w:eastAsia="仿宋_GB2312" w:cs="Times New Roman"/>
          <w:sz w:val="32"/>
          <w:szCs w:val="32"/>
        </w:rPr>
      </w:pPr>
    </w:p>
    <w:p w14:paraId="0D7A095C">
      <w:pPr>
        <w:pStyle w:val="13"/>
        <w:spacing w:after="0" w:line="560" w:lineRule="exact"/>
        <w:ind w:left="0" w:leftChars="0" w:firstLine="640"/>
        <w:rPr>
          <w:rFonts w:hint="default" w:ascii="Times New Roman" w:hAnsi="Times New Roman" w:eastAsia="仿宋_GB2312" w:cs="Times New Roman"/>
          <w:sz w:val="32"/>
          <w:szCs w:val="32"/>
        </w:rPr>
      </w:pPr>
    </w:p>
    <w:p w14:paraId="13D0135C">
      <w:pPr>
        <w:pStyle w:val="13"/>
        <w:spacing w:after="0" w:line="560" w:lineRule="exact"/>
        <w:ind w:left="0" w:leftChars="0" w:firstLine="0" w:firstLineChars="0"/>
        <w:rPr>
          <w:rFonts w:hint="default" w:ascii="Times New Roman" w:hAnsi="Times New Roman" w:eastAsia="仿宋_GB2312" w:cs="Times New Roman"/>
          <w:sz w:val="32"/>
          <w:szCs w:val="32"/>
        </w:rPr>
      </w:pPr>
    </w:p>
    <w:p w14:paraId="33AD1FE7">
      <w:pPr>
        <w:spacing w:line="600" w:lineRule="exact"/>
        <w:rPr>
          <w:rFonts w:hint="eastAsia" w:ascii="Times New Roman" w:hAnsi="Times New Roman" w:eastAsia="黑体" w:cs="Times New Roman"/>
          <w:sz w:val="32"/>
          <w:szCs w:val="32"/>
          <w:lang w:val="en-US" w:eastAsia="zh-CN"/>
        </w:rPr>
        <w:sectPr>
          <w:footerReference r:id="rId3" w:type="default"/>
          <w:pgSz w:w="11906" w:h="16838"/>
          <w:pgMar w:top="1440" w:right="1558" w:bottom="1440" w:left="1800" w:header="851" w:footer="992" w:gutter="0"/>
          <w:pgNumType w:start="1"/>
          <w:cols w:space="425" w:num="1"/>
          <w:docGrid w:type="lines" w:linePitch="312" w:charSpace="0"/>
        </w:sectPr>
      </w:pPr>
    </w:p>
    <w:p w14:paraId="158B055C">
      <w:pPr>
        <w:spacing w:line="600" w:lineRule="exact"/>
        <w:rPr>
          <w:rFonts w:hint="eastAsia" w:eastAsia="黑体" w:cs="Times New Roman"/>
          <w:sz w:val="32"/>
          <w:szCs w:val="32"/>
          <w:lang w:val="en-US" w:eastAsia="zh-CN"/>
        </w:rPr>
      </w:pPr>
      <w:r>
        <w:rPr>
          <w:rFonts w:hint="eastAsia" w:ascii="Times New Roman" w:hAnsi="Times New Roman" w:eastAsia="黑体" w:cs="Times New Roman"/>
          <w:sz w:val="32"/>
          <w:szCs w:val="32"/>
          <w:lang w:val="en-US" w:eastAsia="zh-CN"/>
        </w:rPr>
        <w:t>附件</w:t>
      </w:r>
      <w:r>
        <w:rPr>
          <w:rFonts w:hint="eastAsia" w:eastAsia="黑体" w:cs="Times New Roman"/>
          <w:sz w:val="32"/>
          <w:szCs w:val="32"/>
          <w:lang w:val="en-US" w:eastAsia="zh-CN"/>
        </w:rPr>
        <w:t>1</w:t>
      </w:r>
    </w:p>
    <w:p w14:paraId="4D517E6F">
      <w:pPr>
        <w:pStyle w:val="19"/>
        <w:ind w:firstLine="562"/>
        <w:jc w:val="center"/>
        <w:rPr>
          <w:rFonts w:hint="eastAsia" w:ascii="仿宋_GB2312" w:hAnsi="仿宋_GB2312" w:eastAsia="仿宋_GB2312" w:cs="仿宋_GB2312"/>
          <w:sz w:val="28"/>
          <w:szCs w:val="40"/>
        </w:rPr>
      </w:pPr>
      <w:bookmarkStart w:id="1" w:name="_Toc26499_WPSOffice_Level2"/>
      <w:bookmarkStart w:id="2" w:name="_Toc30064_WPSOffice_Level1"/>
      <w:r>
        <w:rPr>
          <w:rFonts w:hint="eastAsia" w:ascii="仿宋_GB2312" w:hAnsi="仿宋_GB2312" w:eastAsia="仿宋_GB2312" w:cs="仿宋_GB2312"/>
          <w:b/>
          <w:bCs/>
          <w:sz w:val="28"/>
          <w:szCs w:val="40"/>
        </w:rPr>
        <w:t>2025年党报党刊征订绩效评价指标体系及综合评分表</w:t>
      </w:r>
      <w:bookmarkEnd w:id="1"/>
      <w:bookmarkEnd w:id="2"/>
    </w:p>
    <w:tbl>
      <w:tblPr>
        <w:tblStyle w:val="14"/>
        <w:tblW w:w="12683"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002"/>
        <w:gridCol w:w="1000"/>
        <w:gridCol w:w="1071"/>
        <w:gridCol w:w="1725"/>
        <w:gridCol w:w="5216"/>
        <w:gridCol w:w="5"/>
        <w:gridCol w:w="1299"/>
        <w:gridCol w:w="1365"/>
      </w:tblGrid>
      <w:tr w14:paraId="0AEDCC4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52" w:hRule="atLeast"/>
          <w:tblHeader/>
          <w:jc w:val="center"/>
        </w:trPr>
        <w:tc>
          <w:tcPr>
            <w:tcW w:w="1002" w:type="dxa"/>
            <w:shd w:val="clear" w:color="auto" w:fill="FFFFFF"/>
            <w:vAlign w:val="center"/>
          </w:tcPr>
          <w:p w14:paraId="0EB71614">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一级指标</w:t>
            </w:r>
          </w:p>
        </w:tc>
        <w:tc>
          <w:tcPr>
            <w:tcW w:w="1000" w:type="dxa"/>
            <w:shd w:val="clear" w:color="auto" w:fill="FFFFFF"/>
            <w:vAlign w:val="center"/>
          </w:tcPr>
          <w:p w14:paraId="53BF1126">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二级指标</w:t>
            </w:r>
          </w:p>
        </w:tc>
        <w:tc>
          <w:tcPr>
            <w:tcW w:w="1071" w:type="dxa"/>
            <w:shd w:val="clear" w:color="auto" w:fill="FFFFFF"/>
            <w:vAlign w:val="center"/>
          </w:tcPr>
          <w:p w14:paraId="13C854B2">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三级指标</w:t>
            </w:r>
          </w:p>
        </w:tc>
        <w:tc>
          <w:tcPr>
            <w:tcW w:w="1725" w:type="dxa"/>
            <w:shd w:val="clear" w:color="auto" w:fill="FFFFFF"/>
            <w:vAlign w:val="center"/>
          </w:tcPr>
          <w:p w14:paraId="40F94534">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指标解释</w:t>
            </w:r>
          </w:p>
        </w:tc>
        <w:tc>
          <w:tcPr>
            <w:tcW w:w="5216" w:type="dxa"/>
            <w:shd w:val="clear" w:color="auto" w:fill="FFFFFF"/>
            <w:vAlign w:val="center"/>
          </w:tcPr>
          <w:p w14:paraId="489431B0">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指标说明</w:t>
            </w:r>
          </w:p>
        </w:tc>
        <w:tc>
          <w:tcPr>
            <w:tcW w:w="1304" w:type="dxa"/>
            <w:gridSpan w:val="2"/>
            <w:shd w:val="clear" w:color="auto" w:fill="FFFFFF"/>
            <w:vAlign w:val="center"/>
          </w:tcPr>
          <w:p w14:paraId="3F9AC836">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权重</w:t>
            </w:r>
          </w:p>
        </w:tc>
        <w:tc>
          <w:tcPr>
            <w:tcW w:w="1365" w:type="dxa"/>
            <w:shd w:val="clear" w:color="auto" w:fill="FFFFFF"/>
            <w:vAlign w:val="center"/>
          </w:tcPr>
          <w:p w14:paraId="6BA317FB">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得分</w:t>
            </w:r>
          </w:p>
        </w:tc>
      </w:tr>
      <w:tr w14:paraId="462E4BD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919" w:hRule="atLeast"/>
          <w:jc w:val="center"/>
        </w:trPr>
        <w:tc>
          <w:tcPr>
            <w:tcW w:w="1002" w:type="dxa"/>
            <w:vMerge w:val="restart"/>
            <w:shd w:val="clear" w:color="auto" w:fill="FFFFFF"/>
            <w:vAlign w:val="center"/>
          </w:tcPr>
          <w:p w14:paraId="70DEAF7E">
            <w:pPr>
              <w:widowControl/>
              <w:spacing w:line="0" w:lineRule="atLeast"/>
              <w:jc w:val="center"/>
              <w:rPr>
                <w:rFonts w:hint="default" w:ascii="Times New Roman" w:hAnsi="Times New Roman" w:eastAsia="仿宋_GB2312" w:cs="Times New Roman"/>
                <w:color w:val="000000"/>
                <w:kern w:val="0"/>
                <w:sz w:val="18"/>
                <w:szCs w:val="18"/>
              </w:rPr>
            </w:pPr>
          </w:p>
          <w:p w14:paraId="00630BE6">
            <w:pPr>
              <w:widowControl/>
              <w:spacing w:line="0" w:lineRule="atLeast"/>
              <w:jc w:val="center"/>
              <w:rPr>
                <w:rFonts w:hint="default" w:ascii="Times New Roman" w:hAnsi="Times New Roman" w:eastAsia="仿宋_GB2312" w:cs="Times New Roman"/>
                <w:color w:val="000000"/>
                <w:kern w:val="0"/>
                <w:sz w:val="18"/>
                <w:szCs w:val="18"/>
              </w:rPr>
            </w:pPr>
          </w:p>
          <w:p w14:paraId="362BAD03">
            <w:pPr>
              <w:widowControl/>
              <w:spacing w:line="0" w:lineRule="atLeast"/>
              <w:jc w:val="center"/>
              <w:rPr>
                <w:rFonts w:hint="default" w:ascii="Times New Roman" w:hAnsi="Times New Roman" w:eastAsia="仿宋_GB2312" w:cs="Times New Roman"/>
                <w:color w:val="000000"/>
                <w:kern w:val="0"/>
                <w:sz w:val="18"/>
                <w:szCs w:val="18"/>
              </w:rPr>
            </w:pPr>
          </w:p>
          <w:p w14:paraId="213EB62F">
            <w:pPr>
              <w:widowControl/>
              <w:spacing w:line="0" w:lineRule="atLeast"/>
              <w:jc w:val="center"/>
              <w:rPr>
                <w:rFonts w:hint="default" w:ascii="Times New Roman" w:hAnsi="Times New Roman" w:eastAsia="仿宋_GB2312" w:cs="Times New Roman"/>
                <w:color w:val="000000"/>
                <w:kern w:val="0"/>
                <w:sz w:val="18"/>
                <w:szCs w:val="18"/>
              </w:rPr>
            </w:pPr>
          </w:p>
          <w:p w14:paraId="5713BC02">
            <w:pPr>
              <w:widowControl/>
              <w:spacing w:line="0" w:lineRule="atLeast"/>
              <w:jc w:val="center"/>
              <w:rPr>
                <w:rFonts w:hint="default" w:ascii="Times New Roman" w:hAnsi="Times New Roman" w:eastAsia="仿宋_GB2312" w:cs="Times New Roman"/>
                <w:color w:val="000000"/>
                <w:kern w:val="0"/>
                <w:sz w:val="18"/>
                <w:szCs w:val="18"/>
              </w:rPr>
            </w:pPr>
          </w:p>
          <w:p w14:paraId="7E3DA046">
            <w:pPr>
              <w:widowControl/>
              <w:spacing w:line="0" w:lineRule="atLeast"/>
              <w:jc w:val="center"/>
              <w:rPr>
                <w:rFonts w:hint="default" w:ascii="Times New Roman" w:hAnsi="Times New Roman" w:eastAsia="仿宋_GB2312" w:cs="Times New Roman"/>
                <w:color w:val="000000"/>
                <w:kern w:val="0"/>
                <w:sz w:val="18"/>
                <w:szCs w:val="18"/>
              </w:rPr>
            </w:pPr>
          </w:p>
          <w:p w14:paraId="077A21B9">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决策　</w:t>
            </w:r>
          </w:p>
        </w:tc>
        <w:tc>
          <w:tcPr>
            <w:tcW w:w="1000" w:type="dxa"/>
            <w:vMerge w:val="restart"/>
            <w:shd w:val="clear" w:color="auto" w:fill="FFFFFF"/>
            <w:vAlign w:val="center"/>
          </w:tcPr>
          <w:p w14:paraId="3F04188F">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项目立项　</w:t>
            </w:r>
          </w:p>
        </w:tc>
        <w:tc>
          <w:tcPr>
            <w:tcW w:w="1071" w:type="dxa"/>
            <w:shd w:val="clear" w:color="auto" w:fill="FFFFFF"/>
            <w:vAlign w:val="center"/>
          </w:tcPr>
          <w:p w14:paraId="0A62949D">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立项依据</w:t>
            </w:r>
          </w:p>
          <w:p w14:paraId="6F07FCAF">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充分性</w:t>
            </w:r>
          </w:p>
        </w:tc>
        <w:tc>
          <w:tcPr>
            <w:tcW w:w="1725" w:type="dxa"/>
            <w:shd w:val="clear" w:color="auto" w:fill="FFFFFF"/>
            <w:vAlign w:val="center"/>
          </w:tcPr>
          <w:p w14:paraId="2C667FD6">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项目立项是否符合法律法规、相关政策、发展规划以及部门职责，用以反映和考核项目立项依据情况。</w:t>
            </w:r>
          </w:p>
        </w:tc>
        <w:tc>
          <w:tcPr>
            <w:tcW w:w="5216" w:type="dxa"/>
            <w:shd w:val="clear" w:color="auto" w:fill="FFFFFF"/>
            <w:vAlign w:val="center"/>
          </w:tcPr>
          <w:p w14:paraId="3D9D07B1">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①项目立项是否符合国家法律法规、国民经济发展规划和相关政策；</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②项目立项是否符合行业发展规划和政策要求；</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③项目立项是否与部门职责范围相符，属于部门履职所需；</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④项目是否属于公共财政支持范围，是否符合中央、地方事权支出责任划分原则；</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⑤项目是否与相关部门同类项目或部门内部相关项目重复。</w:t>
            </w:r>
          </w:p>
        </w:tc>
        <w:tc>
          <w:tcPr>
            <w:tcW w:w="1304" w:type="dxa"/>
            <w:gridSpan w:val="2"/>
            <w:shd w:val="clear" w:color="auto" w:fill="FFFFFF"/>
            <w:vAlign w:val="center"/>
          </w:tcPr>
          <w:p w14:paraId="6ECAC3AA">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3</w:t>
            </w:r>
          </w:p>
        </w:tc>
        <w:tc>
          <w:tcPr>
            <w:tcW w:w="1365" w:type="dxa"/>
            <w:shd w:val="clear" w:color="auto" w:fill="FFFFFF"/>
            <w:vAlign w:val="center"/>
          </w:tcPr>
          <w:p w14:paraId="40422A02">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14:paraId="19C8116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1002" w:type="dxa"/>
            <w:vMerge w:val="continue"/>
            <w:shd w:val="clear" w:color="auto" w:fill="FFFFFF"/>
            <w:vAlign w:val="center"/>
          </w:tcPr>
          <w:p w14:paraId="5B44E295">
            <w:pPr>
              <w:spacing w:line="0" w:lineRule="atLeast"/>
              <w:jc w:val="center"/>
              <w:rPr>
                <w:rFonts w:hint="default" w:ascii="Times New Roman" w:hAnsi="Times New Roman" w:eastAsia="仿宋_GB2312" w:cs="Times New Roman"/>
                <w:color w:val="000000"/>
                <w:kern w:val="0"/>
                <w:sz w:val="18"/>
                <w:szCs w:val="18"/>
              </w:rPr>
            </w:pPr>
          </w:p>
        </w:tc>
        <w:tc>
          <w:tcPr>
            <w:tcW w:w="1000" w:type="dxa"/>
            <w:vMerge w:val="continue"/>
            <w:shd w:val="clear" w:color="auto" w:fill="FFFFFF"/>
            <w:vAlign w:val="center"/>
          </w:tcPr>
          <w:p w14:paraId="67EC8852">
            <w:pPr>
              <w:widowControl/>
              <w:spacing w:line="0" w:lineRule="atLeast"/>
              <w:jc w:val="center"/>
              <w:rPr>
                <w:rFonts w:hint="default" w:ascii="Times New Roman" w:hAnsi="Times New Roman" w:eastAsia="仿宋_GB2312" w:cs="Times New Roman"/>
                <w:color w:val="000000"/>
                <w:kern w:val="0"/>
                <w:sz w:val="18"/>
                <w:szCs w:val="18"/>
              </w:rPr>
            </w:pPr>
          </w:p>
        </w:tc>
        <w:tc>
          <w:tcPr>
            <w:tcW w:w="1071" w:type="dxa"/>
            <w:shd w:val="clear" w:color="auto" w:fill="FFFFFF"/>
            <w:vAlign w:val="center"/>
          </w:tcPr>
          <w:p w14:paraId="07794001">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立项程序</w:t>
            </w:r>
          </w:p>
          <w:p w14:paraId="4820BD54">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规范性</w:t>
            </w:r>
          </w:p>
        </w:tc>
        <w:tc>
          <w:tcPr>
            <w:tcW w:w="1725" w:type="dxa"/>
            <w:shd w:val="clear" w:color="auto" w:fill="FFFFFF"/>
            <w:vAlign w:val="center"/>
          </w:tcPr>
          <w:p w14:paraId="56C52745">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项目申请、设立过程是否符合相关要求，用以反映和考核项目立项的规范情况。</w:t>
            </w:r>
          </w:p>
        </w:tc>
        <w:tc>
          <w:tcPr>
            <w:tcW w:w="5216" w:type="dxa"/>
            <w:shd w:val="clear" w:color="auto" w:fill="FFFFFF"/>
            <w:vAlign w:val="center"/>
          </w:tcPr>
          <w:p w14:paraId="3A60644A">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①项目是否按照规定的程序申请设立；</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②审批文件、材料是否符合相关要求；</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③事前是否已经过必要的可行性研究、专家论证、风险评估、绩效评估、集体决策。</w:t>
            </w:r>
          </w:p>
        </w:tc>
        <w:tc>
          <w:tcPr>
            <w:tcW w:w="1304" w:type="dxa"/>
            <w:gridSpan w:val="2"/>
            <w:shd w:val="clear" w:color="auto" w:fill="FFFFFF"/>
            <w:vAlign w:val="center"/>
          </w:tcPr>
          <w:p w14:paraId="1EBBCE25">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3</w:t>
            </w:r>
          </w:p>
        </w:tc>
        <w:tc>
          <w:tcPr>
            <w:tcW w:w="1365" w:type="dxa"/>
            <w:shd w:val="clear" w:color="auto" w:fill="FFFFFF"/>
            <w:vAlign w:val="center"/>
          </w:tcPr>
          <w:p w14:paraId="0FD8D675">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14:paraId="1D99061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1002" w:type="dxa"/>
            <w:vMerge w:val="continue"/>
            <w:shd w:val="clear" w:color="auto" w:fill="FFFFFF"/>
            <w:vAlign w:val="center"/>
          </w:tcPr>
          <w:p w14:paraId="2B5E7CF2">
            <w:pPr>
              <w:spacing w:line="0" w:lineRule="atLeast"/>
              <w:jc w:val="center"/>
              <w:rPr>
                <w:rFonts w:hint="default" w:ascii="Times New Roman" w:hAnsi="Times New Roman" w:eastAsia="仿宋_GB2312" w:cs="Times New Roman"/>
                <w:color w:val="000000"/>
                <w:kern w:val="0"/>
                <w:sz w:val="18"/>
                <w:szCs w:val="18"/>
              </w:rPr>
            </w:pPr>
          </w:p>
        </w:tc>
        <w:tc>
          <w:tcPr>
            <w:tcW w:w="1000" w:type="dxa"/>
            <w:vMerge w:val="restart"/>
            <w:shd w:val="clear" w:color="auto" w:fill="FFFFFF"/>
            <w:vAlign w:val="center"/>
          </w:tcPr>
          <w:p w14:paraId="1172C747">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绩效目标　</w:t>
            </w:r>
          </w:p>
        </w:tc>
        <w:tc>
          <w:tcPr>
            <w:tcW w:w="1071" w:type="dxa"/>
            <w:shd w:val="clear" w:color="auto" w:fill="FFFFFF"/>
            <w:vAlign w:val="center"/>
          </w:tcPr>
          <w:p w14:paraId="0E81069E">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绩效目标</w:t>
            </w:r>
          </w:p>
          <w:p w14:paraId="4D5A5D33">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合理性</w:t>
            </w:r>
          </w:p>
        </w:tc>
        <w:tc>
          <w:tcPr>
            <w:tcW w:w="1725" w:type="dxa"/>
            <w:shd w:val="clear" w:color="000000" w:fill="FFFFFF"/>
            <w:vAlign w:val="center"/>
          </w:tcPr>
          <w:p w14:paraId="4BCCEB1A">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项目所设定的绩效目标是否依据充分，是否符合客观实际，用以反映和考核项目绩效目标与项目实施的相符情况。</w:t>
            </w:r>
          </w:p>
        </w:tc>
        <w:tc>
          <w:tcPr>
            <w:tcW w:w="5216" w:type="dxa"/>
            <w:shd w:val="clear" w:color="000000" w:fill="FFFFFF"/>
            <w:vAlign w:val="center"/>
          </w:tcPr>
          <w:p w14:paraId="69173056">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（如未设定预算绩效目标，也可考核其他工作任务目标）</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①项目是否有绩效目标；</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②项目绩效目标与实际工作内容是否具有相关性；</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③项目预期产出效益和效果是否符合正常的业绩水平；</w:t>
            </w:r>
          </w:p>
          <w:p w14:paraId="70BF3740">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④是否与预算确定的项目投资额或资金量相匹配。</w:t>
            </w:r>
          </w:p>
        </w:tc>
        <w:tc>
          <w:tcPr>
            <w:tcW w:w="1304" w:type="dxa"/>
            <w:gridSpan w:val="2"/>
            <w:shd w:val="clear" w:color="000000" w:fill="FFFFFF"/>
            <w:vAlign w:val="center"/>
          </w:tcPr>
          <w:p w14:paraId="16833A97">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3</w:t>
            </w:r>
          </w:p>
        </w:tc>
        <w:tc>
          <w:tcPr>
            <w:tcW w:w="1365" w:type="dxa"/>
            <w:shd w:val="clear" w:color="000000" w:fill="FFFFFF"/>
            <w:vAlign w:val="center"/>
          </w:tcPr>
          <w:p w14:paraId="4DE3A941">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14:paraId="6844BC8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1002" w:type="dxa"/>
            <w:vMerge w:val="continue"/>
            <w:shd w:val="clear" w:color="auto" w:fill="FFFFFF"/>
            <w:vAlign w:val="center"/>
          </w:tcPr>
          <w:p w14:paraId="6F39B3B1">
            <w:pPr>
              <w:widowControl/>
              <w:spacing w:line="0" w:lineRule="atLeast"/>
              <w:jc w:val="center"/>
              <w:rPr>
                <w:rFonts w:hint="default" w:ascii="Times New Roman" w:hAnsi="Times New Roman" w:eastAsia="仿宋_GB2312" w:cs="Times New Roman"/>
                <w:color w:val="000000"/>
                <w:kern w:val="0"/>
                <w:sz w:val="18"/>
                <w:szCs w:val="18"/>
              </w:rPr>
            </w:pPr>
          </w:p>
        </w:tc>
        <w:tc>
          <w:tcPr>
            <w:tcW w:w="1000" w:type="dxa"/>
            <w:vMerge w:val="continue"/>
            <w:shd w:val="clear" w:color="auto" w:fill="FFFFFF"/>
            <w:vAlign w:val="center"/>
          </w:tcPr>
          <w:p w14:paraId="374A1C28">
            <w:pPr>
              <w:widowControl/>
              <w:spacing w:line="0" w:lineRule="atLeast"/>
              <w:jc w:val="center"/>
              <w:rPr>
                <w:rFonts w:hint="default" w:ascii="Times New Roman" w:hAnsi="Times New Roman" w:eastAsia="仿宋_GB2312" w:cs="Times New Roman"/>
                <w:color w:val="000000"/>
                <w:kern w:val="0"/>
                <w:sz w:val="18"/>
                <w:szCs w:val="18"/>
              </w:rPr>
            </w:pPr>
          </w:p>
        </w:tc>
        <w:tc>
          <w:tcPr>
            <w:tcW w:w="1071" w:type="dxa"/>
            <w:shd w:val="clear" w:color="auto" w:fill="FFFFFF"/>
            <w:vAlign w:val="center"/>
          </w:tcPr>
          <w:p w14:paraId="10FD5987">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绩效指标</w:t>
            </w:r>
          </w:p>
          <w:p w14:paraId="58DCC3D2">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明确性</w:t>
            </w:r>
          </w:p>
        </w:tc>
        <w:tc>
          <w:tcPr>
            <w:tcW w:w="1725" w:type="dxa"/>
            <w:shd w:val="clear" w:color="000000" w:fill="FFFFFF"/>
            <w:vAlign w:val="center"/>
          </w:tcPr>
          <w:p w14:paraId="600BA378">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依据绩效目标设定的绩效指标是否清晰、细化、可衡量等，用以反映和考核项目绩效目标的明细化情况。</w:t>
            </w:r>
          </w:p>
        </w:tc>
        <w:tc>
          <w:tcPr>
            <w:tcW w:w="5216" w:type="dxa"/>
            <w:shd w:val="clear" w:color="000000" w:fill="FFFFFF"/>
            <w:vAlign w:val="center"/>
          </w:tcPr>
          <w:p w14:paraId="0AF658CE">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①是否将项目绩效目标细化分解为具体的绩效指标；</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②是否通过清晰、可衡量的指标值予以体现；</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③是否与项目目标任务数或计划数相对应。</w:t>
            </w:r>
            <w:r>
              <w:rPr>
                <w:rFonts w:hint="default" w:ascii="Times New Roman" w:hAnsi="Times New Roman" w:eastAsia="仿宋_GB2312" w:cs="Times New Roman"/>
                <w:color w:val="000000"/>
                <w:kern w:val="0"/>
                <w:sz w:val="18"/>
                <w:szCs w:val="18"/>
              </w:rPr>
              <w:br w:type="textWrapping"/>
            </w:r>
          </w:p>
        </w:tc>
        <w:tc>
          <w:tcPr>
            <w:tcW w:w="1304" w:type="dxa"/>
            <w:gridSpan w:val="2"/>
            <w:shd w:val="clear" w:color="000000" w:fill="FFFFFF"/>
            <w:vAlign w:val="center"/>
          </w:tcPr>
          <w:p w14:paraId="5D30F2B8">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3</w:t>
            </w:r>
          </w:p>
        </w:tc>
        <w:tc>
          <w:tcPr>
            <w:tcW w:w="1365" w:type="dxa"/>
            <w:shd w:val="clear" w:color="000000" w:fill="FFFFFF"/>
            <w:vAlign w:val="center"/>
          </w:tcPr>
          <w:p w14:paraId="19956888">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14:paraId="4007E32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1002" w:type="dxa"/>
            <w:vMerge w:val="continue"/>
            <w:shd w:val="clear" w:color="auto" w:fill="FFFFFF"/>
            <w:vAlign w:val="center"/>
          </w:tcPr>
          <w:p w14:paraId="28562DCF">
            <w:pPr>
              <w:spacing w:line="0" w:lineRule="atLeast"/>
              <w:jc w:val="center"/>
              <w:rPr>
                <w:rFonts w:hint="default" w:ascii="Times New Roman" w:hAnsi="Times New Roman" w:eastAsia="仿宋_GB2312" w:cs="Times New Roman"/>
                <w:color w:val="000000"/>
                <w:kern w:val="0"/>
                <w:sz w:val="18"/>
                <w:szCs w:val="18"/>
              </w:rPr>
            </w:pPr>
          </w:p>
        </w:tc>
        <w:tc>
          <w:tcPr>
            <w:tcW w:w="1000" w:type="dxa"/>
            <w:vMerge w:val="restart"/>
            <w:shd w:val="clear" w:color="auto" w:fill="FFFFFF"/>
            <w:vAlign w:val="center"/>
          </w:tcPr>
          <w:p w14:paraId="219DE5B4">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资金投入</w:t>
            </w:r>
          </w:p>
          <w:p w14:paraId="25C7CDDA">
            <w:pPr>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　</w:t>
            </w:r>
          </w:p>
        </w:tc>
        <w:tc>
          <w:tcPr>
            <w:tcW w:w="1071" w:type="dxa"/>
            <w:shd w:val="clear" w:color="auto" w:fill="FFFFFF"/>
            <w:vAlign w:val="center"/>
          </w:tcPr>
          <w:p w14:paraId="6FE513FD">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预算编制</w:t>
            </w:r>
          </w:p>
          <w:p w14:paraId="44AC35AA">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科学性</w:t>
            </w:r>
          </w:p>
        </w:tc>
        <w:tc>
          <w:tcPr>
            <w:tcW w:w="1725" w:type="dxa"/>
            <w:shd w:val="clear" w:color="auto" w:fill="FFFFFF"/>
            <w:vAlign w:val="center"/>
          </w:tcPr>
          <w:p w14:paraId="32C1A7BE">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项目预算编制是否经过科学论证、有明确标准，资金额度与年度目标是否相适应，用以反映和考核项目预算编制的科学性、合理性情况。</w:t>
            </w:r>
          </w:p>
        </w:tc>
        <w:tc>
          <w:tcPr>
            <w:tcW w:w="5216" w:type="dxa"/>
            <w:shd w:val="clear" w:color="auto" w:fill="FFFFFF"/>
            <w:vAlign w:val="center"/>
          </w:tcPr>
          <w:p w14:paraId="36FB2F4B">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①预算编制是否经过科学论证；</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②预算内容与项目内容是否匹配；</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③预算额度测算依据是否充分，是否按照标准编制；</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④预算确定的项目投资额或资金量是否与工作任务相匹配。</w:t>
            </w:r>
          </w:p>
        </w:tc>
        <w:tc>
          <w:tcPr>
            <w:tcW w:w="1304" w:type="dxa"/>
            <w:gridSpan w:val="2"/>
            <w:shd w:val="clear" w:color="auto" w:fill="FFFFFF"/>
            <w:vAlign w:val="center"/>
          </w:tcPr>
          <w:p w14:paraId="5339ED69">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1365" w:type="dxa"/>
            <w:shd w:val="clear" w:color="auto" w:fill="FFFFFF"/>
            <w:vAlign w:val="center"/>
          </w:tcPr>
          <w:p w14:paraId="0735F16A">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14:paraId="7F78A08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1002" w:type="dxa"/>
            <w:vMerge w:val="continue"/>
            <w:shd w:val="clear" w:color="auto" w:fill="FFFFFF"/>
            <w:vAlign w:val="center"/>
          </w:tcPr>
          <w:p w14:paraId="0F184E4C">
            <w:pPr>
              <w:widowControl/>
              <w:spacing w:line="0" w:lineRule="atLeast"/>
              <w:jc w:val="center"/>
              <w:rPr>
                <w:rFonts w:hint="default" w:ascii="Times New Roman" w:hAnsi="Times New Roman" w:eastAsia="仿宋_GB2312" w:cs="Times New Roman"/>
                <w:color w:val="000000"/>
                <w:kern w:val="0"/>
                <w:sz w:val="18"/>
                <w:szCs w:val="18"/>
              </w:rPr>
            </w:pPr>
          </w:p>
        </w:tc>
        <w:tc>
          <w:tcPr>
            <w:tcW w:w="1000" w:type="dxa"/>
            <w:vMerge w:val="continue"/>
            <w:shd w:val="clear" w:color="auto" w:fill="FFFFFF"/>
            <w:vAlign w:val="center"/>
          </w:tcPr>
          <w:p w14:paraId="12E749E5">
            <w:pPr>
              <w:widowControl/>
              <w:spacing w:line="0" w:lineRule="atLeast"/>
              <w:jc w:val="center"/>
              <w:rPr>
                <w:rFonts w:hint="default" w:ascii="Times New Roman" w:hAnsi="Times New Roman" w:eastAsia="仿宋_GB2312" w:cs="Times New Roman"/>
                <w:color w:val="000000"/>
                <w:kern w:val="0"/>
                <w:sz w:val="18"/>
                <w:szCs w:val="18"/>
              </w:rPr>
            </w:pPr>
          </w:p>
        </w:tc>
        <w:tc>
          <w:tcPr>
            <w:tcW w:w="1071" w:type="dxa"/>
            <w:shd w:val="clear" w:color="auto" w:fill="FFFFFF"/>
            <w:vAlign w:val="center"/>
          </w:tcPr>
          <w:p w14:paraId="39CA7472">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资金分配</w:t>
            </w:r>
          </w:p>
          <w:p w14:paraId="0F0C38EB">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合理性</w:t>
            </w:r>
          </w:p>
        </w:tc>
        <w:tc>
          <w:tcPr>
            <w:tcW w:w="1725" w:type="dxa"/>
            <w:shd w:val="clear" w:color="auto" w:fill="FFFFFF"/>
            <w:vAlign w:val="center"/>
          </w:tcPr>
          <w:p w14:paraId="12756C5C">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项目预算资金分配是否有测算依据，与补助单位或地方实际是否相适应，用以反映和考核项目预算资金分配的科学性、合理性情况。</w:t>
            </w:r>
          </w:p>
        </w:tc>
        <w:tc>
          <w:tcPr>
            <w:tcW w:w="5216" w:type="dxa"/>
            <w:shd w:val="clear" w:color="auto" w:fill="FFFFFF"/>
            <w:vAlign w:val="center"/>
          </w:tcPr>
          <w:p w14:paraId="743E5620">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①预算资金分配依据是否充分；</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②资金分配额度是否合理，与项目单位或地方实际是否相适应。</w:t>
            </w:r>
          </w:p>
        </w:tc>
        <w:tc>
          <w:tcPr>
            <w:tcW w:w="1304" w:type="dxa"/>
            <w:gridSpan w:val="2"/>
            <w:shd w:val="clear" w:color="auto" w:fill="FFFFFF"/>
            <w:vAlign w:val="center"/>
          </w:tcPr>
          <w:p w14:paraId="503CDFEF">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1365" w:type="dxa"/>
            <w:shd w:val="clear" w:color="auto" w:fill="FFFFFF"/>
            <w:vAlign w:val="center"/>
          </w:tcPr>
          <w:p w14:paraId="03DE76F2">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14:paraId="1936EC3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1002" w:type="dxa"/>
            <w:vMerge w:val="restart"/>
            <w:shd w:val="clear" w:color="auto" w:fill="FFFFFF"/>
            <w:vAlign w:val="center"/>
          </w:tcPr>
          <w:p w14:paraId="7FB72B19">
            <w:pPr>
              <w:spacing w:line="0" w:lineRule="atLeast"/>
              <w:jc w:val="center"/>
              <w:rPr>
                <w:rFonts w:hint="default" w:ascii="Times New Roman" w:hAnsi="Times New Roman" w:eastAsia="仿宋_GB2312" w:cs="Times New Roman"/>
                <w:color w:val="000000"/>
                <w:kern w:val="0"/>
                <w:sz w:val="18"/>
                <w:szCs w:val="18"/>
              </w:rPr>
            </w:pPr>
          </w:p>
          <w:p w14:paraId="7B394792">
            <w:pPr>
              <w:spacing w:line="0" w:lineRule="atLeast"/>
              <w:jc w:val="center"/>
              <w:rPr>
                <w:rFonts w:hint="default" w:ascii="Times New Roman" w:hAnsi="Times New Roman" w:eastAsia="仿宋_GB2312" w:cs="Times New Roman"/>
                <w:color w:val="000000"/>
                <w:kern w:val="0"/>
                <w:sz w:val="18"/>
                <w:szCs w:val="18"/>
              </w:rPr>
            </w:pPr>
          </w:p>
          <w:p w14:paraId="3528B025">
            <w:pPr>
              <w:spacing w:line="0" w:lineRule="atLeast"/>
              <w:jc w:val="center"/>
              <w:rPr>
                <w:rFonts w:hint="default" w:ascii="Times New Roman" w:hAnsi="Times New Roman" w:eastAsia="仿宋_GB2312" w:cs="Times New Roman"/>
                <w:color w:val="000000"/>
                <w:kern w:val="0"/>
                <w:sz w:val="18"/>
                <w:szCs w:val="18"/>
              </w:rPr>
            </w:pPr>
          </w:p>
          <w:p w14:paraId="107F0E78">
            <w:pPr>
              <w:spacing w:line="0" w:lineRule="atLeast"/>
              <w:jc w:val="center"/>
              <w:rPr>
                <w:rFonts w:hint="default" w:ascii="Times New Roman" w:hAnsi="Times New Roman" w:eastAsia="仿宋_GB2312" w:cs="Times New Roman"/>
                <w:color w:val="000000"/>
                <w:kern w:val="0"/>
                <w:sz w:val="18"/>
                <w:szCs w:val="18"/>
              </w:rPr>
            </w:pPr>
          </w:p>
          <w:p w14:paraId="0F535BBF">
            <w:pPr>
              <w:spacing w:line="0" w:lineRule="atLeast"/>
              <w:jc w:val="center"/>
              <w:rPr>
                <w:rFonts w:hint="default" w:ascii="Times New Roman" w:hAnsi="Times New Roman" w:eastAsia="仿宋_GB2312" w:cs="Times New Roman"/>
                <w:color w:val="000000"/>
                <w:kern w:val="0"/>
                <w:sz w:val="18"/>
                <w:szCs w:val="18"/>
              </w:rPr>
            </w:pPr>
          </w:p>
          <w:p w14:paraId="5EFDC91D">
            <w:pPr>
              <w:spacing w:line="0" w:lineRule="atLeast"/>
              <w:jc w:val="center"/>
              <w:rPr>
                <w:rFonts w:hint="default" w:ascii="Times New Roman" w:hAnsi="Times New Roman" w:eastAsia="仿宋_GB2312" w:cs="Times New Roman"/>
                <w:color w:val="000000"/>
                <w:kern w:val="0"/>
                <w:sz w:val="18"/>
                <w:szCs w:val="18"/>
              </w:rPr>
            </w:pPr>
          </w:p>
          <w:p w14:paraId="71F8AF0C">
            <w:pPr>
              <w:spacing w:line="0" w:lineRule="atLeast"/>
              <w:jc w:val="center"/>
              <w:rPr>
                <w:rFonts w:hint="default" w:ascii="Times New Roman" w:hAnsi="Times New Roman" w:eastAsia="仿宋_GB2312" w:cs="Times New Roman"/>
                <w:color w:val="000000"/>
                <w:kern w:val="0"/>
                <w:sz w:val="18"/>
                <w:szCs w:val="18"/>
              </w:rPr>
            </w:pPr>
          </w:p>
          <w:p w14:paraId="06C69ECE">
            <w:pPr>
              <w:spacing w:line="0" w:lineRule="atLeast"/>
              <w:jc w:val="center"/>
              <w:rPr>
                <w:rFonts w:hint="default" w:ascii="Times New Roman" w:hAnsi="Times New Roman" w:eastAsia="仿宋_GB2312" w:cs="Times New Roman"/>
                <w:color w:val="000000"/>
                <w:kern w:val="0"/>
                <w:sz w:val="18"/>
                <w:szCs w:val="18"/>
              </w:rPr>
            </w:pPr>
          </w:p>
          <w:p w14:paraId="074C0E57">
            <w:pPr>
              <w:spacing w:line="0" w:lineRule="atLeast"/>
              <w:jc w:val="center"/>
              <w:rPr>
                <w:rFonts w:hint="default" w:ascii="Times New Roman" w:hAnsi="Times New Roman" w:eastAsia="仿宋_GB2312" w:cs="Times New Roman"/>
                <w:color w:val="000000"/>
                <w:kern w:val="0"/>
                <w:sz w:val="18"/>
                <w:szCs w:val="18"/>
              </w:rPr>
            </w:pPr>
          </w:p>
          <w:p w14:paraId="05D90628">
            <w:pPr>
              <w:spacing w:line="0" w:lineRule="atLeast"/>
              <w:jc w:val="center"/>
              <w:rPr>
                <w:rFonts w:hint="default" w:ascii="Times New Roman" w:hAnsi="Times New Roman" w:eastAsia="仿宋_GB2312" w:cs="Times New Roman"/>
                <w:color w:val="000000"/>
                <w:kern w:val="0"/>
                <w:sz w:val="18"/>
                <w:szCs w:val="18"/>
              </w:rPr>
            </w:pPr>
          </w:p>
          <w:p w14:paraId="11CC36B9">
            <w:pPr>
              <w:spacing w:line="0" w:lineRule="atLeast"/>
              <w:jc w:val="center"/>
              <w:rPr>
                <w:rFonts w:hint="default" w:ascii="Times New Roman" w:hAnsi="Times New Roman" w:eastAsia="仿宋_GB2312" w:cs="Times New Roman"/>
                <w:color w:val="000000"/>
                <w:kern w:val="0"/>
                <w:sz w:val="18"/>
                <w:szCs w:val="18"/>
              </w:rPr>
            </w:pPr>
          </w:p>
          <w:p w14:paraId="093F1FFC">
            <w:pPr>
              <w:spacing w:line="0" w:lineRule="atLeast"/>
              <w:jc w:val="center"/>
              <w:rPr>
                <w:rFonts w:hint="default" w:ascii="Times New Roman" w:hAnsi="Times New Roman" w:eastAsia="仿宋_GB2312" w:cs="Times New Roman"/>
                <w:color w:val="000000"/>
                <w:kern w:val="0"/>
                <w:sz w:val="18"/>
                <w:szCs w:val="18"/>
              </w:rPr>
            </w:pPr>
          </w:p>
          <w:p w14:paraId="09E690F8">
            <w:pPr>
              <w:spacing w:line="0" w:lineRule="atLeast"/>
              <w:jc w:val="center"/>
              <w:rPr>
                <w:rFonts w:hint="default" w:ascii="Times New Roman" w:hAnsi="Times New Roman" w:eastAsia="仿宋_GB2312" w:cs="Times New Roman"/>
                <w:color w:val="000000"/>
                <w:kern w:val="0"/>
                <w:sz w:val="18"/>
                <w:szCs w:val="18"/>
              </w:rPr>
            </w:pPr>
          </w:p>
          <w:p w14:paraId="4679AD8E">
            <w:pPr>
              <w:spacing w:line="0" w:lineRule="atLeast"/>
              <w:jc w:val="center"/>
              <w:rPr>
                <w:rFonts w:hint="default" w:ascii="Times New Roman" w:hAnsi="Times New Roman" w:eastAsia="仿宋_GB2312" w:cs="Times New Roman"/>
                <w:color w:val="000000"/>
                <w:kern w:val="0"/>
                <w:sz w:val="18"/>
                <w:szCs w:val="18"/>
              </w:rPr>
            </w:pPr>
          </w:p>
          <w:p w14:paraId="0A689444">
            <w:pPr>
              <w:spacing w:line="0" w:lineRule="atLeast"/>
              <w:jc w:val="center"/>
              <w:rPr>
                <w:rFonts w:hint="default" w:ascii="Times New Roman" w:hAnsi="Times New Roman" w:eastAsia="仿宋_GB2312" w:cs="Times New Roman"/>
                <w:color w:val="000000"/>
                <w:kern w:val="0"/>
                <w:sz w:val="18"/>
                <w:szCs w:val="18"/>
              </w:rPr>
            </w:pPr>
          </w:p>
          <w:p w14:paraId="4983D202">
            <w:pPr>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过程</w:t>
            </w:r>
          </w:p>
          <w:p w14:paraId="556BA98A">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　　</w:t>
            </w:r>
          </w:p>
        </w:tc>
        <w:tc>
          <w:tcPr>
            <w:tcW w:w="1000" w:type="dxa"/>
            <w:vMerge w:val="restart"/>
            <w:shd w:val="clear" w:color="auto" w:fill="FFFFFF"/>
            <w:vAlign w:val="center"/>
          </w:tcPr>
          <w:p w14:paraId="05E0432A">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资金管理</w:t>
            </w:r>
          </w:p>
        </w:tc>
        <w:tc>
          <w:tcPr>
            <w:tcW w:w="1071" w:type="dxa"/>
            <w:shd w:val="clear" w:color="auto" w:fill="FFFFFF"/>
            <w:vAlign w:val="center"/>
          </w:tcPr>
          <w:p w14:paraId="47DD7EC5">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资金到位率</w:t>
            </w:r>
          </w:p>
        </w:tc>
        <w:tc>
          <w:tcPr>
            <w:tcW w:w="1725" w:type="dxa"/>
            <w:shd w:val="clear" w:color="000000" w:fill="FFFFFF"/>
            <w:vAlign w:val="center"/>
          </w:tcPr>
          <w:p w14:paraId="19B4094B">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实际到位资金与预算资金的比率，用以反映和考核资金落实情况对项目实施的总体保障程度。</w:t>
            </w:r>
          </w:p>
        </w:tc>
        <w:tc>
          <w:tcPr>
            <w:tcW w:w="5216" w:type="dxa"/>
            <w:shd w:val="clear" w:color="000000" w:fill="FFFFFF"/>
            <w:vAlign w:val="center"/>
          </w:tcPr>
          <w:p w14:paraId="6A241A46">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资金到位率=（实际到位资金/预算资金）×100%。</w:t>
            </w:r>
          </w:p>
          <w:p w14:paraId="2E480E83">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实际到位资金：一定时期（本年度或项目期）内落实到具体项目的资金。</w:t>
            </w:r>
          </w:p>
          <w:p w14:paraId="42E77BDA">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预算资金：一定时期（本年度或项目期）内预算安排到具体项目的资金。</w:t>
            </w:r>
          </w:p>
        </w:tc>
        <w:tc>
          <w:tcPr>
            <w:tcW w:w="1304" w:type="dxa"/>
            <w:gridSpan w:val="2"/>
            <w:shd w:val="clear" w:color="000000" w:fill="FFFFFF"/>
            <w:vAlign w:val="center"/>
          </w:tcPr>
          <w:p w14:paraId="7B0E5978">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1365" w:type="dxa"/>
            <w:shd w:val="clear" w:color="000000" w:fill="FFFFFF"/>
            <w:vAlign w:val="center"/>
          </w:tcPr>
          <w:p w14:paraId="33F85877">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default" w:eastAsia="仿宋_GB2312" w:cs="Times New Roman"/>
                <w:b/>
                <w:bCs/>
                <w:color w:val="000000"/>
                <w:kern w:val="0"/>
                <w:sz w:val="18"/>
                <w:szCs w:val="18"/>
                <w:highlight w:val="none"/>
                <w:lang w:val="en-US" w:eastAsia="zh-CN"/>
              </w:rPr>
              <w:t>4</w:t>
            </w:r>
          </w:p>
        </w:tc>
      </w:tr>
      <w:tr w14:paraId="406E30A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1002" w:type="dxa"/>
            <w:vMerge w:val="continue"/>
            <w:shd w:val="clear" w:color="auto" w:fill="FFFFFF"/>
            <w:vAlign w:val="center"/>
          </w:tcPr>
          <w:p w14:paraId="47B00622">
            <w:pPr>
              <w:spacing w:line="0" w:lineRule="atLeast"/>
              <w:jc w:val="center"/>
              <w:rPr>
                <w:rFonts w:hint="default" w:ascii="Times New Roman" w:hAnsi="Times New Roman" w:eastAsia="仿宋_GB2312" w:cs="Times New Roman"/>
                <w:color w:val="000000"/>
                <w:kern w:val="0"/>
                <w:sz w:val="18"/>
                <w:szCs w:val="18"/>
              </w:rPr>
            </w:pPr>
          </w:p>
        </w:tc>
        <w:tc>
          <w:tcPr>
            <w:tcW w:w="1000" w:type="dxa"/>
            <w:vMerge w:val="continue"/>
            <w:shd w:val="clear" w:color="auto" w:fill="FFFFFF"/>
            <w:vAlign w:val="center"/>
          </w:tcPr>
          <w:p w14:paraId="143020DB">
            <w:pPr>
              <w:spacing w:line="0" w:lineRule="atLeast"/>
              <w:jc w:val="center"/>
              <w:rPr>
                <w:rFonts w:hint="default" w:ascii="Times New Roman" w:hAnsi="Times New Roman" w:eastAsia="仿宋_GB2312" w:cs="Times New Roman"/>
                <w:color w:val="000000"/>
                <w:kern w:val="0"/>
                <w:sz w:val="18"/>
                <w:szCs w:val="18"/>
              </w:rPr>
            </w:pPr>
          </w:p>
        </w:tc>
        <w:tc>
          <w:tcPr>
            <w:tcW w:w="1071" w:type="dxa"/>
            <w:shd w:val="clear" w:color="auto" w:fill="FFFFFF"/>
            <w:vAlign w:val="center"/>
          </w:tcPr>
          <w:p w14:paraId="48ACF959">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预算执行率</w:t>
            </w:r>
          </w:p>
        </w:tc>
        <w:tc>
          <w:tcPr>
            <w:tcW w:w="1725" w:type="dxa"/>
            <w:shd w:val="clear" w:color="auto" w:fill="FFFFFF"/>
            <w:vAlign w:val="center"/>
          </w:tcPr>
          <w:p w14:paraId="08B87F2E">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项目预算资金是否按照计划执行，用以反映或考核项目预算执行情况。</w:t>
            </w:r>
          </w:p>
        </w:tc>
        <w:tc>
          <w:tcPr>
            <w:tcW w:w="5216" w:type="dxa"/>
            <w:shd w:val="clear" w:color="auto" w:fill="FFFFFF"/>
            <w:vAlign w:val="center"/>
          </w:tcPr>
          <w:p w14:paraId="3FE97FF5">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预算执行率=（实际支出资金/实际到位资金）×100%。</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实际支出资金：一定时期（本年度或项目期）内项目实际拨付的资金。</w:t>
            </w:r>
          </w:p>
        </w:tc>
        <w:tc>
          <w:tcPr>
            <w:tcW w:w="1304" w:type="dxa"/>
            <w:gridSpan w:val="2"/>
            <w:shd w:val="clear" w:color="auto" w:fill="FFFFFF"/>
            <w:vAlign w:val="center"/>
          </w:tcPr>
          <w:p w14:paraId="3DCD08A4">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1365" w:type="dxa"/>
            <w:shd w:val="clear" w:color="auto" w:fill="FFFFFF"/>
            <w:vAlign w:val="center"/>
          </w:tcPr>
          <w:p w14:paraId="7199A770">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4</w:t>
            </w:r>
          </w:p>
        </w:tc>
      </w:tr>
      <w:tr w14:paraId="425942F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1002" w:type="dxa"/>
            <w:vMerge w:val="continue"/>
            <w:shd w:val="clear" w:color="auto" w:fill="FFFFFF"/>
            <w:vAlign w:val="center"/>
          </w:tcPr>
          <w:p w14:paraId="6B53D872">
            <w:pPr>
              <w:spacing w:line="0" w:lineRule="atLeast"/>
              <w:jc w:val="center"/>
              <w:rPr>
                <w:rFonts w:hint="default" w:ascii="Times New Roman" w:hAnsi="Times New Roman" w:eastAsia="仿宋_GB2312" w:cs="Times New Roman"/>
                <w:color w:val="000000"/>
                <w:kern w:val="0"/>
                <w:sz w:val="18"/>
                <w:szCs w:val="18"/>
              </w:rPr>
            </w:pPr>
          </w:p>
        </w:tc>
        <w:tc>
          <w:tcPr>
            <w:tcW w:w="1000" w:type="dxa"/>
            <w:shd w:val="clear" w:color="auto" w:fill="FFFFFF"/>
            <w:vAlign w:val="center"/>
          </w:tcPr>
          <w:p w14:paraId="3F639E04">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资金管理</w:t>
            </w:r>
          </w:p>
        </w:tc>
        <w:tc>
          <w:tcPr>
            <w:tcW w:w="1071" w:type="dxa"/>
            <w:shd w:val="clear" w:color="auto" w:fill="FFFFFF"/>
            <w:vAlign w:val="center"/>
          </w:tcPr>
          <w:p w14:paraId="087B10F9">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资金使用</w:t>
            </w:r>
          </w:p>
          <w:p w14:paraId="18529A69">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合规性</w:t>
            </w:r>
          </w:p>
        </w:tc>
        <w:tc>
          <w:tcPr>
            <w:tcW w:w="1725" w:type="dxa"/>
            <w:shd w:val="clear" w:color="000000" w:fill="FFFFFF"/>
            <w:vAlign w:val="center"/>
          </w:tcPr>
          <w:p w14:paraId="15D12850">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项目资金使用是否符合相关的财务管理制度规定，用以反映和考核项目资金的规范运行情况。</w:t>
            </w:r>
          </w:p>
        </w:tc>
        <w:tc>
          <w:tcPr>
            <w:tcW w:w="5216" w:type="dxa"/>
            <w:shd w:val="clear" w:color="000000" w:fill="FFFFFF"/>
            <w:vAlign w:val="center"/>
          </w:tcPr>
          <w:p w14:paraId="12D419E8">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①是否符合国家财经法规和财务管理制度以及有关专项资金管理办法的规定；</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②资金的拨付是否有完整的审批程序和手续；</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③是否符合项目预算批复或合同规定的用途；</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④是否存在截留、挤占、挪用、虚列支出等情况。</w:t>
            </w:r>
          </w:p>
        </w:tc>
        <w:tc>
          <w:tcPr>
            <w:tcW w:w="1304" w:type="dxa"/>
            <w:gridSpan w:val="2"/>
            <w:shd w:val="clear" w:color="000000" w:fill="FFFFFF"/>
            <w:vAlign w:val="center"/>
          </w:tcPr>
          <w:p w14:paraId="69EAB83D">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1365" w:type="dxa"/>
            <w:shd w:val="clear" w:color="000000" w:fill="FFFFFF"/>
            <w:vAlign w:val="center"/>
          </w:tcPr>
          <w:p w14:paraId="4B6F27D2">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14:paraId="7551BC6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1002" w:type="dxa"/>
            <w:vMerge w:val="continue"/>
            <w:shd w:val="clear" w:color="auto" w:fill="FFFFFF"/>
            <w:vAlign w:val="center"/>
          </w:tcPr>
          <w:p w14:paraId="448478FA">
            <w:pPr>
              <w:spacing w:line="0" w:lineRule="atLeast"/>
              <w:jc w:val="center"/>
              <w:rPr>
                <w:rFonts w:hint="default" w:ascii="Times New Roman" w:hAnsi="Times New Roman" w:eastAsia="仿宋_GB2312" w:cs="Times New Roman"/>
                <w:color w:val="000000"/>
                <w:kern w:val="0"/>
                <w:sz w:val="18"/>
                <w:szCs w:val="18"/>
              </w:rPr>
            </w:pPr>
          </w:p>
        </w:tc>
        <w:tc>
          <w:tcPr>
            <w:tcW w:w="1000" w:type="dxa"/>
            <w:vMerge w:val="restart"/>
            <w:shd w:val="clear" w:color="auto" w:fill="FFFFFF"/>
            <w:vAlign w:val="center"/>
          </w:tcPr>
          <w:p w14:paraId="3EA7794A">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组织实施</w:t>
            </w:r>
          </w:p>
          <w:p w14:paraId="071A5B0E">
            <w:pPr>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　</w:t>
            </w:r>
          </w:p>
        </w:tc>
        <w:tc>
          <w:tcPr>
            <w:tcW w:w="1071" w:type="dxa"/>
            <w:shd w:val="clear" w:color="auto" w:fill="FFFFFF"/>
            <w:vAlign w:val="center"/>
          </w:tcPr>
          <w:p w14:paraId="04E33179">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管理制度</w:t>
            </w:r>
          </w:p>
          <w:p w14:paraId="11F2E6DD">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健全性</w:t>
            </w:r>
          </w:p>
        </w:tc>
        <w:tc>
          <w:tcPr>
            <w:tcW w:w="1725" w:type="dxa"/>
            <w:shd w:val="clear" w:color="000000" w:fill="FFFFFF"/>
            <w:vAlign w:val="center"/>
          </w:tcPr>
          <w:p w14:paraId="53ED2706">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项目实施单位的财务和业务管理制度是否健全，用以反映和考核财务和业务管理制度对项目顺利实施的保障情况。</w:t>
            </w:r>
          </w:p>
        </w:tc>
        <w:tc>
          <w:tcPr>
            <w:tcW w:w="5216" w:type="dxa"/>
            <w:shd w:val="clear" w:color="000000" w:fill="FFFFFF"/>
            <w:vAlign w:val="center"/>
          </w:tcPr>
          <w:p w14:paraId="17AA1BDE">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①是否已制定或具有相应的财务和业务管理制度；</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②财务和业务管理制度是否合法、合规、完整。</w:t>
            </w:r>
          </w:p>
        </w:tc>
        <w:tc>
          <w:tcPr>
            <w:tcW w:w="1304" w:type="dxa"/>
            <w:gridSpan w:val="2"/>
            <w:shd w:val="clear" w:color="000000" w:fill="FFFFFF"/>
            <w:vAlign w:val="center"/>
          </w:tcPr>
          <w:p w14:paraId="6727E67A">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1365" w:type="dxa"/>
            <w:shd w:val="clear" w:color="000000" w:fill="FFFFFF"/>
            <w:vAlign w:val="center"/>
          </w:tcPr>
          <w:p w14:paraId="7A3229F9">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14:paraId="412E5B5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1002" w:type="dxa"/>
            <w:vMerge w:val="continue"/>
            <w:shd w:val="clear" w:color="auto" w:fill="FFFFFF"/>
            <w:vAlign w:val="center"/>
          </w:tcPr>
          <w:p w14:paraId="3E302FEF">
            <w:pPr>
              <w:widowControl/>
              <w:spacing w:line="0" w:lineRule="atLeast"/>
              <w:jc w:val="center"/>
              <w:rPr>
                <w:rFonts w:hint="default" w:ascii="Times New Roman" w:hAnsi="Times New Roman" w:eastAsia="仿宋_GB2312" w:cs="Times New Roman"/>
                <w:color w:val="000000"/>
                <w:kern w:val="0"/>
                <w:sz w:val="18"/>
                <w:szCs w:val="18"/>
              </w:rPr>
            </w:pPr>
          </w:p>
        </w:tc>
        <w:tc>
          <w:tcPr>
            <w:tcW w:w="1000" w:type="dxa"/>
            <w:vMerge w:val="continue"/>
            <w:shd w:val="clear" w:color="auto" w:fill="FFFFFF"/>
            <w:vAlign w:val="center"/>
          </w:tcPr>
          <w:p w14:paraId="13CEA23B">
            <w:pPr>
              <w:widowControl/>
              <w:spacing w:line="0" w:lineRule="atLeast"/>
              <w:jc w:val="center"/>
              <w:rPr>
                <w:rFonts w:hint="default" w:ascii="Times New Roman" w:hAnsi="Times New Roman" w:eastAsia="仿宋_GB2312" w:cs="Times New Roman"/>
                <w:color w:val="000000"/>
                <w:kern w:val="0"/>
                <w:sz w:val="18"/>
                <w:szCs w:val="18"/>
              </w:rPr>
            </w:pPr>
          </w:p>
        </w:tc>
        <w:tc>
          <w:tcPr>
            <w:tcW w:w="1071" w:type="dxa"/>
            <w:shd w:val="clear" w:color="auto" w:fill="FFFFFF"/>
            <w:vAlign w:val="center"/>
          </w:tcPr>
          <w:p w14:paraId="0A3B3C01">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制度执行</w:t>
            </w:r>
          </w:p>
          <w:p w14:paraId="34460B8C">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有效性</w:t>
            </w:r>
          </w:p>
        </w:tc>
        <w:tc>
          <w:tcPr>
            <w:tcW w:w="1725" w:type="dxa"/>
            <w:shd w:val="clear" w:color="000000" w:fill="FFFFFF"/>
            <w:vAlign w:val="center"/>
          </w:tcPr>
          <w:p w14:paraId="39BECEE5">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项目实施是否符合相关管理规定，用以反映和考核相关管理制度的有效执行情况。</w:t>
            </w:r>
          </w:p>
        </w:tc>
        <w:tc>
          <w:tcPr>
            <w:tcW w:w="5216" w:type="dxa"/>
            <w:shd w:val="clear" w:color="000000" w:fill="FFFFFF"/>
            <w:vAlign w:val="center"/>
          </w:tcPr>
          <w:p w14:paraId="4BDD4C1E">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①是否遵守相关法律法规和相关管理规定；</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②项目调整及支出调整手续是否完备；</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③项目合同书、验收报告、技术鉴定等资料是否齐全并及时归档；</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④项目实施的人员条件、场地设备、信息支撑等是否落实到位。</w:t>
            </w:r>
          </w:p>
        </w:tc>
        <w:tc>
          <w:tcPr>
            <w:tcW w:w="1304" w:type="dxa"/>
            <w:gridSpan w:val="2"/>
            <w:shd w:val="clear" w:color="000000" w:fill="FFFFFF"/>
            <w:vAlign w:val="center"/>
          </w:tcPr>
          <w:p w14:paraId="7A77BF51">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1365" w:type="dxa"/>
            <w:shd w:val="clear" w:color="000000" w:fill="FFFFFF"/>
            <w:vAlign w:val="center"/>
          </w:tcPr>
          <w:p w14:paraId="1B83BD24">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14:paraId="25AE171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1002" w:type="dxa"/>
            <w:vMerge w:val="restart"/>
            <w:shd w:val="clear" w:color="auto" w:fill="FFFFFF"/>
            <w:vAlign w:val="center"/>
          </w:tcPr>
          <w:p w14:paraId="0B310A09">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w:t>
            </w:r>
          </w:p>
        </w:tc>
        <w:tc>
          <w:tcPr>
            <w:tcW w:w="1000" w:type="dxa"/>
            <w:shd w:val="clear" w:color="auto" w:fill="FFFFFF"/>
            <w:vAlign w:val="center"/>
          </w:tcPr>
          <w:p w14:paraId="439320A2">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产出数量</w:t>
            </w:r>
          </w:p>
        </w:tc>
        <w:tc>
          <w:tcPr>
            <w:tcW w:w="1071" w:type="dxa"/>
            <w:shd w:val="clear" w:color="auto" w:fill="FFFFFF"/>
            <w:vAlign w:val="center"/>
          </w:tcPr>
          <w:p w14:paraId="7D4391AE">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实际完成率</w:t>
            </w:r>
          </w:p>
        </w:tc>
        <w:tc>
          <w:tcPr>
            <w:tcW w:w="1725" w:type="dxa"/>
            <w:shd w:val="clear" w:color="000000" w:fill="FFFFFF"/>
            <w:vAlign w:val="center"/>
          </w:tcPr>
          <w:p w14:paraId="1AACEE77">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项目实施的实际产出数与计划产出数的比率，用以反映和考核项目产出数量目标的实现程度。</w:t>
            </w:r>
          </w:p>
        </w:tc>
        <w:tc>
          <w:tcPr>
            <w:tcW w:w="5216" w:type="dxa"/>
            <w:shd w:val="clear" w:color="000000" w:fill="FFFFFF"/>
            <w:vAlign w:val="center"/>
          </w:tcPr>
          <w:p w14:paraId="2C537035">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实际完成率=（实际产出数/计划产出数）×100%。</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实际产出数：一定时期（本年度或项目期）内项目实际产出的产品或提供的服务数量。</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计划产出数：项目绩效目标确定的在一定时期（本年度或项目期）内计划产出的产品或提供的服务数量。</w:t>
            </w:r>
          </w:p>
        </w:tc>
        <w:tc>
          <w:tcPr>
            <w:tcW w:w="1304" w:type="dxa"/>
            <w:gridSpan w:val="2"/>
            <w:shd w:val="clear" w:color="000000" w:fill="FFFFFF"/>
            <w:vAlign w:val="center"/>
          </w:tcPr>
          <w:p w14:paraId="5090CB34">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1365" w:type="dxa"/>
            <w:shd w:val="clear" w:color="000000" w:fill="FFFFFF"/>
            <w:vAlign w:val="center"/>
          </w:tcPr>
          <w:p w14:paraId="2EB6927B">
            <w:pPr>
              <w:widowControl/>
              <w:spacing w:line="0" w:lineRule="atLeast"/>
              <w:jc w:val="center"/>
              <w:rPr>
                <w:rFonts w:hint="default" w:ascii="Times New Roman" w:hAnsi="Times New Roman" w:eastAsia="仿宋_GB2312" w:cs="Times New Roman"/>
                <w:b/>
                <w:bCs/>
                <w:color w:val="000000"/>
                <w:kern w:val="0"/>
                <w:sz w:val="18"/>
                <w:szCs w:val="18"/>
                <w:lang w:val="en-US" w:eastAsia="zh-CN"/>
              </w:rPr>
            </w:pPr>
            <w:r>
              <w:rPr>
                <w:rFonts w:hint="eastAsia" w:eastAsia="仿宋_GB2312" w:cs="Times New Roman"/>
                <w:b/>
                <w:bCs/>
                <w:color w:val="000000"/>
                <w:kern w:val="0"/>
                <w:sz w:val="18"/>
                <w:szCs w:val="18"/>
                <w:lang w:val="en-US" w:eastAsia="zh-CN"/>
              </w:rPr>
              <w:t>10</w:t>
            </w:r>
          </w:p>
        </w:tc>
      </w:tr>
      <w:tr w14:paraId="6AABAF2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73" w:hRule="atLeast"/>
          <w:jc w:val="center"/>
        </w:trPr>
        <w:tc>
          <w:tcPr>
            <w:tcW w:w="1002" w:type="dxa"/>
            <w:vMerge w:val="continue"/>
            <w:shd w:val="clear" w:color="auto" w:fill="FFFFFF"/>
            <w:vAlign w:val="center"/>
          </w:tcPr>
          <w:p w14:paraId="20DE6CE2">
            <w:pPr>
              <w:widowControl/>
              <w:spacing w:line="0" w:lineRule="atLeast"/>
              <w:jc w:val="center"/>
              <w:rPr>
                <w:rFonts w:hint="default" w:ascii="Times New Roman" w:hAnsi="Times New Roman" w:eastAsia="仿宋_GB2312" w:cs="Times New Roman"/>
                <w:color w:val="000000"/>
                <w:kern w:val="0"/>
                <w:sz w:val="18"/>
                <w:szCs w:val="18"/>
              </w:rPr>
            </w:pPr>
          </w:p>
        </w:tc>
        <w:tc>
          <w:tcPr>
            <w:tcW w:w="1000" w:type="dxa"/>
            <w:shd w:val="clear" w:color="auto" w:fill="FFFFFF"/>
            <w:vAlign w:val="center"/>
          </w:tcPr>
          <w:p w14:paraId="0AF4424E">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产出质量</w:t>
            </w:r>
          </w:p>
        </w:tc>
        <w:tc>
          <w:tcPr>
            <w:tcW w:w="1071" w:type="dxa"/>
            <w:shd w:val="clear" w:color="auto" w:fill="FFFFFF"/>
            <w:vAlign w:val="center"/>
          </w:tcPr>
          <w:p w14:paraId="21F38A71">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质量达标率</w:t>
            </w:r>
          </w:p>
        </w:tc>
        <w:tc>
          <w:tcPr>
            <w:tcW w:w="1725" w:type="dxa"/>
            <w:shd w:val="clear" w:color="000000" w:fill="FFFFFF"/>
            <w:vAlign w:val="center"/>
          </w:tcPr>
          <w:p w14:paraId="1932525F">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项目完成的质量达标产出数与实际产出数的比率，用以反映和考核项目产出质量目标的实现程度。</w:t>
            </w:r>
          </w:p>
        </w:tc>
        <w:tc>
          <w:tcPr>
            <w:tcW w:w="5216" w:type="dxa"/>
            <w:shd w:val="clear" w:color="000000" w:fill="FFFFFF"/>
            <w:vAlign w:val="center"/>
          </w:tcPr>
          <w:p w14:paraId="23B372A5">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质量达标率=（质量达标产出数/实际产出数）×100%。</w:t>
            </w:r>
          </w:p>
          <w:p w14:paraId="2D5D0620">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304" w:type="dxa"/>
            <w:gridSpan w:val="2"/>
            <w:shd w:val="clear" w:color="000000" w:fill="FFFFFF"/>
            <w:vAlign w:val="center"/>
          </w:tcPr>
          <w:p w14:paraId="514335D8">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1365" w:type="dxa"/>
            <w:shd w:val="clear" w:color="000000" w:fill="FFFFFF"/>
            <w:vAlign w:val="center"/>
          </w:tcPr>
          <w:p w14:paraId="39F67BF5">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14:paraId="2F72CB1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1002" w:type="dxa"/>
            <w:vMerge w:val="continue"/>
            <w:shd w:val="clear" w:color="auto" w:fill="FFFFFF"/>
            <w:vAlign w:val="center"/>
          </w:tcPr>
          <w:p w14:paraId="13CD12EC">
            <w:pPr>
              <w:spacing w:line="0" w:lineRule="atLeast"/>
              <w:jc w:val="center"/>
              <w:rPr>
                <w:rFonts w:hint="default" w:ascii="Times New Roman" w:hAnsi="Times New Roman" w:eastAsia="仿宋_GB2312" w:cs="Times New Roman"/>
                <w:color w:val="000000"/>
                <w:kern w:val="0"/>
                <w:sz w:val="18"/>
                <w:szCs w:val="18"/>
              </w:rPr>
            </w:pPr>
          </w:p>
        </w:tc>
        <w:tc>
          <w:tcPr>
            <w:tcW w:w="1000" w:type="dxa"/>
            <w:shd w:val="clear" w:color="auto" w:fill="FFFFFF"/>
            <w:vAlign w:val="center"/>
          </w:tcPr>
          <w:p w14:paraId="76C41AD0">
            <w:pPr>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产出时效</w:t>
            </w:r>
          </w:p>
        </w:tc>
        <w:tc>
          <w:tcPr>
            <w:tcW w:w="1071" w:type="dxa"/>
            <w:shd w:val="clear" w:color="auto" w:fill="FFFFFF"/>
            <w:vAlign w:val="center"/>
          </w:tcPr>
          <w:p w14:paraId="36D231BD">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完成及时性</w:t>
            </w:r>
          </w:p>
        </w:tc>
        <w:tc>
          <w:tcPr>
            <w:tcW w:w="1725" w:type="dxa"/>
            <w:shd w:val="clear" w:color="000000" w:fill="FFFFFF"/>
            <w:vAlign w:val="center"/>
          </w:tcPr>
          <w:p w14:paraId="440D6E7B">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项目实际完成时间与计划完成时间的比较，用以反映和考核项目产出时效目标的实现程度。</w:t>
            </w:r>
          </w:p>
        </w:tc>
        <w:tc>
          <w:tcPr>
            <w:tcW w:w="5216" w:type="dxa"/>
            <w:shd w:val="clear" w:color="000000" w:fill="FFFFFF"/>
            <w:vAlign w:val="center"/>
          </w:tcPr>
          <w:p w14:paraId="066DD180">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实际完成时间：项目实施单位完成该项目实际所耗用的时间。</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计划完成时间：按照项目实施计划或相关规定完成该项目所需的时间。</w:t>
            </w:r>
          </w:p>
        </w:tc>
        <w:tc>
          <w:tcPr>
            <w:tcW w:w="1304" w:type="dxa"/>
            <w:gridSpan w:val="2"/>
            <w:shd w:val="clear" w:color="000000" w:fill="FFFFFF"/>
            <w:vAlign w:val="center"/>
          </w:tcPr>
          <w:p w14:paraId="6F659543">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1365" w:type="dxa"/>
            <w:shd w:val="clear" w:color="000000" w:fill="FFFFFF"/>
            <w:vAlign w:val="center"/>
          </w:tcPr>
          <w:p w14:paraId="6EB5C7E0">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14:paraId="2AB200E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1002" w:type="dxa"/>
            <w:vMerge w:val="continue"/>
            <w:shd w:val="clear" w:color="auto" w:fill="FFFFFF"/>
            <w:vAlign w:val="center"/>
          </w:tcPr>
          <w:p w14:paraId="7E8BE5D4">
            <w:pPr>
              <w:widowControl/>
              <w:spacing w:line="0" w:lineRule="atLeast"/>
              <w:jc w:val="center"/>
              <w:rPr>
                <w:rFonts w:hint="default" w:ascii="Times New Roman" w:hAnsi="Times New Roman" w:eastAsia="仿宋_GB2312" w:cs="Times New Roman"/>
                <w:color w:val="000000"/>
                <w:kern w:val="0"/>
                <w:sz w:val="18"/>
                <w:szCs w:val="18"/>
              </w:rPr>
            </w:pPr>
          </w:p>
        </w:tc>
        <w:tc>
          <w:tcPr>
            <w:tcW w:w="1000" w:type="dxa"/>
            <w:shd w:val="clear" w:color="auto" w:fill="FFFFFF"/>
            <w:vAlign w:val="center"/>
          </w:tcPr>
          <w:p w14:paraId="56C6C9EA">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highlight w:val="none"/>
              </w:rPr>
              <w:t>产出成本</w:t>
            </w:r>
          </w:p>
        </w:tc>
        <w:tc>
          <w:tcPr>
            <w:tcW w:w="1071" w:type="dxa"/>
            <w:shd w:val="clear" w:color="auto" w:fill="FFFFFF"/>
            <w:vAlign w:val="center"/>
          </w:tcPr>
          <w:p w14:paraId="4A826D4A">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成本节约率</w:t>
            </w:r>
          </w:p>
        </w:tc>
        <w:tc>
          <w:tcPr>
            <w:tcW w:w="1725" w:type="dxa"/>
            <w:shd w:val="clear" w:color="000000" w:fill="FFFFFF"/>
            <w:vAlign w:val="center"/>
          </w:tcPr>
          <w:p w14:paraId="5E20D085">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完成项目计划工作目标的实际节约成本与计划成本的比率，用以反映和考核项目的成本节约程度。</w:t>
            </w:r>
          </w:p>
        </w:tc>
        <w:tc>
          <w:tcPr>
            <w:tcW w:w="5216" w:type="dxa"/>
            <w:shd w:val="clear" w:color="000000" w:fill="FFFFFF"/>
            <w:vAlign w:val="center"/>
          </w:tcPr>
          <w:p w14:paraId="6E4AD1F1">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成本节约率=[（计划成本-实际成本）/计划成本]×100%。</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实际成本：项目实施单位如期、保质、保量完成既定工作目标实际所耗费的支出。</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计划成本：项目实施单位为完成工作目标计划安排的支出，一般以项目预算为参考。</w:t>
            </w:r>
          </w:p>
        </w:tc>
        <w:tc>
          <w:tcPr>
            <w:tcW w:w="1304" w:type="dxa"/>
            <w:gridSpan w:val="2"/>
            <w:shd w:val="clear" w:color="000000" w:fill="FFFFFF"/>
            <w:vAlign w:val="center"/>
          </w:tcPr>
          <w:p w14:paraId="17205FAA">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1365" w:type="dxa"/>
            <w:shd w:val="clear" w:color="000000" w:fill="FFFFFF"/>
            <w:vAlign w:val="center"/>
          </w:tcPr>
          <w:p w14:paraId="702EFDDA">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14:paraId="2F734E2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1002" w:type="dxa"/>
            <w:vMerge w:val="restart"/>
            <w:shd w:val="clear" w:color="auto" w:fill="FFFFFF"/>
            <w:vAlign w:val="center"/>
          </w:tcPr>
          <w:p w14:paraId="65CDAE6C">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效益　</w:t>
            </w:r>
          </w:p>
        </w:tc>
        <w:tc>
          <w:tcPr>
            <w:tcW w:w="1000" w:type="dxa"/>
            <w:vMerge w:val="restart"/>
            <w:shd w:val="clear" w:color="auto" w:fill="FFFFFF"/>
            <w:vAlign w:val="center"/>
          </w:tcPr>
          <w:p w14:paraId="15BFF226">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项目效益　</w:t>
            </w:r>
          </w:p>
        </w:tc>
        <w:tc>
          <w:tcPr>
            <w:tcW w:w="1071" w:type="dxa"/>
            <w:shd w:val="clear" w:color="auto" w:fill="FFFFFF"/>
            <w:vAlign w:val="center"/>
          </w:tcPr>
          <w:p w14:paraId="5E7BB40E">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实施效益</w:t>
            </w:r>
          </w:p>
        </w:tc>
        <w:tc>
          <w:tcPr>
            <w:tcW w:w="1725" w:type="dxa"/>
            <w:shd w:val="clear" w:color="auto" w:fill="FFFFFF"/>
            <w:vAlign w:val="center"/>
          </w:tcPr>
          <w:p w14:paraId="4C35331D">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项目实施所产生的效益。</w:t>
            </w:r>
          </w:p>
        </w:tc>
        <w:tc>
          <w:tcPr>
            <w:tcW w:w="5216" w:type="dxa"/>
            <w:shd w:val="clear" w:color="auto" w:fill="FFFFFF"/>
            <w:vAlign w:val="center"/>
          </w:tcPr>
          <w:p w14:paraId="3B5B4456">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项目实施所产生的社会效益、经济效益、生态效益、可持续影响等。可根据项目实际情况有选择地设置和细化。</w:t>
            </w:r>
          </w:p>
        </w:tc>
        <w:tc>
          <w:tcPr>
            <w:tcW w:w="1304" w:type="dxa"/>
            <w:gridSpan w:val="2"/>
            <w:shd w:val="clear" w:color="auto" w:fill="FFFFFF"/>
            <w:vAlign w:val="center"/>
          </w:tcPr>
          <w:p w14:paraId="0BB4C82A">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1365" w:type="dxa"/>
            <w:shd w:val="clear" w:color="auto" w:fill="FFFFFF"/>
            <w:vAlign w:val="center"/>
          </w:tcPr>
          <w:p w14:paraId="35B3B527">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14:paraId="045B83A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1002" w:type="dxa"/>
            <w:vMerge w:val="continue"/>
            <w:shd w:val="clear" w:color="auto" w:fill="FFFFFF"/>
            <w:vAlign w:val="center"/>
          </w:tcPr>
          <w:p w14:paraId="26C5533A">
            <w:pPr>
              <w:widowControl/>
              <w:spacing w:line="0" w:lineRule="atLeast"/>
              <w:jc w:val="center"/>
              <w:rPr>
                <w:rFonts w:hint="default" w:ascii="Times New Roman" w:hAnsi="Times New Roman" w:eastAsia="仿宋_GB2312" w:cs="Times New Roman"/>
                <w:color w:val="000000"/>
                <w:kern w:val="0"/>
                <w:sz w:val="18"/>
                <w:szCs w:val="18"/>
              </w:rPr>
            </w:pPr>
          </w:p>
        </w:tc>
        <w:tc>
          <w:tcPr>
            <w:tcW w:w="1000" w:type="dxa"/>
            <w:vMerge w:val="continue"/>
            <w:shd w:val="clear" w:color="auto" w:fill="FFFFFF"/>
            <w:vAlign w:val="center"/>
          </w:tcPr>
          <w:p w14:paraId="42B6BBA7">
            <w:pPr>
              <w:widowControl/>
              <w:spacing w:line="0" w:lineRule="atLeast"/>
              <w:jc w:val="center"/>
              <w:rPr>
                <w:rFonts w:hint="default" w:ascii="Times New Roman" w:hAnsi="Times New Roman" w:eastAsia="仿宋_GB2312" w:cs="Times New Roman"/>
                <w:color w:val="000000"/>
                <w:kern w:val="0"/>
                <w:sz w:val="18"/>
                <w:szCs w:val="18"/>
              </w:rPr>
            </w:pPr>
          </w:p>
        </w:tc>
        <w:tc>
          <w:tcPr>
            <w:tcW w:w="1071" w:type="dxa"/>
            <w:shd w:val="clear" w:color="auto" w:fill="FFFFFF"/>
            <w:vAlign w:val="center"/>
          </w:tcPr>
          <w:p w14:paraId="4F347B25">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满意度</w:t>
            </w:r>
          </w:p>
        </w:tc>
        <w:tc>
          <w:tcPr>
            <w:tcW w:w="1725" w:type="dxa"/>
            <w:shd w:val="clear" w:color="000000" w:fill="FFFFFF"/>
            <w:vAlign w:val="center"/>
          </w:tcPr>
          <w:p w14:paraId="299E8CAF">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社会公众或服务对象对项目实施效果的满意程度。</w:t>
            </w:r>
          </w:p>
        </w:tc>
        <w:tc>
          <w:tcPr>
            <w:tcW w:w="5216" w:type="dxa"/>
            <w:shd w:val="clear" w:color="000000" w:fill="FFFFFF"/>
            <w:vAlign w:val="center"/>
          </w:tcPr>
          <w:p w14:paraId="2D2B3A0C">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社会公众或服务对象是指因该项目实施而受到影响的部门（单位）、群体或个人。一般采取社会调查的方式。</w:t>
            </w:r>
          </w:p>
        </w:tc>
        <w:tc>
          <w:tcPr>
            <w:tcW w:w="1304" w:type="dxa"/>
            <w:gridSpan w:val="2"/>
            <w:shd w:val="clear" w:color="000000" w:fill="FFFFFF"/>
            <w:vAlign w:val="center"/>
          </w:tcPr>
          <w:p w14:paraId="2A6E59A7">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1365" w:type="dxa"/>
            <w:shd w:val="clear" w:color="000000" w:fill="FFFFFF"/>
            <w:vAlign w:val="center"/>
          </w:tcPr>
          <w:p w14:paraId="1692192D">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14:paraId="4430CFE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93" w:hRule="atLeast"/>
          <w:jc w:val="center"/>
        </w:trPr>
        <w:tc>
          <w:tcPr>
            <w:tcW w:w="10019" w:type="dxa"/>
            <w:gridSpan w:val="6"/>
            <w:shd w:val="clear" w:color="auto" w:fill="FFFFFF"/>
            <w:vAlign w:val="center"/>
          </w:tcPr>
          <w:p w14:paraId="1258FE95">
            <w:pPr>
              <w:widowControl/>
              <w:spacing w:line="0" w:lineRule="atLeast"/>
              <w:jc w:val="center"/>
              <w:rPr>
                <w:rFonts w:hint="eastAsia"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合计</w:t>
            </w:r>
          </w:p>
        </w:tc>
        <w:tc>
          <w:tcPr>
            <w:tcW w:w="1299" w:type="dxa"/>
            <w:shd w:val="clear" w:color="000000" w:fill="FFFFFF"/>
            <w:vAlign w:val="center"/>
          </w:tcPr>
          <w:p w14:paraId="242F2429">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fldChar w:fldCharType="begin"/>
            </w:r>
            <w:r>
              <w:rPr>
                <w:rFonts w:hint="default" w:ascii="Times New Roman" w:hAnsi="Times New Roman" w:eastAsia="仿宋_GB2312" w:cs="Times New Roman"/>
                <w:b/>
                <w:bCs/>
                <w:color w:val="000000"/>
                <w:kern w:val="0"/>
                <w:sz w:val="18"/>
                <w:szCs w:val="18"/>
                <w:highlight w:val="none"/>
              </w:rPr>
              <w:instrText xml:space="preserve"> = sum(F2:F18) \* MERGEFORMAT </w:instrText>
            </w:r>
            <w:r>
              <w:rPr>
                <w:rFonts w:hint="default" w:ascii="Times New Roman" w:hAnsi="Times New Roman" w:eastAsia="仿宋_GB2312" w:cs="Times New Roman"/>
                <w:b/>
                <w:bCs/>
                <w:color w:val="000000"/>
                <w:kern w:val="0"/>
                <w:sz w:val="18"/>
                <w:szCs w:val="18"/>
                <w:highlight w:val="none"/>
              </w:rPr>
              <w:fldChar w:fldCharType="separate"/>
            </w:r>
            <w:r>
              <w:rPr>
                <w:rFonts w:hint="default" w:ascii="Times New Roman" w:hAnsi="Times New Roman" w:eastAsia="仿宋_GB2312" w:cs="Times New Roman"/>
                <w:b/>
                <w:bCs/>
                <w:color w:val="000000"/>
                <w:kern w:val="0"/>
                <w:sz w:val="18"/>
                <w:szCs w:val="18"/>
                <w:highlight w:val="none"/>
              </w:rPr>
              <w:t>100</w:t>
            </w:r>
            <w:r>
              <w:rPr>
                <w:rFonts w:hint="default" w:ascii="Times New Roman" w:hAnsi="Times New Roman" w:eastAsia="仿宋_GB2312" w:cs="Times New Roman"/>
                <w:b/>
                <w:bCs/>
                <w:color w:val="000000"/>
                <w:kern w:val="0"/>
                <w:sz w:val="18"/>
                <w:szCs w:val="18"/>
                <w:highlight w:val="none"/>
              </w:rPr>
              <w:fldChar w:fldCharType="end"/>
            </w:r>
          </w:p>
        </w:tc>
        <w:tc>
          <w:tcPr>
            <w:tcW w:w="1365" w:type="dxa"/>
            <w:shd w:val="clear" w:color="000000" w:fill="FFFFFF"/>
            <w:vAlign w:val="center"/>
          </w:tcPr>
          <w:p w14:paraId="05FF77D8">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100</w:t>
            </w:r>
          </w:p>
        </w:tc>
      </w:tr>
    </w:tbl>
    <w:p w14:paraId="77DF4E46">
      <w:pPr>
        <w:rPr>
          <w:rFonts w:hint="default" w:ascii="Times New Roman" w:hAnsi="Times New Roman" w:cs="Times New Roman"/>
        </w:rPr>
        <w:sectPr>
          <w:pgSz w:w="16838" w:h="11906" w:orient="landscape"/>
          <w:pgMar w:top="1800" w:right="1440" w:bottom="1558" w:left="1440" w:header="851" w:footer="992" w:gutter="0"/>
          <w:cols w:space="425" w:num="1"/>
          <w:docGrid w:type="lines" w:linePitch="312" w:charSpace="0"/>
        </w:sectPr>
      </w:pPr>
    </w:p>
    <w:p w14:paraId="3E467703">
      <w:pPr>
        <w:keepNext w:val="0"/>
        <w:keepLines w:val="0"/>
        <w:pageBreakBefore w:val="0"/>
        <w:widowControl w:val="0"/>
        <w:kinsoku/>
        <w:wordWrap/>
        <w:overflowPunct/>
        <w:topLinePunct w:val="0"/>
        <w:autoSpaceDE/>
        <w:autoSpaceDN/>
        <w:bidi w:val="0"/>
        <w:adjustRightInd/>
        <w:snapToGrid/>
        <w:spacing w:line="240" w:lineRule="atLeast"/>
        <w:jc w:val="left"/>
        <w:textAlignment w:val="auto"/>
        <w:rPr>
          <w:rFonts w:hint="eastAsia" w:eastAsia="黑体" w:cs="Times New Roman"/>
          <w:sz w:val="32"/>
          <w:szCs w:val="32"/>
          <w:lang w:val="en-US" w:eastAsia="zh-CN"/>
        </w:rPr>
      </w:pPr>
      <w:r>
        <w:rPr>
          <w:rFonts w:hint="eastAsia" w:ascii="Times New Roman" w:hAnsi="Times New Roman" w:eastAsia="黑体" w:cs="Times New Roman"/>
          <w:sz w:val="32"/>
          <w:szCs w:val="32"/>
          <w:lang w:val="en-US" w:eastAsia="zh-CN"/>
        </w:rPr>
        <w:t>附件</w:t>
      </w:r>
      <w:r>
        <w:rPr>
          <w:rFonts w:hint="eastAsia" w:eastAsia="黑体" w:cs="Times New Roman"/>
          <w:sz w:val="32"/>
          <w:szCs w:val="32"/>
          <w:lang w:val="en-US" w:eastAsia="zh-CN"/>
        </w:rPr>
        <w:t xml:space="preserve">2                           </w:t>
      </w:r>
      <w:bookmarkStart w:id="3" w:name="_GoBack"/>
      <w:bookmarkEnd w:id="3"/>
    </w:p>
    <w:p w14:paraId="02C2C171">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b/>
          <w:bCs/>
          <w:i w:val="0"/>
          <w:iCs w:val="0"/>
          <w:color w:val="000000"/>
          <w:kern w:val="0"/>
          <w:sz w:val="28"/>
          <w:szCs w:val="28"/>
          <w:u w:val="none"/>
          <w:lang w:val="en-US" w:eastAsia="zh-CN" w:bidi="ar"/>
        </w:rPr>
      </w:pPr>
      <w:r>
        <w:rPr>
          <w:rFonts w:hint="eastAsia" w:ascii="仿宋_GB2312" w:hAnsi="仿宋_GB2312" w:eastAsia="仿宋_GB2312" w:cs="仿宋_GB2312"/>
          <w:b/>
          <w:bCs/>
          <w:i w:val="0"/>
          <w:iCs w:val="0"/>
          <w:color w:val="000000"/>
          <w:kern w:val="0"/>
          <w:sz w:val="28"/>
          <w:szCs w:val="28"/>
          <w:u w:val="none"/>
          <w:lang w:val="en-US" w:eastAsia="zh-CN" w:bidi="ar"/>
        </w:rPr>
        <w:t>项目支出绩效自评表</w:t>
      </w:r>
    </w:p>
    <w:p w14:paraId="5A693519">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b/>
          <w:bCs/>
          <w:i w:val="0"/>
          <w:iCs w:val="0"/>
          <w:color w:val="000000"/>
          <w:kern w:val="0"/>
          <w:sz w:val="28"/>
          <w:szCs w:val="28"/>
          <w:u w:val="none"/>
          <w:lang w:val="en-US" w:eastAsia="zh-CN" w:bidi="ar"/>
        </w:rPr>
      </w:pPr>
      <w:r>
        <w:rPr>
          <w:rFonts w:hint="default" w:ascii="Times New Roman" w:hAnsi="Times New Roman" w:eastAsia="仿宋_GB2312" w:cs="Times New Roman"/>
          <w:b/>
          <w:bCs/>
          <w:i w:val="0"/>
          <w:iCs w:val="0"/>
          <w:color w:val="000000"/>
          <w:kern w:val="0"/>
          <w:sz w:val="22"/>
          <w:szCs w:val="22"/>
          <w:u w:val="none"/>
          <w:lang w:val="en-US" w:eastAsia="zh-CN" w:bidi="ar"/>
        </w:rPr>
        <w:t>（ 2024年度）</w:t>
      </w:r>
    </w:p>
    <w:tbl>
      <w:tblPr>
        <w:tblStyle w:val="14"/>
        <w:tblpPr w:leftFromText="180" w:rightFromText="180" w:vertAnchor="text" w:horzAnchor="page" w:tblpX="1373" w:tblpY="306"/>
        <w:tblOverlap w:val="never"/>
        <w:tblW w:w="1417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17"/>
        <w:gridCol w:w="997"/>
        <w:gridCol w:w="1260"/>
        <w:gridCol w:w="1870"/>
        <w:gridCol w:w="1315"/>
        <w:gridCol w:w="963"/>
        <w:gridCol w:w="459"/>
        <w:gridCol w:w="578"/>
        <w:gridCol w:w="1141"/>
        <w:gridCol w:w="952"/>
        <w:gridCol w:w="963"/>
        <w:gridCol w:w="724"/>
        <w:gridCol w:w="748"/>
        <w:gridCol w:w="1287"/>
      </w:tblGrid>
      <w:tr w14:paraId="50D1E3D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1" w:hRule="atLeast"/>
        </w:trPr>
        <w:tc>
          <w:tcPr>
            <w:tcW w:w="191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3AF5D4C">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项目名称</w:t>
            </w:r>
          </w:p>
        </w:tc>
        <w:tc>
          <w:tcPr>
            <w:tcW w:w="12260"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14:paraId="208CE118">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2025年党报党刊征订</w:t>
            </w:r>
          </w:p>
        </w:tc>
      </w:tr>
      <w:tr w14:paraId="326FCF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91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42A015E">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主管部门</w:t>
            </w:r>
          </w:p>
        </w:tc>
        <w:tc>
          <w:tcPr>
            <w:tcW w:w="586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554A303A">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中国共产党奇台县委员会宣传部</w:t>
            </w:r>
          </w:p>
        </w:tc>
        <w:tc>
          <w:tcPr>
            <w:tcW w:w="17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B936324">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实施单位</w:t>
            </w:r>
          </w:p>
        </w:tc>
        <w:tc>
          <w:tcPr>
            <w:tcW w:w="467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56C3E6C5">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中国共产党奇台县委员会宣传部</w:t>
            </w:r>
          </w:p>
        </w:tc>
      </w:tr>
      <w:tr w14:paraId="2079DBD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1914"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70F7457">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项目资金</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（万元）</w:t>
            </w:r>
          </w:p>
        </w:tc>
        <w:tc>
          <w:tcPr>
            <w:tcW w:w="313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4E3E023">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资金来源</w:t>
            </w:r>
          </w:p>
        </w:tc>
        <w:tc>
          <w:tcPr>
            <w:tcW w:w="13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FDE877">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年初预算数</w:t>
            </w:r>
          </w:p>
        </w:tc>
        <w:tc>
          <w:tcPr>
            <w:tcW w:w="142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4A1AE42">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全年预算数</w:t>
            </w:r>
          </w:p>
        </w:tc>
        <w:tc>
          <w:tcPr>
            <w:tcW w:w="17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0A82D05">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全年执行数</w:t>
            </w:r>
          </w:p>
        </w:tc>
        <w:tc>
          <w:tcPr>
            <w:tcW w:w="191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99B4788">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分值权重</w:t>
            </w:r>
          </w:p>
        </w:tc>
        <w:tc>
          <w:tcPr>
            <w:tcW w:w="14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E88BB07">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执行率</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64A1CD">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得分</w:t>
            </w:r>
          </w:p>
        </w:tc>
      </w:tr>
      <w:tr w14:paraId="6F63CCF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191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8CB6E3">
            <w:pPr>
              <w:jc w:val="center"/>
              <w:rPr>
                <w:rFonts w:hint="eastAsia" w:ascii="仿宋_GB2312" w:hAnsi="仿宋_GB2312" w:eastAsia="仿宋_GB2312" w:cs="仿宋_GB2312"/>
                <w:i w:val="0"/>
                <w:iCs w:val="0"/>
                <w:color w:val="000000"/>
                <w:sz w:val="18"/>
                <w:szCs w:val="18"/>
                <w:u w:val="none"/>
              </w:rPr>
            </w:pPr>
          </w:p>
        </w:tc>
        <w:tc>
          <w:tcPr>
            <w:tcW w:w="313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03D6B42">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年度资金总额</w:t>
            </w:r>
          </w:p>
        </w:tc>
        <w:tc>
          <w:tcPr>
            <w:tcW w:w="13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12E1D8">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149.02</w:t>
            </w:r>
          </w:p>
        </w:tc>
        <w:tc>
          <w:tcPr>
            <w:tcW w:w="142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7C4A44E">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149.02</w:t>
            </w:r>
          </w:p>
        </w:tc>
        <w:tc>
          <w:tcPr>
            <w:tcW w:w="17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C3614E6">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149.02</w:t>
            </w:r>
          </w:p>
        </w:tc>
        <w:tc>
          <w:tcPr>
            <w:tcW w:w="191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6A83A36">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10</w:t>
            </w:r>
          </w:p>
        </w:tc>
        <w:tc>
          <w:tcPr>
            <w:tcW w:w="14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67C38ED">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100.00%</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A32E6F">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10.00</w:t>
            </w:r>
          </w:p>
        </w:tc>
      </w:tr>
      <w:tr w14:paraId="05B05A3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191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493988">
            <w:pPr>
              <w:jc w:val="center"/>
              <w:rPr>
                <w:rFonts w:hint="eastAsia" w:ascii="仿宋_GB2312" w:hAnsi="仿宋_GB2312" w:eastAsia="仿宋_GB2312" w:cs="仿宋_GB2312"/>
                <w:i w:val="0"/>
                <w:iCs w:val="0"/>
                <w:color w:val="000000"/>
                <w:sz w:val="18"/>
                <w:szCs w:val="18"/>
                <w:u w:val="none"/>
              </w:rPr>
            </w:pPr>
          </w:p>
        </w:tc>
        <w:tc>
          <w:tcPr>
            <w:tcW w:w="313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FC2F019">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其中：当年财政拨款</w:t>
            </w:r>
          </w:p>
        </w:tc>
        <w:tc>
          <w:tcPr>
            <w:tcW w:w="13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960F59">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149.02</w:t>
            </w:r>
          </w:p>
        </w:tc>
        <w:tc>
          <w:tcPr>
            <w:tcW w:w="142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9CDAA43">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149.02</w:t>
            </w:r>
          </w:p>
        </w:tc>
        <w:tc>
          <w:tcPr>
            <w:tcW w:w="17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3E6C25A">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149.02</w:t>
            </w:r>
          </w:p>
        </w:tc>
        <w:tc>
          <w:tcPr>
            <w:tcW w:w="191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A6DF596">
            <w:pPr>
              <w:jc w:val="center"/>
              <w:rPr>
                <w:rFonts w:hint="eastAsia" w:ascii="仿宋_GB2312" w:hAnsi="仿宋_GB2312" w:eastAsia="仿宋_GB2312" w:cs="仿宋_GB2312"/>
                <w:i w:val="0"/>
                <w:iCs w:val="0"/>
                <w:color w:val="000000"/>
                <w:sz w:val="18"/>
                <w:szCs w:val="18"/>
                <w:u w:val="none"/>
              </w:rPr>
            </w:pPr>
          </w:p>
        </w:tc>
        <w:tc>
          <w:tcPr>
            <w:tcW w:w="14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2B3E936">
            <w:pPr>
              <w:jc w:val="center"/>
              <w:rPr>
                <w:rFonts w:hint="eastAsia" w:ascii="仿宋_GB2312" w:hAnsi="仿宋_GB2312" w:eastAsia="仿宋_GB2312" w:cs="仿宋_GB2312"/>
                <w:i w:val="0"/>
                <w:iCs w:val="0"/>
                <w:color w:val="000000"/>
                <w:sz w:val="18"/>
                <w:szCs w:val="18"/>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30174E">
            <w:pPr>
              <w:jc w:val="center"/>
              <w:rPr>
                <w:rFonts w:hint="eastAsia" w:ascii="仿宋_GB2312" w:hAnsi="仿宋_GB2312" w:eastAsia="仿宋_GB2312" w:cs="仿宋_GB2312"/>
                <w:i w:val="0"/>
                <w:iCs w:val="0"/>
                <w:color w:val="000000"/>
                <w:sz w:val="18"/>
                <w:szCs w:val="18"/>
                <w:u w:val="none"/>
              </w:rPr>
            </w:pPr>
          </w:p>
        </w:tc>
      </w:tr>
      <w:tr w14:paraId="00614DA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191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2165AA">
            <w:pPr>
              <w:jc w:val="center"/>
              <w:rPr>
                <w:rFonts w:hint="eastAsia" w:ascii="仿宋_GB2312" w:hAnsi="仿宋_GB2312" w:eastAsia="仿宋_GB2312" w:cs="仿宋_GB2312"/>
                <w:i w:val="0"/>
                <w:iCs w:val="0"/>
                <w:color w:val="000000"/>
                <w:sz w:val="18"/>
                <w:szCs w:val="18"/>
                <w:u w:val="none"/>
              </w:rPr>
            </w:pPr>
          </w:p>
        </w:tc>
        <w:tc>
          <w:tcPr>
            <w:tcW w:w="3130" w:type="dxa"/>
            <w:gridSpan w:val="2"/>
            <w:tcBorders>
              <w:top w:val="single" w:color="000000" w:sz="4" w:space="0"/>
              <w:left w:val="single" w:color="000000" w:sz="4" w:space="0"/>
              <w:bottom w:val="nil"/>
              <w:right w:val="single" w:color="000000" w:sz="4" w:space="0"/>
            </w:tcBorders>
            <w:shd w:val="clear" w:color="auto" w:fill="auto"/>
            <w:vAlign w:val="center"/>
          </w:tcPr>
          <w:p w14:paraId="4DBA5416">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其他资金</w:t>
            </w:r>
          </w:p>
        </w:tc>
        <w:tc>
          <w:tcPr>
            <w:tcW w:w="1315" w:type="dxa"/>
            <w:tcBorders>
              <w:top w:val="single" w:color="000000" w:sz="4" w:space="0"/>
              <w:left w:val="single" w:color="000000" w:sz="4" w:space="0"/>
              <w:bottom w:val="nil"/>
              <w:right w:val="single" w:color="000000" w:sz="4" w:space="0"/>
            </w:tcBorders>
            <w:shd w:val="clear" w:color="auto" w:fill="auto"/>
            <w:vAlign w:val="center"/>
          </w:tcPr>
          <w:p w14:paraId="03936EF5">
            <w:pPr>
              <w:jc w:val="center"/>
              <w:rPr>
                <w:rFonts w:hint="eastAsia" w:ascii="仿宋_GB2312" w:hAnsi="仿宋_GB2312" w:eastAsia="仿宋_GB2312" w:cs="仿宋_GB2312"/>
                <w:i w:val="0"/>
                <w:iCs w:val="0"/>
                <w:color w:val="000000"/>
                <w:sz w:val="18"/>
                <w:szCs w:val="18"/>
                <w:u w:val="none"/>
                <w:lang w:val="en-US" w:eastAsia="zh-CN"/>
              </w:rPr>
            </w:pPr>
          </w:p>
        </w:tc>
        <w:tc>
          <w:tcPr>
            <w:tcW w:w="1422" w:type="dxa"/>
            <w:gridSpan w:val="2"/>
            <w:tcBorders>
              <w:top w:val="single" w:color="000000" w:sz="4" w:space="0"/>
              <w:left w:val="single" w:color="000000" w:sz="4" w:space="0"/>
              <w:bottom w:val="nil"/>
              <w:right w:val="single" w:color="000000" w:sz="4" w:space="0"/>
            </w:tcBorders>
            <w:shd w:val="clear" w:color="auto" w:fill="auto"/>
            <w:vAlign w:val="center"/>
          </w:tcPr>
          <w:p w14:paraId="2122D048">
            <w:pPr>
              <w:jc w:val="center"/>
              <w:rPr>
                <w:rFonts w:hint="eastAsia" w:ascii="仿宋_GB2312" w:hAnsi="仿宋_GB2312" w:eastAsia="仿宋_GB2312" w:cs="仿宋_GB2312"/>
                <w:i w:val="0"/>
                <w:iCs w:val="0"/>
                <w:color w:val="000000"/>
                <w:sz w:val="18"/>
                <w:szCs w:val="18"/>
                <w:u w:val="none"/>
                <w:lang w:val="en-US" w:eastAsia="zh-CN"/>
              </w:rPr>
            </w:pPr>
          </w:p>
        </w:tc>
        <w:tc>
          <w:tcPr>
            <w:tcW w:w="1719" w:type="dxa"/>
            <w:gridSpan w:val="2"/>
            <w:tcBorders>
              <w:top w:val="single" w:color="000000" w:sz="4" w:space="0"/>
              <w:left w:val="single" w:color="000000" w:sz="4" w:space="0"/>
              <w:bottom w:val="nil"/>
              <w:right w:val="single" w:color="000000" w:sz="4" w:space="0"/>
            </w:tcBorders>
            <w:shd w:val="clear" w:color="auto" w:fill="auto"/>
            <w:vAlign w:val="center"/>
          </w:tcPr>
          <w:p w14:paraId="78C21B11">
            <w:pPr>
              <w:jc w:val="center"/>
              <w:rPr>
                <w:rFonts w:hint="eastAsia" w:ascii="仿宋_GB2312" w:hAnsi="仿宋_GB2312" w:eastAsia="仿宋_GB2312" w:cs="仿宋_GB2312"/>
                <w:i w:val="0"/>
                <w:iCs w:val="0"/>
                <w:color w:val="000000"/>
                <w:sz w:val="18"/>
                <w:szCs w:val="18"/>
                <w:u w:val="none"/>
                <w:lang w:val="en-US" w:eastAsia="zh-CN"/>
              </w:rPr>
            </w:pPr>
          </w:p>
        </w:tc>
        <w:tc>
          <w:tcPr>
            <w:tcW w:w="191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D6CBAB6">
            <w:pPr>
              <w:jc w:val="center"/>
              <w:rPr>
                <w:rFonts w:hint="eastAsia" w:ascii="仿宋_GB2312" w:hAnsi="仿宋_GB2312" w:eastAsia="仿宋_GB2312" w:cs="仿宋_GB2312"/>
                <w:i w:val="0"/>
                <w:iCs w:val="0"/>
                <w:color w:val="000000"/>
                <w:sz w:val="18"/>
                <w:szCs w:val="18"/>
                <w:u w:val="none"/>
              </w:rPr>
            </w:pPr>
          </w:p>
        </w:tc>
        <w:tc>
          <w:tcPr>
            <w:tcW w:w="14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A79CDC0">
            <w:pPr>
              <w:jc w:val="center"/>
              <w:rPr>
                <w:rFonts w:hint="eastAsia" w:ascii="仿宋_GB2312" w:hAnsi="仿宋_GB2312" w:eastAsia="仿宋_GB2312" w:cs="仿宋_GB2312"/>
                <w:i w:val="0"/>
                <w:iCs w:val="0"/>
                <w:color w:val="000000"/>
                <w:sz w:val="18"/>
                <w:szCs w:val="18"/>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CBC659">
            <w:pPr>
              <w:jc w:val="center"/>
              <w:rPr>
                <w:rFonts w:hint="eastAsia" w:ascii="仿宋_GB2312" w:hAnsi="仿宋_GB2312" w:eastAsia="仿宋_GB2312" w:cs="仿宋_GB2312"/>
                <w:i w:val="0"/>
                <w:iCs w:val="0"/>
                <w:color w:val="000000"/>
                <w:sz w:val="18"/>
                <w:szCs w:val="18"/>
                <w:u w:val="none"/>
              </w:rPr>
            </w:pPr>
          </w:p>
        </w:tc>
      </w:tr>
      <w:tr w14:paraId="23A8005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91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5DEE045">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年度总体目标</w:t>
            </w:r>
          </w:p>
        </w:tc>
        <w:tc>
          <w:tcPr>
            <w:tcW w:w="8583"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1A470F94">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总体目标</w:t>
            </w:r>
          </w:p>
        </w:tc>
        <w:tc>
          <w:tcPr>
            <w:tcW w:w="467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43F909EC">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总体目标完成情况</w:t>
            </w:r>
          </w:p>
        </w:tc>
      </w:tr>
      <w:tr w14:paraId="4EECDCE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5" w:hRule="atLeast"/>
        </w:trPr>
        <w:tc>
          <w:tcPr>
            <w:tcW w:w="9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6F4617">
            <w:pPr>
              <w:jc w:val="center"/>
              <w:rPr>
                <w:rFonts w:hint="eastAsia" w:ascii="仿宋_GB2312" w:hAnsi="仿宋_GB2312" w:eastAsia="仿宋_GB2312" w:cs="仿宋_GB2312"/>
                <w:i w:val="0"/>
                <w:iCs w:val="0"/>
                <w:color w:val="000000"/>
                <w:sz w:val="18"/>
                <w:szCs w:val="18"/>
                <w:u w:val="none"/>
              </w:rPr>
            </w:pPr>
          </w:p>
        </w:tc>
        <w:tc>
          <w:tcPr>
            <w:tcW w:w="8583" w:type="dxa"/>
            <w:gridSpan w:val="8"/>
            <w:tcBorders>
              <w:top w:val="single" w:color="000000" w:sz="4" w:space="0"/>
              <w:left w:val="single" w:color="000000" w:sz="4" w:space="0"/>
              <w:bottom w:val="single" w:color="000000" w:sz="4" w:space="0"/>
              <w:right w:val="single" w:color="000000" w:sz="4" w:space="0"/>
            </w:tcBorders>
            <w:shd w:val="clear" w:color="auto" w:fill="auto"/>
            <w:vAlign w:val="top"/>
          </w:tcPr>
          <w:p w14:paraId="20FA8B26">
            <w:pPr>
              <w:jc w:val="left"/>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3"/>
                <w:szCs w:val="13"/>
                <w:u w:val="none"/>
              </w:rPr>
              <w:t>本项目拟投入149.02万元用于完成2025年党报党刊征订工作，主要实施内容为：征订党报党刊5370份，保质保量完成年度征订工作，于2025年12月31日前完工，通过本项目的实施，增强“四个意识”，坚定“四个自信”，自觉承担起聚旗帜、聚民心、育新人、兴文化、展形象的使命任务，提供坚强思想保证和强大精神动力，使受益部门满意度达到95%绩效目标信息</w:t>
            </w:r>
          </w:p>
        </w:tc>
        <w:tc>
          <w:tcPr>
            <w:tcW w:w="467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12F42305">
            <w:pPr>
              <w:jc w:val="left"/>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1"/>
                <w:szCs w:val="11"/>
                <w:u w:val="none"/>
              </w:rPr>
              <w:t>截止2024年12月30日，本项目党报党报征订份量(份）5370分，党报党刊种类8种，过本项目的实施，增强“四个意识”，坚定“四个自信”，自觉承担起聚旗帜、聚民心、育新人、兴文化、展形象的使命任务，提供坚强思想保证和强大精神动力，使受益部门满意。</w:t>
            </w:r>
          </w:p>
        </w:tc>
      </w:tr>
      <w:tr w14:paraId="6AD4F92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1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5EFC648">
            <w:pPr>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绩效指标</w:t>
            </w:r>
          </w:p>
        </w:tc>
        <w:tc>
          <w:tcPr>
            <w:tcW w:w="9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0A09BE">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一级指标</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C31DCB">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二级指标</w:t>
            </w:r>
          </w:p>
        </w:tc>
        <w:tc>
          <w:tcPr>
            <w:tcW w:w="1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684802">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三级指标</w:t>
            </w:r>
          </w:p>
        </w:tc>
        <w:tc>
          <w:tcPr>
            <w:tcW w:w="13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3015CE">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指标值</w:t>
            </w:r>
          </w:p>
        </w:tc>
        <w:tc>
          <w:tcPr>
            <w:tcW w:w="9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4A06F3">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指标值设置依据</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A9609D">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上年完成值</w:t>
            </w:r>
          </w:p>
        </w:tc>
        <w:tc>
          <w:tcPr>
            <w:tcW w:w="5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FEE047">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指标分值权重</w:t>
            </w:r>
          </w:p>
        </w:tc>
        <w:tc>
          <w:tcPr>
            <w:tcW w:w="11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FBDED5">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指标赋分规则</w:t>
            </w: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172CCE">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佐证资料</w:t>
            </w:r>
          </w:p>
        </w:tc>
        <w:tc>
          <w:tcPr>
            <w:tcW w:w="9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3DC05D">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指标实际完成值</w:t>
            </w:r>
          </w:p>
        </w:tc>
        <w:tc>
          <w:tcPr>
            <w:tcW w:w="7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71A51C">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完成率</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9043C5">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指标得分</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4D2A3C">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偏差原因分析及改进措施</w:t>
            </w:r>
          </w:p>
        </w:tc>
      </w:tr>
      <w:tr w14:paraId="506A84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4" w:hRule="atLeast"/>
        </w:trPr>
        <w:tc>
          <w:tcPr>
            <w:tcW w:w="9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3BD772">
            <w:pPr>
              <w:jc w:val="center"/>
              <w:rPr>
                <w:rFonts w:hint="eastAsia" w:ascii="仿宋_GB2312" w:hAnsi="仿宋_GB2312" w:eastAsia="仿宋_GB2312" w:cs="仿宋_GB2312"/>
                <w:i w:val="0"/>
                <w:iCs w:val="0"/>
                <w:color w:val="000000"/>
                <w:sz w:val="18"/>
                <w:szCs w:val="18"/>
                <w:u w:val="none"/>
              </w:rPr>
            </w:pPr>
          </w:p>
        </w:tc>
        <w:tc>
          <w:tcPr>
            <w:tcW w:w="997" w:type="dxa"/>
            <w:vMerge w:val="restart"/>
            <w:tcBorders>
              <w:top w:val="single" w:color="000000" w:sz="4" w:space="0"/>
              <w:left w:val="single" w:color="000000" w:sz="4" w:space="0"/>
              <w:right w:val="single" w:color="000000" w:sz="4" w:space="0"/>
            </w:tcBorders>
            <w:shd w:val="clear" w:color="auto" w:fill="auto"/>
            <w:noWrap/>
            <w:vAlign w:val="center"/>
          </w:tcPr>
          <w:p w14:paraId="2B748460">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产出指标</w:t>
            </w:r>
          </w:p>
        </w:tc>
        <w:tc>
          <w:tcPr>
            <w:tcW w:w="1260" w:type="dxa"/>
            <w:tcBorders>
              <w:top w:val="single" w:color="000000" w:sz="4" w:space="0"/>
              <w:left w:val="single" w:color="000000" w:sz="4" w:space="0"/>
              <w:bottom w:val="nil"/>
              <w:right w:val="single" w:color="000000" w:sz="4" w:space="0"/>
            </w:tcBorders>
            <w:shd w:val="clear" w:color="auto" w:fill="auto"/>
            <w:noWrap/>
            <w:vAlign w:val="center"/>
          </w:tcPr>
          <w:p w14:paraId="24E3261A">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数量指标</w:t>
            </w:r>
          </w:p>
        </w:tc>
        <w:tc>
          <w:tcPr>
            <w:tcW w:w="1870" w:type="dxa"/>
            <w:tcBorders>
              <w:top w:val="single" w:color="000000" w:sz="4" w:space="0"/>
              <w:left w:val="nil"/>
              <w:bottom w:val="single" w:color="000000" w:sz="4" w:space="0"/>
              <w:right w:val="single" w:color="000000" w:sz="4" w:space="0"/>
            </w:tcBorders>
            <w:shd w:val="clear" w:color="auto" w:fill="auto"/>
            <w:vAlign w:val="center"/>
          </w:tcPr>
          <w:p w14:paraId="0ECDA476">
            <w:pPr>
              <w:keepNext w:val="0"/>
              <w:keepLines w:val="0"/>
              <w:widowControl/>
              <w:suppressLineNumbers w:val="0"/>
              <w:jc w:val="left"/>
              <w:textAlignment w:val="center"/>
              <w:rPr>
                <w:rFonts w:hint="eastAsia" w:ascii="仿宋_GB2312" w:hAnsi="仿宋_GB2312" w:eastAsia="仿宋_GB2312" w:cs="仿宋_GB2312"/>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党报党报征订份量(份）</w:t>
            </w:r>
          </w:p>
        </w:tc>
        <w:tc>
          <w:tcPr>
            <w:tcW w:w="13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E2EE97">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=5370份</w:t>
            </w:r>
          </w:p>
        </w:tc>
        <w:tc>
          <w:tcPr>
            <w:tcW w:w="9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F6691C">
            <w:pPr>
              <w:keepNext w:val="0"/>
              <w:keepLines w:val="0"/>
              <w:widowControl/>
              <w:suppressLineNumbers w:val="0"/>
              <w:jc w:val="center"/>
              <w:textAlignment w:val="center"/>
              <w:rPr>
                <w:rFonts w:hint="eastAsia" w:ascii="宋体" w:hAnsi="宋体" w:eastAsia="宋体" w:cs="宋体"/>
                <w:i w:val="0"/>
                <w:iCs w:val="0"/>
                <w:color w:val="000000"/>
                <w:kern w:val="2"/>
                <w:sz w:val="15"/>
                <w:szCs w:val="15"/>
                <w:u w:val="none"/>
                <w:lang w:val="en-US" w:eastAsia="zh-CN" w:bidi="ar-SA"/>
              </w:rPr>
            </w:pPr>
            <w:r>
              <w:rPr>
                <w:rFonts w:hint="eastAsia" w:ascii="宋体" w:hAnsi="宋体" w:eastAsia="宋体" w:cs="宋体"/>
                <w:i w:val="0"/>
                <w:iCs w:val="0"/>
                <w:color w:val="000000"/>
                <w:kern w:val="2"/>
                <w:sz w:val="15"/>
                <w:szCs w:val="15"/>
                <w:u w:val="none"/>
                <w:lang w:val="en-US" w:eastAsia="zh-CN" w:bidi="ar-SA"/>
              </w:rPr>
              <w:t>计划标准</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2148EF">
            <w:pPr>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w:t>
            </w:r>
          </w:p>
        </w:tc>
        <w:tc>
          <w:tcPr>
            <w:tcW w:w="5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CDC40B">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10</w:t>
            </w:r>
          </w:p>
        </w:tc>
        <w:tc>
          <w:tcPr>
            <w:tcW w:w="11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5837E0">
            <w:pPr>
              <w:jc w:val="center"/>
              <w:rPr>
                <w:rFonts w:hint="eastAsia" w:ascii="仿宋_GB2312" w:hAnsi="仿宋_GB2312" w:eastAsia="仿宋_GB2312" w:cs="仿宋_GB2312"/>
                <w:i w:val="0"/>
                <w:iCs w:val="0"/>
                <w:color w:val="000000"/>
                <w:sz w:val="11"/>
                <w:szCs w:val="11"/>
                <w:u w:val="none"/>
              </w:rPr>
            </w:pPr>
            <w:r>
              <w:rPr>
                <w:rFonts w:hint="eastAsia" w:ascii="仿宋_GB2312" w:hAnsi="仿宋_GB2312" w:eastAsia="仿宋_GB2312" w:cs="仿宋_GB2312"/>
                <w:i w:val="0"/>
                <w:iCs w:val="0"/>
                <w:color w:val="000000"/>
                <w:sz w:val="11"/>
                <w:szCs w:val="11"/>
                <w:u w:val="none"/>
              </w:rPr>
              <w:t>按照完成比例赋分</w:t>
            </w:r>
            <w:r>
              <w:rPr>
                <w:rFonts w:hint="eastAsia" w:ascii="仿宋_GB2312" w:hAnsi="仿宋_GB2312" w:eastAsia="仿宋_GB2312" w:cs="仿宋_GB2312"/>
                <w:i w:val="0"/>
                <w:iCs w:val="0"/>
                <w:color w:val="000000"/>
                <w:sz w:val="11"/>
                <w:szCs w:val="11"/>
                <w:u w:val="none"/>
              </w:rPr>
              <w:tab/>
            </w: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08F323">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工作资料</w:t>
            </w:r>
          </w:p>
        </w:tc>
        <w:tc>
          <w:tcPr>
            <w:tcW w:w="9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C7BD44">
            <w:pPr>
              <w:jc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=5370份</w:t>
            </w:r>
          </w:p>
        </w:tc>
        <w:tc>
          <w:tcPr>
            <w:tcW w:w="7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23846C">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100%</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824360">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10</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0C82A9">
            <w:pPr>
              <w:jc w:val="center"/>
              <w:rPr>
                <w:rFonts w:hint="eastAsia" w:ascii="仿宋_GB2312" w:hAnsi="仿宋_GB2312" w:eastAsia="仿宋_GB2312" w:cs="仿宋_GB2312"/>
                <w:i w:val="0"/>
                <w:iCs w:val="0"/>
                <w:color w:val="000000"/>
                <w:sz w:val="18"/>
                <w:szCs w:val="18"/>
                <w:u w:val="none"/>
              </w:rPr>
            </w:pPr>
          </w:p>
        </w:tc>
      </w:tr>
      <w:tr w14:paraId="493C87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9" w:hRule="atLeast"/>
        </w:trPr>
        <w:tc>
          <w:tcPr>
            <w:tcW w:w="9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7FD640">
            <w:pPr>
              <w:jc w:val="center"/>
              <w:rPr>
                <w:rFonts w:hint="eastAsia" w:ascii="仿宋_GB2312" w:hAnsi="仿宋_GB2312" w:eastAsia="仿宋_GB2312" w:cs="仿宋_GB2312"/>
                <w:i w:val="0"/>
                <w:iCs w:val="0"/>
                <w:color w:val="000000"/>
                <w:sz w:val="18"/>
                <w:szCs w:val="18"/>
                <w:u w:val="none"/>
              </w:rPr>
            </w:pPr>
          </w:p>
        </w:tc>
        <w:tc>
          <w:tcPr>
            <w:tcW w:w="997" w:type="dxa"/>
            <w:vMerge w:val="continue"/>
            <w:tcBorders>
              <w:left w:val="single" w:color="000000" w:sz="4" w:space="0"/>
              <w:right w:val="single" w:color="000000" w:sz="4" w:space="0"/>
            </w:tcBorders>
            <w:shd w:val="clear" w:color="auto" w:fill="auto"/>
            <w:noWrap/>
            <w:vAlign w:val="center"/>
          </w:tcPr>
          <w:p w14:paraId="6FA67B2C">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p>
        </w:tc>
        <w:tc>
          <w:tcPr>
            <w:tcW w:w="1260" w:type="dxa"/>
            <w:tcBorders>
              <w:top w:val="single" w:color="000000" w:sz="4" w:space="0"/>
              <w:left w:val="single" w:color="000000" w:sz="4" w:space="0"/>
              <w:bottom w:val="nil"/>
              <w:right w:val="single" w:color="000000" w:sz="4" w:space="0"/>
            </w:tcBorders>
            <w:shd w:val="clear" w:color="auto" w:fill="auto"/>
            <w:noWrap/>
            <w:vAlign w:val="center"/>
          </w:tcPr>
          <w:p w14:paraId="220222DD">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数量指标</w:t>
            </w:r>
          </w:p>
        </w:tc>
        <w:tc>
          <w:tcPr>
            <w:tcW w:w="1870" w:type="dxa"/>
            <w:tcBorders>
              <w:top w:val="single" w:color="000000" w:sz="4" w:space="0"/>
              <w:left w:val="nil"/>
              <w:bottom w:val="single" w:color="000000" w:sz="4" w:space="0"/>
              <w:right w:val="single" w:color="000000" w:sz="4" w:space="0"/>
            </w:tcBorders>
            <w:shd w:val="clear" w:color="auto" w:fill="auto"/>
            <w:vAlign w:val="center"/>
          </w:tcPr>
          <w:p w14:paraId="197F1893">
            <w:pPr>
              <w:keepNext w:val="0"/>
              <w:keepLines w:val="0"/>
              <w:widowControl/>
              <w:suppressLineNumbers w:val="0"/>
              <w:jc w:val="left"/>
              <w:textAlignment w:val="center"/>
              <w:rPr>
                <w:rFonts w:hint="eastAsia" w:ascii="仿宋_GB2312" w:hAnsi="仿宋_GB2312" w:eastAsia="仿宋_GB2312" w:cs="仿宋_GB2312"/>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党报党刊种类</w:t>
            </w:r>
          </w:p>
        </w:tc>
        <w:tc>
          <w:tcPr>
            <w:tcW w:w="13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D04188">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&gt;=8种</w:t>
            </w:r>
          </w:p>
        </w:tc>
        <w:tc>
          <w:tcPr>
            <w:tcW w:w="9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2D8307">
            <w:pPr>
              <w:jc w:val="center"/>
              <w:rPr>
                <w:rFonts w:hint="eastAsia" w:ascii="仿宋_GB2312" w:hAnsi="仿宋_GB2312" w:eastAsia="仿宋_GB2312" w:cs="仿宋_GB2312"/>
                <w:i w:val="0"/>
                <w:iCs w:val="0"/>
                <w:color w:val="000000"/>
                <w:sz w:val="15"/>
                <w:szCs w:val="15"/>
                <w:u w:val="none"/>
              </w:rPr>
            </w:pPr>
            <w:r>
              <w:rPr>
                <w:rFonts w:hint="eastAsia" w:ascii="宋体" w:hAnsi="宋体" w:eastAsia="宋体" w:cs="宋体"/>
                <w:i w:val="0"/>
                <w:iCs w:val="0"/>
                <w:color w:val="000000"/>
                <w:kern w:val="2"/>
                <w:sz w:val="15"/>
                <w:szCs w:val="15"/>
                <w:u w:val="none"/>
                <w:lang w:val="en-US" w:eastAsia="zh-CN" w:bidi="ar-SA"/>
              </w:rPr>
              <w:t>计划标准</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A649F1">
            <w:pPr>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w:t>
            </w:r>
          </w:p>
        </w:tc>
        <w:tc>
          <w:tcPr>
            <w:tcW w:w="5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131BD7">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10</w:t>
            </w:r>
          </w:p>
        </w:tc>
        <w:tc>
          <w:tcPr>
            <w:tcW w:w="11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528169">
            <w:pPr>
              <w:jc w:val="center"/>
              <w:rPr>
                <w:rFonts w:hint="eastAsia" w:ascii="仿宋_GB2312" w:hAnsi="仿宋_GB2312" w:eastAsia="仿宋_GB2312" w:cs="仿宋_GB2312"/>
                <w:i w:val="0"/>
                <w:iCs w:val="0"/>
                <w:color w:val="000000"/>
                <w:sz w:val="11"/>
                <w:szCs w:val="11"/>
                <w:u w:val="none"/>
              </w:rPr>
            </w:pPr>
            <w:r>
              <w:rPr>
                <w:rFonts w:hint="eastAsia" w:ascii="仿宋_GB2312" w:hAnsi="仿宋_GB2312" w:eastAsia="仿宋_GB2312" w:cs="仿宋_GB2312"/>
                <w:i w:val="0"/>
                <w:iCs w:val="0"/>
                <w:color w:val="000000"/>
                <w:sz w:val="11"/>
                <w:szCs w:val="11"/>
                <w:u w:val="none"/>
              </w:rPr>
              <w:t>按照完成比例赋分</w:t>
            </w: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C9426C">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工作资料</w:t>
            </w:r>
          </w:p>
        </w:tc>
        <w:tc>
          <w:tcPr>
            <w:tcW w:w="9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3971E7">
            <w:pPr>
              <w:jc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=8种</w:t>
            </w:r>
          </w:p>
        </w:tc>
        <w:tc>
          <w:tcPr>
            <w:tcW w:w="7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7FA642">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lang w:val="en-US" w:eastAsia="zh-CN"/>
              </w:rPr>
              <w:t>100%</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DF3655">
            <w:pPr>
              <w:tabs>
                <w:tab w:val="left" w:pos="205"/>
              </w:tabs>
              <w:jc w:val="left"/>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eastAsia="zh-CN"/>
              </w:rPr>
              <w:tab/>
            </w:r>
            <w:r>
              <w:rPr>
                <w:rFonts w:hint="eastAsia" w:ascii="仿宋_GB2312" w:hAnsi="仿宋_GB2312" w:eastAsia="仿宋_GB2312" w:cs="仿宋_GB2312"/>
                <w:i w:val="0"/>
                <w:iCs w:val="0"/>
                <w:color w:val="000000"/>
                <w:sz w:val="18"/>
                <w:szCs w:val="18"/>
                <w:u w:val="none"/>
                <w:lang w:val="en-US" w:eastAsia="zh-CN"/>
              </w:rPr>
              <w:t>10</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1C5DF6">
            <w:pPr>
              <w:jc w:val="center"/>
              <w:rPr>
                <w:rFonts w:hint="eastAsia" w:ascii="仿宋_GB2312" w:hAnsi="仿宋_GB2312" w:eastAsia="仿宋_GB2312" w:cs="仿宋_GB2312"/>
                <w:i w:val="0"/>
                <w:iCs w:val="0"/>
                <w:color w:val="000000"/>
                <w:sz w:val="18"/>
                <w:szCs w:val="18"/>
                <w:u w:val="none"/>
              </w:rPr>
            </w:pPr>
          </w:p>
        </w:tc>
      </w:tr>
      <w:tr w14:paraId="23340D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9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28C32F">
            <w:pPr>
              <w:jc w:val="center"/>
              <w:rPr>
                <w:rFonts w:hint="eastAsia" w:ascii="仿宋_GB2312" w:hAnsi="仿宋_GB2312" w:eastAsia="仿宋_GB2312" w:cs="仿宋_GB2312"/>
                <w:i w:val="0"/>
                <w:iCs w:val="0"/>
                <w:color w:val="000000"/>
                <w:sz w:val="18"/>
                <w:szCs w:val="18"/>
                <w:u w:val="none"/>
              </w:rPr>
            </w:pPr>
          </w:p>
        </w:tc>
        <w:tc>
          <w:tcPr>
            <w:tcW w:w="997" w:type="dxa"/>
            <w:vMerge w:val="continue"/>
            <w:tcBorders>
              <w:left w:val="single" w:color="000000" w:sz="4" w:space="0"/>
              <w:right w:val="single" w:color="000000" w:sz="4" w:space="0"/>
            </w:tcBorders>
            <w:shd w:val="clear" w:color="auto" w:fill="auto"/>
            <w:noWrap/>
            <w:vAlign w:val="center"/>
          </w:tcPr>
          <w:p w14:paraId="46B30D48">
            <w:pPr>
              <w:jc w:val="center"/>
              <w:rPr>
                <w:rFonts w:hint="eastAsia" w:ascii="仿宋_GB2312" w:hAnsi="仿宋_GB2312" w:eastAsia="仿宋_GB2312" w:cs="仿宋_GB2312"/>
                <w:i w:val="0"/>
                <w:iCs w:val="0"/>
                <w:color w:val="000000"/>
                <w:sz w:val="18"/>
                <w:szCs w:val="18"/>
                <w:u w:val="none"/>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73AB9F">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质量指标</w:t>
            </w:r>
          </w:p>
        </w:tc>
        <w:tc>
          <w:tcPr>
            <w:tcW w:w="1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0BD83F">
            <w:pPr>
              <w:keepNext w:val="0"/>
              <w:keepLines w:val="0"/>
              <w:widowControl/>
              <w:suppressLineNumbers w:val="0"/>
              <w:jc w:val="left"/>
              <w:textAlignment w:val="center"/>
              <w:rPr>
                <w:rFonts w:hint="eastAsia" w:ascii="仿宋_GB2312" w:hAnsi="仿宋_GB2312" w:eastAsia="仿宋_GB2312" w:cs="仿宋_GB2312"/>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党报党刊征订率</w:t>
            </w:r>
          </w:p>
        </w:tc>
        <w:tc>
          <w:tcPr>
            <w:tcW w:w="13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4FFCFC">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=100%</w:t>
            </w:r>
          </w:p>
        </w:tc>
        <w:tc>
          <w:tcPr>
            <w:tcW w:w="9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4F0B90">
            <w:pPr>
              <w:jc w:val="center"/>
              <w:rPr>
                <w:rFonts w:hint="eastAsia" w:ascii="仿宋_GB2312" w:hAnsi="仿宋_GB2312" w:eastAsia="仿宋_GB2312" w:cs="仿宋_GB2312"/>
                <w:i w:val="0"/>
                <w:iCs w:val="0"/>
                <w:color w:val="000000"/>
                <w:sz w:val="15"/>
                <w:szCs w:val="15"/>
                <w:u w:val="none"/>
              </w:rPr>
            </w:pPr>
            <w:r>
              <w:rPr>
                <w:rFonts w:hint="eastAsia" w:ascii="宋体" w:hAnsi="宋体" w:eastAsia="宋体" w:cs="宋体"/>
                <w:i w:val="0"/>
                <w:iCs w:val="0"/>
                <w:color w:val="000000"/>
                <w:kern w:val="2"/>
                <w:sz w:val="15"/>
                <w:szCs w:val="15"/>
                <w:u w:val="none"/>
                <w:lang w:val="en-US" w:eastAsia="zh-CN" w:bidi="ar-SA"/>
              </w:rPr>
              <w:t>计划标准</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386D43">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w:t>
            </w:r>
          </w:p>
        </w:tc>
        <w:tc>
          <w:tcPr>
            <w:tcW w:w="5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D14CE1">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10</w:t>
            </w:r>
          </w:p>
        </w:tc>
        <w:tc>
          <w:tcPr>
            <w:tcW w:w="11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3A52CE">
            <w:pPr>
              <w:jc w:val="center"/>
              <w:rPr>
                <w:rFonts w:hint="eastAsia" w:ascii="仿宋_GB2312" w:hAnsi="仿宋_GB2312" w:eastAsia="仿宋_GB2312" w:cs="仿宋_GB2312"/>
                <w:i w:val="0"/>
                <w:iCs w:val="0"/>
                <w:color w:val="000000"/>
                <w:sz w:val="11"/>
                <w:szCs w:val="11"/>
                <w:u w:val="none"/>
              </w:rPr>
            </w:pPr>
            <w:r>
              <w:rPr>
                <w:rFonts w:hint="eastAsia" w:ascii="仿宋_GB2312" w:hAnsi="仿宋_GB2312" w:eastAsia="仿宋_GB2312" w:cs="仿宋_GB2312"/>
                <w:i w:val="0"/>
                <w:iCs w:val="0"/>
                <w:color w:val="000000"/>
                <w:sz w:val="11"/>
                <w:szCs w:val="11"/>
                <w:u w:val="none"/>
              </w:rPr>
              <w:t>按照完成比例赋分</w:t>
            </w: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F1B322">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工作资料</w:t>
            </w:r>
          </w:p>
        </w:tc>
        <w:tc>
          <w:tcPr>
            <w:tcW w:w="9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736869">
            <w:pPr>
              <w:jc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=100%</w:t>
            </w:r>
          </w:p>
        </w:tc>
        <w:tc>
          <w:tcPr>
            <w:tcW w:w="7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8EEF8B">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lang w:val="en-US" w:eastAsia="zh-CN"/>
              </w:rPr>
              <w:t>100%</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BFB338">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10</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4ABC02">
            <w:pPr>
              <w:jc w:val="center"/>
              <w:rPr>
                <w:rFonts w:hint="eastAsia" w:ascii="仿宋_GB2312" w:hAnsi="仿宋_GB2312" w:eastAsia="仿宋_GB2312" w:cs="仿宋_GB2312"/>
                <w:i w:val="0"/>
                <w:iCs w:val="0"/>
                <w:color w:val="000000"/>
                <w:sz w:val="18"/>
                <w:szCs w:val="18"/>
                <w:u w:val="none"/>
              </w:rPr>
            </w:pPr>
          </w:p>
        </w:tc>
      </w:tr>
      <w:tr w14:paraId="4B23ACD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91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007DB3">
            <w:pPr>
              <w:jc w:val="center"/>
              <w:rPr>
                <w:rFonts w:hint="eastAsia" w:ascii="仿宋_GB2312" w:hAnsi="仿宋_GB2312" w:eastAsia="仿宋_GB2312" w:cs="仿宋_GB2312"/>
                <w:i w:val="0"/>
                <w:iCs w:val="0"/>
                <w:color w:val="000000"/>
                <w:sz w:val="18"/>
                <w:szCs w:val="18"/>
                <w:u w:val="none"/>
              </w:rPr>
            </w:pPr>
          </w:p>
        </w:tc>
        <w:tc>
          <w:tcPr>
            <w:tcW w:w="997" w:type="dxa"/>
            <w:vMerge w:val="continue"/>
            <w:tcBorders>
              <w:left w:val="single" w:color="000000" w:sz="4" w:space="0"/>
              <w:bottom w:val="single" w:color="000000" w:sz="4" w:space="0"/>
              <w:right w:val="single" w:color="000000" w:sz="4" w:space="0"/>
            </w:tcBorders>
            <w:shd w:val="clear" w:color="auto" w:fill="auto"/>
            <w:noWrap/>
            <w:vAlign w:val="center"/>
          </w:tcPr>
          <w:p w14:paraId="06DA6A44">
            <w:pPr>
              <w:jc w:val="center"/>
              <w:rPr>
                <w:rFonts w:hint="eastAsia" w:ascii="仿宋_GB2312" w:hAnsi="仿宋_GB2312" w:eastAsia="仿宋_GB2312" w:cs="仿宋_GB2312"/>
                <w:i w:val="0"/>
                <w:iCs w:val="0"/>
                <w:color w:val="000000"/>
                <w:sz w:val="18"/>
                <w:szCs w:val="18"/>
                <w:u w:val="none"/>
              </w:rPr>
            </w:pPr>
          </w:p>
        </w:tc>
        <w:tc>
          <w:tcPr>
            <w:tcW w:w="1260" w:type="dxa"/>
            <w:tcBorders>
              <w:top w:val="single" w:color="000000" w:sz="4" w:space="0"/>
              <w:left w:val="single" w:color="000000" w:sz="4" w:space="0"/>
              <w:bottom w:val="nil"/>
              <w:right w:val="single" w:color="000000" w:sz="4" w:space="0"/>
            </w:tcBorders>
            <w:shd w:val="clear" w:color="auto" w:fill="auto"/>
            <w:noWrap/>
            <w:vAlign w:val="center"/>
          </w:tcPr>
          <w:p w14:paraId="18C15752">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时效指标</w:t>
            </w:r>
          </w:p>
        </w:tc>
        <w:tc>
          <w:tcPr>
            <w:tcW w:w="1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208C20">
            <w:pPr>
              <w:keepNext w:val="0"/>
              <w:keepLines w:val="0"/>
              <w:widowControl/>
              <w:suppressLineNumbers w:val="0"/>
              <w:jc w:val="left"/>
              <w:textAlignment w:val="center"/>
              <w:rPr>
                <w:rFonts w:hint="eastAsia" w:ascii="仿宋_GB2312" w:hAnsi="仿宋_GB2312" w:eastAsia="仿宋_GB2312" w:cs="仿宋_GB2312"/>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党报党刊征订完成及时率</w:t>
            </w:r>
          </w:p>
        </w:tc>
        <w:tc>
          <w:tcPr>
            <w:tcW w:w="13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324398">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=100%</w:t>
            </w:r>
          </w:p>
        </w:tc>
        <w:tc>
          <w:tcPr>
            <w:tcW w:w="9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AD1FBF">
            <w:pPr>
              <w:jc w:val="center"/>
              <w:rPr>
                <w:rFonts w:hint="eastAsia" w:ascii="仿宋_GB2312" w:hAnsi="仿宋_GB2312" w:eastAsia="仿宋_GB2312" w:cs="仿宋_GB2312"/>
                <w:i w:val="0"/>
                <w:iCs w:val="0"/>
                <w:color w:val="000000"/>
                <w:sz w:val="15"/>
                <w:szCs w:val="15"/>
                <w:u w:val="none"/>
              </w:rPr>
            </w:pPr>
            <w:r>
              <w:rPr>
                <w:rFonts w:hint="eastAsia" w:ascii="宋体" w:hAnsi="宋体" w:eastAsia="宋体" w:cs="宋体"/>
                <w:i w:val="0"/>
                <w:iCs w:val="0"/>
                <w:color w:val="000000"/>
                <w:kern w:val="2"/>
                <w:sz w:val="15"/>
                <w:szCs w:val="15"/>
                <w:u w:val="none"/>
                <w:lang w:val="en-US" w:eastAsia="zh-CN" w:bidi="ar-SA"/>
              </w:rPr>
              <w:t>计划标准</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2EB9B7">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w:t>
            </w:r>
          </w:p>
        </w:tc>
        <w:tc>
          <w:tcPr>
            <w:tcW w:w="5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9E123F">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10</w:t>
            </w:r>
          </w:p>
        </w:tc>
        <w:tc>
          <w:tcPr>
            <w:tcW w:w="11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D70B1B">
            <w:pPr>
              <w:jc w:val="center"/>
              <w:rPr>
                <w:rFonts w:hint="eastAsia" w:ascii="仿宋_GB2312" w:hAnsi="仿宋_GB2312" w:eastAsia="仿宋_GB2312" w:cs="仿宋_GB2312"/>
                <w:i w:val="0"/>
                <w:iCs w:val="0"/>
                <w:color w:val="000000"/>
                <w:sz w:val="11"/>
                <w:szCs w:val="11"/>
                <w:u w:val="none"/>
              </w:rPr>
            </w:pPr>
            <w:r>
              <w:rPr>
                <w:rFonts w:hint="eastAsia" w:ascii="仿宋_GB2312" w:hAnsi="仿宋_GB2312" w:eastAsia="仿宋_GB2312" w:cs="仿宋_GB2312"/>
                <w:i w:val="0"/>
                <w:iCs w:val="0"/>
                <w:color w:val="000000"/>
                <w:sz w:val="11"/>
                <w:szCs w:val="11"/>
                <w:u w:val="none"/>
              </w:rPr>
              <w:t>按照完成比例赋分</w:t>
            </w: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F4F9C2">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工作资料</w:t>
            </w:r>
          </w:p>
        </w:tc>
        <w:tc>
          <w:tcPr>
            <w:tcW w:w="9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F005E2">
            <w:pPr>
              <w:jc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=100%</w:t>
            </w:r>
          </w:p>
        </w:tc>
        <w:tc>
          <w:tcPr>
            <w:tcW w:w="7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F99F56">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lang w:val="en-US" w:eastAsia="zh-CN"/>
              </w:rPr>
              <w:t>100%</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180F20">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10</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49C640">
            <w:pPr>
              <w:jc w:val="center"/>
              <w:rPr>
                <w:rFonts w:hint="eastAsia" w:ascii="仿宋_GB2312" w:hAnsi="仿宋_GB2312" w:eastAsia="仿宋_GB2312" w:cs="仿宋_GB2312"/>
                <w:b/>
                <w:bCs/>
                <w:i w:val="0"/>
                <w:iCs w:val="0"/>
                <w:color w:val="000000"/>
                <w:sz w:val="18"/>
                <w:szCs w:val="18"/>
                <w:u w:val="none"/>
              </w:rPr>
            </w:pPr>
          </w:p>
        </w:tc>
      </w:tr>
      <w:tr w14:paraId="1659245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91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20713B">
            <w:pPr>
              <w:jc w:val="center"/>
              <w:rPr>
                <w:rFonts w:hint="eastAsia" w:ascii="仿宋_GB2312" w:hAnsi="仿宋_GB2312" w:eastAsia="仿宋_GB2312" w:cs="仿宋_GB2312"/>
                <w:i w:val="0"/>
                <w:iCs w:val="0"/>
                <w:color w:val="000000"/>
                <w:sz w:val="18"/>
                <w:szCs w:val="18"/>
                <w:u w:val="none"/>
              </w:rPr>
            </w:pPr>
          </w:p>
        </w:tc>
        <w:tc>
          <w:tcPr>
            <w:tcW w:w="9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F6A8D9">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成本指标</w:t>
            </w:r>
          </w:p>
        </w:tc>
        <w:tc>
          <w:tcPr>
            <w:tcW w:w="1260" w:type="dxa"/>
            <w:tcBorders>
              <w:top w:val="single" w:color="000000" w:sz="4" w:space="0"/>
              <w:left w:val="single" w:color="000000" w:sz="4" w:space="0"/>
              <w:bottom w:val="nil"/>
              <w:right w:val="single" w:color="000000" w:sz="4" w:space="0"/>
            </w:tcBorders>
            <w:shd w:val="clear" w:color="auto" w:fill="auto"/>
            <w:noWrap/>
            <w:vAlign w:val="center"/>
          </w:tcPr>
          <w:p w14:paraId="3C08CE9B">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highlight w:val="red"/>
                <w:u w:val="none"/>
                <w:lang w:val="en-US" w:eastAsia="zh-CN" w:bidi="ar"/>
              </w:rPr>
            </w:pPr>
            <w:r>
              <w:rPr>
                <w:rFonts w:hint="eastAsia" w:ascii="仿宋_GB2312" w:hAnsi="仿宋_GB2312" w:eastAsia="仿宋_GB2312" w:cs="仿宋_GB2312"/>
                <w:i w:val="0"/>
                <w:iCs w:val="0"/>
                <w:color w:val="000000"/>
                <w:kern w:val="0"/>
                <w:sz w:val="18"/>
                <w:szCs w:val="18"/>
                <w:highlight w:val="none"/>
                <w:u w:val="none"/>
                <w:lang w:val="en-US" w:eastAsia="zh-CN" w:bidi="ar"/>
              </w:rPr>
              <w:t>经济成本指标</w:t>
            </w:r>
          </w:p>
        </w:tc>
        <w:tc>
          <w:tcPr>
            <w:tcW w:w="1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33FAF8">
            <w:pPr>
              <w:jc w:val="left"/>
              <w:rPr>
                <w:rFonts w:hint="eastAsia" w:ascii="仿宋_GB2312" w:hAnsi="仿宋_GB2312" w:eastAsia="仿宋_GB2312" w:cs="仿宋_GB2312"/>
                <w:i w:val="0"/>
                <w:iCs w:val="0"/>
                <w:color w:val="000000"/>
                <w:sz w:val="15"/>
                <w:szCs w:val="15"/>
                <w:u w:val="none"/>
              </w:rPr>
            </w:pPr>
            <w:r>
              <w:rPr>
                <w:rFonts w:hint="eastAsia" w:ascii="仿宋_GB2312" w:hAnsi="仿宋_GB2312" w:eastAsia="仿宋_GB2312" w:cs="仿宋_GB2312"/>
                <w:i w:val="0"/>
                <w:iCs w:val="0"/>
                <w:color w:val="000000"/>
                <w:sz w:val="15"/>
                <w:szCs w:val="15"/>
                <w:u w:val="none"/>
              </w:rPr>
              <w:t>党报党刊征订经费</w:t>
            </w:r>
          </w:p>
        </w:tc>
        <w:tc>
          <w:tcPr>
            <w:tcW w:w="13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45AE8D">
            <w:pPr>
              <w:jc w:val="center"/>
              <w:rPr>
                <w:rFonts w:hint="eastAsia" w:ascii="仿宋_GB2312" w:hAnsi="仿宋_GB2312" w:eastAsia="仿宋_GB2312" w:cs="仿宋_GB2312"/>
                <w:i w:val="0"/>
                <w:iCs w:val="0"/>
                <w:color w:val="000000"/>
                <w:sz w:val="18"/>
                <w:szCs w:val="18"/>
                <w:u w:val="none"/>
              </w:rPr>
            </w:pPr>
            <w:r>
              <w:rPr>
                <w:rFonts w:ascii="Arial" w:hAnsi="Arial" w:eastAsia="宋体" w:cs="Arial"/>
                <w:i w:val="0"/>
                <w:iCs w:val="0"/>
                <w:caps w:val="0"/>
                <w:color w:val="333333"/>
                <w:spacing w:val="0"/>
                <w:sz w:val="19"/>
                <w:szCs w:val="19"/>
                <w:shd w:val="clear" w:fill="FFFFFF"/>
              </w:rPr>
              <w:t>&lt;=149.02万元</w:t>
            </w:r>
          </w:p>
        </w:tc>
        <w:tc>
          <w:tcPr>
            <w:tcW w:w="963" w:type="dxa"/>
            <w:tcBorders>
              <w:top w:val="single" w:color="000000" w:sz="4" w:space="0"/>
              <w:left w:val="single" w:color="000000" w:sz="4" w:space="0"/>
              <w:bottom w:val="nil"/>
              <w:right w:val="single" w:color="000000" w:sz="4" w:space="0"/>
            </w:tcBorders>
            <w:shd w:val="clear" w:color="auto" w:fill="auto"/>
            <w:vAlign w:val="center"/>
          </w:tcPr>
          <w:p w14:paraId="21D20232">
            <w:pPr>
              <w:jc w:val="center"/>
              <w:rPr>
                <w:rFonts w:hint="eastAsia" w:ascii="仿宋_GB2312" w:hAnsi="仿宋_GB2312" w:eastAsia="仿宋_GB2312" w:cs="仿宋_GB2312"/>
                <w:i w:val="0"/>
                <w:iCs w:val="0"/>
                <w:color w:val="000000"/>
                <w:sz w:val="15"/>
                <w:szCs w:val="15"/>
                <w:u w:val="none"/>
              </w:rPr>
            </w:pPr>
            <w:r>
              <w:rPr>
                <w:rFonts w:hint="eastAsia" w:ascii="宋体" w:hAnsi="宋体" w:eastAsia="宋体" w:cs="宋体"/>
                <w:i w:val="0"/>
                <w:iCs w:val="0"/>
                <w:color w:val="000000"/>
                <w:kern w:val="2"/>
                <w:sz w:val="15"/>
                <w:szCs w:val="15"/>
                <w:u w:val="none"/>
                <w:lang w:val="en-US" w:eastAsia="zh-CN" w:bidi="ar-SA"/>
              </w:rPr>
              <w:t>计划标准</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A47867">
            <w:pPr>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w:t>
            </w:r>
          </w:p>
        </w:tc>
        <w:tc>
          <w:tcPr>
            <w:tcW w:w="5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5247FA">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20</w:t>
            </w:r>
          </w:p>
        </w:tc>
        <w:tc>
          <w:tcPr>
            <w:tcW w:w="1141" w:type="dxa"/>
            <w:tcBorders>
              <w:top w:val="single" w:color="000000" w:sz="4" w:space="0"/>
              <w:left w:val="single" w:color="000000" w:sz="4" w:space="0"/>
              <w:bottom w:val="nil"/>
              <w:right w:val="single" w:color="000000" w:sz="4" w:space="0"/>
            </w:tcBorders>
            <w:shd w:val="clear" w:color="auto" w:fill="auto"/>
            <w:vAlign w:val="center"/>
          </w:tcPr>
          <w:p w14:paraId="6604B5FA">
            <w:pPr>
              <w:jc w:val="center"/>
              <w:rPr>
                <w:rFonts w:hint="eastAsia" w:ascii="仿宋_GB2312" w:hAnsi="仿宋_GB2312" w:eastAsia="仿宋_GB2312" w:cs="仿宋_GB2312"/>
                <w:i w:val="0"/>
                <w:iCs w:val="0"/>
                <w:color w:val="000000"/>
                <w:sz w:val="11"/>
                <w:szCs w:val="11"/>
                <w:u w:val="none"/>
              </w:rPr>
            </w:pPr>
            <w:r>
              <w:rPr>
                <w:rFonts w:hint="eastAsia" w:ascii="仿宋_GB2312" w:hAnsi="仿宋_GB2312" w:eastAsia="仿宋_GB2312" w:cs="仿宋_GB2312"/>
                <w:i w:val="0"/>
                <w:iCs w:val="0"/>
                <w:color w:val="000000"/>
                <w:sz w:val="11"/>
                <w:szCs w:val="11"/>
                <w:u w:val="none"/>
              </w:rPr>
              <w:t>按照完成比例赋分</w:t>
            </w: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A9E25D">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原始凭证</w:t>
            </w:r>
          </w:p>
        </w:tc>
        <w:tc>
          <w:tcPr>
            <w:tcW w:w="9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5D0311">
            <w:pPr>
              <w:jc w:val="center"/>
              <w:rPr>
                <w:rFonts w:hint="eastAsia" w:ascii="仿宋_GB2312" w:hAnsi="仿宋_GB2312" w:eastAsia="仿宋_GB2312" w:cs="仿宋_GB2312"/>
                <w:i w:val="0"/>
                <w:iCs w:val="0"/>
                <w:color w:val="000000"/>
                <w:sz w:val="18"/>
                <w:szCs w:val="18"/>
                <w:u w:val="none"/>
              </w:rPr>
            </w:pPr>
            <w:r>
              <w:rPr>
                <w:rFonts w:ascii="Arial" w:hAnsi="Arial" w:eastAsia="宋体" w:cs="Arial"/>
                <w:i w:val="0"/>
                <w:iCs w:val="0"/>
                <w:caps w:val="0"/>
                <w:color w:val="333333"/>
                <w:spacing w:val="0"/>
                <w:sz w:val="19"/>
                <w:szCs w:val="19"/>
                <w:shd w:val="clear" w:fill="FFFFFF"/>
              </w:rPr>
              <w:t>=149.02万元</w:t>
            </w:r>
          </w:p>
        </w:tc>
        <w:tc>
          <w:tcPr>
            <w:tcW w:w="7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B4751A">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lang w:val="en-US" w:eastAsia="zh-CN"/>
              </w:rPr>
              <w:t>100%</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03E4AD">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20</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FD5815">
            <w:pPr>
              <w:jc w:val="center"/>
              <w:rPr>
                <w:rFonts w:hint="eastAsia" w:ascii="仿宋_GB2312" w:hAnsi="仿宋_GB2312" w:eastAsia="仿宋_GB2312" w:cs="仿宋_GB2312"/>
                <w:i w:val="0"/>
                <w:iCs w:val="0"/>
                <w:color w:val="000000"/>
                <w:sz w:val="18"/>
                <w:szCs w:val="18"/>
                <w:u w:val="none"/>
              </w:rPr>
            </w:pPr>
          </w:p>
        </w:tc>
      </w:tr>
      <w:tr w14:paraId="235A9AA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91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122A7E">
            <w:pPr>
              <w:jc w:val="center"/>
              <w:rPr>
                <w:rFonts w:hint="eastAsia" w:ascii="仿宋_GB2312" w:hAnsi="仿宋_GB2312" w:eastAsia="仿宋_GB2312" w:cs="仿宋_GB2312"/>
                <w:i w:val="0"/>
                <w:iCs w:val="0"/>
                <w:color w:val="000000"/>
                <w:sz w:val="18"/>
                <w:szCs w:val="18"/>
                <w:u w:val="none"/>
              </w:rPr>
            </w:pPr>
          </w:p>
        </w:tc>
        <w:tc>
          <w:tcPr>
            <w:tcW w:w="9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0070FF">
            <w:pPr>
              <w:tabs>
                <w:tab w:val="left" w:pos="352"/>
              </w:tabs>
              <w:jc w:val="left"/>
              <w:rPr>
                <w:rFonts w:hint="eastAsia" w:ascii="仿宋_GB2312" w:hAnsi="仿宋_GB2312" w:eastAsia="仿宋_GB2312" w:cs="仿宋_GB2312"/>
                <w:i w:val="0"/>
                <w:iCs w:val="0"/>
                <w:color w:val="000000"/>
                <w:sz w:val="18"/>
                <w:szCs w:val="18"/>
                <w:u w:val="none"/>
                <w:lang w:eastAsia="zh-CN"/>
              </w:rPr>
            </w:pPr>
          </w:p>
          <w:p w14:paraId="3B31A946">
            <w:pPr>
              <w:tabs>
                <w:tab w:val="left" w:pos="352"/>
              </w:tabs>
              <w:jc w:val="left"/>
              <w:rPr>
                <w:rFonts w:hint="eastAsia" w:ascii="仿宋_GB2312" w:hAnsi="仿宋_GB2312" w:eastAsia="仿宋_GB2312" w:cs="仿宋_GB2312"/>
                <w:i w:val="0"/>
                <w:iCs w:val="0"/>
                <w:color w:val="000000"/>
                <w:sz w:val="18"/>
                <w:szCs w:val="18"/>
                <w:u w:val="none"/>
                <w:lang w:eastAsia="zh-CN"/>
              </w:rPr>
            </w:pPr>
            <w:r>
              <w:rPr>
                <w:rFonts w:hint="eastAsia" w:ascii="仿宋_GB2312" w:hAnsi="仿宋_GB2312" w:eastAsia="仿宋_GB2312" w:cs="仿宋_GB2312"/>
                <w:i w:val="0"/>
                <w:iCs w:val="0"/>
                <w:color w:val="000000"/>
                <w:sz w:val="18"/>
                <w:szCs w:val="18"/>
                <w:u w:val="none"/>
                <w:lang w:eastAsia="zh-CN"/>
              </w:rPr>
              <w:t>效益指标</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4075BD">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社会效益指标</w:t>
            </w:r>
          </w:p>
        </w:tc>
        <w:tc>
          <w:tcPr>
            <w:tcW w:w="1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637A72">
            <w:pPr>
              <w:jc w:val="center"/>
              <w:rPr>
                <w:rFonts w:hint="eastAsia" w:ascii="仿宋_GB2312" w:hAnsi="仿宋_GB2312" w:eastAsia="仿宋_GB2312" w:cs="仿宋_GB2312"/>
                <w:i w:val="0"/>
                <w:iCs w:val="0"/>
                <w:color w:val="000000"/>
                <w:sz w:val="15"/>
                <w:szCs w:val="15"/>
                <w:u w:val="none"/>
              </w:rPr>
            </w:pPr>
            <w:r>
              <w:rPr>
                <w:rFonts w:hint="eastAsia" w:ascii="仿宋_GB2312" w:hAnsi="仿宋_GB2312" w:eastAsia="仿宋_GB2312" w:cs="仿宋_GB2312"/>
                <w:i w:val="0"/>
                <w:iCs w:val="0"/>
                <w:color w:val="000000"/>
                <w:sz w:val="15"/>
                <w:szCs w:val="15"/>
                <w:u w:val="none"/>
              </w:rPr>
              <w:t>增强四个意识，坚定四个自信</w:t>
            </w:r>
          </w:p>
        </w:tc>
        <w:tc>
          <w:tcPr>
            <w:tcW w:w="13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9EE947">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显著提高</w:t>
            </w:r>
          </w:p>
        </w:tc>
        <w:tc>
          <w:tcPr>
            <w:tcW w:w="9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112AE1">
            <w:pPr>
              <w:jc w:val="center"/>
              <w:rPr>
                <w:rFonts w:hint="eastAsia" w:ascii="仿宋_GB2312" w:hAnsi="仿宋_GB2312" w:eastAsia="仿宋_GB2312" w:cs="仿宋_GB2312"/>
                <w:i w:val="0"/>
                <w:iCs w:val="0"/>
                <w:color w:val="000000"/>
                <w:sz w:val="15"/>
                <w:szCs w:val="15"/>
                <w:u w:val="none"/>
              </w:rPr>
            </w:pPr>
            <w:r>
              <w:rPr>
                <w:rFonts w:hint="eastAsia" w:ascii="宋体" w:hAnsi="宋体" w:eastAsia="宋体" w:cs="宋体"/>
                <w:i w:val="0"/>
                <w:iCs w:val="0"/>
                <w:color w:val="000000"/>
                <w:kern w:val="2"/>
                <w:sz w:val="15"/>
                <w:szCs w:val="15"/>
                <w:u w:val="none"/>
                <w:lang w:val="en-US" w:eastAsia="zh-CN" w:bidi="ar-SA"/>
              </w:rPr>
              <w:t>计划标准</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D3CDD9">
            <w:pPr>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w:t>
            </w:r>
          </w:p>
        </w:tc>
        <w:tc>
          <w:tcPr>
            <w:tcW w:w="5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66FD68">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20</w:t>
            </w:r>
          </w:p>
        </w:tc>
        <w:tc>
          <w:tcPr>
            <w:tcW w:w="11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B3FB2E">
            <w:pPr>
              <w:jc w:val="center"/>
              <w:rPr>
                <w:rFonts w:hint="eastAsia" w:ascii="仿宋_GB2312" w:hAnsi="仿宋_GB2312" w:eastAsia="仿宋_GB2312" w:cs="仿宋_GB2312"/>
                <w:i w:val="0"/>
                <w:iCs w:val="0"/>
                <w:color w:val="000000"/>
                <w:sz w:val="11"/>
                <w:szCs w:val="11"/>
                <w:u w:val="none"/>
              </w:rPr>
            </w:pPr>
            <w:r>
              <w:rPr>
                <w:rFonts w:hint="eastAsia" w:ascii="仿宋_GB2312" w:hAnsi="仿宋_GB2312" w:eastAsia="仿宋_GB2312" w:cs="仿宋_GB2312"/>
                <w:i w:val="0"/>
                <w:iCs w:val="0"/>
                <w:color w:val="000000"/>
                <w:sz w:val="11"/>
                <w:szCs w:val="11"/>
                <w:u w:val="none"/>
              </w:rPr>
              <w:t>按照完成比例赋分</w:t>
            </w: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04E457">
            <w:pPr>
              <w:jc w:val="center"/>
              <w:rPr>
                <w:rFonts w:hint="eastAsia" w:ascii="仿宋_GB2312" w:hAnsi="仿宋_GB2312" w:eastAsia="仿宋_GB2312" w:cs="仿宋_GB2312"/>
                <w:i w:val="0"/>
                <w:iCs w:val="0"/>
                <w:color w:val="000000"/>
                <w:sz w:val="18"/>
                <w:szCs w:val="18"/>
                <w:u w:val="none"/>
              </w:rPr>
            </w:pPr>
            <w:r>
              <w:rPr>
                <w:rFonts w:ascii="Arial" w:hAnsi="Arial" w:eastAsia="宋体" w:cs="Arial"/>
                <w:i w:val="0"/>
                <w:iCs w:val="0"/>
                <w:caps w:val="0"/>
                <w:color w:val="2B2B2B"/>
                <w:spacing w:val="0"/>
                <w:sz w:val="19"/>
                <w:szCs w:val="19"/>
                <w:shd w:val="clear" w:fill="EDEDED"/>
              </w:rPr>
              <w:t>说明材料</w:t>
            </w:r>
          </w:p>
        </w:tc>
        <w:tc>
          <w:tcPr>
            <w:tcW w:w="9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F1B56B">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显著提高</w:t>
            </w:r>
          </w:p>
        </w:tc>
        <w:tc>
          <w:tcPr>
            <w:tcW w:w="7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ACD5A8">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lang w:val="en-US" w:eastAsia="zh-CN"/>
              </w:rPr>
              <w:t>100%</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A4FC27">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20</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C69119">
            <w:pPr>
              <w:jc w:val="center"/>
              <w:rPr>
                <w:rFonts w:hint="eastAsia" w:ascii="仿宋_GB2312" w:hAnsi="仿宋_GB2312" w:eastAsia="仿宋_GB2312" w:cs="仿宋_GB2312"/>
                <w:i w:val="0"/>
                <w:iCs w:val="0"/>
                <w:color w:val="000000"/>
                <w:sz w:val="18"/>
                <w:szCs w:val="18"/>
                <w:u w:val="none"/>
              </w:rPr>
            </w:pPr>
          </w:p>
        </w:tc>
      </w:tr>
      <w:tr w14:paraId="4636E9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91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BE52AC">
            <w:pPr>
              <w:jc w:val="center"/>
              <w:rPr>
                <w:rFonts w:hint="eastAsia" w:ascii="仿宋_GB2312" w:hAnsi="仿宋_GB2312" w:eastAsia="仿宋_GB2312" w:cs="仿宋_GB2312"/>
                <w:i w:val="0"/>
                <w:iCs w:val="0"/>
                <w:color w:val="000000"/>
                <w:sz w:val="18"/>
                <w:szCs w:val="18"/>
                <w:u w:val="none"/>
              </w:rPr>
            </w:pPr>
          </w:p>
        </w:tc>
        <w:tc>
          <w:tcPr>
            <w:tcW w:w="9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BF38D6">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满意度指标</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9B1EF3">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满意度指标</w:t>
            </w:r>
          </w:p>
        </w:tc>
        <w:tc>
          <w:tcPr>
            <w:tcW w:w="1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C1F4BB">
            <w:pPr>
              <w:jc w:val="left"/>
              <w:rPr>
                <w:rFonts w:hint="eastAsia" w:ascii="仿宋_GB2312" w:hAnsi="仿宋_GB2312" w:eastAsia="仿宋_GB2312" w:cs="仿宋_GB2312"/>
                <w:i w:val="0"/>
                <w:iCs w:val="0"/>
                <w:color w:val="000000"/>
                <w:sz w:val="15"/>
                <w:szCs w:val="15"/>
                <w:u w:val="none"/>
              </w:rPr>
            </w:pPr>
            <w:r>
              <w:rPr>
                <w:rFonts w:hint="eastAsia" w:ascii="仿宋_GB2312" w:hAnsi="仿宋_GB2312" w:eastAsia="仿宋_GB2312" w:cs="仿宋_GB2312"/>
                <w:i w:val="0"/>
                <w:iCs w:val="0"/>
                <w:color w:val="000000"/>
                <w:sz w:val="15"/>
                <w:szCs w:val="15"/>
                <w:u w:val="none"/>
              </w:rPr>
              <w:t>受益部门满意度</w:t>
            </w:r>
          </w:p>
        </w:tc>
        <w:tc>
          <w:tcPr>
            <w:tcW w:w="13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198C7D">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&gt;=95%</w:t>
            </w:r>
          </w:p>
        </w:tc>
        <w:tc>
          <w:tcPr>
            <w:tcW w:w="9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B7AF40">
            <w:pPr>
              <w:jc w:val="center"/>
              <w:rPr>
                <w:rFonts w:hint="eastAsia" w:ascii="仿宋_GB2312" w:hAnsi="仿宋_GB2312" w:eastAsia="仿宋_GB2312" w:cs="仿宋_GB2312"/>
                <w:i w:val="0"/>
                <w:iCs w:val="0"/>
                <w:color w:val="000000"/>
                <w:sz w:val="15"/>
                <w:szCs w:val="15"/>
                <w:u w:val="none"/>
              </w:rPr>
            </w:pPr>
            <w:r>
              <w:rPr>
                <w:rFonts w:hint="eastAsia" w:ascii="宋体" w:hAnsi="宋体" w:eastAsia="宋体" w:cs="宋体"/>
                <w:i w:val="0"/>
                <w:iCs w:val="0"/>
                <w:color w:val="000000"/>
                <w:kern w:val="2"/>
                <w:sz w:val="15"/>
                <w:szCs w:val="15"/>
                <w:u w:val="none"/>
                <w:lang w:val="en-US" w:eastAsia="zh-CN" w:bidi="ar-SA"/>
              </w:rPr>
              <w:t>计划标准</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8D718A">
            <w:pPr>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w:t>
            </w:r>
          </w:p>
        </w:tc>
        <w:tc>
          <w:tcPr>
            <w:tcW w:w="5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36C022">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10</w:t>
            </w:r>
          </w:p>
        </w:tc>
        <w:tc>
          <w:tcPr>
            <w:tcW w:w="11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529AF8">
            <w:pPr>
              <w:jc w:val="center"/>
              <w:rPr>
                <w:rFonts w:hint="eastAsia" w:ascii="仿宋_GB2312" w:hAnsi="仿宋_GB2312" w:eastAsia="仿宋_GB2312" w:cs="仿宋_GB2312"/>
                <w:i w:val="0"/>
                <w:iCs w:val="0"/>
                <w:color w:val="000000"/>
                <w:sz w:val="11"/>
                <w:szCs w:val="11"/>
                <w:u w:val="none"/>
              </w:rPr>
            </w:pPr>
            <w:r>
              <w:rPr>
                <w:rFonts w:hint="eastAsia" w:ascii="仿宋_GB2312" w:hAnsi="仿宋_GB2312" w:eastAsia="仿宋_GB2312" w:cs="仿宋_GB2312"/>
                <w:i w:val="0"/>
                <w:iCs w:val="0"/>
                <w:color w:val="000000"/>
                <w:sz w:val="11"/>
                <w:szCs w:val="11"/>
                <w:u w:val="none"/>
              </w:rPr>
              <w:t>满意度赋分</w:t>
            </w: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2F6CBA">
            <w:pPr>
              <w:jc w:val="center"/>
              <w:rPr>
                <w:rFonts w:hint="eastAsia" w:ascii="仿宋_GB2312" w:hAnsi="仿宋_GB2312" w:eastAsia="仿宋_GB2312" w:cs="仿宋_GB2312"/>
                <w:i w:val="0"/>
                <w:iCs w:val="0"/>
                <w:color w:val="000000"/>
                <w:sz w:val="18"/>
                <w:szCs w:val="18"/>
                <w:u w:val="none"/>
              </w:rPr>
            </w:pPr>
            <w:r>
              <w:rPr>
                <w:rFonts w:ascii="Arial" w:hAnsi="Arial" w:eastAsia="宋体" w:cs="Arial"/>
                <w:i w:val="0"/>
                <w:iCs w:val="0"/>
                <w:caps w:val="0"/>
                <w:color w:val="2B2B2B"/>
                <w:spacing w:val="0"/>
                <w:sz w:val="19"/>
                <w:szCs w:val="19"/>
                <w:shd w:val="clear" w:fill="EDEDED"/>
              </w:rPr>
              <w:t>说明材料</w:t>
            </w:r>
          </w:p>
        </w:tc>
        <w:tc>
          <w:tcPr>
            <w:tcW w:w="9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9311BB">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=95%</w:t>
            </w:r>
          </w:p>
        </w:tc>
        <w:tc>
          <w:tcPr>
            <w:tcW w:w="7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3E7A38">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lang w:val="en-US" w:eastAsia="zh-CN"/>
              </w:rPr>
              <w:t>100%</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16F5EA">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10</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A476FF">
            <w:pPr>
              <w:jc w:val="center"/>
              <w:rPr>
                <w:rFonts w:hint="eastAsia" w:ascii="仿宋_GB2312" w:hAnsi="仿宋_GB2312" w:eastAsia="仿宋_GB2312" w:cs="仿宋_GB2312"/>
                <w:i w:val="0"/>
                <w:iCs w:val="0"/>
                <w:color w:val="000000"/>
                <w:sz w:val="18"/>
                <w:szCs w:val="18"/>
                <w:u w:val="none"/>
              </w:rPr>
            </w:pPr>
          </w:p>
        </w:tc>
      </w:tr>
      <w:tr w14:paraId="5693850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5044" w:type="dxa"/>
            <w:gridSpan w:val="4"/>
            <w:tcBorders>
              <w:top w:val="single" w:color="000000" w:sz="4" w:space="0"/>
              <w:left w:val="single" w:color="000000" w:sz="4" w:space="0"/>
              <w:bottom w:val="single" w:color="000000" w:sz="4" w:space="0"/>
              <w:right w:val="nil"/>
            </w:tcBorders>
            <w:shd w:val="clear" w:color="auto" w:fill="auto"/>
            <w:vAlign w:val="center"/>
          </w:tcPr>
          <w:p w14:paraId="57CBBA50">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总分</w:t>
            </w:r>
          </w:p>
        </w:tc>
        <w:tc>
          <w:tcPr>
            <w:tcW w:w="13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385999">
            <w:pPr>
              <w:jc w:val="center"/>
              <w:rPr>
                <w:rFonts w:hint="eastAsia" w:ascii="仿宋_GB2312" w:hAnsi="仿宋_GB2312" w:eastAsia="仿宋_GB2312" w:cs="仿宋_GB2312"/>
                <w:i w:val="0"/>
                <w:iCs w:val="0"/>
                <w:color w:val="000000"/>
                <w:sz w:val="18"/>
                <w:szCs w:val="18"/>
                <w:u w:val="none"/>
              </w:rPr>
            </w:pPr>
          </w:p>
        </w:tc>
        <w:tc>
          <w:tcPr>
            <w:tcW w:w="963" w:type="dxa"/>
            <w:tcBorders>
              <w:top w:val="single" w:color="000000" w:sz="4" w:space="0"/>
              <w:left w:val="nil"/>
              <w:bottom w:val="single" w:color="000000" w:sz="4" w:space="0"/>
              <w:right w:val="single" w:color="000000" w:sz="4" w:space="0"/>
            </w:tcBorders>
            <w:shd w:val="clear" w:color="auto" w:fill="auto"/>
            <w:vAlign w:val="center"/>
          </w:tcPr>
          <w:p w14:paraId="10E7E0DD">
            <w:pPr>
              <w:rPr>
                <w:rFonts w:hint="eastAsia" w:ascii="仿宋_GB2312" w:hAnsi="仿宋_GB2312" w:eastAsia="仿宋_GB2312" w:cs="仿宋_GB2312"/>
                <w:b/>
                <w:bCs/>
                <w:i w:val="0"/>
                <w:iCs w:val="0"/>
                <w:color w:val="000000"/>
                <w:sz w:val="18"/>
                <w:szCs w:val="18"/>
                <w:u w:val="none"/>
              </w:rPr>
            </w:pP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41775A">
            <w:pPr>
              <w:jc w:val="center"/>
              <w:rPr>
                <w:rFonts w:hint="eastAsia" w:ascii="仿宋_GB2312" w:hAnsi="仿宋_GB2312" w:eastAsia="仿宋_GB2312" w:cs="仿宋_GB2312"/>
                <w:i w:val="0"/>
                <w:iCs w:val="0"/>
                <w:color w:val="000000"/>
                <w:sz w:val="18"/>
                <w:szCs w:val="18"/>
                <w:u w:val="none"/>
              </w:rPr>
            </w:pPr>
          </w:p>
        </w:tc>
        <w:tc>
          <w:tcPr>
            <w:tcW w:w="5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B79240">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90</w:t>
            </w:r>
          </w:p>
        </w:tc>
        <w:tc>
          <w:tcPr>
            <w:tcW w:w="11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0724C7">
            <w:pPr>
              <w:jc w:val="center"/>
              <w:rPr>
                <w:rFonts w:hint="eastAsia" w:ascii="仿宋_GB2312" w:hAnsi="仿宋_GB2312" w:eastAsia="仿宋_GB2312" w:cs="仿宋_GB2312"/>
                <w:i w:val="0"/>
                <w:iCs w:val="0"/>
                <w:color w:val="000000"/>
                <w:sz w:val="18"/>
                <w:szCs w:val="18"/>
                <w:u w:val="none"/>
              </w:rPr>
            </w:pP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D888DA">
            <w:pPr>
              <w:rPr>
                <w:rFonts w:hint="eastAsia" w:ascii="仿宋_GB2312" w:hAnsi="仿宋_GB2312" w:eastAsia="仿宋_GB2312" w:cs="仿宋_GB2312"/>
                <w:i w:val="0"/>
                <w:iCs w:val="0"/>
                <w:color w:val="000000"/>
                <w:sz w:val="18"/>
                <w:szCs w:val="18"/>
                <w:u w:val="none"/>
              </w:rPr>
            </w:pPr>
          </w:p>
        </w:tc>
        <w:tc>
          <w:tcPr>
            <w:tcW w:w="9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EF001C">
            <w:pPr>
              <w:rPr>
                <w:rFonts w:hint="eastAsia" w:ascii="仿宋_GB2312" w:hAnsi="仿宋_GB2312" w:eastAsia="仿宋_GB2312" w:cs="仿宋_GB2312"/>
                <w:i w:val="0"/>
                <w:iCs w:val="0"/>
                <w:color w:val="000000"/>
                <w:sz w:val="18"/>
                <w:szCs w:val="18"/>
                <w:u w:val="none"/>
              </w:rPr>
            </w:pPr>
          </w:p>
        </w:tc>
        <w:tc>
          <w:tcPr>
            <w:tcW w:w="7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534EF3">
            <w:pPr>
              <w:rPr>
                <w:rFonts w:hint="eastAsia" w:ascii="仿宋_GB2312" w:hAnsi="仿宋_GB2312" w:eastAsia="仿宋_GB2312" w:cs="仿宋_GB2312"/>
                <w:i w:val="0"/>
                <w:iCs w:val="0"/>
                <w:color w:val="000000"/>
                <w:sz w:val="18"/>
                <w:szCs w:val="18"/>
                <w:u w:val="none"/>
              </w:rPr>
            </w:pP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021B59">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90</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216349">
            <w:pPr>
              <w:rPr>
                <w:rFonts w:hint="eastAsia" w:ascii="仿宋_GB2312" w:hAnsi="仿宋_GB2312" w:eastAsia="仿宋_GB2312" w:cs="仿宋_GB2312"/>
                <w:i w:val="0"/>
                <w:iCs w:val="0"/>
                <w:color w:val="000000"/>
                <w:sz w:val="18"/>
                <w:szCs w:val="18"/>
                <w:u w:val="none"/>
              </w:rPr>
            </w:pPr>
          </w:p>
        </w:tc>
      </w:tr>
    </w:tbl>
    <w:p w14:paraId="5CC366EE">
      <w:pPr>
        <w:rPr>
          <w:rFonts w:hint="default" w:ascii="Times New Roman" w:hAnsi="Times New Roman" w:cs="Times New Roman"/>
        </w:rPr>
      </w:pPr>
    </w:p>
    <w:sectPr>
      <w:pgSz w:w="16838" w:h="11906" w:orient="landscape"/>
      <w:pgMar w:top="1800" w:right="1440" w:bottom="155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Calibri Light">
    <w:panose1 w:val="020F03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微软雅黑"/>
    <w:panose1 w:val="02000000000000000000"/>
    <w:charset w:val="86"/>
    <w:family w:val="script"/>
    <w:pitch w:val="default"/>
    <w:sig w:usb0="00000000" w:usb1="00000000" w:usb2="00082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2000000000000000000"/>
    <w:charset w:val="86"/>
    <w:family w:val="auto"/>
    <w:pitch w:val="default"/>
    <w:sig w:usb0="00000000" w:usb1="00000000" w:usb2="00082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468962"/>
    </w:sdtPr>
    <w:sdtContent>
      <w:p w14:paraId="57E799F3">
        <w:pPr>
          <w:pStyle w:val="8"/>
          <w:jc w:val="center"/>
        </w:pPr>
        <w:r>
          <w:fldChar w:fldCharType="begin"/>
        </w:r>
        <w:r>
          <w:instrText xml:space="preserve">PAGE   \* MERGEFORMAT</w:instrText>
        </w:r>
        <w:r>
          <w:fldChar w:fldCharType="separate"/>
        </w:r>
        <w:r>
          <w:rPr>
            <w:lang w:val="zh-CN"/>
          </w:rPr>
          <w:t>13</w:t>
        </w:r>
        <w:r>
          <w:fldChar w:fldCharType="end"/>
        </w:r>
      </w:p>
    </w:sdtContent>
  </w:sdt>
  <w:p w14:paraId="4BA4FBF1">
    <w:pPr>
      <w:pStyle w:val="8"/>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4CD2B0F"/>
    <w:multiLevelType w:val="singleLevel"/>
    <w:tmpl w:val="F4CD2B0F"/>
    <w:lvl w:ilvl="0" w:tentative="0">
      <w:start w:val="1"/>
      <w:numFmt w:val="decimal"/>
      <w:suff w:val="nothing"/>
      <w:lvlText w:val="（%1）"/>
      <w:lvlJc w:val="left"/>
    </w:lvl>
  </w:abstractNum>
  <w:abstractNum w:abstractNumId="1">
    <w:nsid w:val="FF9379A8"/>
    <w:multiLevelType w:val="singleLevel"/>
    <w:tmpl w:val="FF9379A8"/>
    <w:lvl w:ilvl="0" w:tentative="0">
      <w:start w:val="2"/>
      <w:numFmt w:val="chineseCounting"/>
      <w:suff w:val="nothing"/>
      <w:lvlText w:val="（%1）"/>
      <w:lvlJc w:val="left"/>
      <w:rPr>
        <w:rFonts w:hint="eastAsia"/>
      </w:rPr>
    </w:lvl>
  </w:abstractNum>
  <w:abstractNum w:abstractNumId="2">
    <w:nsid w:val="116B29BF"/>
    <w:multiLevelType w:val="singleLevel"/>
    <w:tmpl w:val="116B29BF"/>
    <w:lvl w:ilvl="0" w:tentative="0">
      <w:start w:val="3"/>
      <w:numFmt w:val="chineseCounting"/>
      <w:suff w:val="nothing"/>
      <w:lvlText w:val="%1、"/>
      <w:lvlJc w:val="left"/>
      <w:rPr>
        <w:rFonts w:hint="eastAsia"/>
      </w:rPr>
    </w:lvl>
  </w:abstractNum>
  <w:abstractNum w:abstractNumId="3">
    <w:nsid w:val="1A2A849A"/>
    <w:multiLevelType w:val="singleLevel"/>
    <w:tmpl w:val="1A2A849A"/>
    <w:lvl w:ilvl="0" w:tentative="0">
      <w:start w:val="1"/>
      <w:numFmt w:val="decimal"/>
      <w:lvlText w:val="%1."/>
      <w:lvlJc w:val="left"/>
      <w:pPr>
        <w:tabs>
          <w:tab w:val="left" w:pos="312"/>
        </w:tabs>
      </w:pPr>
    </w:lvl>
  </w:abstractNum>
  <w:abstractNum w:abstractNumId="4">
    <w:nsid w:val="27813159"/>
    <w:multiLevelType w:val="singleLevel"/>
    <w:tmpl w:val="27813159"/>
    <w:lvl w:ilvl="0" w:tentative="0">
      <w:start w:val="3"/>
      <w:numFmt w:val="chineseCounting"/>
      <w:suff w:val="nothing"/>
      <w:lvlText w:val="（%1）"/>
      <w:lvlJc w:val="left"/>
      <w:rPr>
        <w:rFonts w:hint="eastAsia"/>
      </w:rPr>
    </w:lvl>
  </w:abstractNum>
  <w:abstractNum w:abstractNumId="5">
    <w:nsid w:val="3DC82D21"/>
    <w:multiLevelType w:val="singleLevel"/>
    <w:tmpl w:val="3DC82D21"/>
    <w:lvl w:ilvl="0" w:tentative="0">
      <w:start w:val="2"/>
      <w:numFmt w:val="decimal"/>
      <w:lvlText w:val="%1."/>
      <w:lvlJc w:val="left"/>
      <w:pPr>
        <w:tabs>
          <w:tab w:val="left" w:pos="312"/>
        </w:tabs>
      </w:pPr>
    </w:lvl>
  </w:abstractNum>
  <w:abstractNum w:abstractNumId="6">
    <w:nsid w:val="6FAA0AB1"/>
    <w:multiLevelType w:val="singleLevel"/>
    <w:tmpl w:val="6FAA0AB1"/>
    <w:lvl w:ilvl="0" w:tentative="0">
      <w:start w:val="2"/>
      <w:numFmt w:val="chineseCounting"/>
      <w:suff w:val="nothing"/>
      <w:lvlText w:val="（%1）"/>
      <w:lvlJc w:val="left"/>
      <w:rPr>
        <w:rFonts w:hint="eastAsia"/>
      </w:rPr>
    </w:lvl>
  </w:abstractNum>
  <w:num w:numId="1">
    <w:abstractNumId w:val="5"/>
  </w:num>
  <w:num w:numId="2">
    <w:abstractNumId w:val="0"/>
  </w:num>
  <w:num w:numId="3">
    <w:abstractNumId w:val="4"/>
  </w:num>
  <w:num w:numId="4">
    <w:abstractNumId w:val="2"/>
  </w:num>
  <w:num w:numId="5">
    <w:abstractNumId w:val="6"/>
  </w:num>
  <w:num w:numId="6">
    <w:abstractNumId w:val="3"/>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diOGM5NzlhN2JhOTc3OTljZTBmY2FhN2MzNTk3ODEifQ=="/>
  </w:docVars>
  <w:rsids>
    <w:rsidRoot w:val="FF6C4049"/>
    <w:rsid w:val="00525893"/>
    <w:rsid w:val="006F7242"/>
    <w:rsid w:val="007B168A"/>
    <w:rsid w:val="008B2CFE"/>
    <w:rsid w:val="00F26FF6"/>
    <w:rsid w:val="01610122"/>
    <w:rsid w:val="01846F0A"/>
    <w:rsid w:val="01B81EF0"/>
    <w:rsid w:val="01BE04E2"/>
    <w:rsid w:val="02510197"/>
    <w:rsid w:val="02C3371F"/>
    <w:rsid w:val="0317189E"/>
    <w:rsid w:val="039830F1"/>
    <w:rsid w:val="03EC461B"/>
    <w:rsid w:val="04662845"/>
    <w:rsid w:val="04EC3B63"/>
    <w:rsid w:val="05056ECB"/>
    <w:rsid w:val="05644C43"/>
    <w:rsid w:val="06A35E92"/>
    <w:rsid w:val="06A70001"/>
    <w:rsid w:val="06D83CB0"/>
    <w:rsid w:val="06FF7F8B"/>
    <w:rsid w:val="070D72A1"/>
    <w:rsid w:val="071A5591"/>
    <w:rsid w:val="07397B77"/>
    <w:rsid w:val="07883367"/>
    <w:rsid w:val="07BE3841"/>
    <w:rsid w:val="09E30A8B"/>
    <w:rsid w:val="0A4E0677"/>
    <w:rsid w:val="0A536929"/>
    <w:rsid w:val="0A554EFC"/>
    <w:rsid w:val="0AD007F3"/>
    <w:rsid w:val="0B316DB7"/>
    <w:rsid w:val="0B381661"/>
    <w:rsid w:val="0B4C1575"/>
    <w:rsid w:val="0BBD62CF"/>
    <w:rsid w:val="0CB509F0"/>
    <w:rsid w:val="0D082A6E"/>
    <w:rsid w:val="0D0A5F71"/>
    <w:rsid w:val="0D86333C"/>
    <w:rsid w:val="0E2C514F"/>
    <w:rsid w:val="0E3C619F"/>
    <w:rsid w:val="0E5C65AA"/>
    <w:rsid w:val="0F5622D1"/>
    <w:rsid w:val="0F6273CA"/>
    <w:rsid w:val="100F38EC"/>
    <w:rsid w:val="10670CEF"/>
    <w:rsid w:val="11170296"/>
    <w:rsid w:val="11603917"/>
    <w:rsid w:val="11677534"/>
    <w:rsid w:val="12C66037"/>
    <w:rsid w:val="12CD1ABC"/>
    <w:rsid w:val="13471461"/>
    <w:rsid w:val="1361146A"/>
    <w:rsid w:val="13B90F01"/>
    <w:rsid w:val="153A3533"/>
    <w:rsid w:val="155E4C4D"/>
    <w:rsid w:val="163A2BCB"/>
    <w:rsid w:val="165E66DF"/>
    <w:rsid w:val="168C360A"/>
    <w:rsid w:val="16E86E01"/>
    <w:rsid w:val="175E1B82"/>
    <w:rsid w:val="17812958"/>
    <w:rsid w:val="17D23921"/>
    <w:rsid w:val="181066D2"/>
    <w:rsid w:val="18A31A7B"/>
    <w:rsid w:val="198C07E7"/>
    <w:rsid w:val="19DD2A7D"/>
    <w:rsid w:val="1A0174FD"/>
    <w:rsid w:val="1ACE5888"/>
    <w:rsid w:val="1B045DCF"/>
    <w:rsid w:val="1B3F6E41"/>
    <w:rsid w:val="1B803B6F"/>
    <w:rsid w:val="1C243C3B"/>
    <w:rsid w:val="1C427968"/>
    <w:rsid w:val="1C671E73"/>
    <w:rsid w:val="1D181F4A"/>
    <w:rsid w:val="1D322C47"/>
    <w:rsid w:val="1D4A019B"/>
    <w:rsid w:val="1DF23A54"/>
    <w:rsid w:val="1E04324C"/>
    <w:rsid w:val="1E4A35C1"/>
    <w:rsid w:val="1ECC0E79"/>
    <w:rsid w:val="1F3F41FC"/>
    <w:rsid w:val="1F92003C"/>
    <w:rsid w:val="210441E2"/>
    <w:rsid w:val="215C666A"/>
    <w:rsid w:val="2189080C"/>
    <w:rsid w:val="21F039A6"/>
    <w:rsid w:val="22290DFD"/>
    <w:rsid w:val="230B288A"/>
    <w:rsid w:val="235F2314"/>
    <w:rsid w:val="23616034"/>
    <w:rsid w:val="23696C97"/>
    <w:rsid w:val="241F4950"/>
    <w:rsid w:val="24480FA2"/>
    <w:rsid w:val="24716CD9"/>
    <w:rsid w:val="24983315"/>
    <w:rsid w:val="24E8060D"/>
    <w:rsid w:val="25227A45"/>
    <w:rsid w:val="256877FE"/>
    <w:rsid w:val="259A54C2"/>
    <w:rsid w:val="25C25D37"/>
    <w:rsid w:val="268E7F4D"/>
    <w:rsid w:val="26AC3A6A"/>
    <w:rsid w:val="276817C2"/>
    <w:rsid w:val="27923871"/>
    <w:rsid w:val="27F73FD0"/>
    <w:rsid w:val="28E02979"/>
    <w:rsid w:val="29301A55"/>
    <w:rsid w:val="29E459D2"/>
    <w:rsid w:val="2A9113E2"/>
    <w:rsid w:val="2B7335D1"/>
    <w:rsid w:val="2B842F73"/>
    <w:rsid w:val="2B9D7E25"/>
    <w:rsid w:val="2C4C3B78"/>
    <w:rsid w:val="2C7C7A3B"/>
    <w:rsid w:val="2CDA61F0"/>
    <w:rsid w:val="2D1D1969"/>
    <w:rsid w:val="2D57132A"/>
    <w:rsid w:val="2D637F86"/>
    <w:rsid w:val="2D6A3274"/>
    <w:rsid w:val="2E1447D0"/>
    <w:rsid w:val="2E4317D6"/>
    <w:rsid w:val="2EAD0866"/>
    <w:rsid w:val="2EAE6C4B"/>
    <w:rsid w:val="2F364819"/>
    <w:rsid w:val="2F753DEB"/>
    <w:rsid w:val="2FAA4EA8"/>
    <w:rsid w:val="2FD63906"/>
    <w:rsid w:val="2FE353C2"/>
    <w:rsid w:val="306B25F5"/>
    <w:rsid w:val="30DC52C3"/>
    <w:rsid w:val="30E94F09"/>
    <w:rsid w:val="30F823DC"/>
    <w:rsid w:val="30FC77ED"/>
    <w:rsid w:val="312241A9"/>
    <w:rsid w:val="318616B8"/>
    <w:rsid w:val="33180DE1"/>
    <w:rsid w:val="33406722"/>
    <w:rsid w:val="33503FEE"/>
    <w:rsid w:val="33722DB4"/>
    <w:rsid w:val="33811DDB"/>
    <w:rsid w:val="33EE55C1"/>
    <w:rsid w:val="341B4A8C"/>
    <w:rsid w:val="3474171E"/>
    <w:rsid w:val="348979BE"/>
    <w:rsid w:val="35212C65"/>
    <w:rsid w:val="35586D92"/>
    <w:rsid w:val="37215DAE"/>
    <w:rsid w:val="375D2A64"/>
    <w:rsid w:val="378B20CA"/>
    <w:rsid w:val="38571C7D"/>
    <w:rsid w:val="385839D6"/>
    <w:rsid w:val="38B67A98"/>
    <w:rsid w:val="38BA3AED"/>
    <w:rsid w:val="38CA40DD"/>
    <w:rsid w:val="395F2B56"/>
    <w:rsid w:val="39B62EBE"/>
    <w:rsid w:val="3A1357D6"/>
    <w:rsid w:val="3B482032"/>
    <w:rsid w:val="3BBA0580"/>
    <w:rsid w:val="3BECE841"/>
    <w:rsid w:val="3CDE204C"/>
    <w:rsid w:val="3CFB6F80"/>
    <w:rsid w:val="3D255001"/>
    <w:rsid w:val="3D363C36"/>
    <w:rsid w:val="3E037C4A"/>
    <w:rsid w:val="3E9C3F6D"/>
    <w:rsid w:val="3F8B4DA8"/>
    <w:rsid w:val="3F9E326F"/>
    <w:rsid w:val="3FF7797D"/>
    <w:rsid w:val="4052773C"/>
    <w:rsid w:val="40551718"/>
    <w:rsid w:val="41570042"/>
    <w:rsid w:val="41850291"/>
    <w:rsid w:val="420723E4"/>
    <w:rsid w:val="42B850ED"/>
    <w:rsid w:val="42F16CBA"/>
    <w:rsid w:val="438F69E7"/>
    <w:rsid w:val="43EB1505"/>
    <w:rsid w:val="44115B45"/>
    <w:rsid w:val="4433472D"/>
    <w:rsid w:val="443E074E"/>
    <w:rsid w:val="45ED1D4A"/>
    <w:rsid w:val="46690BD8"/>
    <w:rsid w:val="467C4AB1"/>
    <w:rsid w:val="468B5E86"/>
    <w:rsid w:val="46D1436F"/>
    <w:rsid w:val="4703600F"/>
    <w:rsid w:val="47085BF4"/>
    <w:rsid w:val="480239B3"/>
    <w:rsid w:val="4813210A"/>
    <w:rsid w:val="485C500D"/>
    <w:rsid w:val="48ED6E34"/>
    <w:rsid w:val="49F15A51"/>
    <w:rsid w:val="49F70BF1"/>
    <w:rsid w:val="49F925F5"/>
    <w:rsid w:val="4A0975F4"/>
    <w:rsid w:val="4B4340EE"/>
    <w:rsid w:val="4B924B09"/>
    <w:rsid w:val="4B9B321A"/>
    <w:rsid w:val="4BA1307A"/>
    <w:rsid w:val="4BAD7A5E"/>
    <w:rsid w:val="4D8D5BC8"/>
    <w:rsid w:val="4DC0326F"/>
    <w:rsid w:val="4ECF0F8A"/>
    <w:rsid w:val="4F585089"/>
    <w:rsid w:val="4F85794C"/>
    <w:rsid w:val="503D507A"/>
    <w:rsid w:val="50696D3C"/>
    <w:rsid w:val="50800255"/>
    <w:rsid w:val="50AC248D"/>
    <w:rsid w:val="50C507DC"/>
    <w:rsid w:val="50D93C5C"/>
    <w:rsid w:val="51CD4943"/>
    <w:rsid w:val="51FA74D0"/>
    <w:rsid w:val="521A28BB"/>
    <w:rsid w:val="52A0271D"/>
    <w:rsid w:val="52AA4A52"/>
    <w:rsid w:val="534F37BA"/>
    <w:rsid w:val="539D3AD1"/>
    <w:rsid w:val="53BE2EF2"/>
    <w:rsid w:val="54271E31"/>
    <w:rsid w:val="548C0FC4"/>
    <w:rsid w:val="548D63DA"/>
    <w:rsid w:val="54F72B08"/>
    <w:rsid w:val="54FA611B"/>
    <w:rsid w:val="563D17EE"/>
    <w:rsid w:val="566C5C56"/>
    <w:rsid w:val="575703CF"/>
    <w:rsid w:val="57CA68D2"/>
    <w:rsid w:val="58F96722"/>
    <w:rsid w:val="597A58D9"/>
    <w:rsid w:val="59943D66"/>
    <w:rsid w:val="59D53C52"/>
    <w:rsid w:val="59E051FD"/>
    <w:rsid w:val="59E6355E"/>
    <w:rsid w:val="5A190546"/>
    <w:rsid w:val="5B821531"/>
    <w:rsid w:val="5BFF6039"/>
    <w:rsid w:val="5C11209A"/>
    <w:rsid w:val="5C254950"/>
    <w:rsid w:val="5C9078CB"/>
    <w:rsid w:val="5D5339AB"/>
    <w:rsid w:val="5D76A616"/>
    <w:rsid w:val="5D7F20B9"/>
    <w:rsid w:val="5D8472F1"/>
    <w:rsid w:val="5DAC7D0E"/>
    <w:rsid w:val="5DB42C29"/>
    <w:rsid w:val="5E1D62E0"/>
    <w:rsid w:val="5E564E88"/>
    <w:rsid w:val="5E5F247D"/>
    <w:rsid w:val="5E8C5954"/>
    <w:rsid w:val="5F98B5AF"/>
    <w:rsid w:val="5FFE8511"/>
    <w:rsid w:val="5FFEACE2"/>
    <w:rsid w:val="609D5BF6"/>
    <w:rsid w:val="60E42582"/>
    <w:rsid w:val="61073070"/>
    <w:rsid w:val="61B9080E"/>
    <w:rsid w:val="61DF3FED"/>
    <w:rsid w:val="62606CE8"/>
    <w:rsid w:val="62D50B34"/>
    <w:rsid w:val="63D713EB"/>
    <w:rsid w:val="642B176B"/>
    <w:rsid w:val="643EE26D"/>
    <w:rsid w:val="64AA6E3E"/>
    <w:rsid w:val="65565350"/>
    <w:rsid w:val="656019A0"/>
    <w:rsid w:val="65F242EE"/>
    <w:rsid w:val="664561D7"/>
    <w:rsid w:val="666B1614"/>
    <w:rsid w:val="666D7E19"/>
    <w:rsid w:val="66AD6AFC"/>
    <w:rsid w:val="672C57F6"/>
    <w:rsid w:val="67C133A8"/>
    <w:rsid w:val="68376930"/>
    <w:rsid w:val="68C0149A"/>
    <w:rsid w:val="68F91E38"/>
    <w:rsid w:val="69824BCF"/>
    <w:rsid w:val="69C376D1"/>
    <w:rsid w:val="6ACA169B"/>
    <w:rsid w:val="6B3158B9"/>
    <w:rsid w:val="6B657241"/>
    <w:rsid w:val="6BA02A3F"/>
    <w:rsid w:val="6BE47193"/>
    <w:rsid w:val="6C105349"/>
    <w:rsid w:val="6C1E5A53"/>
    <w:rsid w:val="6C303D8F"/>
    <w:rsid w:val="6C3A6E6F"/>
    <w:rsid w:val="6C9D13AD"/>
    <w:rsid w:val="6D62773A"/>
    <w:rsid w:val="6EC61449"/>
    <w:rsid w:val="6F177BD3"/>
    <w:rsid w:val="6F5C41AC"/>
    <w:rsid w:val="6F684984"/>
    <w:rsid w:val="6FAF6C78"/>
    <w:rsid w:val="716167CC"/>
    <w:rsid w:val="718A7AD1"/>
    <w:rsid w:val="726C7FC6"/>
    <w:rsid w:val="72A44BC2"/>
    <w:rsid w:val="72B30FEF"/>
    <w:rsid w:val="72DF0305"/>
    <w:rsid w:val="72F14EC0"/>
    <w:rsid w:val="7317C656"/>
    <w:rsid w:val="73483566"/>
    <w:rsid w:val="734ED73F"/>
    <w:rsid w:val="73C82B32"/>
    <w:rsid w:val="73F94DAE"/>
    <w:rsid w:val="74220495"/>
    <w:rsid w:val="747D1B6F"/>
    <w:rsid w:val="749E5641"/>
    <w:rsid w:val="74F76776"/>
    <w:rsid w:val="76271066"/>
    <w:rsid w:val="76C74186"/>
    <w:rsid w:val="77FD8BE9"/>
    <w:rsid w:val="78000AED"/>
    <w:rsid w:val="78036054"/>
    <w:rsid w:val="79A9BD3F"/>
    <w:rsid w:val="79E70D0C"/>
    <w:rsid w:val="7A403276"/>
    <w:rsid w:val="7AB36AA2"/>
    <w:rsid w:val="7AC5270E"/>
    <w:rsid w:val="7AF04140"/>
    <w:rsid w:val="7B776F12"/>
    <w:rsid w:val="7BA71F7C"/>
    <w:rsid w:val="7BFFFDD0"/>
    <w:rsid w:val="7C0A652A"/>
    <w:rsid w:val="7C336E5F"/>
    <w:rsid w:val="7C8D4919"/>
    <w:rsid w:val="7CD12A34"/>
    <w:rsid w:val="7D7A5F86"/>
    <w:rsid w:val="7E4B683A"/>
    <w:rsid w:val="7E5C1CA3"/>
    <w:rsid w:val="7E5E656D"/>
    <w:rsid w:val="7E8F2BCB"/>
    <w:rsid w:val="7F014FC4"/>
    <w:rsid w:val="7F37BB4E"/>
    <w:rsid w:val="7FE93C57"/>
    <w:rsid w:val="7FEF918E"/>
    <w:rsid w:val="7FF4FB6F"/>
    <w:rsid w:val="7FF7FF27"/>
    <w:rsid w:val="7FFDF714"/>
    <w:rsid w:val="AF3FCD8C"/>
    <w:rsid w:val="B9FA2A43"/>
    <w:rsid w:val="BF7BA1E4"/>
    <w:rsid w:val="BFDF04FA"/>
    <w:rsid w:val="BFE227EF"/>
    <w:rsid w:val="CF2A1ABD"/>
    <w:rsid w:val="DA7D3CD9"/>
    <w:rsid w:val="DBDC0ADA"/>
    <w:rsid w:val="DEDE2B06"/>
    <w:rsid w:val="EBFA31C2"/>
    <w:rsid w:val="F3F4A11B"/>
    <w:rsid w:val="F9FD7907"/>
    <w:rsid w:val="FAEF933D"/>
    <w:rsid w:val="FB3A4A6A"/>
    <w:rsid w:val="FF6C4049"/>
    <w:rsid w:val="FF78F63F"/>
    <w:rsid w:val="FF8D20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3"/>
    <w:basedOn w:val="1"/>
    <w:next w:val="1"/>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2">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4">
    <w:name w:val="annotation text"/>
    <w:basedOn w:val="1"/>
    <w:link w:val="22"/>
    <w:qFormat/>
    <w:uiPriority w:val="0"/>
    <w:pPr>
      <w:jc w:val="left"/>
    </w:pPr>
  </w:style>
  <w:style w:type="paragraph" w:styleId="5">
    <w:name w:val="Body Text"/>
    <w:basedOn w:val="1"/>
    <w:qFormat/>
    <w:uiPriority w:val="0"/>
    <w:pPr>
      <w:spacing w:after="120"/>
    </w:pPr>
  </w:style>
  <w:style w:type="paragraph" w:styleId="6">
    <w:name w:val="Body Text Indent"/>
    <w:basedOn w:val="1"/>
    <w:qFormat/>
    <w:uiPriority w:val="0"/>
    <w:pPr>
      <w:spacing w:after="120"/>
      <w:ind w:left="420" w:leftChars="200"/>
    </w:pPr>
    <w:rPr>
      <w:rFonts w:ascii="Calibri" w:hAnsi="Calibri"/>
    </w:rPr>
  </w:style>
  <w:style w:type="paragraph" w:styleId="7">
    <w:name w:val="Balloon Text"/>
    <w:basedOn w:val="1"/>
    <w:link w:val="20"/>
    <w:qFormat/>
    <w:uiPriority w:val="0"/>
    <w:rPr>
      <w:sz w:val="18"/>
      <w:szCs w:val="18"/>
    </w:rPr>
  </w:style>
  <w:style w:type="paragraph" w:styleId="8">
    <w:name w:val="footer"/>
    <w:basedOn w:val="1"/>
    <w:unhideWhenUsed/>
    <w:qFormat/>
    <w:uiPriority w:val="99"/>
    <w:pPr>
      <w:tabs>
        <w:tab w:val="center" w:pos="4153"/>
        <w:tab w:val="right" w:pos="8306"/>
      </w:tabs>
      <w:snapToGrid w:val="0"/>
      <w:jc w:val="left"/>
    </w:pPr>
    <w:rPr>
      <w:rFonts w:ascii="Calibri" w:hAnsi="Calibri"/>
      <w:sz w:val="18"/>
      <w:szCs w:val="18"/>
    </w:rPr>
  </w:style>
  <w:style w:type="paragraph" w:styleId="9">
    <w:name w:val="header"/>
    <w:basedOn w:val="1"/>
    <w:link w:val="21"/>
    <w:qFormat/>
    <w:uiPriority w:val="0"/>
    <w:pPr>
      <w:pBdr>
        <w:bottom w:val="single" w:color="auto" w:sz="6" w:space="1"/>
      </w:pBdr>
      <w:tabs>
        <w:tab w:val="center" w:pos="4153"/>
        <w:tab w:val="right" w:pos="8306"/>
      </w:tabs>
      <w:snapToGrid w:val="0"/>
      <w:jc w:val="center"/>
    </w:pPr>
    <w:rPr>
      <w:sz w:val="18"/>
      <w:szCs w:val="18"/>
    </w:rPr>
  </w:style>
  <w:style w:type="paragraph" w:styleId="10">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1">
    <w:name w:val="annotation subject"/>
    <w:basedOn w:val="4"/>
    <w:next w:val="4"/>
    <w:link w:val="23"/>
    <w:qFormat/>
    <w:uiPriority w:val="0"/>
    <w:rPr>
      <w:b/>
      <w:bCs/>
    </w:rPr>
  </w:style>
  <w:style w:type="paragraph" w:styleId="12">
    <w:name w:val="Body Text First Indent"/>
    <w:basedOn w:val="5"/>
    <w:qFormat/>
    <w:uiPriority w:val="0"/>
    <w:pPr>
      <w:spacing w:after="0"/>
      <w:ind w:firstLine="200" w:firstLineChars="200"/>
    </w:pPr>
  </w:style>
  <w:style w:type="paragraph" w:styleId="13">
    <w:name w:val="Body Text First Indent 2"/>
    <w:basedOn w:val="6"/>
    <w:qFormat/>
    <w:uiPriority w:val="0"/>
    <w:pPr>
      <w:ind w:firstLine="420" w:firstLineChars="200"/>
    </w:pPr>
  </w:style>
  <w:style w:type="character" w:styleId="16">
    <w:name w:val="Strong"/>
    <w:basedOn w:val="15"/>
    <w:qFormat/>
    <w:uiPriority w:val="0"/>
    <w:rPr>
      <w:b/>
      <w:bCs/>
    </w:rPr>
  </w:style>
  <w:style w:type="character" w:styleId="17">
    <w:name w:val="annotation reference"/>
    <w:basedOn w:val="15"/>
    <w:qFormat/>
    <w:uiPriority w:val="0"/>
    <w:rPr>
      <w:sz w:val="21"/>
      <w:szCs w:val="21"/>
    </w:rPr>
  </w:style>
  <w:style w:type="character" w:customStyle="1" w:styleId="18">
    <w:name w:val="fontstyle01"/>
    <w:qFormat/>
    <w:uiPriority w:val="0"/>
    <w:rPr>
      <w:rFonts w:ascii="仿宋_GB2312" w:hAnsi="仿宋_GB2312" w:eastAsia="仿宋_GB2312" w:cs="仿宋_GB2312"/>
      <w:color w:val="000000"/>
      <w:sz w:val="32"/>
      <w:szCs w:val="32"/>
    </w:rPr>
  </w:style>
  <w:style w:type="paragraph" w:customStyle="1" w:styleId="19">
    <w:name w:val="闻政-正文段落文字"/>
    <w:basedOn w:val="1"/>
    <w:qFormat/>
    <w:uiPriority w:val="3"/>
    <w:pPr>
      <w:spacing w:line="500" w:lineRule="exact"/>
      <w:ind w:firstLine="200"/>
    </w:pPr>
    <w:rPr>
      <w:kern w:val="0"/>
      <w:szCs w:val="28"/>
    </w:rPr>
  </w:style>
  <w:style w:type="character" w:customStyle="1" w:styleId="20">
    <w:name w:val="批注框文本 字符"/>
    <w:basedOn w:val="15"/>
    <w:link w:val="7"/>
    <w:qFormat/>
    <w:uiPriority w:val="0"/>
    <w:rPr>
      <w:rFonts w:ascii="Times New Roman" w:hAnsi="Times New Roman" w:eastAsia="宋体" w:cs="Times New Roman"/>
      <w:kern w:val="2"/>
      <w:sz w:val="18"/>
      <w:szCs w:val="18"/>
    </w:rPr>
  </w:style>
  <w:style w:type="character" w:customStyle="1" w:styleId="21">
    <w:name w:val="页眉 字符"/>
    <w:basedOn w:val="15"/>
    <w:link w:val="9"/>
    <w:qFormat/>
    <w:uiPriority w:val="0"/>
    <w:rPr>
      <w:rFonts w:ascii="Times New Roman" w:hAnsi="Times New Roman" w:eastAsia="宋体" w:cs="Times New Roman"/>
      <w:kern w:val="2"/>
      <w:sz w:val="18"/>
      <w:szCs w:val="18"/>
    </w:rPr>
  </w:style>
  <w:style w:type="character" w:customStyle="1" w:styleId="22">
    <w:name w:val="批注文字 字符"/>
    <w:basedOn w:val="15"/>
    <w:link w:val="4"/>
    <w:qFormat/>
    <w:uiPriority w:val="0"/>
    <w:rPr>
      <w:rFonts w:ascii="Times New Roman" w:hAnsi="Times New Roman" w:eastAsia="宋体" w:cs="Times New Roman"/>
      <w:kern w:val="2"/>
      <w:sz w:val="21"/>
      <w:szCs w:val="24"/>
    </w:rPr>
  </w:style>
  <w:style w:type="character" w:customStyle="1" w:styleId="23">
    <w:name w:val="批注主题 字符"/>
    <w:basedOn w:val="22"/>
    <w:link w:val="11"/>
    <w:qFormat/>
    <w:uiPriority w:val="0"/>
    <w:rPr>
      <w:rFonts w:ascii="Times New Roman" w:hAnsi="Times New Roman" w:eastAsia="宋体" w:cs="Times New Roman"/>
      <w:b/>
      <w:bCs/>
      <w:kern w:val="2"/>
      <w:sz w:val="21"/>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29</Pages>
  <Words>103</Words>
  <Characters>115</Characters>
  <Lines>58</Lines>
  <Paragraphs>16</Paragraphs>
  <TotalTime>4</TotalTime>
  <ScaleCrop>false</ScaleCrop>
  <LinksUpToDate>false</LinksUpToDate>
  <CharactersWithSpaces>115</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2023-03-08T13:13:00Z</dcterms:created>
  <dc:creator>审核人</dc:creator>
  <cp:lastModifiedBy></cp:lastModifiedBy>
  <dcterms:modified xsi:type="dcterms:W3CDTF">2025-05-13T04:34:58Z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0E5A87C51E6B49839990D8D6290631D7_13</vt:lpwstr>
  </property>
  <property fmtid="{D5CDD505-2E9C-101B-9397-08002B2CF9AE}" pid="4" name="KSOTemplateDocerSaveRecord">
    <vt:lpwstr>eyJoZGlkIjoiZGU2OWVkNjVhNTc2NTNjNjZhOGJlZWQ2NTc3Njc5NGQiLCJ1c2VySWQiOiIzODQzMzMyOTcifQ==</vt:lpwstr>
  </property>
</Properties>
</file>