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43B08">
      <w:pPr>
        <w:spacing w:after="0" w:line="240" w:lineRule="auto"/>
        <w:rPr>
          <w:rFonts w:hint="eastAsia" w:ascii="宋体" w:eastAsia="宋体"/>
          <w:sz w:val="32"/>
          <w:szCs w:val="32"/>
        </w:rPr>
      </w:pPr>
    </w:p>
    <w:p w14:paraId="3E796591">
      <w:pPr>
        <w:spacing w:after="0" w:line="240" w:lineRule="auto"/>
        <w:rPr>
          <w:rFonts w:hint="eastAsia" w:ascii="宋体" w:eastAsia="宋体"/>
          <w:sz w:val="44"/>
          <w:szCs w:val="44"/>
        </w:rPr>
      </w:pPr>
    </w:p>
    <w:p w14:paraId="523A4657">
      <w:pPr>
        <w:spacing w:after="0" w:line="240" w:lineRule="auto"/>
        <w:rPr>
          <w:rFonts w:hint="eastAsia" w:ascii="宋体" w:eastAsia="宋体"/>
          <w:sz w:val="44"/>
          <w:szCs w:val="44"/>
        </w:rPr>
      </w:pPr>
    </w:p>
    <w:p w14:paraId="20A94934">
      <w:pPr>
        <w:spacing w:after="0" w:line="240" w:lineRule="auto"/>
        <w:rPr>
          <w:rFonts w:hint="eastAsia" w:ascii="宋体" w:eastAsia="宋体"/>
          <w:sz w:val="44"/>
          <w:szCs w:val="44"/>
        </w:rPr>
      </w:pPr>
    </w:p>
    <w:p w14:paraId="196A2250">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中国共产党奇台县委员会办公室</w:t>
      </w:r>
    </w:p>
    <w:p w14:paraId="17B32969">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4F486C86">
      <w:pPr>
        <w:rPr>
          <w:rFonts w:hint="eastAsia"/>
          <w:lang w:eastAsia="zh-CN"/>
        </w:rPr>
      </w:pPr>
      <w:r>
        <w:rPr>
          <w:sz w:val="0"/>
          <w:szCs w:val="0"/>
          <w:lang w:eastAsia="zh-CN"/>
        </w:rPr>
        <w:br w:type="page"/>
      </w:r>
    </w:p>
    <w:p w14:paraId="2878202E">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237753D6">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33D80B6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0239BC3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7BF66F5B">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381AED0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7C04C0F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5D6CD61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335E407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1DB143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0CA2F0F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203516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3455D6A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C19558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52F416F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79217DD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4E5438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3A5B475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5ACD87A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19DA462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65C2CF6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7D9BEFA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62457A7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1E78D678">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1CC870E5">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509FB69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1A2D926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6157674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7122803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539D7AE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5B8096F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F2C00D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628BE5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41A52F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60EE8FC5">
      <w:pPr>
        <w:rPr>
          <w:rFonts w:hint="eastAsia"/>
          <w:lang w:eastAsia="zh-CN"/>
        </w:rPr>
      </w:pPr>
      <w:r>
        <w:rPr>
          <w:sz w:val="0"/>
          <w:szCs w:val="0"/>
          <w:lang w:eastAsia="zh-CN"/>
        </w:rPr>
        <w:br w:type="page"/>
      </w:r>
    </w:p>
    <w:p w14:paraId="3B0E6CEE">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3375C3A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2EBFDB02">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负责全面了解经济与社会发展情况，及时掌握各方面的重大动态，为县委科学决策发挥参谋助手作用。</w:t>
      </w:r>
    </w:p>
    <w:p w14:paraId="1D0279D7">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负责县委日常工作的综合协调。</w:t>
      </w:r>
    </w:p>
    <w:p w14:paraId="064649AF">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承担文件、文稿的起草、修改、校对、印发和日常文书处理工作。</w:t>
      </w:r>
    </w:p>
    <w:p w14:paraId="08ABB76D">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负责信息调研、系统信息网络建设管理、办公自动化的统一规划协调和业务指导工作。</w:t>
      </w:r>
    </w:p>
    <w:p w14:paraId="60728EFF">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负责县委各种会议的会务工作、重大活动的组织安排、服务工作和组织协调工作。</w:t>
      </w:r>
    </w:p>
    <w:p w14:paraId="5373DE38">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（6）</w:t>
      </w:r>
      <w:r>
        <w:rPr>
          <w:rFonts w:ascii="仿宋_GB2312" w:eastAsia="仿宋_GB2312"/>
          <w:sz w:val="32"/>
          <w:szCs w:val="32"/>
          <w:lang w:eastAsia="zh-CN"/>
        </w:rPr>
        <w:t>负责规范性文件的政策性研究审核。</w:t>
      </w:r>
    </w:p>
    <w:p w14:paraId="4D8AFD7A">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（7）</w:t>
      </w:r>
      <w:r>
        <w:rPr>
          <w:rFonts w:ascii="仿宋_GB2312" w:eastAsia="仿宋_GB2312"/>
          <w:sz w:val="32"/>
          <w:szCs w:val="32"/>
          <w:lang w:eastAsia="zh-CN"/>
        </w:rPr>
        <w:t>负责处理群众来信来访工作。</w:t>
      </w:r>
    </w:p>
    <w:p w14:paraId="47E075D3">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（8）</w:t>
      </w:r>
      <w:r>
        <w:rPr>
          <w:rFonts w:ascii="仿宋_GB2312" w:eastAsia="仿宋_GB2312"/>
          <w:sz w:val="32"/>
          <w:szCs w:val="32"/>
          <w:lang w:eastAsia="zh-CN"/>
        </w:rPr>
        <w:t>负责机关队伍建设、政治学习、思想教育、党建、精神文明建设和行政后勤管理等。</w:t>
      </w:r>
    </w:p>
    <w:p w14:paraId="0914FF6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05973E3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中国共产党奇台县委员会办公室2024年度，实有人数92人，其中：在职人员64人，增加1人；离休人员0人，较上年无变化；退休人员28人，较上年无变化</w:t>
      </w:r>
      <w:r>
        <w:rPr>
          <w:rFonts w:hint="eastAsia" w:ascii="仿宋_GB2312" w:eastAsia="仿宋_GB2312"/>
          <w:sz w:val="32"/>
          <w:szCs w:val="32"/>
          <w:lang w:eastAsia="zh-CN"/>
        </w:rPr>
        <w:t>。</w:t>
      </w:r>
    </w:p>
    <w:p w14:paraId="163B242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中国共产党奇台县委员会办公室无下属预算单位，下设8个科室，分别是：综合科、文书科、信息科、法规科、行政科、政研科、档案管理科、后勤科（财务室）。</w:t>
      </w:r>
    </w:p>
    <w:p w14:paraId="75E74B14">
      <w:pPr>
        <w:rPr>
          <w:rFonts w:hint="eastAsia"/>
          <w:lang w:eastAsia="zh-CN"/>
        </w:rPr>
      </w:pPr>
      <w:r>
        <w:rPr>
          <w:sz w:val="0"/>
          <w:szCs w:val="0"/>
          <w:lang w:eastAsia="zh-CN"/>
        </w:rPr>
        <w:br w:type="page"/>
      </w:r>
    </w:p>
    <w:p w14:paraId="453826B7">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16321C6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1B78D17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2024年度收入总计1,598.70万元，其中：本年收入合计1,598.70万元，使用非财政拨款结余（含专用结余）0.00万元，年初结转和结余0.00万元。</w:t>
      </w:r>
    </w:p>
    <w:p w14:paraId="0509B77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2024年度支出总计1,598.70万元，其中：本年支出合计1,598.70万元，结余分配0.00万元，年末结转和结余0.00万元。</w:t>
      </w:r>
    </w:p>
    <w:p w14:paraId="60CF871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收入支出总体与上年相比，减少355.17万元，下降18.18%，主要原因是：</w:t>
      </w:r>
      <w:r>
        <w:rPr>
          <w:rFonts w:hint="eastAsia" w:ascii="仿宋_GB2312" w:eastAsia="仿宋_GB2312"/>
          <w:sz w:val="32"/>
          <w:szCs w:val="32"/>
          <w:lang w:eastAsia="zh-CN"/>
        </w:rPr>
        <w:t>本年单位减少奇台县电子政务内网电路租赁项目经费、视频会议专线服务费、自治州绩效考核业务补助经费及解决“县乡涉密政令传输系统”等项目经费</w:t>
      </w:r>
      <w:r>
        <w:rPr>
          <w:rFonts w:ascii="仿宋_GB2312" w:eastAsia="仿宋_GB2312"/>
          <w:sz w:val="32"/>
          <w:szCs w:val="32"/>
          <w:lang w:eastAsia="zh-CN"/>
        </w:rPr>
        <w:t>。</w:t>
      </w:r>
    </w:p>
    <w:p w14:paraId="147EBF7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5D8536D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本年收入1,598.70万元，其中：财政拨款收入1,476.58万元,占92.36%；上级补助收入0.00万元,占0.00%；事业收入0.00万元，占0.00%；经营收入0.00万元,占0.00%；附属单位上缴收入0.00万元，占0.00%；其他收入122.12万元，占7.64%。</w:t>
      </w:r>
    </w:p>
    <w:p w14:paraId="5A94B4E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15EE19D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本年支出1,598.70万元，其中：基本支出1,195.51万元，占74.78%；项目支出403.19万元，占25.22%；上缴上级支出0.00万元，占0.00%；经营支出0.00万元，占0.00%；对附属单位补助支出0.00万元，占0.00%。</w:t>
      </w:r>
    </w:p>
    <w:p w14:paraId="6A61AE2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4063340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1,476.58万元，其中：年初财政拨款结转和结余0.00万元，本年财政拨款收入1,476.58万元。财政拨款支出总计1,476.58万元，其中：年末财政拨款结转和结余0.00万元，本年财政拨款支出1,476.58万元。</w:t>
      </w:r>
    </w:p>
    <w:p w14:paraId="38D1032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财政拨款收入支出总体与上年相比，减少452.41万元，下降23.45%，主要原因是：</w:t>
      </w:r>
      <w:r>
        <w:rPr>
          <w:rFonts w:hint="eastAsia" w:ascii="仿宋_GB2312" w:eastAsia="仿宋_GB2312"/>
          <w:sz w:val="32"/>
          <w:szCs w:val="32"/>
          <w:lang w:eastAsia="zh-CN"/>
        </w:rPr>
        <w:t>本年单位减少奇台县电子政务内网电路租赁项目经费、视频会议专线服务费、自治州绩效考核业务补助经费及解决“县乡涉密政令传输系统”等项目经费。</w:t>
      </w:r>
      <w:r>
        <w:rPr>
          <w:rFonts w:ascii="仿宋_GB2312" w:eastAsia="仿宋_GB2312"/>
          <w:sz w:val="32"/>
          <w:szCs w:val="32"/>
          <w:lang w:eastAsia="zh-CN"/>
        </w:rPr>
        <w:t>与年初预算相比，年初预算数1,240.16万元，决算数1,476.58万元，预决算差异率19.06%，主要原因是：</w:t>
      </w:r>
      <w:r>
        <w:rPr>
          <w:rFonts w:hint="eastAsia" w:ascii="仿宋_GB2312" w:eastAsia="仿宋_GB2312"/>
          <w:sz w:val="32"/>
          <w:szCs w:val="32"/>
          <w:lang w:eastAsia="zh-CN"/>
        </w:rPr>
        <w:t>年中追加人员工资、津补贴等人员经费；年中追加奇台县保密局电子政务内网装备换装经费、奇台县党政电视会议系统平行会场及相关配套设施建设项目等</w:t>
      </w:r>
      <w:r>
        <w:rPr>
          <w:rFonts w:ascii="仿宋_GB2312" w:eastAsia="仿宋_GB2312"/>
          <w:sz w:val="32"/>
          <w:szCs w:val="32"/>
          <w:lang w:eastAsia="zh-CN"/>
        </w:rPr>
        <w:t>。</w:t>
      </w:r>
    </w:p>
    <w:p w14:paraId="4572077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4295517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75626DD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2024年度一般公共预算财政拨款支出1,476.58万元，占本年支出合计的92.36%。与上年相比，减少452.41万元，下降23.45%，主要原因是：</w:t>
      </w:r>
      <w:r>
        <w:rPr>
          <w:rFonts w:hint="eastAsia" w:ascii="仿宋_GB2312" w:eastAsia="仿宋_GB2312"/>
          <w:sz w:val="32"/>
          <w:szCs w:val="32"/>
          <w:lang w:eastAsia="zh-CN"/>
        </w:rPr>
        <w:t>本年单位减少奇台县电子政务内网电路租赁项目经费、视频会议专线服务费、自治州绩效考核业务补助经费及解决“县乡涉密政令传输系统”等项目经费</w:t>
      </w:r>
      <w:r>
        <w:rPr>
          <w:rFonts w:ascii="仿宋_GB2312" w:eastAsia="仿宋_GB2312"/>
          <w:sz w:val="32"/>
          <w:szCs w:val="32"/>
          <w:lang w:eastAsia="zh-CN"/>
        </w:rPr>
        <w:t>。与年初预算相比，年初预算数1,240.16万元，决算数1,476.58万元，预决算差异率19.06%，主要原因是：</w:t>
      </w:r>
      <w:r>
        <w:rPr>
          <w:rFonts w:hint="eastAsia" w:ascii="仿宋_GB2312" w:eastAsia="仿宋_GB2312"/>
          <w:sz w:val="32"/>
          <w:szCs w:val="32"/>
          <w:lang w:eastAsia="zh-CN"/>
        </w:rPr>
        <w:t>年中追加人员工资、津补贴等人员经费；年中追加奇台县保密局电子政务内网装备换装经费、奇台县党政电视会议系统平行会场及相关配套设施建设项目等</w:t>
      </w:r>
      <w:r>
        <w:rPr>
          <w:rFonts w:ascii="仿宋_GB2312" w:eastAsia="仿宋_GB2312"/>
          <w:sz w:val="32"/>
          <w:szCs w:val="32"/>
          <w:lang w:eastAsia="zh-CN"/>
        </w:rPr>
        <w:t>。</w:t>
      </w:r>
    </w:p>
    <w:p w14:paraId="5C1D7CE4">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724D2D49">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一般公共服务支出（类）1,129.95万元，占76.52%。</w:t>
      </w:r>
    </w:p>
    <w:p w14:paraId="15CF5065">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社会保障和就业支出（类）202.16万元，占13.69%。</w:t>
      </w:r>
    </w:p>
    <w:p w14:paraId="4D4BE45E">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卫生健康支出（类）59.31万元，占4.02%。</w:t>
      </w:r>
    </w:p>
    <w:p w14:paraId="7384D465">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住房保障支出（类）80.17万元，占5.43%。</w:t>
      </w:r>
    </w:p>
    <w:p w14:paraId="49D5164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其他支出（类）5.00万元，占0.34%。</w:t>
      </w:r>
    </w:p>
    <w:p w14:paraId="0EC3CDA7">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08B533D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1、一般公共服务支出（类）党委办公厅（室）及相关机构事务（款）行政运行（项）：支出决算数为853.88万元，比上年决算增加1.78万元，增长0.21%，主要原因是：</w:t>
      </w:r>
      <w:bookmarkStart w:id="0" w:name="_Hlk209001061"/>
      <w:bookmarkStart w:id="1" w:name="_Hlk209016193"/>
      <w:r>
        <w:rPr>
          <w:rFonts w:hint="eastAsia" w:ascii="仿宋_GB2312" w:eastAsia="仿宋_GB2312"/>
          <w:sz w:val="32"/>
          <w:szCs w:val="32"/>
          <w:lang w:eastAsia="zh-CN"/>
        </w:rPr>
        <w:t>薪资调增，</w:t>
      </w:r>
      <w:bookmarkStart w:id="2" w:name="_Hlk209002448"/>
      <w:r>
        <w:rPr>
          <w:rFonts w:hint="eastAsia" w:ascii="仿宋_GB2312" w:eastAsia="仿宋_GB2312"/>
          <w:sz w:val="32"/>
          <w:szCs w:val="32"/>
          <w:lang w:eastAsia="zh-CN"/>
        </w:rPr>
        <w:t>人员</w:t>
      </w:r>
      <w:bookmarkStart w:id="3" w:name="_Hlk209001149"/>
      <w:bookmarkStart w:id="4" w:name="_Hlk209007270"/>
      <w:r>
        <w:rPr>
          <w:rFonts w:hint="eastAsia" w:ascii="仿宋_GB2312" w:eastAsia="仿宋_GB2312"/>
          <w:sz w:val="32"/>
          <w:szCs w:val="32"/>
          <w:lang w:eastAsia="zh-CN"/>
        </w:rPr>
        <w:t>工资、津补贴等人员经费</w:t>
      </w:r>
      <w:bookmarkEnd w:id="0"/>
      <w:r>
        <w:rPr>
          <w:rFonts w:hint="eastAsia" w:ascii="仿宋_GB2312" w:eastAsia="仿宋_GB2312"/>
          <w:sz w:val="32"/>
          <w:szCs w:val="32"/>
          <w:lang w:eastAsia="zh-CN"/>
        </w:rPr>
        <w:t>较上年</w:t>
      </w:r>
      <w:bookmarkEnd w:id="3"/>
      <w:r>
        <w:rPr>
          <w:rFonts w:hint="eastAsia" w:ascii="仿宋_GB2312" w:eastAsia="仿宋_GB2312"/>
          <w:sz w:val="32"/>
          <w:szCs w:val="32"/>
          <w:lang w:eastAsia="zh-CN"/>
        </w:rPr>
        <w:t>增加</w:t>
      </w:r>
      <w:bookmarkEnd w:id="1"/>
      <w:bookmarkEnd w:id="2"/>
      <w:bookmarkEnd w:id="4"/>
      <w:r>
        <w:rPr>
          <w:rFonts w:ascii="仿宋_GB2312" w:eastAsia="仿宋_GB2312"/>
          <w:sz w:val="32"/>
          <w:szCs w:val="32"/>
          <w:lang w:eastAsia="zh-CN"/>
        </w:rPr>
        <w:t>。</w:t>
      </w:r>
    </w:p>
    <w:p w14:paraId="2A91C2F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2、一般公共服务支出（类）党委办公厅（室）及相关机构事务（款）其他党委办公厅（室）及相关机构事务支出（项）：支出决算数为256.07万元，比上年决算减少227.48万元，下降47.04%，主要原因是：</w:t>
      </w:r>
      <w:r>
        <w:rPr>
          <w:rFonts w:hint="eastAsia" w:ascii="仿宋_GB2312" w:eastAsia="仿宋_GB2312"/>
          <w:sz w:val="32"/>
          <w:szCs w:val="32"/>
          <w:lang w:eastAsia="zh-CN"/>
        </w:rPr>
        <w:t>本年单位减少奇台县电子政务内网电路租赁项目经费、视频会议专线服务费及解决“县乡涉密政令传输系统”项目经费等</w:t>
      </w:r>
      <w:r>
        <w:rPr>
          <w:rFonts w:ascii="仿宋_GB2312" w:eastAsia="仿宋_GB2312"/>
          <w:sz w:val="32"/>
          <w:szCs w:val="32"/>
          <w:lang w:eastAsia="zh-CN"/>
        </w:rPr>
        <w:t>。</w:t>
      </w:r>
    </w:p>
    <w:p w14:paraId="34F0BEF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3、一般公共服务支出（类）组织事务（款）其他组织事务支出（项）：支出决算数为0.00万元，比上年决算减少10.00万元，下降100.00%，主要原因是：</w:t>
      </w:r>
      <w:r>
        <w:rPr>
          <w:rFonts w:hint="eastAsia" w:ascii="仿宋_GB2312" w:eastAsia="仿宋_GB2312"/>
          <w:sz w:val="32"/>
          <w:szCs w:val="32"/>
          <w:lang w:eastAsia="zh-CN"/>
        </w:rPr>
        <w:t>本年单位减少自治州绩效考核业务补助经费</w:t>
      </w:r>
      <w:r>
        <w:rPr>
          <w:rFonts w:ascii="仿宋_GB2312" w:eastAsia="仿宋_GB2312"/>
          <w:sz w:val="32"/>
          <w:szCs w:val="32"/>
          <w:lang w:eastAsia="zh-CN"/>
        </w:rPr>
        <w:t>。</w:t>
      </w:r>
    </w:p>
    <w:p w14:paraId="12D9F52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4、一般公共服务支出（类）信访事务（款）其他信访事务支出（项）：支出决算数为20.00万元，比上年决算增加20.00万元，增长100.00%，主要原因是：</w:t>
      </w:r>
      <w:r>
        <w:rPr>
          <w:rFonts w:hint="eastAsia" w:ascii="仿宋_GB2312" w:eastAsia="仿宋_GB2312"/>
          <w:sz w:val="32"/>
          <w:szCs w:val="32"/>
          <w:lang w:eastAsia="zh-CN"/>
        </w:rPr>
        <w:t>本年增加推动化解涉政府项目拖欠类信访事项（第二批）-保密局密码业务功能区改造经费</w:t>
      </w:r>
      <w:r>
        <w:rPr>
          <w:rFonts w:ascii="仿宋_GB2312" w:eastAsia="仿宋_GB2312"/>
          <w:sz w:val="32"/>
          <w:szCs w:val="32"/>
          <w:lang w:eastAsia="zh-CN"/>
        </w:rPr>
        <w:t>。</w:t>
      </w:r>
    </w:p>
    <w:p w14:paraId="4E9E853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5、社会保障和就业支出（类）行政事业单位养老支出（款）行政单位离退休（项）：支出决算数为19.77万元，比上年决算增加6.37万元，增长47.54%，主要原因是：</w:t>
      </w:r>
      <w:r>
        <w:rPr>
          <w:rFonts w:hint="eastAsia" w:ascii="仿宋_GB2312" w:eastAsia="仿宋_GB2312"/>
          <w:sz w:val="32"/>
          <w:szCs w:val="32"/>
          <w:lang w:eastAsia="zh-CN"/>
        </w:rPr>
        <w:t>本年增加退休人员取暖费及交通费等退休人员经费</w:t>
      </w:r>
      <w:r>
        <w:rPr>
          <w:rFonts w:ascii="仿宋_GB2312" w:eastAsia="仿宋_GB2312"/>
          <w:sz w:val="32"/>
          <w:szCs w:val="32"/>
          <w:lang w:eastAsia="zh-CN"/>
        </w:rPr>
        <w:t>。</w:t>
      </w:r>
    </w:p>
    <w:p w14:paraId="3269D46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6、社会保障和就业支出（类）行政事业单位养老支出（款）机关事业单位基本养老保险缴费支出（项）：支出决算数为98.54万元，比上年决算增加6.04万元，增长6.53%，主要原因是：</w:t>
      </w:r>
      <w:bookmarkStart w:id="5" w:name="_Hlk208414579"/>
      <w:r>
        <w:rPr>
          <w:rFonts w:hint="eastAsia" w:ascii="仿宋_GB2312" w:eastAsia="仿宋_GB2312"/>
          <w:sz w:val="32"/>
          <w:szCs w:val="32"/>
          <w:lang w:eastAsia="zh-CN"/>
        </w:rPr>
        <w:t>社保缴费基数调增，人员</w:t>
      </w:r>
      <w:r>
        <w:rPr>
          <w:rFonts w:ascii="仿宋_GB2312" w:eastAsia="仿宋_GB2312"/>
          <w:sz w:val="32"/>
          <w:szCs w:val="32"/>
          <w:lang w:eastAsia="zh-CN"/>
        </w:rPr>
        <w:t>养老保险缴费</w:t>
      </w:r>
      <w:r>
        <w:rPr>
          <w:rFonts w:hint="eastAsia" w:ascii="仿宋_GB2312" w:eastAsia="仿宋_GB2312"/>
          <w:sz w:val="32"/>
          <w:szCs w:val="32"/>
          <w:lang w:eastAsia="zh-CN"/>
        </w:rPr>
        <w:t>增加</w:t>
      </w:r>
      <w:bookmarkEnd w:id="5"/>
      <w:r>
        <w:rPr>
          <w:rFonts w:ascii="仿宋_GB2312" w:eastAsia="仿宋_GB2312"/>
          <w:sz w:val="32"/>
          <w:szCs w:val="32"/>
          <w:lang w:eastAsia="zh-CN"/>
        </w:rPr>
        <w:t>。</w:t>
      </w:r>
    </w:p>
    <w:p w14:paraId="2106D84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7、社会保障和就业支出（类）行政事业单位养老支出（款）机关事业单位职业年金缴费支出（项）：支出决算数为62.42万元，比上年决算增加55.05万元，增长746.95%，主要原因是：</w:t>
      </w:r>
      <w:bookmarkStart w:id="6" w:name="_Hlk208412698"/>
      <w:r>
        <w:rPr>
          <w:rFonts w:hint="eastAsia" w:ascii="仿宋_GB2312" w:eastAsia="仿宋_GB2312"/>
          <w:sz w:val="32"/>
          <w:szCs w:val="32"/>
          <w:lang w:eastAsia="zh-CN"/>
        </w:rPr>
        <w:t>本年增加人员</w:t>
      </w:r>
      <w:bookmarkStart w:id="7" w:name="_Hlk209006861"/>
      <w:r>
        <w:rPr>
          <w:rFonts w:hint="eastAsia" w:ascii="仿宋_GB2312" w:eastAsia="仿宋_GB2312"/>
          <w:sz w:val="32"/>
          <w:szCs w:val="32"/>
          <w:lang w:eastAsia="zh-CN"/>
        </w:rPr>
        <w:t>一次性职业年金缴费</w:t>
      </w:r>
      <w:bookmarkEnd w:id="6"/>
      <w:bookmarkEnd w:id="7"/>
      <w:r>
        <w:rPr>
          <w:rFonts w:ascii="仿宋_GB2312" w:eastAsia="仿宋_GB2312"/>
          <w:sz w:val="32"/>
          <w:szCs w:val="32"/>
          <w:lang w:eastAsia="zh-CN"/>
        </w:rPr>
        <w:t>。</w:t>
      </w:r>
    </w:p>
    <w:p w14:paraId="1EA2DEC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8、社会保障和就业支出（类）抚恤（款）死亡抚恤（项）：支出决算数为21.43万元，比上年决算减少7.22万元，下降25.20%，主要原因是：</w:t>
      </w:r>
      <w:r>
        <w:rPr>
          <w:rFonts w:hint="eastAsia" w:ascii="仿宋_GB2312" w:eastAsia="仿宋_GB2312"/>
          <w:sz w:val="32"/>
          <w:szCs w:val="32"/>
          <w:lang w:eastAsia="zh-CN"/>
        </w:rPr>
        <w:t>本年单位去世退休人员少于上年，去世人员死亡抚恤金较上年减少</w:t>
      </w:r>
      <w:r>
        <w:rPr>
          <w:rFonts w:ascii="仿宋_GB2312" w:eastAsia="仿宋_GB2312"/>
          <w:sz w:val="32"/>
          <w:szCs w:val="32"/>
          <w:lang w:eastAsia="zh-CN"/>
        </w:rPr>
        <w:t>。</w:t>
      </w:r>
    </w:p>
    <w:p w14:paraId="69483AD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9、卫生健康支出（类）行政事业单位医疗（款）行政单位医疗（项）：支出决算数为41.26万元，比上年决算减少5.67万元，下降12.08%，主要原因是：</w:t>
      </w:r>
      <w:r>
        <w:rPr>
          <w:rFonts w:hint="eastAsia" w:ascii="仿宋_GB2312" w:eastAsia="仿宋_GB2312"/>
          <w:sz w:val="32"/>
          <w:szCs w:val="32"/>
          <w:lang w:eastAsia="zh-CN"/>
        </w:rPr>
        <w:t>单位科目调整，本年将事业人员职工基本医疗保险缴费调整至</w:t>
      </w:r>
      <w:r>
        <w:rPr>
          <w:rFonts w:ascii="仿宋_GB2312" w:eastAsia="仿宋_GB2312"/>
          <w:sz w:val="32"/>
          <w:szCs w:val="32"/>
          <w:lang w:eastAsia="zh-CN"/>
        </w:rPr>
        <w:t>事业单位医疗</w:t>
      </w:r>
      <w:r>
        <w:rPr>
          <w:rFonts w:hint="eastAsia" w:ascii="仿宋_GB2312" w:eastAsia="仿宋_GB2312"/>
          <w:sz w:val="32"/>
          <w:szCs w:val="32"/>
          <w:lang w:eastAsia="zh-CN"/>
        </w:rPr>
        <w:t>科目反映</w:t>
      </w:r>
      <w:r>
        <w:rPr>
          <w:rFonts w:ascii="仿宋_GB2312" w:eastAsia="仿宋_GB2312"/>
          <w:sz w:val="32"/>
          <w:szCs w:val="32"/>
          <w:lang w:eastAsia="zh-CN"/>
        </w:rPr>
        <w:t>。</w:t>
      </w:r>
    </w:p>
    <w:p w14:paraId="1307760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10、卫生健康支出（类）行政事业单位医疗（款）事业单位医疗（项）：支出决算数为8.48万元，比上年决算增加8.48万元，增长100.00%，主要原因是：</w:t>
      </w:r>
      <w:r>
        <w:rPr>
          <w:rFonts w:hint="eastAsia" w:ascii="仿宋_GB2312" w:eastAsia="仿宋_GB2312"/>
          <w:sz w:val="32"/>
          <w:szCs w:val="32"/>
          <w:lang w:eastAsia="zh-CN"/>
        </w:rPr>
        <w:t>单位科目调整，本年将事业人员职工基本医疗保险缴费从</w:t>
      </w:r>
      <w:r>
        <w:rPr>
          <w:rFonts w:ascii="仿宋_GB2312" w:eastAsia="仿宋_GB2312"/>
          <w:sz w:val="32"/>
          <w:szCs w:val="32"/>
          <w:lang w:eastAsia="zh-CN"/>
        </w:rPr>
        <w:t>行政单位医疗</w:t>
      </w:r>
      <w:r>
        <w:rPr>
          <w:rFonts w:hint="eastAsia" w:ascii="仿宋_GB2312" w:eastAsia="仿宋_GB2312"/>
          <w:sz w:val="32"/>
          <w:szCs w:val="32"/>
          <w:lang w:eastAsia="zh-CN"/>
        </w:rPr>
        <w:t>调整至本科目反映</w:t>
      </w:r>
      <w:r>
        <w:rPr>
          <w:rFonts w:ascii="仿宋_GB2312" w:eastAsia="仿宋_GB2312"/>
          <w:sz w:val="32"/>
          <w:szCs w:val="32"/>
          <w:lang w:eastAsia="zh-CN"/>
        </w:rPr>
        <w:t>。</w:t>
      </w:r>
    </w:p>
    <w:p w14:paraId="2047851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11、卫生健康支出（类）行政事业单位医疗（款）公务员医疗补助（项）：支出决算数为9.18万元，比上年决算减少0.33万元，下降3.47%，主要原因是：</w:t>
      </w:r>
      <w:bookmarkStart w:id="8" w:name="_Hlk209009462"/>
      <w:r>
        <w:rPr>
          <w:rFonts w:hint="eastAsia" w:ascii="仿宋_GB2312" w:hAnsi="仿宋_GB2312" w:eastAsia="仿宋_GB2312" w:cs="仿宋_GB2312"/>
          <w:sz w:val="32"/>
          <w:szCs w:val="32"/>
          <w:lang w:val="zh-CN" w:eastAsia="zh-CN"/>
        </w:rPr>
        <w:t>单位新进人员职级低于调出人员，新进人员医保缴费基数低，</w:t>
      </w:r>
      <w:bookmarkEnd w:id="8"/>
      <w:r>
        <w:rPr>
          <w:rFonts w:hint="eastAsia" w:ascii="仿宋_GB2312" w:hAnsi="仿宋_GB2312" w:eastAsia="仿宋_GB2312" w:cs="仿宋_GB2312"/>
          <w:sz w:val="32"/>
          <w:szCs w:val="32"/>
          <w:lang w:val="zh-CN" w:eastAsia="zh-CN"/>
        </w:rPr>
        <w:t>人员</w:t>
      </w:r>
      <w:r>
        <w:rPr>
          <w:rFonts w:ascii="仿宋_GB2312" w:eastAsia="仿宋_GB2312"/>
          <w:sz w:val="32"/>
          <w:szCs w:val="32"/>
          <w:lang w:eastAsia="zh-CN"/>
        </w:rPr>
        <w:t>医疗补助</w:t>
      </w:r>
      <w:r>
        <w:rPr>
          <w:rFonts w:hint="eastAsia" w:ascii="仿宋_GB2312" w:eastAsia="仿宋_GB2312"/>
          <w:sz w:val="32"/>
          <w:szCs w:val="32"/>
          <w:lang w:eastAsia="zh-CN"/>
        </w:rPr>
        <w:t>缴费减少</w:t>
      </w:r>
      <w:r>
        <w:rPr>
          <w:rFonts w:ascii="仿宋_GB2312" w:eastAsia="仿宋_GB2312"/>
          <w:sz w:val="32"/>
          <w:szCs w:val="32"/>
          <w:lang w:eastAsia="zh-CN"/>
        </w:rPr>
        <w:t>。</w:t>
      </w:r>
    </w:p>
    <w:p w14:paraId="72C8C28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12、卫生健康支出（类）行政事业单位医疗（款）其他行政事业单位医疗支出（项）：支出决算数为0.39万元，比上年决算减少0.07万元，下降15.22%，主要原因是：</w:t>
      </w:r>
      <w:r>
        <w:rPr>
          <w:rFonts w:hint="eastAsia" w:ascii="仿宋_GB2312" w:hAnsi="仿宋_GB2312" w:eastAsia="仿宋_GB2312" w:cs="仿宋_GB2312"/>
          <w:sz w:val="32"/>
          <w:szCs w:val="32"/>
          <w:lang w:val="zh-CN" w:eastAsia="zh-CN"/>
        </w:rPr>
        <w:t>单位新进人员职级低于调出人员，新进人员医保缴费基数低，人员</w:t>
      </w:r>
      <w:bookmarkStart w:id="9" w:name="_Hlk207798382"/>
      <w:r>
        <w:rPr>
          <w:rFonts w:hint="eastAsia" w:ascii="仿宋_GB2312" w:eastAsia="仿宋_GB2312"/>
          <w:sz w:val="32"/>
          <w:szCs w:val="32"/>
          <w:lang w:eastAsia="zh-CN"/>
        </w:rPr>
        <w:t>大额医疗补助缴费</w:t>
      </w:r>
      <w:bookmarkEnd w:id="9"/>
      <w:r>
        <w:rPr>
          <w:rFonts w:hint="eastAsia" w:ascii="仿宋_GB2312" w:eastAsia="仿宋_GB2312"/>
          <w:sz w:val="32"/>
          <w:szCs w:val="32"/>
          <w:lang w:eastAsia="zh-CN"/>
        </w:rPr>
        <w:t>减少</w:t>
      </w:r>
      <w:r>
        <w:rPr>
          <w:rFonts w:ascii="仿宋_GB2312" w:eastAsia="仿宋_GB2312"/>
          <w:sz w:val="32"/>
          <w:szCs w:val="32"/>
          <w:lang w:eastAsia="zh-CN"/>
        </w:rPr>
        <w:t>。</w:t>
      </w:r>
    </w:p>
    <w:p w14:paraId="1ADC923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13、资源勘探工业信息等支出（类）支持中小企业发展和管理支出（款）其他支持中小企业发展和管理支出（项）：支出决算数为0.00万元，比上年决算减少307.81万元，下降100.00%，主要原因是：</w:t>
      </w:r>
      <w:r>
        <w:rPr>
          <w:rFonts w:hint="eastAsia" w:ascii="仿宋_GB2312" w:eastAsia="仿宋_GB2312"/>
          <w:sz w:val="32"/>
          <w:szCs w:val="32"/>
          <w:lang w:eastAsia="zh-CN"/>
        </w:rPr>
        <w:t>本年减少中小企业化债及信访矛盾化解资金</w:t>
      </w:r>
      <w:r>
        <w:rPr>
          <w:rFonts w:ascii="仿宋_GB2312" w:eastAsia="仿宋_GB2312"/>
          <w:sz w:val="32"/>
          <w:szCs w:val="32"/>
          <w:lang w:eastAsia="zh-CN"/>
        </w:rPr>
        <w:t>。</w:t>
      </w:r>
    </w:p>
    <w:p w14:paraId="1AE1E62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14、住房保障支出（类）住房改革支出（款）住房公积金（项）：支出决算数为80.17万元，比上年决算增加5.94万元，增长8.00%，主要原因是：公积金缴费基数</w:t>
      </w:r>
      <w:r>
        <w:rPr>
          <w:rFonts w:hint="eastAsia" w:ascii="仿宋_GB2312" w:eastAsia="仿宋_GB2312"/>
          <w:sz w:val="32"/>
          <w:szCs w:val="32"/>
          <w:lang w:eastAsia="zh-CN"/>
        </w:rPr>
        <w:t>调增，人员</w:t>
      </w:r>
      <w:r>
        <w:rPr>
          <w:rFonts w:ascii="仿宋_GB2312" w:eastAsia="仿宋_GB2312"/>
          <w:sz w:val="32"/>
          <w:szCs w:val="32"/>
          <w:lang w:eastAsia="zh-CN"/>
        </w:rPr>
        <w:t>住房公积金</w:t>
      </w:r>
      <w:r>
        <w:rPr>
          <w:rFonts w:hint="eastAsia" w:ascii="仿宋_GB2312" w:eastAsia="仿宋_GB2312"/>
          <w:sz w:val="32"/>
          <w:szCs w:val="32"/>
          <w:lang w:eastAsia="zh-CN"/>
        </w:rPr>
        <w:t>缴费增加</w:t>
      </w:r>
      <w:r>
        <w:rPr>
          <w:rFonts w:ascii="仿宋_GB2312" w:eastAsia="仿宋_GB2312"/>
          <w:sz w:val="32"/>
          <w:szCs w:val="32"/>
          <w:lang w:eastAsia="zh-CN"/>
        </w:rPr>
        <w:t>。</w:t>
      </w:r>
    </w:p>
    <w:p w14:paraId="67482DE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15、其他支出（类）其他支出（款）其他支出（项）：支出决算数为5.00万元，比上年决算增加2.50万元，增长100.00%，主要原因是：</w:t>
      </w:r>
      <w:r>
        <w:rPr>
          <w:rFonts w:hint="eastAsia" w:ascii="仿宋_GB2312" w:eastAsia="仿宋_GB2312"/>
          <w:sz w:val="32"/>
          <w:szCs w:val="32"/>
          <w:lang w:eastAsia="zh-CN"/>
        </w:rPr>
        <w:t>本年单位增加为民办实事好事工作经费</w:t>
      </w:r>
      <w:r>
        <w:rPr>
          <w:rFonts w:ascii="仿宋_GB2312" w:eastAsia="仿宋_GB2312"/>
          <w:sz w:val="32"/>
          <w:szCs w:val="32"/>
          <w:lang w:eastAsia="zh-CN"/>
        </w:rPr>
        <w:t>。</w:t>
      </w:r>
    </w:p>
    <w:p w14:paraId="5715E3C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7DD0934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1,195.51万元，其中：人员经费1,117.07万元，包括：基本工资、津贴补贴、奖金、绩效工资、机关事业单位基本养老保险缴费、职业年金缴费、职工基本医疗保险缴费、公务员医疗补助缴费、其他社会保障缴费、住房公积金、其他工资福利支出、退休费、抚恤金、生活补助和奖励金。</w:t>
      </w:r>
    </w:p>
    <w:p w14:paraId="45AFBF6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公用经费78.44万元，包括：办公费、印刷费、邮电费、取暖费、差旅费、维修（护）费、工会经费和公务用车运行维护费。</w:t>
      </w:r>
    </w:p>
    <w:p w14:paraId="024F72F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3CFA5AA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6B757CB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153F19A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0C70D8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5F5EDE4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2024年度财政拨款“三公”经费支出25.00万元，比上年减少15.00万元，下降37.50%，主要原因是：因机构改革，</w:t>
      </w:r>
      <w:r>
        <w:rPr>
          <w:rFonts w:hint="eastAsia" w:ascii="仿宋_GB2312" w:eastAsia="仿宋_GB2312"/>
          <w:sz w:val="32"/>
          <w:szCs w:val="32"/>
          <w:lang w:eastAsia="zh-CN"/>
        </w:rPr>
        <w:t>本年单位减少接待上级领导检查及外来学习人员接待经费</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单位上年度与本年度均无此项经费</w:t>
      </w:r>
      <w:r>
        <w:rPr>
          <w:rFonts w:ascii="仿宋_GB2312" w:eastAsia="仿宋_GB2312"/>
          <w:sz w:val="32"/>
          <w:szCs w:val="32"/>
          <w:lang w:eastAsia="zh-CN"/>
        </w:rPr>
        <w:t>；公务用车购置及运行维护费支出25.00万元，占100.00%，比上年减少0.00万元，下降0.00%，主要原因是：</w:t>
      </w:r>
      <w:r>
        <w:rPr>
          <w:rFonts w:hint="eastAsia" w:ascii="仿宋_GB2312" w:eastAsia="仿宋_GB2312"/>
          <w:sz w:val="32"/>
          <w:szCs w:val="32"/>
          <w:lang w:eastAsia="zh-CN"/>
        </w:rPr>
        <w:t>本年单位</w:t>
      </w:r>
      <w:r>
        <w:rPr>
          <w:rFonts w:ascii="仿宋_GB2312" w:eastAsia="仿宋_GB2312"/>
          <w:sz w:val="32"/>
          <w:szCs w:val="32"/>
          <w:lang w:eastAsia="zh-CN"/>
        </w:rPr>
        <w:t>公务用车购置及运行维护费</w:t>
      </w:r>
      <w:r>
        <w:rPr>
          <w:rFonts w:hint="eastAsia" w:ascii="仿宋_GB2312" w:eastAsia="仿宋_GB2312"/>
          <w:sz w:val="32"/>
          <w:szCs w:val="32"/>
          <w:lang w:eastAsia="zh-CN"/>
        </w:rPr>
        <w:t>与上年对比无差异</w:t>
      </w:r>
      <w:r>
        <w:rPr>
          <w:rFonts w:ascii="仿宋_GB2312" w:eastAsia="仿宋_GB2312"/>
          <w:sz w:val="32"/>
          <w:szCs w:val="32"/>
          <w:lang w:eastAsia="zh-CN"/>
        </w:rPr>
        <w:t>；公务接待费支出0.00万元，占0.00%，比上年减少15.00万元，下降100%，主要原因是：因机构改革，</w:t>
      </w:r>
      <w:r>
        <w:rPr>
          <w:rFonts w:hint="eastAsia" w:ascii="仿宋_GB2312" w:eastAsia="仿宋_GB2312"/>
          <w:sz w:val="32"/>
          <w:szCs w:val="32"/>
          <w:lang w:eastAsia="zh-CN"/>
        </w:rPr>
        <w:t>本年单位减少接待上级领导检查及外来学习人员接待经费</w:t>
      </w:r>
      <w:r>
        <w:rPr>
          <w:rFonts w:ascii="仿宋_GB2312" w:eastAsia="仿宋_GB2312"/>
          <w:sz w:val="32"/>
          <w:szCs w:val="32"/>
          <w:lang w:eastAsia="zh-CN"/>
        </w:rPr>
        <w:t>。</w:t>
      </w:r>
    </w:p>
    <w:p w14:paraId="5582AC7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111EA36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10" w:name="_Hlk207143872"/>
      <w:r>
        <w:rPr>
          <w:rFonts w:hint="eastAsia" w:ascii="仿宋_GB2312" w:eastAsia="仿宋_GB2312"/>
          <w:sz w:val="32"/>
          <w:szCs w:val="32"/>
          <w:lang w:eastAsia="zh-CN"/>
        </w:rPr>
        <w:t>单位本年无</w:t>
      </w:r>
      <w:r>
        <w:rPr>
          <w:rFonts w:ascii="仿宋_GB2312" w:eastAsia="仿宋_GB2312"/>
          <w:sz w:val="32"/>
          <w:szCs w:val="32"/>
          <w:lang w:eastAsia="zh-CN"/>
        </w:rPr>
        <w:t>因公出国（境）费</w:t>
      </w:r>
      <w:bookmarkEnd w:id="10"/>
      <w:r>
        <w:rPr>
          <w:rFonts w:ascii="仿宋_GB2312" w:eastAsia="仿宋_GB2312"/>
          <w:sz w:val="32"/>
          <w:szCs w:val="32"/>
          <w:lang w:eastAsia="zh-CN"/>
        </w:rPr>
        <w:t>。单位全年安排的因公出国（境）团组0个，因公出国（境）0人次。</w:t>
      </w:r>
    </w:p>
    <w:p w14:paraId="5F6E6D6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公务用车购置及运行维护费25.00万元，其中：公务用车购置费0.00万元，公务用车运行维护费25.00万元。公务用车运行维护费开支内容包括</w:t>
      </w:r>
      <w:bookmarkStart w:id="11" w:name="_Hlk207793066"/>
      <w:r>
        <w:rPr>
          <w:rFonts w:hint="eastAsia" w:ascii="仿宋_GB2312" w:eastAsia="仿宋_GB2312"/>
          <w:sz w:val="32"/>
          <w:szCs w:val="32"/>
          <w:lang w:eastAsia="zh-CN"/>
        </w:rPr>
        <w:t>公务用车维修维护费、燃油费、保险费、过路费等</w:t>
      </w:r>
      <w:bookmarkEnd w:id="11"/>
      <w:r>
        <w:rPr>
          <w:rFonts w:ascii="仿宋_GB2312" w:eastAsia="仿宋_GB2312"/>
          <w:sz w:val="32"/>
          <w:szCs w:val="32"/>
          <w:lang w:eastAsia="zh-CN"/>
        </w:rPr>
        <w:t>。公务用车购置数0辆，公务用车保有量8辆。国有资产占用情况中固定资产车辆8辆，与公务用车保有量差异原因是：</w:t>
      </w:r>
      <w:bookmarkStart w:id="12" w:name="_Hlk207143898"/>
      <w:r>
        <w:rPr>
          <w:rFonts w:hint="eastAsia" w:ascii="仿宋_GB2312" w:eastAsia="仿宋_GB2312"/>
          <w:sz w:val="32"/>
          <w:szCs w:val="32"/>
          <w:lang w:eastAsia="zh-CN"/>
        </w:rPr>
        <w:t>本单位固定资产车辆与公务用车保有量一致无差异</w:t>
      </w:r>
      <w:bookmarkEnd w:id="12"/>
      <w:r>
        <w:rPr>
          <w:rFonts w:ascii="仿宋_GB2312" w:eastAsia="仿宋_GB2312"/>
          <w:sz w:val="32"/>
          <w:szCs w:val="32"/>
          <w:lang w:eastAsia="zh-CN"/>
        </w:rPr>
        <w:t>。</w:t>
      </w:r>
    </w:p>
    <w:p w14:paraId="2A68900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13" w:name="_Hlk207140433"/>
      <w:r>
        <w:rPr>
          <w:rFonts w:hint="eastAsia" w:ascii="仿宋_GB2312" w:eastAsia="仿宋_GB2312"/>
          <w:sz w:val="32"/>
          <w:szCs w:val="32"/>
          <w:lang w:eastAsia="zh-CN"/>
        </w:rPr>
        <w:t>单</w:t>
      </w:r>
      <w:bookmarkStart w:id="14" w:name="_Hlk209003368"/>
      <w:r>
        <w:rPr>
          <w:rFonts w:hint="eastAsia" w:ascii="仿宋_GB2312" w:eastAsia="仿宋_GB2312"/>
          <w:sz w:val="32"/>
          <w:szCs w:val="32"/>
          <w:lang w:eastAsia="zh-CN"/>
        </w:rPr>
        <w:t>位本年无</w:t>
      </w:r>
      <w:r>
        <w:rPr>
          <w:rFonts w:ascii="仿宋_GB2312" w:eastAsia="仿宋_GB2312"/>
          <w:sz w:val="32"/>
          <w:szCs w:val="32"/>
          <w:lang w:eastAsia="zh-CN"/>
        </w:rPr>
        <w:t>公务接待费</w:t>
      </w:r>
      <w:bookmarkEnd w:id="13"/>
      <w:bookmarkEnd w:id="14"/>
      <w:r>
        <w:rPr>
          <w:rFonts w:ascii="仿宋_GB2312" w:eastAsia="仿宋_GB2312"/>
          <w:sz w:val="32"/>
          <w:szCs w:val="32"/>
          <w:lang w:eastAsia="zh-CN"/>
        </w:rPr>
        <w:t>。单位全年安排的国内公务接待0批次，0人次。</w:t>
      </w:r>
    </w:p>
    <w:p w14:paraId="0869C3B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与全年预算相比，财政拨款“三公”经费支出全年预算数25.00万元，决算数25.00万元，预决算差异率0.00%，主要原因是：</w:t>
      </w:r>
      <w:bookmarkStart w:id="15" w:name="_Hlk207142995"/>
      <w:r>
        <w:rPr>
          <w:rFonts w:hint="eastAsia" w:ascii="仿宋_GB2312" w:eastAsia="仿宋_GB2312"/>
          <w:sz w:val="32"/>
          <w:szCs w:val="32"/>
          <w:lang w:eastAsia="zh-CN"/>
        </w:rPr>
        <w:t>严格按照预算执行，预决算对比无差异</w:t>
      </w:r>
      <w:bookmarkEnd w:id="15"/>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；公务用车运行维护费全年预算数25.00万元，决算数25.00万元，预决算差异率0.00%，主要原因是：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5C87252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47A8BD1B">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2F6B854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2024年度中国共产党</w:t>
      </w:r>
      <w:bookmarkStart w:id="16" w:name="_Hlk209027166"/>
      <w:r>
        <w:rPr>
          <w:rFonts w:ascii="仿宋_GB2312" w:eastAsia="仿宋_GB2312"/>
          <w:sz w:val="32"/>
          <w:szCs w:val="32"/>
          <w:lang w:eastAsia="zh-CN"/>
        </w:rPr>
        <w:t>奇台县委员会办公室</w:t>
      </w:r>
      <w:bookmarkEnd w:id="16"/>
      <w:r>
        <w:rPr>
          <w:rFonts w:ascii="仿宋_GB2312" w:eastAsia="仿宋_GB2312"/>
          <w:sz w:val="32"/>
          <w:szCs w:val="32"/>
          <w:lang w:eastAsia="zh-CN"/>
        </w:rPr>
        <w:t>单位（行政单位和参照公务员法管理事业单位）机关运行经费支出78.44万元，比上年减少5.56万元，下降6.62%，主要原因是：</w:t>
      </w:r>
      <w:r>
        <w:rPr>
          <w:rFonts w:hint="eastAsia" w:ascii="仿宋_GB2312" w:eastAsia="仿宋_GB2312"/>
          <w:sz w:val="32"/>
          <w:szCs w:val="32"/>
          <w:lang w:eastAsia="zh-CN"/>
        </w:rPr>
        <w:t>本年单位较上年减少公务接待费</w:t>
      </w:r>
      <w:r>
        <w:rPr>
          <w:rFonts w:ascii="仿宋_GB2312" w:eastAsia="仿宋_GB2312"/>
          <w:sz w:val="32"/>
          <w:szCs w:val="32"/>
          <w:lang w:eastAsia="zh-CN"/>
        </w:rPr>
        <w:t>。</w:t>
      </w:r>
    </w:p>
    <w:p w14:paraId="4AE4F824">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4D1066E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2024年度政府采购支出总额151.91万元，其中：政府采购货物支出127.03万元、政府采购工程支出0.00万元、政府采购服务支出24.88万元。</w:t>
      </w:r>
    </w:p>
    <w:p w14:paraId="09478B8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授予中小企业合同金额145.06万元，占政府采购支出总额的95.49%，其中：授予小微企业合同金额142.02万元，占政府采购支出总额的93.49%。</w:t>
      </w:r>
    </w:p>
    <w:p w14:paraId="18BF6519">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0196416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截至2024年12月31日，房屋2,780.42平方米，价值521.00万元。</w:t>
      </w:r>
      <w:r>
        <w:rPr>
          <w:rFonts w:ascii="仿宋_GB2312" w:eastAsia="仿宋_GB2312"/>
          <w:sz w:val="32"/>
          <w:szCs w:val="32"/>
          <w:lang w:eastAsia="zh-CN"/>
        </w:rPr>
        <w:t>车辆8辆，价值203.30万元，其中：副部（省）级及以上领导用车0辆、主要负责人用车0辆、机要通信用车0辆、应急保障用车0辆、执法执勤用车0辆、特种专业技术用车0辆、离退休干部服务用车0辆、其他用车8辆，其他用车主要是：</w:t>
      </w:r>
      <w:r>
        <w:rPr>
          <w:rFonts w:hint="eastAsia" w:ascii="仿宋_GB2312" w:eastAsia="仿宋_GB2312"/>
          <w:sz w:val="32"/>
          <w:szCs w:val="32"/>
          <w:lang w:eastAsia="zh-CN"/>
        </w:rPr>
        <w:t>业务用车</w:t>
      </w:r>
      <w:r>
        <w:rPr>
          <w:rFonts w:ascii="仿宋_GB2312" w:eastAsia="仿宋_GB2312"/>
          <w:sz w:val="32"/>
          <w:szCs w:val="32"/>
          <w:lang w:eastAsia="zh-CN"/>
        </w:rPr>
        <w:t>;单价100万元（含）以上设备（不含车辆）0台（套）。</w:t>
      </w:r>
    </w:p>
    <w:p w14:paraId="7C57032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3120ABA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1,598.70</w:t>
      </w:r>
      <w:r>
        <w:rPr>
          <w:rFonts w:ascii="仿宋_GB2312" w:eastAsia="仿宋_GB2312"/>
          <w:sz w:val="32"/>
          <w:szCs w:val="32"/>
          <w:lang w:eastAsia="zh-CN"/>
        </w:rPr>
        <w:t>万元，实际执行总额</w:t>
      </w:r>
      <w:r>
        <w:rPr>
          <w:rFonts w:hint="eastAsia" w:ascii="仿宋_GB2312" w:eastAsia="仿宋_GB2312"/>
          <w:sz w:val="32"/>
          <w:szCs w:val="32"/>
          <w:lang w:eastAsia="zh-CN"/>
        </w:rPr>
        <w:t>1,598.70</w:t>
      </w:r>
      <w:r>
        <w:rPr>
          <w:rFonts w:ascii="仿宋_GB2312" w:eastAsia="仿宋_GB2312"/>
          <w:sz w:val="32"/>
          <w:szCs w:val="32"/>
          <w:lang w:eastAsia="zh-CN"/>
        </w:rPr>
        <w:t>万元；预算绩效评价项目1个，全年预算数</w:t>
      </w:r>
      <w:r>
        <w:rPr>
          <w:rFonts w:hint="eastAsia" w:ascii="仿宋_GB2312" w:eastAsia="仿宋_GB2312"/>
          <w:sz w:val="32"/>
          <w:szCs w:val="32"/>
          <w:lang w:eastAsia="zh-CN"/>
        </w:rPr>
        <w:t>191.34</w:t>
      </w:r>
      <w:r>
        <w:rPr>
          <w:rFonts w:ascii="仿宋_GB2312" w:eastAsia="仿宋_GB2312"/>
          <w:sz w:val="32"/>
          <w:szCs w:val="32"/>
          <w:lang w:eastAsia="zh-CN"/>
        </w:rPr>
        <w:t>万元，全年执行数</w:t>
      </w:r>
      <w:r>
        <w:rPr>
          <w:rFonts w:hint="eastAsia" w:ascii="仿宋_GB2312" w:eastAsia="仿宋_GB2312"/>
          <w:sz w:val="32"/>
          <w:szCs w:val="32"/>
          <w:lang w:eastAsia="zh-CN"/>
        </w:rPr>
        <w:t>190.13</w:t>
      </w:r>
      <w:r>
        <w:rPr>
          <w:rFonts w:ascii="仿宋_GB2312" w:eastAsia="仿宋_GB2312"/>
          <w:sz w:val="32"/>
          <w:szCs w:val="32"/>
          <w:lang w:eastAsia="zh-CN"/>
        </w:rPr>
        <w:t>万元。预算绩效管理取得的成效：</w:t>
      </w:r>
      <w:r>
        <w:rPr>
          <w:rFonts w:hint="eastAsia" w:ascii="仿宋_GB2312" w:eastAsia="仿宋_GB2312"/>
          <w:sz w:val="32"/>
          <w:szCs w:val="32"/>
          <w:lang w:eastAsia="zh-CN"/>
        </w:rPr>
        <w:t>一是</w:t>
      </w:r>
      <w:r>
        <w:rPr>
          <w:rFonts w:ascii="仿宋_GB2312" w:eastAsia="仿宋_GB2312"/>
          <w:sz w:val="32"/>
          <w:szCs w:val="32"/>
          <w:lang w:eastAsia="zh-CN"/>
        </w:rPr>
        <w:t>严格坚持先做事、后验收、再拨付的原则，杜绝了资金被挤占和挪用现象的发生，跟踪检查到位。财政、纪检、监察等职能部门全面参与专项资金事前、事中和事后全过程的监管。</w:t>
      </w:r>
      <w:r>
        <w:rPr>
          <w:rFonts w:hint="eastAsia" w:ascii="仿宋_GB2312" w:eastAsia="仿宋_GB2312"/>
          <w:sz w:val="32"/>
          <w:szCs w:val="32"/>
          <w:lang w:eastAsia="zh-CN"/>
        </w:rPr>
        <w:t>二是</w:t>
      </w:r>
      <w:r>
        <w:rPr>
          <w:rFonts w:ascii="仿宋_GB2312" w:eastAsia="仿宋_GB2312"/>
          <w:sz w:val="32"/>
          <w:szCs w:val="32"/>
          <w:lang w:eastAsia="zh-CN"/>
        </w:rPr>
        <w:t>在监督环节上，实行关口前移，从事后监督管理转向事前审核，事中监督和事后检查稽核相结合的监督制度上来，形成多环节全过程的监督管理格局，尽量早发现问题，早解决问题。发现的问题及原因：一是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二是因轮岗、调动等因素使我单位绩效工作人员流动频繁，造成工作衔接不到位的情况。下一步改进措施：一是多进行有关绩效管理工作方面的培训。积极组织第三方开展绩效管理工作培训，进一步夯实业务基础，提高我单位绩效人员水平。二是专门设定对绩效工作人员定职、定岗、定责等相关制度措施，进一步提升我单位绩效管理工作业务水平，扎实做好绩效管理工作。三是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四是进一步完善项目评价过程中有关数据和资料的收集、整理、审核及分析。项目启动时同步做好档案的归纳与整理，及时整理、收集、汇总，健全档案资料。项目后续管理有待进一步加强和跟踪。五是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具体附部门整体支出绩效自评表，项目支出绩效自评表和部门评价报告。</w:t>
      </w:r>
    </w:p>
    <w:p w14:paraId="5025C087">
      <w:pPr>
        <w:rPr>
          <w:rFonts w:hint="eastAsia" w:ascii="宋体" w:hAnsi="宋体" w:eastAsia="宋体" w:cs="宋体"/>
          <w:b/>
          <w:bCs/>
          <w:sz w:val="18"/>
          <w:szCs w:val="18"/>
          <w:lang w:eastAsia="zh-CN"/>
        </w:rPr>
      </w:pPr>
      <w:bookmarkStart w:id="17" w:name="_Hlk201836110"/>
    </w:p>
    <w:p w14:paraId="5357E344">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6DB69AF1">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54969A28">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1162F754">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1CB71B06">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中国共产党奇台县委员会办公室</w:t>
            </w:r>
          </w:p>
        </w:tc>
        <w:tc>
          <w:tcPr>
            <w:tcW w:w="284" w:type="dxa"/>
            <w:tcBorders>
              <w:top w:val="nil"/>
              <w:left w:val="nil"/>
              <w:bottom w:val="nil"/>
              <w:right w:val="nil"/>
            </w:tcBorders>
            <w:noWrap/>
            <w:vAlign w:val="center"/>
          </w:tcPr>
          <w:p w14:paraId="37946FED">
            <w:pPr>
              <w:rPr>
                <w:rFonts w:hint="eastAsia" w:ascii="宋体" w:hAnsi="宋体" w:eastAsia="宋体" w:cs="宋体"/>
                <w:b/>
                <w:bCs/>
                <w:sz w:val="18"/>
                <w:szCs w:val="18"/>
                <w:lang w:eastAsia="zh-CN"/>
              </w:rPr>
            </w:pPr>
          </w:p>
        </w:tc>
      </w:tr>
      <w:tr w14:paraId="29EBFB8F">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0A4E02D">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4038EA8D">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628AF2A5">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078B9277">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107E8FA3">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625920BA">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10496879">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6B39A8D2">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1E0E6957">
            <w:pPr>
              <w:jc w:val="center"/>
              <w:rPr>
                <w:rFonts w:hint="eastAsia" w:ascii="宋体" w:hAnsi="宋体" w:eastAsia="宋体" w:cs="宋体"/>
                <w:b/>
                <w:bCs/>
                <w:sz w:val="18"/>
                <w:szCs w:val="18"/>
              </w:rPr>
            </w:pPr>
          </w:p>
        </w:tc>
      </w:tr>
      <w:tr w14:paraId="45A72A8A">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D1E6554">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7222332F">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251292F4">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549C5E4D">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0DDA8AA4">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140560D1">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2D5FDDFC">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51D3DEE4">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481AC292">
            <w:pPr>
              <w:jc w:val="center"/>
              <w:rPr>
                <w:rFonts w:hint="eastAsia" w:ascii="宋体" w:hAnsi="宋体" w:eastAsia="宋体" w:cs="宋体"/>
                <w:b/>
                <w:bCs/>
                <w:sz w:val="18"/>
                <w:szCs w:val="18"/>
              </w:rPr>
            </w:pPr>
          </w:p>
        </w:tc>
      </w:tr>
      <w:tr w14:paraId="40539346">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917BF42">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F11199F">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2E10D004">
            <w:pPr>
              <w:jc w:val="center"/>
              <w:rPr>
                <w:rFonts w:hint="eastAsia" w:ascii="宋体" w:hAnsi="宋体" w:eastAsia="宋体" w:cs="宋体"/>
                <w:sz w:val="18"/>
                <w:szCs w:val="18"/>
              </w:rPr>
            </w:pPr>
            <w:r>
              <w:rPr>
                <w:rFonts w:hint="eastAsia" w:ascii="宋体" w:hAnsi="宋体" w:eastAsia="宋体" w:cs="宋体"/>
                <w:sz w:val="18"/>
                <w:szCs w:val="18"/>
              </w:rPr>
              <w:t>1,240.16</w:t>
            </w:r>
          </w:p>
        </w:tc>
        <w:tc>
          <w:tcPr>
            <w:tcW w:w="1242" w:type="dxa"/>
            <w:tcBorders>
              <w:top w:val="nil"/>
              <w:left w:val="nil"/>
              <w:bottom w:val="single" w:color="auto" w:sz="4" w:space="0"/>
              <w:right w:val="single" w:color="auto" w:sz="4" w:space="0"/>
            </w:tcBorders>
            <w:vAlign w:val="center"/>
          </w:tcPr>
          <w:p w14:paraId="5608E878">
            <w:pPr>
              <w:jc w:val="center"/>
              <w:rPr>
                <w:rFonts w:hint="eastAsia" w:ascii="宋体" w:hAnsi="宋体" w:eastAsia="宋体" w:cs="宋体"/>
                <w:sz w:val="18"/>
                <w:szCs w:val="18"/>
              </w:rPr>
            </w:pPr>
            <w:r>
              <w:rPr>
                <w:rFonts w:hint="eastAsia" w:ascii="宋体" w:hAnsi="宋体" w:eastAsia="宋体" w:cs="宋体"/>
                <w:sz w:val="18"/>
                <w:szCs w:val="18"/>
              </w:rPr>
              <w:t>1,476.58</w:t>
            </w:r>
          </w:p>
        </w:tc>
        <w:tc>
          <w:tcPr>
            <w:tcW w:w="1417" w:type="dxa"/>
            <w:tcBorders>
              <w:top w:val="nil"/>
              <w:left w:val="nil"/>
              <w:bottom w:val="single" w:color="auto" w:sz="4" w:space="0"/>
              <w:right w:val="single" w:color="auto" w:sz="4" w:space="0"/>
            </w:tcBorders>
            <w:vAlign w:val="center"/>
          </w:tcPr>
          <w:p w14:paraId="2ECB1438">
            <w:pPr>
              <w:jc w:val="center"/>
              <w:rPr>
                <w:rFonts w:hint="eastAsia" w:ascii="宋体" w:hAnsi="宋体" w:eastAsia="宋体" w:cs="宋体"/>
                <w:sz w:val="18"/>
                <w:szCs w:val="18"/>
              </w:rPr>
            </w:pPr>
            <w:r>
              <w:rPr>
                <w:rFonts w:hint="eastAsia" w:ascii="宋体" w:hAnsi="宋体" w:eastAsia="宋体" w:cs="宋体"/>
                <w:sz w:val="18"/>
                <w:szCs w:val="18"/>
              </w:rPr>
              <w:t>1,476.58</w:t>
            </w:r>
          </w:p>
        </w:tc>
        <w:tc>
          <w:tcPr>
            <w:tcW w:w="1134" w:type="dxa"/>
            <w:tcBorders>
              <w:top w:val="nil"/>
              <w:left w:val="nil"/>
              <w:bottom w:val="single" w:color="auto" w:sz="4" w:space="0"/>
              <w:right w:val="single" w:color="auto" w:sz="4" w:space="0"/>
            </w:tcBorders>
            <w:vAlign w:val="center"/>
          </w:tcPr>
          <w:p w14:paraId="3FD36CE7">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2D05BB7A">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4FF5FDD4">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2B1784EF">
            <w:pPr>
              <w:jc w:val="center"/>
              <w:rPr>
                <w:rFonts w:hint="eastAsia" w:ascii="宋体" w:hAnsi="宋体" w:eastAsia="宋体" w:cs="宋体"/>
                <w:sz w:val="18"/>
                <w:szCs w:val="18"/>
              </w:rPr>
            </w:pPr>
          </w:p>
        </w:tc>
      </w:tr>
      <w:tr w14:paraId="2042723E">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145C516">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4CA6C2F8">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3492861A">
            <w:pPr>
              <w:jc w:val="center"/>
              <w:rPr>
                <w:rFonts w:hint="eastAsia" w:ascii="宋体" w:hAnsi="宋体" w:eastAsia="宋体" w:cs="宋体"/>
                <w:sz w:val="18"/>
                <w:szCs w:val="18"/>
              </w:rPr>
            </w:pPr>
            <w:r>
              <w:rPr>
                <w:rFonts w:hint="eastAsia" w:ascii="宋体" w:hAnsi="宋体" w:eastAsia="宋体" w:cs="宋体"/>
                <w:sz w:val="18"/>
                <w:szCs w:val="18"/>
              </w:rPr>
              <w:t>35.39</w:t>
            </w:r>
          </w:p>
        </w:tc>
        <w:tc>
          <w:tcPr>
            <w:tcW w:w="1242" w:type="dxa"/>
            <w:tcBorders>
              <w:top w:val="nil"/>
              <w:left w:val="nil"/>
              <w:bottom w:val="single" w:color="auto" w:sz="4" w:space="0"/>
              <w:right w:val="single" w:color="auto" w:sz="4" w:space="0"/>
            </w:tcBorders>
            <w:vAlign w:val="center"/>
          </w:tcPr>
          <w:p w14:paraId="742F5D66">
            <w:pPr>
              <w:jc w:val="center"/>
              <w:rPr>
                <w:rFonts w:hint="eastAsia" w:ascii="宋体" w:hAnsi="宋体" w:eastAsia="宋体" w:cs="宋体"/>
                <w:sz w:val="18"/>
                <w:szCs w:val="18"/>
              </w:rPr>
            </w:pPr>
            <w:r>
              <w:rPr>
                <w:rFonts w:hint="eastAsia" w:ascii="宋体" w:hAnsi="宋体" w:eastAsia="宋体" w:cs="宋体"/>
                <w:sz w:val="18"/>
                <w:szCs w:val="18"/>
              </w:rPr>
              <w:t>122.12</w:t>
            </w:r>
          </w:p>
        </w:tc>
        <w:tc>
          <w:tcPr>
            <w:tcW w:w="1417" w:type="dxa"/>
            <w:tcBorders>
              <w:top w:val="nil"/>
              <w:left w:val="nil"/>
              <w:bottom w:val="single" w:color="auto" w:sz="4" w:space="0"/>
              <w:right w:val="single" w:color="auto" w:sz="4" w:space="0"/>
            </w:tcBorders>
            <w:vAlign w:val="center"/>
          </w:tcPr>
          <w:p w14:paraId="581EF69B">
            <w:pPr>
              <w:jc w:val="center"/>
              <w:rPr>
                <w:rFonts w:hint="eastAsia" w:ascii="宋体" w:hAnsi="宋体" w:eastAsia="宋体" w:cs="宋体"/>
                <w:sz w:val="18"/>
                <w:szCs w:val="18"/>
              </w:rPr>
            </w:pPr>
            <w:r>
              <w:rPr>
                <w:rFonts w:hint="eastAsia" w:ascii="宋体" w:hAnsi="宋体" w:eastAsia="宋体" w:cs="宋体"/>
                <w:sz w:val="18"/>
                <w:szCs w:val="18"/>
              </w:rPr>
              <w:t>122.12</w:t>
            </w:r>
          </w:p>
        </w:tc>
        <w:tc>
          <w:tcPr>
            <w:tcW w:w="1134" w:type="dxa"/>
            <w:tcBorders>
              <w:top w:val="nil"/>
              <w:left w:val="nil"/>
              <w:bottom w:val="single" w:color="auto" w:sz="4" w:space="0"/>
              <w:right w:val="single" w:color="auto" w:sz="4" w:space="0"/>
            </w:tcBorders>
            <w:vAlign w:val="center"/>
          </w:tcPr>
          <w:p w14:paraId="36E78F85">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6C79BAC7">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14FF5FDA">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240CF5E7">
            <w:pPr>
              <w:jc w:val="center"/>
              <w:rPr>
                <w:rFonts w:hint="eastAsia" w:ascii="宋体" w:hAnsi="宋体" w:eastAsia="宋体" w:cs="宋体"/>
                <w:sz w:val="18"/>
                <w:szCs w:val="18"/>
              </w:rPr>
            </w:pPr>
          </w:p>
        </w:tc>
      </w:tr>
      <w:tr w14:paraId="3F43B8F3">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0256767">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5FC9AB5">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66C7E5BF">
            <w:pPr>
              <w:jc w:val="center"/>
              <w:rPr>
                <w:rFonts w:hint="eastAsia" w:ascii="宋体" w:hAnsi="宋体" w:eastAsia="宋体" w:cs="宋体"/>
                <w:sz w:val="18"/>
                <w:szCs w:val="18"/>
              </w:rPr>
            </w:pPr>
            <w:r>
              <w:rPr>
                <w:rFonts w:hint="eastAsia" w:ascii="宋体" w:hAnsi="宋体" w:eastAsia="宋体" w:cs="宋体"/>
                <w:sz w:val="18"/>
                <w:szCs w:val="18"/>
              </w:rPr>
              <w:t>1,275.55</w:t>
            </w:r>
          </w:p>
        </w:tc>
        <w:tc>
          <w:tcPr>
            <w:tcW w:w="1242" w:type="dxa"/>
            <w:tcBorders>
              <w:top w:val="nil"/>
              <w:left w:val="nil"/>
              <w:bottom w:val="single" w:color="auto" w:sz="4" w:space="0"/>
              <w:right w:val="single" w:color="auto" w:sz="4" w:space="0"/>
            </w:tcBorders>
            <w:vAlign w:val="center"/>
          </w:tcPr>
          <w:p w14:paraId="1DC5C1FB">
            <w:pPr>
              <w:jc w:val="center"/>
              <w:rPr>
                <w:rFonts w:hint="eastAsia" w:ascii="宋体" w:hAnsi="宋体" w:eastAsia="宋体" w:cs="宋体"/>
                <w:sz w:val="18"/>
                <w:szCs w:val="18"/>
              </w:rPr>
            </w:pPr>
            <w:r>
              <w:rPr>
                <w:rFonts w:hint="eastAsia" w:ascii="宋体" w:hAnsi="宋体" w:eastAsia="宋体" w:cs="宋体"/>
                <w:sz w:val="18"/>
                <w:szCs w:val="18"/>
              </w:rPr>
              <w:t>1,598.70</w:t>
            </w:r>
          </w:p>
        </w:tc>
        <w:tc>
          <w:tcPr>
            <w:tcW w:w="1417" w:type="dxa"/>
            <w:tcBorders>
              <w:top w:val="nil"/>
              <w:left w:val="nil"/>
              <w:bottom w:val="single" w:color="auto" w:sz="4" w:space="0"/>
              <w:right w:val="single" w:color="auto" w:sz="4" w:space="0"/>
            </w:tcBorders>
            <w:vAlign w:val="center"/>
          </w:tcPr>
          <w:p w14:paraId="46AF7BBF">
            <w:pPr>
              <w:jc w:val="center"/>
              <w:rPr>
                <w:rFonts w:hint="eastAsia" w:ascii="宋体" w:hAnsi="宋体" w:eastAsia="宋体" w:cs="宋体"/>
                <w:sz w:val="18"/>
                <w:szCs w:val="18"/>
              </w:rPr>
            </w:pPr>
            <w:r>
              <w:rPr>
                <w:rFonts w:hint="eastAsia" w:ascii="宋体" w:hAnsi="宋体" w:eastAsia="宋体" w:cs="宋体"/>
                <w:sz w:val="18"/>
                <w:szCs w:val="18"/>
              </w:rPr>
              <w:t>1,598.70</w:t>
            </w:r>
          </w:p>
        </w:tc>
        <w:tc>
          <w:tcPr>
            <w:tcW w:w="1134" w:type="dxa"/>
            <w:tcBorders>
              <w:top w:val="nil"/>
              <w:left w:val="nil"/>
              <w:bottom w:val="single" w:color="auto" w:sz="4" w:space="0"/>
              <w:right w:val="single" w:color="auto" w:sz="4" w:space="0"/>
            </w:tcBorders>
            <w:vAlign w:val="center"/>
          </w:tcPr>
          <w:p w14:paraId="552B25C1">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73542F02">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7F9C4E04">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2A69FE0B">
            <w:pPr>
              <w:jc w:val="center"/>
              <w:rPr>
                <w:rFonts w:hint="eastAsia" w:ascii="宋体" w:hAnsi="宋体" w:eastAsia="宋体" w:cs="宋体"/>
                <w:sz w:val="18"/>
                <w:szCs w:val="18"/>
              </w:rPr>
            </w:pPr>
          </w:p>
        </w:tc>
      </w:tr>
      <w:tr w14:paraId="5D225036">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41B0AA9">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3C74BAB4">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652B65E7">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4CF138F1">
            <w:pPr>
              <w:rPr>
                <w:rFonts w:hint="eastAsia" w:ascii="宋体" w:hAnsi="宋体" w:eastAsia="宋体" w:cs="宋体"/>
                <w:b/>
                <w:bCs/>
                <w:sz w:val="18"/>
                <w:szCs w:val="18"/>
              </w:rPr>
            </w:pPr>
          </w:p>
        </w:tc>
      </w:tr>
      <w:tr w14:paraId="3EC9C48E">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86C1F95">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37044330">
            <w:pPr>
              <w:rPr>
                <w:rFonts w:hint="eastAsia" w:ascii="宋体" w:hAnsi="宋体" w:eastAsia="宋体" w:cs="宋体"/>
                <w:sz w:val="18"/>
                <w:szCs w:val="18"/>
                <w:lang w:eastAsia="zh-CN"/>
              </w:rPr>
            </w:pPr>
            <w:r>
              <w:rPr>
                <w:rFonts w:hint="eastAsia" w:ascii="宋体" w:hAnsi="宋体" w:eastAsia="宋体" w:cs="宋体"/>
                <w:sz w:val="18"/>
                <w:szCs w:val="18"/>
                <w:lang w:eastAsia="zh-CN"/>
              </w:rPr>
              <w:t>1、全面了解经济与社会发展情况，及时掌握各方面的重大动态，为县委科学决策发挥参谋助手作用。2、完成县委和县委办公室文件和文稿的起草、修改、校对、印刷和日常文书处理工作。3、县委各种会议的会务工作和县委领导参加重大活动的组织安排。</w:t>
            </w:r>
          </w:p>
        </w:tc>
        <w:tc>
          <w:tcPr>
            <w:tcW w:w="4581" w:type="dxa"/>
            <w:gridSpan w:val="4"/>
            <w:tcBorders>
              <w:top w:val="single" w:color="auto" w:sz="4" w:space="0"/>
              <w:left w:val="nil"/>
              <w:bottom w:val="single" w:color="auto" w:sz="4" w:space="0"/>
              <w:right w:val="single" w:color="auto" w:sz="4" w:space="0"/>
            </w:tcBorders>
          </w:tcPr>
          <w:p w14:paraId="39925AC9">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我单位全年预算数为1598.7万元，全年执行数为1598.7万元，总预算执行率为100%。2024年我单位完成以下工作内容：1.组织各类学习30次；2.档案馆利用次数600人次；3.组织会议150次；4.起草文件280份；5.及时上报信息300篇。通过以上工作的实施，切实提高县委办公室领导干部有效发挥统筹协调、参谋助手、督促检查、服务保障等职能作用，扎实推进各项决策部署落实落地。全面提升“三服务”能力水平，强化自身建设，当好“排头兵”，建设让党放心、人民满意的模范机关，为我县各项事业稳步发展贡献党办力量。</w:t>
            </w:r>
          </w:p>
        </w:tc>
        <w:tc>
          <w:tcPr>
            <w:tcW w:w="284" w:type="dxa"/>
            <w:tcBorders>
              <w:top w:val="nil"/>
              <w:left w:val="nil"/>
              <w:bottom w:val="nil"/>
              <w:right w:val="nil"/>
            </w:tcBorders>
            <w:noWrap/>
            <w:vAlign w:val="center"/>
          </w:tcPr>
          <w:p w14:paraId="3EB19C66">
            <w:pPr>
              <w:rPr>
                <w:rFonts w:hint="eastAsia" w:ascii="宋体" w:hAnsi="宋体" w:eastAsia="宋体" w:cs="宋体"/>
                <w:sz w:val="18"/>
                <w:szCs w:val="18"/>
                <w:lang w:eastAsia="zh-CN"/>
              </w:rPr>
            </w:pPr>
          </w:p>
        </w:tc>
      </w:tr>
      <w:tr w14:paraId="19689ADD">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5D864AB5">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03ECFAC4">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355CF218">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49C041BC">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6FA699EB">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656BB74B">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706399E0">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38131A37">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4FE182ED">
            <w:pPr>
              <w:rPr>
                <w:rFonts w:hint="eastAsia" w:ascii="宋体" w:hAnsi="宋体" w:eastAsia="宋体" w:cs="宋体"/>
                <w:b/>
                <w:bCs/>
                <w:sz w:val="18"/>
                <w:szCs w:val="18"/>
              </w:rPr>
            </w:pPr>
          </w:p>
        </w:tc>
      </w:tr>
      <w:tr w14:paraId="5A022316">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5D09BED0">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59EA2A0C">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075BEB33">
            <w:pPr>
              <w:jc w:val="center"/>
              <w:rPr>
                <w:rFonts w:hint="eastAsia" w:ascii="宋体" w:hAnsi="宋体" w:eastAsia="宋体" w:cs="宋体"/>
                <w:sz w:val="18"/>
                <w:szCs w:val="18"/>
              </w:rPr>
            </w:pPr>
            <w:r>
              <w:rPr>
                <w:rFonts w:hint="eastAsia" w:ascii="宋体" w:hAnsi="宋体" w:eastAsia="宋体" w:cs="宋体"/>
                <w:sz w:val="18"/>
                <w:szCs w:val="18"/>
              </w:rPr>
              <w:t>组织各类学习次数</w:t>
            </w:r>
          </w:p>
        </w:tc>
        <w:tc>
          <w:tcPr>
            <w:tcW w:w="1242" w:type="dxa"/>
            <w:tcBorders>
              <w:top w:val="nil"/>
              <w:left w:val="nil"/>
              <w:bottom w:val="single" w:color="auto" w:sz="4" w:space="0"/>
              <w:right w:val="single" w:color="auto" w:sz="4" w:space="0"/>
            </w:tcBorders>
            <w:noWrap/>
            <w:vAlign w:val="center"/>
          </w:tcPr>
          <w:p w14:paraId="6C5AB906">
            <w:pPr>
              <w:jc w:val="center"/>
              <w:rPr>
                <w:rFonts w:hint="eastAsia" w:ascii="宋体" w:hAnsi="宋体" w:eastAsia="宋体" w:cs="宋体"/>
                <w:sz w:val="18"/>
                <w:szCs w:val="18"/>
              </w:rPr>
            </w:pPr>
            <w:r>
              <w:rPr>
                <w:rFonts w:hint="eastAsia" w:ascii="宋体" w:hAnsi="宋体" w:eastAsia="宋体" w:cs="宋体"/>
                <w:sz w:val="18"/>
                <w:szCs w:val="18"/>
              </w:rPr>
              <w:t>&gt;=30次</w:t>
            </w:r>
          </w:p>
        </w:tc>
        <w:tc>
          <w:tcPr>
            <w:tcW w:w="1417" w:type="dxa"/>
            <w:tcBorders>
              <w:top w:val="nil"/>
              <w:left w:val="nil"/>
              <w:bottom w:val="single" w:color="auto" w:sz="4" w:space="0"/>
              <w:right w:val="single" w:color="auto" w:sz="4" w:space="0"/>
            </w:tcBorders>
            <w:noWrap/>
            <w:vAlign w:val="center"/>
          </w:tcPr>
          <w:p w14:paraId="6F790F8A">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奇台县委办公室2024年工作计划</w:t>
            </w:r>
          </w:p>
        </w:tc>
        <w:tc>
          <w:tcPr>
            <w:tcW w:w="1134" w:type="dxa"/>
            <w:tcBorders>
              <w:top w:val="nil"/>
              <w:left w:val="nil"/>
              <w:bottom w:val="single" w:color="auto" w:sz="4" w:space="0"/>
              <w:right w:val="single" w:color="auto" w:sz="4" w:space="0"/>
            </w:tcBorders>
            <w:noWrap/>
            <w:vAlign w:val="center"/>
          </w:tcPr>
          <w:p w14:paraId="125624C9">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0DCDEC0B">
            <w:pPr>
              <w:jc w:val="center"/>
              <w:rPr>
                <w:rFonts w:hint="eastAsia" w:ascii="宋体" w:hAnsi="宋体" w:eastAsia="宋体" w:cs="宋体"/>
                <w:sz w:val="18"/>
                <w:szCs w:val="18"/>
              </w:rPr>
            </w:pPr>
            <w:r>
              <w:rPr>
                <w:rFonts w:hint="eastAsia" w:ascii="宋体" w:hAnsi="宋体" w:eastAsia="宋体" w:cs="宋体"/>
                <w:sz w:val="18"/>
                <w:szCs w:val="18"/>
              </w:rPr>
              <w:t>=30次</w:t>
            </w:r>
          </w:p>
        </w:tc>
        <w:tc>
          <w:tcPr>
            <w:tcW w:w="720" w:type="dxa"/>
            <w:tcBorders>
              <w:top w:val="nil"/>
              <w:left w:val="nil"/>
              <w:bottom w:val="single" w:color="auto" w:sz="4" w:space="0"/>
              <w:right w:val="single" w:color="auto" w:sz="4" w:space="0"/>
            </w:tcBorders>
            <w:noWrap/>
            <w:vAlign w:val="center"/>
          </w:tcPr>
          <w:p w14:paraId="2FE51E3D">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03C5E580">
            <w:pPr>
              <w:jc w:val="center"/>
              <w:rPr>
                <w:rFonts w:hint="eastAsia" w:ascii="宋体" w:hAnsi="宋体" w:eastAsia="宋体" w:cs="宋体"/>
                <w:sz w:val="18"/>
                <w:szCs w:val="18"/>
              </w:rPr>
            </w:pPr>
          </w:p>
        </w:tc>
      </w:tr>
      <w:tr w14:paraId="2615E170">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1F08D6B0">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3120F3A8">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8304614">
            <w:pPr>
              <w:jc w:val="center"/>
              <w:rPr>
                <w:rFonts w:hint="eastAsia" w:ascii="宋体" w:hAnsi="宋体" w:eastAsia="宋体" w:cs="宋体"/>
                <w:sz w:val="18"/>
                <w:szCs w:val="18"/>
              </w:rPr>
            </w:pPr>
            <w:r>
              <w:rPr>
                <w:rFonts w:hint="eastAsia" w:ascii="宋体" w:hAnsi="宋体" w:eastAsia="宋体" w:cs="宋体"/>
                <w:sz w:val="18"/>
                <w:szCs w:val="18"/>
              </w:rPr>
              <w:t>档案馆利用次数</w:t>
            </w:r>
          </w:p>
        </w:tc>
        <w:tc>
          <w:tcPr>
            <w:tcW w:w="1242" w:type="dxa"/>
            <w:tcBorders>
              <w:top w:val="nil"/>
              <w:left w:val="nil"/>
              <w:bottom w:val="single" w:color="auto" w:sz="4" w:space="0"/>
              <w:right w:val="single" w:color="auto" w:sz="4" w:space="0"/>
            </w:tcBorders>
            <w:noWrap/>
            <w:vAlign w:val="center"/>
          </w:tcPr>
          <w:p w14:paraId="4EFD4322">
            <w:pPr>
              <w:jc w:val="center"/>
              <w:rPr>
                <w:rFonts w:hint="eastAsia" w:ascii="宋体" w:hAnsi="宋体" w:eastAsia="宋体" w:cs="宋体"/>
                <w:sz w:val="18"/>
                <w:szCs w:val="18"/>
              </w:rPr>
            </w:pPr>
            <w:r>
              <w:rPr>
                <w:rFonts w:hint="eastAsia" w:ascii="宋体" w:hAnsi="宋体" w:eastAsia="宋体" w:cs="宋体"/>
                <w:sz w:val="18"/>
                <w:szCs w:val="18"/>
              </w:rPr>
              <w:t>&gt;=600人次</w:t>
            </w:r>
          </w:p>
        </w:tc>
        <w:tc>
          <w:tcPr>
            <w:tcW w:w="1417" w:type="dxa"/>
            <w:tcBorders>
              <w:top w:val="nil"/>
              <w:left w:val="nil"/>
              <w:bottom w:val="single" w:color="auto" w:sz="4" w:space="0"/>
              <w:right w:val="single" w:color="auto" w:sz="4" w:space="0"/>
            </w:tcBorders>
            <w:noWrap/>
            <w:vAlign w:val="center"/>
          </w:tcPr>
          <w:p w14:paraId="65054F55">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奇台县委办公室2024年工作计划</w:t>
            </w:r>
          </w:p>
        </w:tc>
        <w:tc>
          <w:tcPr>
            <w:tcW w:w="1134" w:type="dxa"/>
            <w:tcBorders>
              <w:top w:val="nil"/>
              <w:left w:val="nil"/>
              <w:bottom w:val="single" w:color="auto" w:sz="4" w:space="0"/>
              <w:right w:val="single" w:color="auto" w:sz="4" w:space="0"/>
            </w:tcBorders>
            <w:noWrap/>
            <w:vAlign w:val="center"/>
          </w:tcPr>
          <w:p w14:paraId="17C163DF">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71211C61">
            <w:pPr>
              <w:jc w:val="center"/>
              <w:rPr>
                <w:rFonts w:hint="eastAsia" w:ascii="宋体" w:hAnsi="宋体" w:eastAsia="宋体" w:cs="宋体"/>
                <w:sz w:val="18"/>
                <w:szCs w:val="18"/>
              </w:rPr>
            </w:pPr>
            <w:r>
              <w:rPr>
                <w:rFonts w:hint="eastAsia" w:ascii="宋体" w:hAnsi="宋体" w:eastAsia="宋体" w:cs="宋体"/>
                <w:sz w:val="18"/>
                <w:szCs w:val="18"/>
              </w:rPr>
              <w:t>=600人次</w:t>
            </w:r>
          </w:p>
        </w:tc>
        <w:tc>
          <w:tcPr>
            <w:tcW w:w="720" w:type="dxa"/>
            <w:tcBorders>
              <w:top w:val="nil"/>
              <w:left w:val="nil"/>
              <w:bottom w:val="single" w:color="auto" w:sz="4" w:space="0"/>
              <w:right w:val="single" w:color="auto" w:sz="4" w:space="0"/>
            </w:tcBorders>
            <w:noWrap/>
            <w:vAlign w:val="center"/>
          </w:tcPr>
          <w:p w14:paraId="1E4AA230">
            <w:pPr>
              <w:jc w:val="center"/>
              <w:rPr>
                <w:rFonts w:hint="eastAsia" w:ascii="宋体" w:hAnsi="宋体" w:eastAsia="宋体" w:cs="宋体"/>
                <w:sz w:val="18"/>
                <w:szCs w:val="18"/>
              </w:rPr>
            </w:pPr>
            <w:r>
              <w:rPr>
                <w:rFonts w:hint="eastAsia" w:ascii="宋体" w:hAnsi="宋体" w:eastAsia="宋体" w:cs="宋体"/>
                <w:sz w:val="18"/>
                <w:szCs w:val="18"/>
              </w:rPr>
              <w:t>15</w:t>
            </w:r>
          </w:p>
        </w:tc>
        <w:tc>
          <w:tcPr>
            <w:tcW w:w="284" w:type="dxa"/>
            <w:tcBorders>
              <w:top w:val="nil"/>
              <w:left w:val="nil"/>
              <w:bottom w:val="nil"/>
              <w:right w:val="nil"/>
            </w:tcBorders>
            <w:noWrap/>
            <w:vAlign w:val="center"/>
          </w:tcPr>
          <w:p w14:paraId="303CC31C">
            <w:pPr>
              <w:jc w:val="center"/>
              <w:rPr>
                <w:rFonts w:hint="eastAsia" w:ascii="宋体" w:hAnsi="宋体" w:eastAsia="宋体" w:cs="宋体"/>
                <w:sz w:val="18"/>
                <w:szCs w:val="18"/>
              </w:rPr>
            </w:pPr>
          </w:p>
        </w:tc>
      </w:tr>
      <w:tr w14:paraId="79AAF2EF">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30765E7B">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48135186">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82B6E67">
            <w:pPr>
              <w:jc w:val="center"/>
              <w:rPr>
                <w:rFonts w:hint="eastAsia" w:ascii="宋体" w:hAnsi="宋体" w:eastAsia="宋体" w:cs="宋体"/>
                <w:sz w:val="18"/>
                <w:szCs w:val="18"/>
              </w:rPr>
            </w:pPr>
            <w:r>
              <w:rPr>
                <w:rFonts w:hint="eastAsia" w:ascii="宋体" w:hAnsi="宋体" w:eastAsia="宋体" w:cs="宋体"/>
                <w:sz w:val="18"/>
                <w:szCs w:val="18"/>
              </w:rPr>
              <w:t>组织会议次数</w:t>
            </w:r>
          </w:p>
        </w:tc>
        <w:tc>
          <w:tcPr>
            <w:tcW w:w="1242" w:type="dxa"/>
            <w:tcBorders>
              <w:top w:val="nil"/>
              <w:left w:val="nil"/>
              <w:bottom w:val="single" w:color="auto" w:sz="4" w:space="0"/>
              <w:right w:val="single" w:color="auto" w:sz="4" w:space="0"/>
            </w:tcBorders>
            <w:noWrap/>
            <w:vAlign w:val="center"/>
          </w:tcPr>
          <w:p w14:paraId="25372E66">
            <w:pPr>
              <w:jc w:val="center"/>
              <w:rPr>
                <w:rFonts w:hint="eastAsia" w:ascii="宋体" w:hAnsi="宋体" w:eastAsia="宋体" w:cs="宋体"/>
                <w:sz w:val="18"/>
                <w:szCs w:val="18"/>
              </w:rPr>
            </w:pPr>
            <w:r>
              <w:rPr>
                <w:rFonts w:hint="eastAsia" w:ascii="宋体" w:hAnsi="宋体" w:eastAsia="宋体" w:cs="宋体"/>
                <w:sz w:val="18"/>
                <w:szCs w:val="18"/>
              </w:rPr>
              <w:t>&gt;=150次</w:t>
            </w:r>
          </w:p>
        </w:tc>
        <w:tc>
          <w:tcPr>
            <w:tcW w:w="1417" w:type="dxa"/>
            <w:tcBorders>
              <w:top w:val="nil"/>
              <w:left w:val="nil"/>
              <w:bottom w:val="single" w:color="auto" w:sz="4" w:space="0"/>
              <w:right w:val="single" w:color="auto" w:sz="4" w:space="0"/>
            </w:tcBorders>
            <w:noWrap/>
            <w:vAlign w:val="center"/>
          </w:tcPr>
          <w:p w14:paraId="50FBD5BF">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奇台县委办公室2024年工作计划</w:t>
            </w:r>
          </w:p>
        </w:tc>
        <w:tc>
          <w:tcPr>
            <w:tcW w:w="1134" w:type="dxa"/>
            <w:tcBorders>
              <w:top w:val="nil"/>
              <w:left w:val="nil"/>
              <w:bottom w:val="single" w:color="auto" w:sz="4" w:space="0"/>
              <w:right w:val="single" w:color="auto" w:sz="4" w:space="0"/>
            </w:tcBorders>
            <w:noWrap/>
            <w:vAlign w:val="center"/>
          </w:tcPr>
          <w:p w14:paraId="6843E04B">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0F008A45">
            <w:pPr>
              <w:jc w:val="center"/>
              <w:rPr>
                <w:rFonts w:hint="eastAsia" w:ascii="宋体" w:hAnsi="宋体" w:eastAsia="宋体" w:cs="宋体"/>
                <w:sz w:val="18"/>
                <w:szCs w:val="18"/>
              </w:rPr>
            </w:pPr>
            <w:r>
              <w:rPr>
                <w:rFonts w:hint="eastAsia" w:ascii="宋体" w:hAnsi="宋体" w:eastAsia="宋体" w:cs="宋体"/>
                <w:sz w:val="18"/>
                <w:szCs w:val="18"/>
              </w:rPr>
              <w:t>=150次</w:t>
            </w:r>
          </w:p>
        </w:tc>
        <w:tc>
          <w:tcPr>
            <w:tcW w:w="720" w:type="dxa"/>
            <w:tcBorders>
              <w:top w:val="nil"/>
              <w:left w:val="nil"/>
              <w:bottom w:val="single" w:color="auto" w:sz="4" w:space="0"/>
              <w:right w:val="single" w:color="auto" w:sz="4" w:space="0"/>
            </w:tcBorders>
            <w:noWrap/>
            <w:vAlign w:val="center"/>
          </w:tcPr>
          <w:p w14:paraId="22C5378F">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02F12F29">
            <w:pPr>
              <w:jc w:val="center"/>
              <w:rPr>
                <w:rFonts w:hint="eastAsia" w:ascii="宋体" w:hAnsi="宋体" w:eastAsia="宋体" w:cs="宋体"/>
                <w:sz w:val="18"/>
                <w:szCs w:val="18"/>
              </w:rPr>
            </w:pPr>
          </w:p>
        </w:tc>
      </w:tr>
      <w:tr w14:paraId="3A664379">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2E36C020">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05755B6D">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0241293C">
            <w:pPr>
              <w:jc w:val="center"/>
              <w:rPr>
                <w:rFonts w:hint="eastAsia" w:ascii="宋体" w:hAnsi="宋体" w:eastAsia="宋体" w:cs="宋体"/>
                <w:sz w:val="18"/>
                <w:szCs w:val="18"/>
              </w:rPr>
            </w:pPr>
            <w:r>
              <w:rPr>
                <w:rFonts w:hint="eastAsia" w:ascii="宋体" w:hAnsi="宋体" w:eastAsia="宋体" w:cs="宋体"/>
                <w:sz w:val="18"/>
                <w:szCs w:val="18"/>
              </w:rPr>
              <w:t>起草文件数量</w:t>
            </w:r>
          </w:p>
        </w:tc>
        <w:tc>
          <w:tcPr>
            <w:tcW w:w="1242" w:type="dxa"/>
            <w:tcBorders>
              <w:top w:val="nil"/>
              <w:left w:val="nil"/>
              <w:bottom w:val="single" w:color="auto" w:sz="4" w:space="0"/>
              <w:right w:val="single" w:color="auto" w:sz="4" w:space="0"/>
            </w:tcBorders>
            <w:noWrap/>
            <w:vAlign w:val="center"/>
          </w:tcPr>
          <w:p w14:paraId="18D7A4F6">
            <w:pPr>
              <w:jc w:val="center"/>
              <w:rPr>
                <w:rFonts w:hint="eastAsia" w:ascii="宋体" w:hAnsi="宋体" w:eastAsia="宋体" w:cs="宋体"/>
                <w:sz w:val="18"/>
                <w:szCs w:val="18"/>
              </w:rPr>
            </w:pPr>
            <w:r>
              <w:rPr>
                <w:rFonts w:hint="eastAsia" w:ascii="宋体" w:hAnsi="宋体" w:eastAsia="宋体" w:cs="宋体"/>
                <w:sz w:val="18"/>
                <w:szCs w:val="18"/>
              </w:rPr>
              <w:t>&gt;=280份</w:t>
            </w:r>
          </w:p>
        </w:tc>
        <w:tc>
          <w:tcPr>
            <w:tcW w:w="1417" w:type="dxa"/>
            <w:tcBorders>
              <w:top w:val="nil"/>
              <w:left w:val="nil"/>
              <w:bottom w:val="single" w:color="auto" w:sz="4" w:space="0"/>
              <w:right w:val="single" w:color="auto" w:sz="4" w:space="0"/>
            </w:tcBorders>
            <w:noWrap/>
            <w:vAlign w:val="center"/>
          </w:tcPr>
          <w:p w14:paraId="23E033C2">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奇台县委办公室2024年工作计划</w:t>
            </w:r>
          </w:p>
        </w:tc>
        <w:tc>
          <w:tcPr>
            <w:tcW w:w="1134" w:type="dxa"/>
            <w:tcBorders>
              <w:top w:val="nil"/>
              <w:left w:val="nil"/>
              <w:bottom w:val="single" w:color="auto" w:sz="4" w:space="0"/>
              <w:right w:val="single" w:color="auto" w:sz="4" w:space="0"/>
            </w:tcBorders>
            <w:noWrap/>
            <w:vAlign w:val="center"/>
          </w:tcPr>
          <w:p w14:paraId="6B2E6168">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6D5BBB01">
            <w:pPr>
              <w:jc w:val="center"/>
              <w:rPr>
                <w:rFonts w:hint="eastAsia" w:ascii="宋体" w:hAnsi="宋体" w:eastAsia="宋体" w:cs="宋体"/>
                <w:sz w:val="18"/>
                <w:szCs w:val="18"/>
              </w:rPr>
            </w:pPr>
            <w:r>
              <w:rPr>
                <w:rFonts w:hint="eastAsia" w:ascii="宋体" w:hAnsi="宋体" w:eastAsia="宋体" w:cs="宋体"/>
                <w:sz w:val="18"/>
                <w:szCs w:val="18"/>
              </w:rPr>
              <w:t>=280份</w:t>
            </w:r>
          </w:p>
        </w:tc>
        <w:tc>
          <w:tcPr>
            <w:tcW w:w="720" w:type="dxa"/>
            <w:tcBorders>
              <w:top w:val="nil"/>
              <w:left w:val="nil"/>
              <w:bottom w:val="single" w:color="auto" w:sz="4" w:space="0"/>
              <w:right w:val="single" w:color="auto" w:sz="4" w:space="0"/>
            </w:tcBorders>
            <w:noWrap/>
            <w:vAlign w:val="center"/>
          </w:tcPr>
          <w:p w14:paraId="732208AD">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7BB3C3AA">
            <w:pPr>
              <w:jc w:val="center"/>
              <w:rPr>
                <w:rFonts w:hint="eastAsia" w:ascii="宋体" w:hAnsi="宋体" w:eastAsia="宋体" w:cs="宋体"/>
                <w:sz w:val="18"/>
                <w:szCs w:val="18"/>
              </w:rPr>
            </w:pPr>
          </w:p>
        </w:tc>
      </w:tr>
      <w:tr w14:paraId="45762E21">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00375666">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65FA2792">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48CD05CC">
            <w:pPr>
              <w:jc w:val="center"/>
              <w:rPr>
                <w:rFonts w:hint="eastAsia" w:ascii="宋体" w:hAnsi="宋体" w:eastAsia="宋体" w:cs="宋体"/>
                <w:sz w:val="18"/>
                <w:szCs w:val="18"/>
              </w:rPr>
            </w:pPr>
            <w:r>
              <w:rPr>
                <w:rFonts w:hint="eastAsia" w:ascii="宋体" w:hAnsi="宋体" w:eastAsia="宋体" w:cs="宋体"/>
                <w:sz w:val="18"/>
                <w:szCs w:val="18"/>
              </w:rPr>
              <w:t>信息及时上报篇数</w:t>
            </w:r>
          </w:p>
        </w:tc>
        <w:tc>
          <w:tcPr>
            <w:tcW w:w="1242" w:type="dxa"/>
            <w:tcBorders>
              <w:top w:val="nil"/>
              <w:left w:val="nil"/>
              <w:bottom w:val="single" w:color="auto" w:sz="4" w:space="0"/>
              <w:right w:val="single" w:color="auto" w:sz="4" w:space="0"/>
            </w:tcBorders>
            <w:noWrap/>
            <w:vAlign w:val="center"/>
          </w:tcPr>
          <w:p w14:paraId="7C6451B3">
            <w:pPr>
              <w:jc w:val="center"/>
              <w:rPr>
                <w:rFonts w:hint="eastAsia" w:ascii="宋体" w:hAnsi="宋体" w:eastAsia="宋体" w:cs="宋体"/>
                <w:sz w:val="18"/>
                <w:szCs w:val="18"/>
              </w:rPr>
            </w:pPr>
            <w:r>
              <w:rPr>
                <w:rFonts w:hint="eastAsia" w:ascii="宋体" w:hAnsi="宋体" w:eastAsia="宋体" w:cs="宋体"/>
                <w:sz w:val="18"/>
                <w:szCs w:val="18"/>
              </w:rPr>
              <w:t>&gt;=300篇</w:t>
            </w:r>
          </w:p>
        </w:tc>
        <w:tc>
          <w:tcPr>
            <w:tcW w:w="1417" w:type="dxa"/>
            <w:tcBorders>
              <w:top w:val="nil"/>
              <w:left w:val="nil"/>
              <w:bottom w:val="single" w:color="auto" w:sz="4" w:space="0"/>
              <w:right w:val="single" w:color="auto" w:sz="4" w:space="0"/>
            </w:tcBorders>
            <w:noWrap/>
            <w:vAlign w:val="center"/>
          </w:tcPr>
          <w:p w14:paraId="2F9F4421">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奇台县委办公室2024年工作计划</w:t>
            </w:r>
          </w:p>
        </w:tc>
        <w:tc>
          <w:tcPr>
            <w:tcW w:w="1134" w:type="dxa"/>
            <w:tcBorders>
              <w:top w:val="nil"/>
              <w:left w:val="nil"/>
              <w:bottom w:val="single" w:color="auto" w:sz="4" w:space="0"/>
              <w:right w:val="single" w:color="auto" w:sz="4" w:space="0"/>
            </w:tcBorders>
            <w:noWrap/>
            <w:vAlign w:val="center"/>
          </w:tcPr>
          <w:p w14:paraId="0C056275">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459EEC62">
            <w:pPr>
              <w:jc w:val="center"/>
              <w:rPr>
                <w:rFonts w:hint="eastAsia" w:ascii="宋体" w:hAnsi="宋体" w:eastAsia="宋体" w:cs="宋体"/>
                <w:sz w:val="18"/>
                <w:szCs w:val="18"/>
              </w:rPr>
            </w:pPr>
            <w:r>
              <w:rPr>
                <w:rFonts w:hint="eastAsia" w:ascii="宋体" w:hAnsi="宋体" w:eastAsia="宋体" w:cs="宋体"/>
                <w:sz w:val="18"/>
                <w:szCs w:val="18"/>
              </w:rPr>
              <w:t>=300篇</w:t>
            </w:r>
          </w:p>
        </w:tc>
        <w:tc>
          <w:tcPr>
            <w:tcW w:w="720" w:type="dxa"/>
            <w:tcBorders>
              <w:top w:val="nil"/>
              <w:left w:val="nil"/>
              <w:bottom w:val="single" w:color="auto" w:sz="4" w:space="0"/>
              <w:right w:val="single" w:color="auto" w:sz="4" w:space="0"/>
            </w:tcBorders>
            <w:noWrap/>
            <w:vAlign w:val="center"/>
          </w:tcPr>
          <w:p w14:paraId="7CDF492F">
            <w:pPr>
              <w:jc w:val="center"/>
              <w:rPr>
                <w:rFonts w:hint="eastAsia" w:ascii="宋体" w:hAnsi="宋体" w:eastAsia="宋体" w:cs="宋体"/>
                <w:sz w:val="18"/>
                <w:szCs w:val="18"/>
              </w:rPr>
            </w:pPr>
            <w:r>
              <w:rPr>
                <w:rFonts w:hint="eastAsia" w:ascii="宋体" w:hAnsi="宋体" w:eastAsia="宋体" w:cs="宋体"/>
                <w:sz w:val="18"/>
                <w:szCs w:val="18"/>
              </w:rPr>
              <w:t>15</w:t>
            </w:r>
          </w:p>
        </w:tc>
        <w:tc>
          <w:tcPr>
            <w:tcW w:w="284" w:type="dxa"/>
            <w:tcBorders>
              <w:top w:val="nil"/>
              <w:left w:val="nil"/>
              <w:bottom w:val="nil"/>
              <w:right w:val="nil"/>
            </w:tcBorders>
            <w:noWrap/>
            <w:vAlign w:val="center"/>
          </w:tcPr>
          <w:p w14:paraId="1D078B42">
            <w:pPr>
              <w:jc w:val="center"/>
              <w:rPr>
                <w:rFonts w:hint="eastAsia" w:ascii="宋体" w:hAnsi="宋体" w:eastAsia="宋体" w:cs="宋体"/>
                <w:sz w:val="18"/>
                <w:szCs w:val="18"/>
              </w:rPr>
            </w:pPr>
          </w:p>
        </w:tc>
      </w:tr>
    </w:tbl>
    <w:p w14:paraId="5C6151BA">
      <w:pPr>
        <w:jc w:val="center"/>
        <w:rPr>
          <w:rFonts w:hint="eastAsia" w:ascii="宋体" w:hAnsi="宋体" w:eastAsia="宋体" w:cs="宋体"/>
          <w:b/>
          <w:bCs/>
          <w:sz w:val="28"/>
          <w:szCs w:val="28"/>
          <w:lang w:eastAsia="zh-CN"/>
        </w:rPr>
      </w:pPr>
    </w:p>
    <w:p w14:paraId="58A700BC">
      <w:pP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br w:type="page"/>
      </w:r>
    </w:p>
    <w:p w14:paraId="61D488F2">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31968767">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17"/>
    <w:tbl>
      <w:tblPr>
        <w:tblStyle w:val="12"/>
        <w:tblW w:w="6000" w:type="pct"/>
        <w:jc w:val="center"/>
        <w:tblLayout w:type="autofit"/>
        <w:tblCellMar>
          <w:top w:w="0" w:type="dxa"/>
          <w:left w:w="108" w:type="dxa"/>
          <w:bottom w:w="0" w:type="dxa"/>
          <w:right w:w="108" w:type="dxa"/>
        </w:tblCellMar>
      </w:tblPr>
      <w:tblGrid>
        <w:gridCol w:w="695"/>
        <w:gridCol w:w="703"/>
        <w:gridCol w:w="696"/>
        <w:gridCol w:w="1000"/>
        <w:gridCol w:w="708"/>
        <w:gridCol w:w="666"/>
        <w:gridCol w:w="846"/>
        <w:gridCol w:w="696"/>
        <w:gridCol w:w="700"/>
        <w:gridCol w:w="725"/>
        <w:gridCol w:w="698"/>
        <w:gridCol w:w="694"/>
        <w:gridCol w:w="696"/>
        <w:gridCol w:w="1104"/>
      </w:tblGrid>
      <w:tr w14:paraId="793E84E7">
        <w:tblPrEx>
          <w:tblCellMar>
            <w:top w:w="0" w:type="dxa"/>
            <w:left w:w="108" w:type="dxa"/>
            <w:bottom w:w="0" w:type="dxa"/>
            <w:right w:w="108" w:type="dxa"/>
          </w:tblCellMar>
        </w:tblPrEx>
        <w:trPr>
          <w:trHeight w:val="614" w:hRule="atLeast"/>
          <w:jc w:val="center"/>
        </w:trPr>
        <w:tc>
          <w:tcPr>
            <w:tcW w:w="667" w:type="pct"/>
            <w:gridSpan w:val="2"/>
            <w:tcBorders>
              <w:top w:val="single" w:color="auto" w:sz="4" w:space="0"/>
              <w:left w:val="single" w:color="auto" w:sz="4" w:space="0"/>
              <w:bottom w:val="single" w:color="auto" w:sz="4" w:space="0"/>
              <w:right w:val="single" w:color="auto" w:sz="4" w:space="0"/>
            </w:tcBorders>
            <w:vAlign w:val="center"/>
          </w:tcPr>
          <w:p w14:paraId="76D54BF0">
            <w:pPr>
              <w:jc w:val="center"/>
              <w:rPr>
                <w:rFonts w:hint="eastAsia" w:ascii="宋体" w:hAnsi="宋体" w:eastAsia="宋体" w:cs="宋体"/>
                <w:b/>
                <w:bCs/>
                <w:color w:val="000000"/>
                <w:sz w:val="18"/>
                <w:szCs w:val="18"/>
              </w:rPr>
            </w:pPr>
            <w:bookmarkStart w:id="19" w:name="_GoBack"/>
            <w:bookmarkStart w:id="18" w:name="_Hlk201837198"/>
            <w:r>
              <w:rPr>
                <w:rFonts w:hint="eastAsia" w:ascii="宋体" w:hAnsi="宋体" w:eastAsia="宋体" w:cs="宋体"/>
                <w:b/>
                <w:bCs/>
                <w:color w:val="000000"/>
                <w:sz w:val="18"/>
                <w:szCs w:val="18"/>
              </w:rPr>
              <w:t>项目名称</w:t>
            </w:r>
          </w:p>
        </w:tc>
        <w:tc>
          <w:tcPr>
            <w:tcW w:w="4333" w:type="pct"/>
            <w:gridSpan w:val="12"/>
            <w:tcBorders>
              <w:top w:val="single" w:color="auto" w:sz="4" w:space="0"/>
              <w:left w:val="nil"/>
              <w:bottom w:val="single" w:color="auto" w:sz="4" w:space="0"/>
              <w:right w:val="single" w:color="auto" w:sz="4" w:space="0"/>
            </w:tcBorders>
            <w:vAlign w:val="center"/>
          </w:tcPr>
          <w:p w14:paraId="6FCF280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2024年第一批信访化解县级资金</w:t>
            </w:r>
          </w:p>
        </w:tc>
      </w:tr>
      <w:tr w14:paraId="563E4EB9">
        <w:tblPrEx>
          <w:tblCellMar>
            <w:top w:w="0" w:type="dxa"/>
            <w:left w:w="108" w:type="dxa"/>
            <w:bottom w:w="0" w:type="dxa"/>
            <w:right w:w="108" w:type="dxa"/>
          </w:tblCellMar>
        </w:tblPrEx>
        <w:trPr>
          <w:trHeight w:val="380" w:hRule="atLeast"/>
          <w:jc w:val="center"/>
        </w:trPr>
        <w:tc>
          <w:tcPr>
            <w:tcW w:w="667" w:type="pct"/>
            <w:gridSpan w:val="2"/>
            <w:tcBorders>
              <w:top w:val="single" w:color="auto" w:sz="4" w:space="0"/>
              <w:left w:val="single" w:color="auto" w:sz="4" w:space="0"/>
              <w:bottom w:val="single" w:color="auto" w:sz="4" w:space="0"/>
              <w:right w:val="single" w:color="auto" w:sz="4" w:space="0"/>
            </w:tcBorders>
            <w:vAlign w:val="center"/>
          </w:tcPr>
          <w:p w14:paraId="6E7D8A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98" w:type="pct"/>
            <w:gridSpan w:val="5"/>
            <w:tcBorders>
              <w:top w:val="single" w:color="auto" w:sz="4" w:space="0"/>
              <w:left w:val="nil"/>
              <w:bottom w:val="single" w:color="auto" w:sz="4" w:space="0"/>
              <w:right w:val="single" w:color="auto" w:sz="4" w:space="0"/>
            </w:tcBorders>
            <w:vAlign w:val="center"/>
          </w:tcPr>
          <w:p w14:paraId="61308E7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中国共产党奇台县委员会办公室</w:t>
            </w:r>
          </w:p>
        </w:tc>
        <w:tc>
          <w:tcPr>
            <w:tcW w:w="666" w:type="pct"/>
            <w:gridSpan w:val="2"/>
            <w:tcBorders>
              <w:top w:val="single" w:color="auto" w:sz="4" w:space="0"/>
              <w:left w:val="nil"/>
              <w:bottom w:val="single" w:color="auto" w:sz="4" w:space="0"/>
              <w:right w:val="single" w:color="auto" w:sz="4" w:space="0"/>
            </w:tcBorders>
            <w:vAlign w:val="center"/>
          </w:tcPr>
          <w:p w14:paraId="1ED605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68" w:type="pct"/>
            <w:gridSpan w:val="5"/>
            <w:tcBorders>
              <w:top w:val="single" w:color="auto" w:sz="4" w:space="0"/>
              <w:left w:val="nil"/>
              <w:bottom w:val="single" w:color="auto" w:sz="4" w:space="0"/>
              <w:right w:val="single" w:color="auto" w:sz="4" w:space="0"/>
            </w:tcBorders>
            <w:vAlign w:val="center"/>
          </w:tcPr>
          <w:p w14:paraId="139F02E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中国共产党奇台县委员会办公室</w:t>
            </w:r>
          </w:p>
        </w:tc>
      </w:tr>
      <w:tr w14:paraId="12757F48">
        <w:tblPrEx>
          <w:tblCellMar>
            <w:top w:w="0" w:type="dxa"/>
            <w:left w:w="108" w:type="dxa"/>
            <w:bottom w:w="0" w:type="dxa"/>
            <w:right w:w="108" w:type="dxa"/>
          </w:tblCellMar>
        </w:tblPrEx>
        <w:trPr>
          <w:trHeight w:val="380" w:hRule="atLeast"/>
          <w:jc w:val="center"/>
        </w:trPr>
        <w:tc>
          <w:tcPr>
            <w:tcW w:w="332" w:type="pct"/>
            <w:vMerge w:val="restart"/>
            <w:tcBorders>
              <w:top w:val="nil"/>
              <w:left w:val="single" w:color="auto" w:sz="4" w:space="0"/>
              <w:bottom w:val="single" w:color="auto" w:sz="4" w:space="0"/>
              <w:right w:val="single" w:color="auto" w:sz="4" w:space="0"/>
            </w:tcBorders>
            <w:vAlign w:val="center"/>
          </w:tcPr>
          <w:p w14:paraId="2F5EF9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7" w:type="pct"/>
            <w:gridSpan w:val="2"/>
            <w:tcBorders>
              <w:top w:val="single" w:color="auto" w:sz="4" w:space="0"/>
              <w:left w:val="nil"/>
              <w:bottom w:val="single" w:color="auto" w:sz="4" w:space="0"/>
              <w:right w:val="single" w:color="auto" w:sz="4" w:space="0"/>
            </w:tcBorders>
            <w:vAlign w:val="center"/>
          </w:tcPr>
          <w:p w14:paraId="6983877C">
            <w:pPr>
              <w:jc w:val="center"/>
              <w:rPr>
                <w:rFonts w:hint="eastAsia" w:ascii="宋体" w:hAnsi="宋体" w:eastAsia="宋体" w:cs="宋体"/>
                <w:color w:val="000000"/>
                <w:sz w:val="18"/>
                <w:szCs w:val="18"/>
              </w:rPr>
            </w:pPr>
          </w:p>
        </w:tc>
        <w:tc>
          <w:tcPr>
            <w:tcW w:w="475" w:type="pct"/>
            <w:tcBorders>
              <w:top w:val="single" w:color="auto" w:sz="4" w:space="0"/>
              <w:left w:val="nil"/>
              <w:bottom w:val="single" w:color="auto" w:sz="4" w:space="0"/>
              <w:right w:val="single" w:color="auto" w:sz="4" w:space="0"/>
            </w:tcBorders>
            <w:vAlign w:val="center"/>
          </w:tcPr>
          <w:p w14:paraId="75F17E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2" w:type="pct"/>
            <w:gridSpan w:val="3"/>
            <w:tcBorders>
              <w:top w:val="single" w:color="auto" w:sz="4" w:space="0"/>
              <w:left w:val="nil"/>
              <w:bottom w:val="single" w:color="auto" w:sz="4" w:space="0"/>
              <w:right w:val="single" w:color="auto" w:sz="4" w:space="0"/>
            </w:tcBorders>
            <w:vAlign w:val="center"/>
          </w:tcPr>
          <w:p w14:paraId="4C7BE4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66" w:type="pct"/>
            <w:gridSpan w:val="2"/>
            <w:tcBorders>
              <w:top w:val="single" w:color="auto" w:sz="4" w:space="0"/>
              <w:left w:val="nil"/>
              <w:bottom w:val="single" w:color="auto" w:sz="4" w:space="0"/>
              <w:right w:val="single" w:color="auto" w:sz="4" w:space="0"/>
            </w:tcBorders>
            <w:vAlign w:val="center"/>
          </w:tcPr>
          <w:p w14:paraId="47E797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8" w:type="pct"/>
            <w:gridSpan w:val="2"/>
            <w:tcBorders>
              <w:top w:val="nil"/>
              <w:left w:val="nil"/>
              <w:bottom w:val="single" w:color="auto" w:sz="4" w:space="0"/>
              <w:right w:val="single" w:color="auto" w:sz="4" w:space="0"/>
            </w:tcBorders>
            <w:vAlign w:val="center"/>
          </w:tcPr>
          <w:p w14:paraId="1A9F10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2" w:type="pct"/>
            <w:gridSpan w:val="2"/>
            <w:tcBorders>
              <w:top w:val="single" w:color="auto" w:sz="4" w:space="0"/>
              <w:left w:val="nil"/>
              <w:bottom w:val="single" w:color="auto" w:sz="4" w:space="0"/>
              <w:right w:val="single" w:color="auto" w:sz="4" w:space="0"/>
            </w:tcBorders>
            <w:vAlign w:val="center"/>
          </w:tcPr>
          <w:p w14:paraId="6337D5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7" w:type="pct"/>
            <w:tcBorders>
              <w:top w:val="nil"/>
              <w:left w:val="nil"/>
              <w:bottom w:val="single" w:color="auto" w:sz="4" w:space="0"/>
              <w:right w:val="single" w:color="auto" w:sz="4" w:space="0"/>
            </w:tcBorders>
            <w:vAlign w:val="center"/>
          </w:tcPr>
          <w:p w14:paraId="6FFB30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88E70B9">
        <w:tblPrEx>
          <w:tblCellMar>
            <w:top w:w="0" w:type="dxa"/>
            <w:left w:w="108" w:type="dxa"/>
            <w:bottom w:w="0" w:type="dxa"/>
            <w:right w:w="108" w:type="dxa"/>
          </w:tblCellMar>
        </w:tblPrEx>
        <w:trPr>
          <w:trHeight w:val="380" w:hRule="atLeast"/>
          <w:jc w:val="center"/>
        </w:trPr>
        <w:tc>
          <w:tcPr>
            <w:tcW w:w="332" w:type="pct"/>
            <w:vMerge w:val="continue"/>
            <w:tcBorders>
              <w:top w:val="nil"/>
              <w:left w:val="single" w:color="auto" w:sz="4" w:space="0"/>
              <w:bottom w:val="single" w:color="auto" w:sz="4" w:space="0"/>
              <w:right w:val="single" w:color="auto" w:sz="4" w:space="0"/>
            </w:tcBorders>
            <w:vAlign w:val="center"/>
          </w:tcPr>
          <w:p w14:paraId="40A0A3C7">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6DB7F3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5" w:type="pct"/>
            <w:tcBorders>
              <w:top w:val="single" w:color="auto" w:sz="4" w:space="0"/>
              <w:left w:val="nil"/>
              <w:bottom w:val="single" w:color="auto" w:sz="4" w:space="0"/>
              <w:right w:val="single" w:color="auto" w:sz="4" w:space="0"/>
            </w:tcBorders>
            <w:vAlign w:val="center"/>
          </w:tcPr>
          <w:p w14:paraId="44F5A5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20.06</w:t>
            </w:r>
          </w:p>
        </w:tc>
        <w:tc>
          <w:tcPr>
            <w:tcW w:w="992" w:type="pct"/>
            <w:gridSpan w:val="3"/>
            <w:tcBorders>
              <w:top w:val="single" w:color="auto" w:sz="4" w:space="0"/>
              <w:left w:val="nil"/>
              <w:bottom w:val="single" w:color="auto" w:sz="4" w:space="0"/>
              <w:right w:val="single" w:color="auto" w:sz="4" w:space="0"/>
            </w:tcBorders>
            <w:vAlign w:val="center"/>
          </w:tcPr>
          <w:p w14:paraId="1EDA17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191.34</w:t>
            </w:r>
          </w:p>
        </w:tc>
        <w:tc>
          <w:tcPr>
            <w:tcW w:w="666" w:type="pct"/>
            <w:gridSpan w:val="2"/>
            <w:tcBorders>
              <w:top w:val="single" w:color="auto" w:sz="4" w:space="0"/>
              <w:left w:val="nil"/>
              <w:bottom w:val="single" w:color="auto" w:sz="4" w:space="0"/>
              <w:right w:val="single" w:color="auto" w:sz="4" w:space="0"/>
            </w:tcBorders>
            <w:vAlign w:val="center"/>
          </w:tcPr>
          <w:p w14:paraId="2FBED6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190.13</w:t>
            </w:r>
          </w:p>
        </w:tc>
        <w:tc>
          <w:tcPr>
            <w:tcW w:w="678" w:type="pct"/>
            <w:gridSpan w:val="2"/>
            <w:tcBorders>
              <w:top w:val="nil"/>
              <w:left w:val="nil"/>
              <w:bottom w:val="single" w:color="auto" w:sz="4" w:space="0"/>
              <w:right w:val="single" w:color="auto" w:sz="4" w:space="0"/>
            </w:tcBorders>
            <w:vAlign w:val="center"/>
          </w:tcPr>
          <w:p w14:paraId="473106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62" w:type="pct"/>
            <w:gridSpan w:val="2"/>
            <w:tcBorders>
              <w:top w:val="single" w:color="auto" w:sz="4" w:space="0"/>
              <w:left w:val="nil"/>
              <w:bottom w:val="single" w:color="auto" w:sz="4" w:space="0"/>
              <w:right w:val="single" w:color="auto" w:sz="4" w:space="0"/>
            </w:tcBorders>
            <w:vAlign w:val="center"/>
          </w:tcPr>
          <w:p w14:paraId="3EE42E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99.37%</w:t>
            </w:r>
          </w:p>
        </w:tc>
        <w:tc>
          <w:tcPr>
            <w:tcW w:w="527" w:type="pct"/>
            <w:tcBorders>
              <w:top w:val="nil"/>
              <w:left w:val="nil"/>
              <w:bottom w:val="single" w:color="auto" w:sz="4" w:space="0"/>
              <w:right w:val="single" w:color="auto" w:sz="4" w:space="0"/>
            </w:tcBorders>
            <w:vAlign w:val="center"/>
          </w:tcPr>
          <w:p w14:paraId="52E28E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9.84</w:t>
            </w:r>
          </w:p>
        </w:tc>
      </w:tr>
      <w:tr w14:paraId="729F3B55">
        <w:tblPrEx>
          <w:tblCellMar>
            <w:top w:w="0" w:type="dxa"/>
            <w:left w:w="108" w:type="dxa"/>
            <w:bottom w:w="0" w:type="dxa"/>
            <w:right w:w="108" w:type="dxa"/>
          </w:tblCellMar>
        </w:tblPrEx>
        <w:trPr>
          <w:trHeight w:val="380" w:hRule="atLeast"/>
          <w:jc w:val="center"/>
        </w:trPr>
        <w:tc>
          <w:tcPr>
            <w:tcW w:w="332" w:type="pct"/>
            <w:vMerge w:val="continue"/>
            <w:tcBorders>
              <w:top w:val="nil"/>
              <w:left w:val="single" w:color="auto" w:sz="4" w:space="0"/>
              <w:bottom w:val="single" w:color="auto" w:sz="4" w:space="0"/>
              <w:right w:val="single" w:color="auto" w:sz="4" w:space="0"/>
            </w:tcBorders>
            <w:vAlign w:val="center"/>
          </w:tcPr>
          <w:p w14:paraId="6B873FE6">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3EAB3A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5" w:type="pct"/>
            <w:tcBorders>
              <w:top w:val="single" w:color="auto" w:sz="4" w:space="0"/>
              <w:left w:val="nil"/>
              <w:bottom w:val="single" w:color="auto" w:sz="4" w:space="0"/>
              <w:right w:val="single" w:color="auto" w:sz="4" w:space="0"/>
            </w:tcBorders>
            <w:vAlign w:val="center"/>
          </w:tcPr>
          <w:p w14:paraId="49EEAD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20.06</w:t>
            </w:r>
          </w:p>
        </w:tc>
        <w:tc>
          <w:tcPr>
            <w:tcW w:w="992" w:type="pct"/>
            <w:gridSpan w:val="3"/>
            <w:tcBorders>
              <w:top w:val="single" w:color="auto" w:sz="4" w:space="0"/>
              <w:left w:val="nil"/>
              <w:bottom w:val="single" w:color="auto" w:sz="4" w:space="0"/>
              <w:right w:val="single" w:color="auto" w:sz="4" w:space="0"/>
            </w:tcBorders>
            <w:vAlign w:val="center"/>
          </w:tcPr>
          <w:p w14:paraId="6491C2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191.34</w:t>
            </w:r>
          </w:p>
        </w:tc>
        <w:tc>
          <w:tcPr>
            <w:tcW w:w="666" w:type="pct"/>
            <w:gridSpan w:val="2"/>
            <w:tcBorders>
              <w:top w:val="single" w:color="auto" w:sz="4" w:space="0"/>
              <w:left w:val="nil"/>
              <w:bottom w:val="single" w:color="auto" w:sz="4" w:space="0"/>
              <w:right w:val="single" w:color="auto" w:sz="4" w:space="0"/>
            </w:tcBorders>
            <w:vAlign w:val="center"/>
          </w:tcPr>
          <w:p w14:paraId="46D889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190.13</w:t>
            </w:r>
          </w:p>
        </w:tc>
        <w:tc>
          <w:tcPr>
            <w:tcW w:w="678" w:type="pct"/>
            <w:gridSpan w:val="2"/>
            <w:tcBorders>
              <w:top w:val="nil"/>
              <w:left w:val="nil"/>
              <w:bottom w:val="single" w:color="auto" w:sz="4" w:space="0"/>
              <w:right w:val="single" w:color="auto" w:sz="4" w:space="0"/>
            </w:tcBorders>
            <w:vAlign w:val="center"/>
          </w:tcPr>
          <w:p w14:paraId="7C32DD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4656CD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0B2702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449FBC9">
        <w:tblPrEx>
          <w:tblCellMar>
            <w:top w:w="0" w:type="dxa"/>
            <w:left w:w="108" w:type="dxa"/>
            <w:bottom w:w="0" w:type="dxa"/>
            <w:right w:w="108" w:type="dxa"/>
          </w:tblCellMar>
        </w:tblPrEx>
        <w:trPr>
          <w:trHeight w:val="380" w:hRule="atLeast"/>
          <w:jc w:val="center"/>
        </w:trPr>
        <w:tc>
          <w:tcPr>
            <w:tcW w:w="332" w:type="pct"/>
            <w:vMerge w:val="continue"/>
            <w:tcBorders>
              <w:top w:val="nil"/>
              <w:left w:val="single" w:color="auto" w:sz="4" w:space="0"/>
              <w:bottom w:val="single" w:color="auto" w:sz="4" w:space="0"/>
              <w:right w:val="single" w:color="auto" w:sz="4" w:space="0"/>
            </w:tcBorders>
            <w:vAlign w:val="center"/>
          </w:tcPr>
          <w:p w14:paraId="61B40F75">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53C1E4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5" w:type="pct"/>
            <w:tcBorders>
              <w:top w:val="single" w:color="auto" w:sz="4" w:space="0"/>
              <w:left w:val="nil"/>
              <w:bottom w:val="single" w:color="auto" w:sz="4" w:space="0"/>
              <w:right w:val="single" w:color="auto" w:sz="4" w:space="0"/>
            </w:tcBorders>
            <w:vAlign w:val="center"/>
          </w:tcPr>
          <w:p w14:paraId="507288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92" w:type="pct"/>
            <w:gridSpan w:val="3"/>
            <w:tcBorders>
              <w:top w:val="single" w:color="auto" w:sz="4" w:space="0"/>
              <w:left w:val="nil"/>
              <w:bottom w:val="single" w:color="auto" w:sz="4" w:space="0"/>
              <w:right w:val="single" w:color="auto" w:sz="4" w:space="0"/>
            </w:tcBorders>
            <w:vAlign w:val="center"/>
          </w:tcPr>
          <w:p w14:paraId="54D83C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66" w:type="pct"/>
            <w:gridSpan w:val="2"/>
            <w:tcBorders>
              <w:top w:val="single" w:color="auto" w:sz="4" w:space="0"/>
              <w:left w:val="nil"/>
              <w:bottom w:val="single" w:color="auto" w:sz="4" w:space="0"/>
              <w:right w:val="single" w:color="auto" w:sz="4" w:space="0"/>
            </w:tcBorders>
            <w:vAlign w:val="center"/>
          </w:tcPr>
          <w:p w14:paraId="0693B0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8" w:type="pct"/>
            <w:gridSpan w:val="2"/>
            <w:tcBorders>
              <w:top w:val="nil"/>
              <w:left w:val="nil"/>
              <w:bottom w:val="single" w:color="auto" w:sz="4" w:space="0"/>
              <w:right w:val="single" w:color="auto" w:sz="4" w:space="0"/>
            </w:tcBorders>
            <w:vAlign w:val="center"/>
          </w:tcPr>
          <w:p w14:paraId="6AD731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5C94EE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5882FD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179A06E">
        <w:tblPrEx>
          <w:tblCellMar>
            <w:top w:w="0" w:type="dxa"/>
            <w:left w:w="108" w:type="dxa"/>
            <w:bottom w:w="0" w:type="dxa"/>
            <w:right w:w="108" w:type="dxa"/>
          </w:tblCellMar>
        </w:tblPrEx>
        <w:trPr>
          <w:trHeight w:val="360" w:hRule="atLeast"/>
          <w:jc w:val="center"/>
        </w:trPr>
        <w:tc>
          <w:tcPr>
            <w:tcW w:w="332" w:type="pct"/>
            <w:vMerge w:val="restart"/>
            <w:tcBorders>
              <w:top w:val="nil"/>
              <w:left w:val="single" w:color="auto" w:sz="4" w:space="0"/>
              <w:bottom w:val="single" w:color="auto" w:sz="4" w:space="0"/>
              <w:right w:val="single" w:color="auto" w:sz="4" w:space="0"/>
            </w:tcBorders>
            <w:vAlign w:val="center"/>
          </w:tcPr>
          <w:p w14:paraId="154D1B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34" w:type="pct"/>
            <w:gridSpan w:val="6"/>
            <w:tcBorders>
              <w:top w:val="single" w:color="auto" w:sz="4" w:space="0"/>
              <w:left w:val="nil"/>
              <w:bottom w:val="single" w:color="auto" w:sz="4" w:space="0"/>
              <w:right w:val="single" w:color="auto" w:sz="4" w:space="0"/>
            </w:tcBorders>
            <w:vAlign w:val="center"/>
          </w:tcPr>
          <w:p w14:paraId="4A164A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34" w:type="pct"/>
            <w:gridSpan w:val="7"/>
            <w:tcBorders>
              <w:top w:val="single" w:color="auto" w:sz="4" w:space="0"/>
              <w:left w:val="nil"/>
              <w:bottom w:val="single" w:color="auto" w:sz="4" w:space="0"/>
              <w:right w:val="single" w:color="auto" w:sz="4" w:space="0"/>
            </w:tcBorders>
            <w:vAlign w:val="center"/>
          </w:tcPr>
          <w:p w14:paraId="5437F3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BE1BDAD">
        <w:tblPrEx>
          <w:tblCellMar>
            <w:top w:w="0" w:type="dxa"/>
            <w:left w:w="108" w:type="dxa"/>
            <w:bottom w:w="0" w:type="dxa"/>
            <w:right w:w="108" w:type="dxa"/>
          </w:tblCellMar>
        </w:tblPrEx>
        <w:trPr>
          <w:trHeight w:val="820" w:hRule="atLeast"/>
          <w:jc w:val="center"/>
        </w:trPr>
        <w:tc>
          <w:tcPr>
            <w:tcW w:w="332" w:type="pct"/>
            <w:vMerge w:val="continue"/>
            <w:tcBorders>
              <w:top w:val="nil"/>
              <w:left w:val="single" w:color="auto" w:sz="4" w:space="0"/>
              <w:bottom w:val="single" w:color="auto" w:sz="4" w:space="0"/>
              <w:right w:val="single" w:color="auto" w:sz="4" w:space="0"/>
            </w:tcBorders>
            <w:vAlign w:val="center"/>
          </w:tcPr>
          <w:p w14:paraId="320C5894">
            <w:pPr>
              <w:rPr>
                <w:rFonts w:hint="eastAsia" w:ascii="宋体" w:hAnsi="宋体" w:eastAsia="宋体" w:cs="宋体"/>
                <w:color w:val="000000"/>
                <w:sz w:val="18"/>
                <w:szCs w:val="18"/>
              </w:rPr>
            </w:pPr>
          </w:p>
        </w:tc>
        <w:tc>
          <w:tcPr>
            <w:tcW w:w="2134" w:type="pct"/>
            <w:gridSpan w:val="6"/>
            <w:tcBorders>
              <w:top w:val="single" w:color="auto" w:sz="4" w:space="0"/>
              <w:left w:val="nil"/>
              <w:bottom w:val="single" w:color="auto" w:sz="4" w:space="0"/>
              <w:right w:val="single" w:color="auto" w:sz="4" w:space="0"/>
            </w:tcBorders>
            <w:vAlign w:val="center"/>
          </w:tcPr>
          <w:p w14:paraId="1EAEFD9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奇财预[2024]106号：关于下达2024年第一批信访化解县级资金的通知，化解奇台县委办公室历年欠款，保障我单位的良好信用；根据奇财行[2024]52号：关于下达县档案馆水电暖资金的通知，化解县档案馆2019至今水电暖历年欠款，保障档案馆日常工作正常开展，为查阅人提供优质服务。</w:t>
            </w:r>
          </w:p>
        </w:tc>
        <w:tc>
          <w:tcPr>
            <w:tcW w:w="2534" w:type="pct"/>
            <w:gridSpan w:val="7"/>
            <w:tcBorders>
              <w:top w:val="single" w:color="auto" w:sz="4" w:space="0"/>
              <w:left w:val="nil"/>
              <w:bottom w:val="single" w:color="auto" w:sz="4" w:space="0"/>
              <w:right w:val="single" w:color="auto" w:sz="4" w:space="0"/>
            </w:tcBorders>
            <w:vAlign w:val="center"/>
          </w:tcPr>
          <w:p w14:paraId="3A431DF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我单位已通过财政拨款资金化解债务6笔，合理保障我单位良好信用，保障奇台县档案馆、保密局各项业务工作顺利开展，为各单位和档案查阅人员提供更优质的服务，降低债务拖欠引起的法律风险。</w:t>
            </w:r>
          </w:p>
        </w:tc>
      </w:tr>
      <w:tr w14:paraId="01135995">
        <w:tblPrEx>
          <w:tblCellMar>
            <w:top w:w="0" w:type="dxa"/>
            <w:left w:w="108" w:type="dxa"/>
            <w:bottom w:w="0" w:type="dxa"/>
            <w:right w:w="108" w:type="dxa"/>
          </w:tblCellMar>
        </w:tblPrEx>
        <w:trPr>
          <w:trHeight w:val="820" w:hRule="atLeast"/>
          <w:jc w:val="center"/>
        </w:trPr>
        <w:tc>
          <w:tcPr>
            <w:tcW w:w="332" w:type="pct"/>
            <w:tcBorders>
              <w:top w:val="nil"/>
              <w:left w:val="single" w:color="auto" w:sz="4" w:space="0"/>
              <w:bottom w:val="single" w:color="auto" w:sz="4" w:space="0"/>
              <w:right w:val="single" w:color="auto" w:sz="4" w:space="0"/>
            </w:tcBorders>
            <w:vAlign w:val="center"/>
          </w:tcPr>
          <w:p w14:paraId="5E365A55">
            <w:pPr>
              <w:rPr>
                <w:rFonts w:hint="eastAsia"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663449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2" w:type="pct"/>
            <w:tcBorders>
              <w:top w:val="nil"/>
              <w:left w:val="nil"/>
              <w:bottom w:val="single" w:color="auto" w:sz="4" w:space="0"/>
              <w:right w:val="single" w:color="auto" w:sz="4" w:space="0"/>
            </w:tcBorders>
            <w:vAlign w:val="center"/>
          </w:tcPr>
          <w:p w14:paraId="7EF34B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5" w:type="pct"/>
            <w:tcBorders>
              <w:top w:val="single" w:color="auto" w:sz="4" w:space="0"/>
              <w:left w:val="nil"/>
              <w:bottom w:val="single" w:color="auto" w:sz="4" w:space="0"/>
              <w:right w:val="single" w:color="auto" w:sz="4" w:space="0"/>
            </w:tcBorders>
            <w:vAlign w:val="center"/>
          </w:tcPr>
          <w:p w14:paraId="5699A0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8" w:type="pct"/>
            <w:tcBorders>
              <w:top w:val="nil"/>
              <w:left w:val="nil"/>
              <w:bottom w:val="single" w:color="auto" w:sz="4" w:space="0"/>
              <w:right w:val="single" w:color="auto" w:sz="4" w:space="0"/>
            </w:tcBorders>
            <w:vAlign w:val="center"/>
          </w:tcPr>
          <w:p w14:paraId="5EA589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8" w:type="pct"/>
            <w:tcBorders>
              <w:top w:val="nil"/>
              <w:left w:val="nil"/>
              <w:bottom w:val="single" w:color="auto" w:sz="4" w:space="0"/>
              <w:right w:val="single" w:color="auto" w:sz="4" w:space="0"/>
            </w:tcBorders>
            <w:vAlign w:val="center"/>
          </w:tcPr>
          <w:p w14:paraId="0F90FE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7" w:type="pct"/>
            <w:tcBorders>
              <w:top w:val="nil"/>
              <w:left w:val="nil"/>
              <w:bottom w:val="single" w:color="auto" w:sz="4" w:space="0"/>
              <w:right w:val="single" w:color="auto" w:sz="4" w:space="0"/>
            </w:tcBorders>
            <w:vAlign w:val="center"/>
          </w:tcPr>
          <w:p w14:paraId="487F6E4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2" w:type="pct"/>
            <w:tcBorders>
              <w:top w:val="nil"/>
              <w:left w:val="nil"/>
              <w:bottom w:val="single" w:color="auto" w:sz="4" w:space="0"/>
              <w:right w:val="single" w:color="auto" w:sz="4" w:space="0"/>
            </w:tcBorders>
            <w:vAlign w:val="center"/>
          </w:tcPr>
          <w:p w14:paraId="5BB773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34" w:type="pct"/>
            <w:tcBorders>
              <w:top w:val="nil"/>
              <w:left w:val="nil"/>
              <w:bottom w:val="single" w:color="auto" w:sz="4" w:space="0"/>
              <w:right w:val="single" w:color="auto" w:sz="4" w:space="0"/>
            </w:tcBorders>
            <w:vAlign w:val="center"/>
          </w:tcPr>
          <w:p w14:paraId="27E8851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6" w:type="pct"/>
            <w:tcBorders>
              <w:top w:val="nil"/>
              <w:left w:val="nil"/>
              <w:bottom w:val="single" w:color="auto" w:sz="4" w:space="0"/>
              <w:right w:val="single" w:color="auto" w:sz="4" w:space="0"/>
            </w:tcBorders>
            <w:vAlign w:val="center"/>
          </w:tcPr>
          <w:p w14:paraId="1E46FD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3" w:type="pct"/>
            <w:tcBorders>
              <w:top w:val="nil"/>
              <w:left w:val="nil"/>
              <w:bottom w:val="single" w:color="auto" w:sz="4" w:space="0"/>
              <w:right w:val="single" w:color="auto" w:sz="4" w:space="0"/>
            </w:tcBorders>
            <w:vAlign w:val="center"/>
          </w:tcPr>
          <w:p w14:paraId="2465D3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1" w:type="pct"/>
            <w:tcBorders>
              <w:top w:val="nil"/>
              <w:left w:val="nil"/>
              <w:bottom w:val="single" w:color="auto" w:sz="4" w:space="0"/>
              <w:right w:val="single" w:color="auto" w:sz="4" w:space="0"/>
            </w:tcBorders>
            <w:vAlign w:val="center"/>
          </w:tcPr>
          <w:p w14:paraId="716CED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2" w:type="pct"/>
            <w:tcBorders>
              <w:top w:val="nil"/>
              <w:left w:val="nil"/>
              <w:bottom w:val="single" w:color="auto" w:sz="4" w:space="0"/>
              <w:right w:val="single" w:color="auto" w:sz="4" w:space="0"/>
            </w:tcBorders>
            <w:vAlign w:val="center"/>
          </w:tcPr>
          <w:p w14:paraId="7AD810E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7" w:type="pct"/>
            <w:tcBorders>
              <w:top w:val="nil"/>
              <w:left w:val="nil"/>
              <w:bottom w:val="single" w:color="auto" w:sz="4" w:space="0"/>
              <w:right w:val="single" w:color="auto" w:sz="4" w:space="0"/>
            </w:tcBorders>
            <w:vAlign w:val="center"/>
          </w:tcPr>
          <w:p w14:paraId="4E0DC38A">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E8E61A3">
        <w:tblPrEx>
          <w:tblCellMar>
            <w:top w:w="0" w:type="dxa"/>
            <w:left w:w="108" w:type="dxa"/>
            <w:bottom w:w="0" w:type="dxa"/>
            <w:right w:w="108" w:type="dxa"/>
          </w:tblCellMar>
        </w:tblPrEx>
        <w:trPr>
          <w:trHeight w:val="800" w:hRule="atLeast"/>
          <w:jc w:val="center"/>
        </w:trPr>
        <w:tc>
          <w:tcPr>
            <w:tcW w:w="332" w:type="pct"/>
            <w:vMerge w:val="restart"/>
            <w:tcBorders>
              <w:top w:val="nil"/>
              <w:left w:val="single" w:color="auto" w:sz="4" w:space="0"/>
              <w:right w:val="single" w:color="auto" w:sz="4" w:space="0"/>
            </w:tcBorders>
            <w:vAlign w:val="center"/>
          </w:tcPr>
          <w:p w14:paraId="5E60517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6" w:type="pct"/>
            <w:vMerge w:val="restart"/>
            <w:tcBorders>
              <w:top w:val="nil"/>
              <w:left w:val="nil"/>
              <w:right w:val="single" w:color="auto" w:sz="4" w:space="0"/>
            </w:tcBorders>
            <w:vAlign w:val="center"/>
          </w:tcPr>
          <w:p w14:paraId="30212B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2" w:type="pct"/>
            <w:tcBorders>
              <w:top w:val="nil"/>
              <w:left w:val="nil"/>
              <w:bottom w:val="single" w:color="auto" w:sz="4" w:space="0"/>
              <w:right w:val="single" w:color="auto" w:sz="4" w:space="0"/>
            </w:tcBorders>
            <w:vAlign w:val="center"/>
          </w:tcPr>
          <w:p w14:paraId="03851B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247640A1">
            <w:pPr>
              <w:rPr>
                <w:rFonts w:hint="eastAsia" w:ascii="宋体" w:hAnsi="宋体" w:eastAsia="宋体" w:cs="宋体"/>
                <w:color w:val="000000"/>
                <w:sz w:val="18"/>
                <w:szCs w:val="18"/>
              </w:rPr>
            </w:pPr>
            <w:r>
              <w:rPr>
                <w:rFonts w:hint="eastAsia" w:ascii="宋体" w:hAnsi="宋体" w:eastAsia="宋体" w:cs="宋体"/>
                <w:color w:val="000000"/>
                <w:sz w:val="18"/>
                <w:szCs w:val="18"/>
              </w:rPr>
              <w:t>债务支付笔数</w:t>
            </w:r>
          </w:p>
        </w:tc>
        <w:tc>
          <w:tcPr>
            <w:tcW w:w="338" w:type="pct"/>
            <w:tcBorders>
              <w:top w:val="nil"/>
              <w:left w:val="nil"/>
              <w:bottom w:val="single" w:color="auto" w:sz="4" w:space="0"/>
              <w:right w:val="single" w:color="auto" w:sz="4" w:space="0"/>
            </w:tcBorders>
            <w:vAlign w:val="center"/>
          </w:tcPr>
          <w:p w14:paraId="679A35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220482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=6笔</w:t>
            </w:r>
          </w:p>
        </w:tc>
        <w:tc>
          <w:tcPr>
            <w:tcW w:w="337" w:type="pct"/>
            <w:tcBorders>
              <w:top w:val="nil"/>
              <w:left w:val="nil"/>
              <w:bottom w:val="single" w:color="auto" w:sz="4" w:space="0"/>
              <w:right w:val="single" w:color="auto" w:sz="4" w:space="0"/>
            </w:tcBorders>
            <w:vAlign w:val="center"/>
          </w:tcPr>
          <w:p w14:paraId="220DE3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=6笔</w:t>
            </w:r>
          </w:p>
        </w:tc>
        <w:tc>
          <w:tcPr>
            <w:tcW w:w="332" w:type="pct"/>
            <w:tcBorders>
              <w:top w:val="nil"/>
              <w:left w:val="nil"/>
              <w:bottom w:val="single" w:color="auto" w:sz="4" w:space="0"/>
              <w:right w:val="single" w:color="auto" w:sz="4" w:space="0"/>
            </w:tcBorders>
            <w:vAlign w:val="center"/>
          </w:tcPr>
          <w:p w14:paraId="09E9F2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6EFFE1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6980EA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11BAF0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4BB166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6FC7B3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5B5031AB">
            <w:pPr>
              <w:jc w:val="center"/>
              <w:rPr>
                <w:rFonts w:hint="eastAsia" w:ascii="宋体" w:hAnsi="宋体" w:eastAsia="宋体" w:cs="宋体"/>
                <w:color w:val="000000"/>
                <w:sz w:val="18"/>
                <w:szCs w:val="18"/>
              </w:rPr>
            </w:pPr>
          </w:p>
        </w:tc>
      </w:tr>
      <w:tr w14:paraId="7DD5A423">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right w:val="single" w:color="auto" w:sz="4" w:space="0"/>
            </w:tcBorders>
            <w:vAlign w:val="center"/>
          </w:tcPr>
          <w:p w14:paraId="27446F00">
            <w:pPr>
              <w:jc w:val="center"/>
              <w:rPr>
                <w:rFonts w:hint="eastAsia" w:ascii="宋体" w:hAnsi="宋体" w:eastAsia="宋体" w:cs="宋体"/>
                <w:color w:val="000000"/>
                <w:sz w:val="18"/>
                <w:szCs w:val="18"/>
              </w:rPr>
            </w:pPr>
          </w:p>
        </w:tc>
        <w:tc>
          <w:tcPr>
            <w:tcW w:w="336" w:type="pct"/>
            <w:vMerge w:val="continue"/>
            <w:tcBorders>
              <w:left w:val="nil"/>
              <w:right w:val="single" w:color="auto" w:sz="4" w:space="0"/>
            </w:tcBorders>
            <w:vAlign w:val="center"/>
          </w:tcPr>
          <w:p w14:paraId="0763231A">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14656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0274B6E6">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债务资金支付完成率</w:t>
            </w:r>
          </w:p>
        </w:tc>
        <w:tc>
          <w:tcPr>
            <w:tcW w:w="338" w:type="pct"/>
            <w:tcBorders>
              <w:top w:val="nil"/>
              <w:left w:val="nil"/>
              <w:bottom w:val="single" w:color="auto" w:sz="4" w:space="0"/>
              <w:right w:val="single" w:color="auto" w:sz="4" w:space="0"/>
            </w:tcBorders>
            <w:vAlign w:val="center"/>
          </w:tcPr>
          <w:p w14:paraId="529959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600918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580787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33E1FB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7F67B3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4864CA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5DC94F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0EFD6D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2B6BFC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68BB8B23">
            <w:pPr>
              <w:jc w:val="center"/>
              <w:rPr>
                <w:rFonts w:hint="eastAsia" w:ascii="宋体" w:hAnsi="宋体" w:eastAsia="宋体" w:cs="宋体"/>
                <w:color w:val="000000"/>
                <w:sz w:val="18"/>
                <w:szCs w:val="18"/>
              </w:rPr>
            </w:pPr>
          </w:p>
        </w:tc>
      </w:tr>
      <w:tr w14:paraId="0CB87541">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right w:val="single" w:color="auto" w:sz="4" w:space="0"/>
            </w:tcBorders>
            <w:vAlign w:val="center"/>
          </w:tcPr>
          <w:p w14:paraId="0806DE89">
            <w:pPr>
              <w:jc w:val="center"/>
              <w:rPr>
                <w:rFonts w:hint="eastAsia" w:ascii="宋体" w:hAnsi="宋体" w:eastAsia="宋体" w:cs="宋体"/>
                <w:color w:val="000000"/>
                <w:sz w:val="18"/>
                <w:szCs w:val="18"/>
              </w:rPr>
            </w:pPr>
          </w:p>
        </w:tc>
        <w:tc>
          <w:tcPr>
            <w:tcW w:w="336" w:type="pct"/>
            <w:vMerge w:val="continue"/>
            <w:tcBorders>
              <w:left w:val="nil"/>
              <w:right w:val="single" w:color="auto" w:sz="4" w:space="0"/>
            </w:tcBorders>
            <w:vAlign w:val="center"/>
          </w:tcPr>
          <w:p w14:paraId="0A93DF27">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5E483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0A895567">
            <w:pPr>
              <w:rPr>
                <w:rFonts w:hint="eastAsia" w:ascii="宋体" w:hAnsi="宋体" w:eastAsia="宋体" w:cs="宋体"/>
                <w:color w:val="000000"/>
                <w:sz w:val="18"/>
                <w:szCs w:val="18"/>
              </w:rPr>
            </w:pPr>
            <w:r>
              <w:rPr>
                <w:rFonts w:hint="eastAsia" w:ascii="宋体" w:hAnsi="宋体" w:eastAsia="宋体" w:cs="宋体"/>
                <w:color w:val="000000"/>
                <w:sz w:val="18"/>
                <w:szCs w:val="18"/>
              </w:rPr>
              <w:t>债务还款准确率</w:t>
            </w:r>
          </w:p>
        </w:tc>
        <w:tc>
          <w:tcPr>
            <w:tcW w:w="338" w:type="pct"/>
            <w:tcBorders>
              <w:top w:val="nil"/>
              <w:left w:val="nil"/>
              <w:bottom w:val="single" w:color="auto" w:sz="4" w:space="0"/>
              <w:right w:val="single" w:color="auto" w:sz="4" w:space="0"/>
            </w:tcBorders>
            <w:vAlign w:val="center"/>
          </w:tcPr>
          <w:p w14:paraId="519E14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3877FD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6E506E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1EBD33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5B5D2E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20D952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4C41C5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12300E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58B110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1BE3C991">
            <w:pPr>
              <w:jc w:val="center"/>
              <w:rPr>
                <w:rFonts w:hint="eastAsia" w:ascii="宋体" w:hAnsi="宋体" w:eastAsia="宋体" w:cs="宋体"/>
                <w:color w:val="000000"/>
                <w:sz w:val="18"/>
                <w:szCs w:val="18"/>
              </w:rPr>
            </w:pPr>
          </w:p>
        </w:tc>
      </w:tr>
      <w:tr w14:paraId="5CA985CE">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right w:val="single" w:color="auto" w:sz="4" w:space="0"/>
            </w:tcBorders>
            <w:vAlign w:val="center"/>
          </w:tcPr>
          <w:p w14:paraId="1B76ED39">
            <w:pPr>
              <w:rPr>
                <w:rFonts w:hint="eastAsia"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3C77566F">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93BB9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5" w:type="pct"/>
            <w:tcBorders>
              <w:top w:val="single" w:color="auto" w:sz="4" w:space="0"/>
              <w:left w:val="nil"/>
              <w:bottom w:val="single" w:color="auto" w:sz="4" w:space="0"/>
              <w:right w:val="single" w:color="auto" w:sz="4" w:space="0"/>
            </w:tcBorders>
            <w:vAlign w:val="center"/>
          </w:tcPr>
          <w:p w14:paraId="133690DF">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债务资金按期支付率</w:t>
            </w:r>
          </w:p>
        </w:tc>
        <w:tc>
          <w:tcPr>
            <w:tcW w:w="338" w:type="pct"/>
            <w:tcBorders>
              <w:top w:val="nil"/>
              <w:left w:val="nil"/>
              <w:bottom w:val="single" w:color="auto" w:sz="4" w:space="0"/>
              <w:right w:val="single" w:color="auto" w:sz="4" w:space="0"/>
            </w:tcBorders>
            <w:vAlign w:val="center"/>
          </w:tcPr>
          <w:p w14:paraId="2F6085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24EDFB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58D192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7AEC3A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538514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335E47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42DC919D">
            <w:pPr>
              <w:jc w:val="center"/>
              <w:rPr>
                <w:rFonts w:hint="eastAsia" w:ascii="宋体" w:hAnsi="宋体" w:eastAsia="宋体" w:cs="宋体"/>
                <w:color w:val="000000"/>
                <w:sz w:val="18"/>
                <w:szCs w:val="18"/>
              </w:rPr>
            </w:pPr>
          </w:p>
        </w:tc>
        <w:tc>
          <w:tcPr>
            <w:tcW w:w="331" w:type="pct"/>
            <w:tcBorders>
              <w:top w:val="nil"/>
              <w:left w:val="nil"/>
              <w:bottom w:val="single" w:color="auto" w:sz="4" w:space="0"/>
              <w:right w:val="single" w:color="auto" w:sz="4" w:space="0"/>
            </w:tcBorders>
            <w:vAlign w:val="center"/>
          </w:tcPr>
          <w:p w14:paraId="22CB03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615EED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11C56467">
            <w:pPr>
              <w:jc w:val="center"/>
              <w:rPr>
                <w:rFonts w:hint="eastAsia" w:ascii="宋体" w:hAnsi="宋体" w:eastAsia="宋体" w:cs="宋体"/>
                <w:color w:val="000000"/>
                <w:sz w:val="18"/>
                <w:szCs w:val="18"/>
              </w:rPr>
            </w:pPr>
          </w:p>
        </w:tc>
      </w:tr>
      <w:tr w14:paraId="5F912A85">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right w:val="single" w:color="auto" w:sz="4" w:space="0"/>
            </w:tcBorders>
            <w:vAlign w:val="center"/>
          </w:tcPr>
          <w:p w14:paraId="6E7F0720">
            <w:pPr>
              <w:rPr>
                <w:rFonts w:hint="eastAsia"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1A4147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2" w:type="pct"/>
            <w:tcBorders>
              <w:top w:val="nil"/>
              <w:left w:val="nil"/>
              <w:bottom w:val="single" w:color="auto" w:sz="4" w:space="0"/>
              <w:right w:val="single" w:color="auto" w:sz="4" w:space="0"/>
            </w:tcBorders>
            <w:vAlign w:val="center"/>
          </w:tcPr>
          <w:p w14:paraId="5570CE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63ABED15">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债务资金支付率</w:t>
            </w:r>
          </w:p>
        </w:tc>
        <w:tc>
          <w:tcPr>
            <w:tcW w:w="338" w:type="pct"/>
            <w:tcBorders>
              <w:top w:val="nil"/>
              <w:left w:val="nil"/>
              <w:bottom w:val="single" w:color="auto" w:sz="4" w:space="0"/>
              <w:right w:val="single" w:color="auto" w:sz="4" w:space="0"/>
            </w:tcBorders>
            <w:vAlign w:val="center"/>
          </w:tcPr>
          <w:p w14:paraId="55B335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571413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383704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=99.37%</w:t>
            </w:r>
          </w:p>
        </w:tc>
        <w:tc>
          <w:tcPr>
            <w:tcW w:w="332" w:type="pct"/>
            <w:tcBorders>
              <w:top w:val="nil"/>
              <w:left w:val="nil"/>
              <w:bottom w:val="single" w:color="auto" w:sz="4" w:space="0"/>
              <w:right w:val="single" w:color="auto" w:sz="4" w:space="0"/>
            </w:tcBorders>
            <w:vAlign w:val="center"/>
          </w:tcPr>
          <w:p w14:paraId="31C364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99.37</w:t>
            </w:r>
          </w:p>
        </w:tc>
        <w:tc>
          <w:tcPr>
            <w:tcW w:w="334" w:type="pct"/>
            <w:tcBorders>
              <w:top w:val="nil"/>
              <w:left w:val="nil"/>
              <w:bottom w:val="single" w:color="auto" w:sz="4" w:space="0"/>
              <w:right w:val="single" w:color="auto" w:sz="4" w:space="0"/>
            </w:tcBorders>
            <w:vAlign w:val="center"/>
          </w:tcPr>
          <w:p w14:paraId="2FE84D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19.69</w:t>
            </w:r>
          </w:p>
        </w:tc>
        <w:tc>
          <w:tcPr>
            <w:tcW w:w="346" w:type="pct"/>
            <w:tcBorders>
              <w:top w:val="nil"/>
              <w:left w:val="nil"/>
              <w:bottom w:val="single" w:color="auto" w:sz="4" w:space="0"/>
              <w:right w:val="single" w:color="auto" w:sz="4" w:space="0"/>
            </w:tcBorders>
            <w:vAlign w:val="center"/>
          </w:tcPr>
          <w:p w14:paraId="7DE29D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79D3A7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47D0F3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361FC5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7BF4208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年初上报预算时资金未计算准确；整改措施：下一年根据项目实施情况，充分考虑各种因素，准确上报预算数据。</w:t>
            </w:r>
          </w:p>
        </w:tc>
      </w:tr>
      <w:tr w14:paraId="2551AF55">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right w:val="single" w:color="auto" w:sz="4" w:space="0"/>
            </w:tcBorders>
            <w:vAlign w:val="center"/>
          </w:tcPr>
          <w:p w14:paraId="5F1908CE">
            <w:pPr>
              <w:rPr>
                <w:rFonts w:hint="eastAsia"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5E73B4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2" w:type="pct"/>
            <w:tcBorders>
              <w:top w:val="nil"/>
              <w:left w:val="nil"/>
              <w:bottom w:val="single" w:color="auto" w:sz="4" w:space="0"/>
              <w:right w:val="single" w:color="auto" w:sz="4" w:space="0"/>
            </w:tcBorders>
            <w:vAlign w:val="center"/>
          </w:tcPr>
          <w:p w14:paraId="17E19C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5" w:type="pct"/>
            <w:tcBorders>
              <w:top w:val="single" w:color="auto" w:sz="4" w:space="0"/>
              <w:left w:val="nil"/>
              <w:bottom w:val="single" w:color="auto" w:sz="4" w:space="0"/>
              <w:right w:val="single" w:color="auto" w:sz="4" w:space="0"/>
            </w:tcBorders>
            <w:vAlign w:val="center"/>
          </w:tcPr>
          <w:p w14:paraId="45340ABB">
            <w:pPr>
              <w:rPr>
                <w:rFonts w:hint="eastAsia" w:ascii="宋体" w:hAnsi="宋体" w:eastAsia="宋体" w:cs="宋体"/>
                <w:color w:val="000000"/>
                <w:sz w:val="18"/>
                <w:szCs w:val="18"/>
              </w:rPr>
            </w:pPr>
            <w:r>
              <w:rPr>
                <w:rFonts w:hint="eastAsia" w:ascii="宋体" w:hAnsi="宋体" w:eastAsia="宋体" w:cs="宋体"/>
                <w:color w:val="000000"/>
                <w:sz w:val="18"/>
                <w:szCs w:val="18"/>
              </w:rPr>
              <w:t>保障单位良好信用</w:t>
            </w:r>
          </w:p>
        </w:tc>
        <w:tc>
          <w:tcPr>
            <w:tcW w:w="338" w:type="pct"/>
            <w:tcBorders>
              <w:top w:val="nil"/>
              <w:left w:val="nil"/>
              <w:bottom w:val="single" w:color="auto" w:sz="4" w:space="0"/>
              <w:right w:val="single" w:color="auto" w:sz="4" w:space="0"/>
            </w:tcBorders>
            <w:vAlign w:val="center"/>
          </w:tcPr>
          <w:p w14:paraId="788C8C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42FF07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7" w:type="pct"/>
            <w:tcBorders>
              <w:top w:val="nil"/>
              <w:left w:val="nil"/>
              <w:bottom w:val="single" w:color="auto" w:sz="4" w:space="0"/>
              <w:right w:val="single" w:color="auto" w:sz="4" w:space="0"/>
            </w:tcBorders>
            <w:vAlign w:val="center"/>
          </w:tcPr>
          <w:p w14:paraId="4CD803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2" w:type="pct"/>
            <w:tcBorders>
              <w:top w:val="nil"/>
              <w:left w:val="nil"/>
              <w:bottom w:val="single" w:color="auto" w:sz="4" w:space="0"/>
              <w:right w:val="single" w:color="auto" w:sz="4" w:space="0"/>
            </w:tcBorders>
            <w:vAlign w:val="center"/>
          </w:tcPr>
          <w:p w14:paraId="160632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06BBBF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6BA3A9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00B02B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01738B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32" w:type="pct"/>
            <w:tcBorders>
              <w:top w:val="nil"/>
              <w:left w:val="nil"/>
              <w:bottom w:val="single" w:color="auto" w:sz="4" w:space="0"/>
              <w:right w:val="single" w:color="auto" w:sz="4" w:space="0"/>
            </w:tcBorders>
            <w:vAlign w:val="center"/>
          </w:tcPr>
          <w:p w14:paraId="48BB60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7" w:type="pct"/>
            <w:tcBorders>
              <w:top w:val="nil"/>
              <w:left w:val="nil"/>
              <w:bottom w:val="single" w:color="auto" w:sz="4" w:space="0"/>
              <w:right w:val="single" w:color="auto" w:sz="4" w:space="0"/>
            </w:tcBorders>
            <w:vAlign w:val="center"/>
          </w:tcPr>
          <w:p w14:paraId="576A5527">
            <w:pPr>
              <w:jc w:val="center"/>
              <w:rPr>
                <w:rFonts w:hint="eastAsia" w:ascii="宋体" w:hAnsi="宋体" w:eastAsia="宋体" w:cs="宋体"/>
                <w:color w:val="000000"/>
                <w:sz w:val="18"/>
                <w:szCs w:val="18"/>
              </w:rPr>
            </w:pPr>
          </w:p>
        </w:tc>
      </w:tr>
      <w:tr w14:paraId="4A7613F6">
        <w:tblPrEx>
          <w:tblCellMar>
            <w:top w:w="0" w:type="dxa"/>
            <w:left w:w="108" w:type="dxa"/>
            <w:bottom w:w="0" w:type="dxa"/>
            <w:right w:w="108" w:type="dxa"/>
          </w:tblCellMar>
        </w:tblPrEx>
        <w:trPr>
          <w:trHeight w:val="800" w:hRule="atLeast"/>
          <w:jc w:val="center"/>
        </w:trPr>
        <w:tc>
          <w:tcPr>
            <w:tcW w:w="332" w:type="pct"/>
            <w:vMerge w:val="continue"/>
            <w:tcBorders>
              <w:left w:val="single" w:color="auto" w:sz="4" w:space="0"/>
              <w:bottom w:val="single" w:color="auto" w:sz="4" w:space="0"/>
              <w:right w:val="single" w:color="auto" w:sz="4" w:space="0"/>
            </w:tcBorders>
            <w:vAlign w:val="center"/>
          </w:tcPr>
          <w:p w14:paraId="49C01483">
            <w:pPr>
              <w:rPr>
                <w:rFonts w:hint="eastAsia"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68DFCE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2" w:type="pct"/>
            <w:tcBorders>
              <w:top w:val="nil"/>
              <w:left w:val="nil"/>
              <w:bottom w:val="single" w:color="auto" w:sz="4" w:space="0"/>
              <w:right w:val="single" w:color="auto" w:sz="4" w:space="0"/>
            </w:tcBorders>
            <w:vAlign w:val="center"/>
          </w:tcPr>
          <w:p w14:paraId="6CF317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44D122D0">
            <w:pPr>
              <w:rPr>
                <w:rFonts w:hint="eastAsia" w:ascii="宋体" w:hAnsi="宋体" w:eastAsia="宋体" w:cs="宋体"/>
                <w:color w:val="000000"/>
                <w:sz w:val="18"/>
                <w:szCs w:val="18"/>
              </w:rPr>
            </w:pPr>
            <w:r>
              <w:rPr>
                <w:rFonts w:hint="eastAsia" w:ascii="宋体" w:hAnsi="宋体" w:eastAsia="宋体" w:cs="宋体"/>
                <w:color w:val="000000"/>
                <w:sz w:val="18"/>
                <w:szCs w:val="18"/>
              </w:rPr>
              <w:t>支付对象满意度</w:t>
            </w:r>
          </w:p>
        </w:tc>
        <w:tc>
          <w:tcPr>
            <w:tcW w:w="338" w:type="pct"/>
            <w:tcBorders>
              <w:top w:val="nil"/>
              <w:left w:val="nil"/>
              <w:bottom w:val="single" w:color="auto" w:sz="4" w:space="0"/>
              <w:right w:val="single" w:color="auto" w:sz="4" w:space="0"/>
            </w:tcBorders>
            <w:vAlign w:val="center"/>
          </w:tcPr>
          <w:p w14:paraId="263150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4CEC9D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7" w:type="pct"/>
            <w:tcBorders>
              <w:top w:val="nil"/>
              <w:left w:val="nil"/>
              <w:bottom w:val="single" w:color="auto" w:sz="4" w:space="0"/>
              <w:right w:val="single" w:color="auto" w:sz="4" w:space="0"/>
            </w:tcBorders>
            <w:vAlign w:val="center"/>
          </w:tcPr>
          <w:p w14:paraId="2C6A99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108B88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53FF0F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7B0B2B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769F6A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5CCE0B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2" w:type="pct"/>
            <w:tcBorders>
              <w:top w:val="nil"/>
              <w:left w:val="nil"/>
              <w:bottom w:val="single" w:color="auto" w:sz="4" w:space="0"/>
              <w:right w:val="single" w:color="auto" w:sz="4" w:space="0"/>
            </w:tcBorders>
            <w:vAlign w:val="center"/>
          </w:tcPr>
          <w:p w14:paraId="678ED0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7" w:type="pct"/>
            <w:tcBorders>
              <w:top w:val="nil"/>
              <w:left w:val="nil"/>
              <w:bottom w:val="single" w:color="auto" w:sz="4" w:space="0"/>
              <w:right w:val="single" w:color="auto" w:sz="4" w:space="0"/>
            </w:tcBorders>
            <w:vAlign w:val="center"/>
          </w:tcPr>
          <w:p w14:paraId="6CD53599">
            <w:pPr>
              <w:jc w:val="center"/>
              <w:rPr>
                <w:rFonts w:hint="eastAsia" w:ascii="宋体" w:hAnsi="宋体" w:eastAsia="宋体" w:cs="宋体"/>
                <w:color w:val="000000"/>
                <w:sz w:val="18"/>
                <w:szCs w:val="18"/>
              </w:rPr>
            </w:pPr>
          </w:p>
        </w:tc>
      </w:tr>
      <w:tr w14:paraId="74566939">
        <w:tblPrEx>
          <w:tblCellMar>
            <w:top w:w="0" w:type="dxa"/>
            <w:left w:w="108" w:type="dxa"/>
            <w:bottom w:w="0" w:type="dxa"/>
            <w:right w:w="108" w:type="dxa"/>
          </w:tblCellMar>
        </w:tblPrEx>
        <w:trPr>
          <w:trHeight w:val="520" w:hRule="atLeast"/>
          <w:jc w:val="center"/>
        </w:trPr>
        <w:tc>
          <w:tcPr>
            <w:tcW w:w="1474" w:type="pct"/>
            <w:gridSpan w:val="4"/>
            <w:tcBorders>
              <w:top w:val="single" w:color="auto" w:sz="4" w:space="0"/>
              <w:left w:val="single" w:color="auto" w:sz="4" w:space="0"/>
              <w:bottom w:val="single" w:color="auto" w:sz="4" w:space="0"/>
              <w:right w:val="single" w:color="auto" w:sz="4" w:space="0"/>
            </w:tcBorders>
            <w:vAlign w:val="center"/>
          </w:tcPr>
          <w:p w14:paraId="2EE895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8" w:type="pct"/>
            <w:tcBorders>
              <w:top w:val="single" w:color="auto" w:sz="4" w:space="0"/>
              <w:left w:val="single" w:color="auto" w:sz="4" w:space="0"/>
              <w:bottom w:val="single" w:color="auto" w:sz="4" w:space="0"/>
              <w:right w:val="single" w:color="auto" w:sz="4" w:space="0"/>
            </w:tcBorders>
            <w:vAlign w:val="center"/>
          </w:tcPr>
          <w:p w14:paraId="2BAB78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8" w:type="pct"/>
            <w:tcBorders>
              <w:top w:val="single" w:color="auto" w:sz="4" w:space="0"/>
              <w:left w:val="single" w:color="auto" w:sz="4" w:space="0"/>
              <w:bottom w:val="single" w:color="auto" w:sz="4" w:space="0"/>
              <w:right w:val="single" w:color="auto" w:sz="4" w:space="0"/>
            </w:tcBorders>
            <w:vAlign w:val="center"/>
          </w:tcPr>
          <w:p w14:paraId="6C426ED3">
            <w:pPr>
              <w:jc w:val="center"/>
              <w:rPr>
                <w:rFonts w:hint="eastAsia" w:ascii="宋体" w:hAnsi="宋体" w:eastAsia="宋体" w:cs="宋体"/>
                <w:color w:val="000000"/>
                <w:sz w:val="18"/>
                <w:szCs w:val="18"/>
              </w:rPr>
            </w:pPr>
          </w:p>
        </w:tc>
        <w:tc>
          <w:tcPr>
            <w:tcW w:w="337" w:type="pct"/>
            <w:tcBorders>
              <w:top w:val="single" w:color="auto" w:sz="4" w:space="0"/>
              <w:left w:val="single" w:color="auto" w:sz="4" w:space="0"/>
              <w:bottom w:val="single" w:color="auto" w:sz="4" w:space="0"/>
              <w:right w:val="single" w:color="auto" w:sz="4" w:space="0"/>
            </w:tcBorders>
            <w:vAlign w:val="center"/>
          </w:tcPr>
          <w:p w14:paraId="4BA281E6">
            <w:pPr>
              <w:jc w:val="center"/>
              <w:rPr>
                <w:rFonts w:hint="eastAsia" w:ascii="宋体" w:hAnsi="宋体" w:eastAsia="宋体" w:cs="宋体"/>
                <w:color w:val="000000"/>
                <w:sz w:val="18"/>
                <w:szCs w:val="18"/>
              </w:rPr>
            </w:pPr>
          </w:p>
        </w:tc>
        <w:tc>
          <w:tcPr>
            <w:tcW w:w="332" w:type="pct"/>
            <w:tcBorders>
              <w:top w:val="single" w:color="auto" w:sz="4" w:space="0"/>
              <w:left w:val="single" w:color="auto" w:sz="4" w:space="0"/>
              <w:bottom w:val="single" w:color="auto" w:sz="4" w:space="0"/>
              <w:right w:val="single" w:color="auto" w:sz="4" w:space="0"/>
            </w:tcBorders>
            <w:vAlign w:val="center"/>
          </w:tcPr>
          <w:p w14:paraId="345E281A">
            <w:pPr>
              <w:jc w:val="center"/>
              <w:rPr>
                <w:rFonts w:hint="eastAsia"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1B3535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99.53分</w:t>
            </w:r>
          </w:p>
        </w:tc>
        <w:tc>
          <w:tcPr>
            <w:tcW w:w="346" w:type="pct"/>
            <w:tcBorders>
              <w:top w:val="single" w:color="auto" w:sz="4" w:space="0"/>
              <w:left w:val="nil"/>
              <w:bottom w:val="single" w:color="auto" w:sz="4" w:space="0"/>
              <w:right w:val="single" w:color="auto" w:sz="4" w:space="0"/>
            </w:tcBorders>
            <w:vAlign w:val="center"/>
          </w:tcPr>
          <w:p w14:paraId="6347CC5B">
            <w:pPr>
              <w:rPr>
                <w:rFonts w:hint="eastAsia"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5477BA8A">
            <w:pPr>
              <w:rPr>
                <w:rFonts w:hint="eastAsia" w:ascii="宋体" w:hAnsi="宋体" w:eastAsia="宋体" w:cs="宋体"/>
                <w:color w:val="000000"/>
                <w:sz w:val="18"/>
                <w:szCs w:val="18"/>
              </w:rPr>
            </w:pPr>
          </w:p>
        </w:tc>
        <w:tc>
          <w:tcPr>
            <w:tcW w:w="331" w:type="pct"/>
            <w:tcBorders>
              <w:top w:val="single" w:color="auto" w:sz="4" w:space="0"/>
              <w:left w:val="nil"/>
              <w:bottom w:val="single" w:color="auto" w:sz="4" w:space="0"/>
              <w:right w:val="single" w:color="auto" w:sz="4" w:space="0"/>
            </w:tcBorders>
            <w:vAlign w:val="center"/>
          </w:tcPr>
          <w:p w14:paraId="103C272A">
            <w:pPr>
              <w:rPr>
                <w:rFonts w:hint="eastAsia"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6EB7205D">
            <w:pPr>
              <w:rPr>
                <w:rFonts w:hint="eastAsia" w:ascii="宋体" w:hAnsi="宋体" w:eastAsia="宋体" w:cs="宋体"/>
                <w:color w:val="000000"/>
                <w:sz w:val="18"/>
                <w:szCs w:val="18"/>
              </w:rPr>
            </w:pPr>
          </w:p>
        </w:tc>
        <w:tc>
          <w:tcPr>
            <w:tcW w:w="527" w:type="pct"/>
            <w:tcBorders>
              <w:top w:val="single" w:color="auto" w:sz="4" w:space="0"/>
              <w:left w:val="nil"/>
              <w:bottom w:val="single" w:color="auto" w:sz="4" w:space="0"/>
              <w:right w:val="single" w:color="auto" w:sz="4" w:space="0"/>
            </w:tcBorders>
            <w:vAlign w:val="center"/>
          </w:tcPr>
          <w:p w14:paraId="02619323">
            <w:pPr>
              <w:rPr>
                <w:rFonts w:hint="eastAsia" w:ascii="宋体" w:hAnsi="宋体" w:eastAsia="宋体" w:cs="宋体"/>
                <w:color w:val="000000"/>
                <w:sz w:val="18"/>
                <w:szCs w:val="18"/>
              </w:rPr>
            </w:pPr>
          </w:p>
        </w:tc>
      </w:tr>
      <w:bookmarkEnd w:id="19"/>
      <w:bookmarkEnd w:id="18"/>
    </w:tbl>
    <w:p w14:paraId="78FAFF6C">
      <w:pPr>
        <w:spacing w:after="0" w:line="240" w:lineRule="auto"/>
        <w:ind w:firstLine="643" w:firstLineChars="200"/>
        <w:jc w:val="both"/>
        <w:rPr>
          <w:rFonts w:hint="eastAsia" w:ascii="仿宋_GB2312" w:eastAsia="仿宋_GB2312"/>
          <w:b/>
          <w:bCs/>
          <w:sz w:val="32"/>
          <w:szCs w:val="32"/>
          <w:lang w:eastAsia="zh-CN"/>
        </w:rPr>
      </w:pPr>
    </w:p>
    <w:p w14:paraId="4D6561B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4562404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65480635">
      <w:pPr>
        <w:spacing w:after="0" w:line="240" w:lineRule="auto"/>
        <w:ind w:firstLine="640" w:firstLineChars="200"/>
        <w:rPr>
          <w:rFonts w:hint="eastAsia" w:ascii="仿宋_GB2312" w:eastAsia="仿宋_GB2312"/>
          <w:sz w:val="32"/>
          <w:szCs w:val="32"/>
          <w:lang w:eastAsia="zh-CN"/>
        </w:rPr>
      </w:pPr>
    </w:p>
    <w:p w14:paraId="1722FE1E">
      <w:pPr>
        <w:rPr>
          <w:rFonts w:hint="eastAsia"/>
          <w:lang w:eastAsia="zh-CN"/>
        </w:rPr>
      </w:pPr>
      <w:r>
        <w:rPr>
          <w:sz w:val="0"/>
          <w:szCs w:val="0"/>
          <w:lang w:eastAsia="zh-CN"/>
        </w:rPr>
        <w:br w:type="page"/>
      </w:r>
    </w:p>
    <w:p w14:paraId="347B76BA">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7F868F6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837D6A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132B11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0C092D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6CD8FD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713966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657EA85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70CFC2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832493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C30D10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7CEC20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1F7000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BC9EDA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CB008E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8522D7C">
      <w:pPr>
        <w:rPr>
          <w:rFonts w:hint="eastAsia"/>
          <w:lang w:eastAsia="zh-CN"/>
        </w:rPr>
      </w:pPr>
      <w:r>
        <w:rPr>
          <w:sz w:val="0"/>
          <w:szCs w:val="0"/>
          <w:lang w:eastAsia="zh-CN"/>
        </w:rPr>
        <w:br w:type="page"/>
      </w:r>
    </w:p>
    <w:p w14:paraId="53A79DED">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6062698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3A787255">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39C7097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23C3B56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26125A8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2928A6E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7985B1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AEB5367">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0EB6C49">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39198D"/>
    <w:rsid w:val="00221023"/>
    <w:rsid w:val="0039198D"/>
    <w:rsid w:val="003A547B"/>
    <w:rsid w:val="00405282"/>
    <w:rsid w:val="0066775E"/>
    <w:rsid w:val="006C652F"/>
    <w:rsid w:val="007D1310"/>
    <w:rsid w:val="00806CCF"/>
    <w:rsid w:val="00E0095C"/>
    <w:rsid w:val="04D43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字符"/>
    <w:basedOn w:val="14"/>
    <w:link w:val="9"/>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8483</Words>
  <Characters>9580</Characters>
  <Lines>1387</Lines>
  <Paragraphs>1257</Paragraphs>
  <TotalTime>4</TotalTime>
  <ScaleCrop>false</ScaleCrop>
  <LinksUpToDate>false</LinksUpToDate>
  <CharactersWithSpaces>9592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2025-09-17T10:11:00Z</dcterms:created>
  <dc:creator>华为</dc:creator>
  <cp:lastModifiedBy>辣庅小</cp:lastModifiedBy>
  <dcterms:modified xsi:type="dcterms:W3CDTF">2025-09-19T07:58:59Z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26CD7F19BEBD474F950021ECBDEEE36D_12</vt:lpwstr>
  </property>
</Properties>
</file>