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A47DF" w14:textId="77777777" w:rsidR="002E5EF8" w:rsidRDefault="002E5EF8">
      <w:pPr>
        <w:widowControl/>
        <w:jc w:val="left"/>
        <w:rPr>
          <w:rFonts w:ascii="宋体" w:eastAsia="宋体"/>
          <w:sz w:val="32"/>
          <w:szCs w:val="32"/>
        </w:rPr>
      </w:pPr>
    </w:p>
    <w:p w14:paraId="3C9EA596" w14:textId="77777777" w:rsidR="002E5EF8" w:rsidRDefault="002E5EF8">
      <w:pPr>
        <w:widowControl/>
        <w:jc w:val="left"/>
        <w:rPr>
          <w:rFonts w:ascii="宋体" w:eastAsia="宋体"/>
          <w:sz w:val="44"/>
          <w:szCs w:val="44"/>
        </w:rPr>
      </w:pPr>
    </w:p>
    <w:p w14:paraId="56751B2B" w14:textId="77777777" w:rsidR="002E5EF8" w:rsidRDefault="002E5EF8">
      <w:pPr>
        <w:widowControl/>
        <w:jc w:val="left"/>
        <w:rPr>
          <w:rFonts w:ascii="宋体" w:eastAsia="宋体"/>
          <w:sz w:val="44"/>
          <w:szCs w:val="44"/>
        </w:rPr>
      </w:pPr>
    </w:p>
    <w:p w14:paraId="7ABEC2DC" w14:textId="77777777" w:rsidR="002E5EF8" w:rsidRDefault="002E5EF8">
      <w:pPr>
        <w:widowControl/>
        <w:jc w:val="left"/>
        <w:rPr>
          <w:rFonts w:ascii="宋体" w:eastAsia="宋体"/>
          <w:sz w:val="44"/>
          <w:szCs w:val="44"/>
        </w:rPr>
      </w:pPr>
    </w:p>
    <w:p w14:paraId="67E532F2" w14:textId="77777777" w:rsidR="002E5EF8" w:rsidRDefault="00000000">
      <w:pPr>
        <w:widowControl/>
        <w:jc w:val="center"/>
        <w:outlineLvl w:val="0"/>
        <w:rPr>
          <w:rFonts w:ascii="宋体" w:eastAsia="黑体"/>
          <w:sz w:val="44"/>
          <w:szCs w:val="44"/>
        </w:rPr>
      </w:pPr>
      <w:r>
        <w:rPr>
          <w:rFonts w:ascii="宋体" w:eastAsia="黑体"/>
          <w:sz w:val="44"/>
          <w:szCs w:val="44"/>
        </w:rPr>
        <w:t>中国共产党奇台县委员会党校</w:t>
      </w:r>
    </w:p>
    <w:p w14:paraId="5737526C" w14:textId="77777777" w:rsidR="002E5EF8"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6C1C1E0F" w14:textId="77777777" w:rsidR="002E5EF8" w:rsidRDefault="00000000">
      <w:pPr>
        <w:widowControl/>
      </w:pPr>
      <w:r>
        <w:rPr>
          <w:sz w:val="0"/>
          <w:szCs w:val="0"/>
        </w:rPr>
        <w:br w:type="page"/>
      </w:r>
    </w:p>
    <w:p w14:paraId="003ED94E" w14:textId="77777777" w:rsidR="002E5EF8"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17143E1B" w14:textId="77777777" w:rsidR="002E5EF8"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53EB7EC0" w14:textId="77777777" w:rsidR="002E5EF8" w:rsidRDefault="00000000">
      <w:pPr>
        <w:widowControl/>
        <w:jc w:val="left"/>
        <w:rPr>
          <w:rFonts w:ascii="仿宋_GB2312" w:eastAsia="仿宋_GB2312"/>
          <w:sz w:val="32"/>
          <w:szCs w:val="32"/>
        </w:rPr>
      </w:pPr>
      <w:r>
        <w:rPr>
          <w:rFonts w:ascii="仿宋_GB2312" w:eastAsia="仿宋_GB2312"/>
          <w:sz w:val="32"/>
          <w:szCs w:val="32"/>
        </w:rPr>
        <w:t>一、主要职能</w:t>
      </w:r>
    </w:p>
    <w:p w14:paraId="1E338082" w14:textId="77777777" w:rsidR="002E5EF8"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59FC6008" w14:textId="77777777" w:rsidR="002E5EF8"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64A49644" w14:textId="77777777" w:rsidR="002E5EF8"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6EE95B31" w14:textId="77777777" w:rsidR="002E5EF8"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6D9F63DB" w14:textId="77777777" w:rsidR="002E5EF8"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53D94B03" w14:textId="77777777" w:rsidR="002E5EF8"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39E81D3B" w14:textId="77777777" w:rsidR="002E5EF8"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171E75AC" w14:textId="77777777" w:rsidR="002E5EF8"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767381E5" w14:textId="77777777" w:rsidR="002E5EF8"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4F8F95E6" w14:textId="77777777" w:rsidR="002E5EF8"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29C25540" w14:textId="77777777" w:rsidR="002E5EF8"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3BF82DDA" w14:textId="77777777" w:rsidR="002E5EF8"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4AE5014F" w14:textId="77777777" w:rsidR="002E5EF8"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288C909C" w14:textId="77777777" w:rsidR="002E5EF8"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5049BB62" w14:textId="77777777" w:rsidR="002E5EF8"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29861359" w14:textId="77777777" w:rsidR="002E5EF8"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294C4A38" w14:textId="77777777" w:rsidR="002E5EF8" w:rsidRDefault="00000000">
      <w:pPr>
        <w:widowControl/>
        <w:jc w:val="left"/>
        <w:rPr>
          <w:rFonts w:ascii="仿宋_GB2312" w:eastAsia="仿宋_GB2312"/>
          <w:sz w:val="32"/>
          <w:szCs w:val="32"/>
        </w:rPr>
      </w:pPr>
      <w:r>
        <w:rPr>
          <w:rFonts w:ascii="仿宋_GB2312" w:eastAsia="仿宋_GB2312"/>
          <w:sz w:val="32"/>
          <w:szCs w:val="32"/>
        </w:rPr>
        <w:t>（二）政府采购情况</w:t>
      </w:r>
    </w:p>
    <w:p w14:paraId="776E0351" w14:textId="77777777" w:rsidR="002E5EF8"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11E69306" w14:textId="77777777" w:rsidR="002E5EF8"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216CE44B" w14:textId="77777777" w:rsidR="002E5EF8"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069A11AD" w14:textId="77777777" w:rsidR="002E5EF8"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2E9F6E64" w14:textId="77777777" w:rsidR="002E5EF8"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782650B5" w14:textId="77777777" w:rsidR="002E5EF8"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68C7E7AD" w14:textId="77777777" w:rsidR="002E5EF8" w:rsidRDefault="00000000">
      <w:pPr>
        <w:widowControl/>
        <w:jc w:val="left"/>
        <w:rPr>
          <w:rFonts w:ascii="仿宋_GB2312" w:eastAsia="仿宋_GB2312"/>
          <w:sz w:val="32"/>
          <w:szCs w:val="32"/>
        </w:rPr>
      </w:pPr>
      <w:r>
        <w:rPr>
          <w:rFonts w:ascii="仿宋_GB2312" w:eastAsia="仿宋_GB2312"/>
          <w:sz w:val="32"/>
          <w:szCs w:val="32"/>
        </w:rPr>
        <w:t>二、《收入决算表》</w:t>
      </w:r>
    </w:p>
    <w:p w14:paraId="50DB0F73" w14:textId="77777777" w:rsidR="002E5EF8" w:rsidRDefault="00000000">
      <w:pPr>
        <w:widowControl/>
        <w:jc w:val="left"/>
        <w:rPr>
          <w:rFonts w:ascii="仿宋_GB2312" w:eastAsia="仿宋_GB2312"/>
          <w:sz w:val="32"/>
          <w:szCs w:val="32"/>
        </w:rPr>
      </w:pPr>
      <w:r>
        <w:rPr>
          <w:rFonts w:ascii="仿宋_GB2312" w:eastAsia="仿宋_GB2312"/>
          <w:sz w:val="32"/>
          <w:szCs w:val="32"/>
        </w:rPr>
        <w:t>三、《支出决算表》</w:t>
      </w:r>
    </w:p>
    <w:p w14:paraId="0FAAACC5" w14:textId="77777777" w:rsidR="002E5EF8"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55785638" w14:textId="77777777" w:rsidR="002E5EF8"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4A0BB86E" w14:textId="77777777" w:rsidR="002E5EF8"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15C73825" w14:textId="77777777" w:rsidR="002E5EF8"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72B225DD" w14:textId="77777777" w:rsidR="002E5EF8"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4B13414E" w14:textId="77777777" w:rsidR="002E5EF8"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438A6C2B" w14:textId="77777777" w:rsidR="002E5EF8" w:rsidRDefault="00000000">
      <w:pPr>
        <w:widowControl/>
      </w:pPr>
      <w:r>
        <w:rPr>
          <w:sz w:val="0"/>
          <w:szCs w:val="0"/>
        </w:rPr>
        <w:br w:type="page"/>
      </w:r>
    </w:p>
    <w:p w14:paraId="72A0C1D6" w14:textId="77777777" w:rsidR="002E5EF8"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09EB301F"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1CCE482B"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负责研究和宣传党的方针、政策及重大战略思想，围绕党的中心任务和县委、县政府的重大战略部署，对全县重大理论和现实问题开展研究，为教学和社会实践服务，为县委、县政府决策服务。根据县委、县政府中心工作的需要，举办各类专题研讨班，研讨和解决工作中的热点、难点问题；负责党员领导干部、后备干部、大学生</w:t>
      </w:r>
      <w:r>
        <w:rPr>
          <w:rFonts w:ascii="仿宋_GB2312" w:eastAsia="仿宋_GB2312"/>
          <w:sz w:val="32"/>
          <w:szCs w:val="32"/>
        </w:rPr>
        <w:t>“</w:t>
      </w:r>
      <w:r>
        <w:rPr>
          <w:rFonts w:ascii="仿宋_GB2312" w:eastAsia="仿宋_GB2312"/>
          <w:sz w:val="32"/>
          <w:szCs w:val="32"/>
        </w:rPr>
        <w:t>村官</w:t>
      </w:r>
      <w:r>
        <w:rPr>
          <w:rFonts w:ascii="仿宋_GB2312" w:eastAsia="仿宋_GB2312"/>
          <w:sz w:val="32"/>
          <w:szCs w:val="32"/>
        </w:rPr>
        <w:t>”</w:t>
      </w:r>
      <w:r>
        <w:rPr>
          <w:rFonts w:ascii="仿宋_GB2312" w:eastAsia="仿宋_GB2312"/>
          <w:sz w:val="32"/>
          <w:szCs w:val="32"/>
        </w:rPr>
        <w:t>、基层党员干部、理论骨干、知识分子和公务员的培训管理。负责对乡（镇）基层党校进行业务指导和师资培训工作；完成主管部门或上级业务部门交办的其他工作。</w:t>
      </w:r>
    </w:p>
    <w:p w14:paraId="6CECECFA"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59D5B161"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中国共产党奇台县委员会党校2024年度，实有人数26人，其中：在职人员16人，较上年无变化；离休人员0人，较上年无变化；退休人员10人，减少1人。</w:t>
      </w:r>
    </w:p>
    <w:p w14:paraId="573CF885"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中国共产党奇台县委员会党校无下属预算单位，下设3个科室，分别是：办公室、教务处、总务处。</w:t>
      </w:r>
    </w:p>
    <w:p w14:paraId="645CF1F2" w14:textId="77777777" w:rsidR="002E5EF8" w:rsidRDefault="00000000">
      <w:pPr>
        <w:widowControl/>
      </w:pPr>
      <w:r>
        <w:rPr>
          <w:sz w:val="0"/>
          <w:szCs w:val="0"/>
        </w:rPr>
        <w:br w:type="page"/>
      </w:r>
    </w:p>
    <w:p w14:paraId="75204347" w14:textId="77777777" w:rsidR="002E5EF8"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098D2EE1"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00C88F2D"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2024年度收入总计728.76万元，其中：本年收入合计720.30万元，使用非财政拨款结余（含专用结余）0.00万元，年初结转和结余8.46万元。</w:t>
      </w:r>
    </w:p>
    <w:p w14:paraId="7A858349"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2024年度支出总计728.76万元，其中：本年支出合计708.82万元，结余分配0.00万元，年末结转和结余19.94万元。</w:t>
      </w:r>
    </w:p>
    <w:p w14:paraId="524E0160" w14:textId="3546C9D7" w:rsidR="002E5EF8"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收入支出总体与上年相比，增加215.86万元，增长42.09%，主要原因是：</w:t>
      </w:r>
      <w:r>
        <w:rPr>
          <w:rFonts w:ascii="仿宋_GB2312" w:eastAsia="仿宋_GB2312" w:hint="eastAsia"/>
          <w:sz w:val="32"/>
          <w:szCs w:val="32"/>
        </w:rPr>
        <w:t>推动化解</w:t>
      </w:r>
      <w:proofErr w:type="gramStart"/>
      <w:r>
        <w:rPr>
          <w:rFonts w:ascii="仿宋_GB2312" w:eastAsia="仿宋_GB2312" w:hint="eastAsia"/>
          <w:sz w:val="32"/>
          <w:szCs w:val="32"/>
        </w:rPr>
        <w:t>涉政府</w:t>
      </w:r>
      <w:proofErr w:type="gramEnd"/>
      <w:r>
        <w:rPr>
          <w:rFonts w:ascii="仿宋_GB2312" w:eastAsia="仿宋_GB2312" w:hint="eastAsia"/>
          <w:sz w:val="32"/>
          <w:szCs w:val="32"/>
        </w:rPr>
        <w:t>项目拖欠类信访事项（第二批）、综合教学楼桌椅配套设施项目经费增加。</w:t>
      </w:r>
    </w:p>
    <w:p w14:paraId="395C23DA"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3AF7AF30"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本年收入720.30万元，其中：财政拨款收入663.33万元,占92.09%；上级补助收入0.00万元,占0.00%；事业收入0.00万元，占0.00%；经营收入0.00万元,占0.00%；附属单位上缴收入0.00万元，占0.00%；其他收入56.97万元，占7.91%。</w:t>
      </w:r>
    </w:p>
    <w:p w14:paraId="1867C86A"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282D64A0"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本年支出708.82万元，其中：基本支出395.00万元，占55.73%；项目支出313.82万元，占44.27%；上缴上级支出0.00万元，占0.00%；经营支出0.00万元，占0.00%；对附属单位补助支出0.00万元，占0.00%。</w:t>
      </w:r>
    </w:p>
    <w:p w14:paraId="5E7F16E0"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535EB8E7"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2024年度财政拨款收入总计663.33万元，其中：年初财政拨款结转和结余0.00万元，本年财政拨款收入663.33万元。财政拨款支出总计663.33万元，其中：年末财政拨款结转和结余0.00万元，本年财政拨款支出663.33万元。</w:t>
      </w:r>
    </w:p>
    <w:p w14:paraId="28F2F4EF" w14:textId="550BD52F" w:rsidR="002E5EF8"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财政拨款收入支出总体与上年相比，增加241.83万元，增长57.37%，主要原因是：</w:t>
      </w:r>
      <w:r w:rsidR="00A77388">
        <w:rPr>
          <w:rFonts w:ascii="仿宋_GB2312" w:eastAsia="仿宋_GB2312" w:hint="eastAsia"/>
          <w:sz w:val="32"/>
          <w:szCs w:val="32"/>
        </w:rPr>
        <w:t>推动化解</w:t>
      </w:r>
      <w:proofErr w:type="gramStart"/>
      <w:r w:rsidR="00A77388">
        <w:rPr>
          <w:rFonts w:ascii="仿宋_GB2312" w:eastAsia="仿宋_GB2312" w:hint="eastAsia"/>
          <w:sz w:val="32"/>
          <w:szCs w:val="32"/>
        </w:rPr>
        <w:t>涉政府</w:t>
      </w:r>
      <w:proofErr w:type="gramEnd"/>
      <w:r w:rsidR="00A77388">
        <w:rPr>
          <w:rFonts w:ascii="仿宋_GB2312" w:eastAsia="仿宋_GB2312" w:hint="eastAsia"/>
          <w:sz w:val="32"/>
          <w:szCs w:val="32"/>
        </w:rPr>
        <w:t>项目拖欠类信访事项（第二批）、综合教学楼桌椅配套设施项目经费增加</w:t>
      </w:r>
      <w:r>
        <w:rPr>
          <w:rFonts w:ascii="仿宋_GB2312" w:eastAsia="仿宋_GB2312" w:hint="eastAsia"/>
          <w:sz w:val="32"/>
          <w:szCs w:val="32"/>
        </w:rPr>
        <w:t>。</w:t>
      </w:r>
      <w:r>
        <w:rPr>
          <w:rFonts w:ascii="仿宋_GB2312" w:eastAsia="仿宋_GB2312"/>
          <w:sz w:val="32"/>
          <w:szCs w:val="32"/>
        </w:rPr>
        <w:t>与</w:t>
      </w:r>
      <w:r>
        <w:rPr>
          <w:rFonts w:ascii="仿宋_GB2312" w:eastAsia="仿宋_GB2312"/>
          <w:sz w:val="32"/>
          <w:szCs w:val="32"/>
        </w:rPr>
        <w:lastRenderedPageBreak/>
        <w:t>年初预算相比，年初预算数316.51万元，决算数663.33万元，预决算差异率109.58%，主要原因是：</w:t>
      </w:r>
      <w:r>
        <w:rPr>
          <w:rFonts w:ascii="仿宋_GB2312" w:eastAsia="仿宋_GB2312" w:hint="eastAsia"/>
          <w:sz w:val="32"/>
          <w:szCs w:val="32"/>
        </w:rPr>
        <w:t>年中追加</w:t>
      </w:r>
      <w:r w:rsidR="00A77388">
        <w:rPr>
          <w:rFonts w:ascii="仿宋_GB2312" w:eastAsia="仿宋_GB2312" w:hint="eastAsia"/>
          <w:sz w:val="32"/>
          <w:szCs w:val="32"/>
        </w:rPr>
        <w:t>推动化解</w:t>
      </w:r>
      <w:proofErr w:type="gramStart"/>
      <w:r w:rsidR="00A77388">
        <w:rPr>
          <w:rFonts w:ascii="仿宋_GB2312" w:eastAsia="仿宋_GB2312" w:hint="eastAsia"/>
          <w:sz w:val="32"/>
          <w:szCs w:val="32"/>
        </w:rPr>
        <w:t>涉政府</w:t>
      </w:r>
      <w:proofErr w:type="gramEnd"/>
      <w:r w:rsidR="00A77388">
        <w:rPr>
          <w:rFonts w:ascii="仿宋_GB2312" w:eastAsia="仿宋_GB2312" w:hint="eastAsia"/>
          <w:sz w:val="32"/>
          <w:szCs w:val="32"/>
        </w:rPr>
        <w:t>项目拖欠类信访事项（第二批）、综合教学楼桌椅配套设施项目经费</w:t>
      </w:r>
      <w:r>
        <w:rPr>
          <w:rFonts w:ascii="仿宋_GB2312" w:eastAsia="仿宋_GB2312" w:hint="eastAsia"/>
          <w:sz w:val="32"/>
          <w:szCs w:val="32"/>
        </w:rPr>
        <w:t>。</w:t>
      </w:r>
    </w:p>
    <w:p w14:paraId="09A56D04"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401D3D3B" w14:textId="77777777" w:rsidR="002E5EF8"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0DBB19EA" w14:textId="28D3E4F6" w:rsidR="002E5EF8"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2024年度一般公共预算财政拨款支出663.33万元，占本年支出合计的93.58%。与上年相比，增加241.83万元，增长57.37%，主要原因是：</w:t>
      </w:r>
      <w:r w:rsidR="00A77388">
        <w:rPr>
          <w:rFonts w:ascii="仿宋_GB2312" w:eastAsia="仿宋_GB2312" w:hint="eastAsia"/>
          <w:sz w:val="32"/>
          <w:szCs w:val="32"/>
        </w:rPr>
        <w:t>推动化解</w:t>
      </w:r>
      <w:proofErr w:type="gramStart"/>
      <w:r w:rsidR="00A77388">
        <w:rPr>
          <w:rFonts w:ascii="仿宋_GB2312" w:eastAsia="仿宋_GB2312" w:hint="eastAsia"/>
          <w:sz w:val="32"/>
          <w:szCs w:val="32"/>
        </w:rPr>
        <w:t>涉政府</w:t>
      </w:r>
      <w:proofErr w:type="gramEnd"/>
      <w:r w:rsidR="00A77388">
        <w:rPr>
          <w:rFonts w:ascii="仿宋_GB2312" w:eastAsia="仿宋_GB2312" w:hint="eastAsia"/>
          <w:sz w:val="32"/>
          <w:szCs w:val="32"/>
        </w:rPr>
        <w:t>项目拖欠类信访事项（第二批）、综合教学楼桌椅配套设施项目经费增加</w:t>
      </w:r>
      <w:r>
        <w:rPr>
          <w:rFonts w:ascii="仿宋_GB2312" w:eastAsia="仿宋_GB2312" w:hint="eastAsia"/>
          <w:sz w:val="32"/>
          <w:szCs w:val="32"/>
        </w:rPr>
        <w:t>。</w:t>
      </w:r>
      <w:r>
        <w:rPr>
          <w:rFonts w:ascii="仿宋_GB2312" w:eastAsia="仿宋_GB2312"/>
          <w:sz w:val="32"/>
          <w:szCs w:val="32"/>
        </w:rPr>
        <w:t>与年初预算相比，年初预算数316.51万元，决算数663.33万元，预决算差异率109.58%，主要原因是：</w:t>
      </w:r>
      <w:r>
        <w:rPr>
          <w:rFonts w:ascii="仿宋_GB2312" w:eastAsia="仿宋_GB2312" w:hint="eastAsia"/>
          <w:sz w:val="32"/>
          <w:szCs w:val="32"/>
        </w:rPr>
        <w:t>年中追加</w:t>
      </w:r>
      <w:r w:rsidR="00A77388">
        <w:rPr>
          <w:rFonts w:ascii="仿宋_GB2312" w:eastAsia="仿宋_GB2312" w:hint="eastAsia"/>
          <w:sz w:val="32"/>
          <w:szCs w:val="32"/>
        </w:rPr>
        <w:t>推动化解</w:t>
      </w:r>
      <w:proofErr w:type="gramStart"/>
      <w:r w:rsidR="00A77388">
        <w:rPr>
          <w:rFonts w:ascii="仿宋_GB2312" w:eastAsia="仿宋_GB2312" w:hint="eastAsia"/>
          <w:sz w:val="32"/>
          <w:szCs w:val="32"/>
        </w:rPr>
        <w:t>涉政府</w:t>
      </w:r>
      <w:proofErr w:type="gramEnd"/>
      <w:r w:rsidR="00A77388">
        <w:rPr>
          <w:rFonts w:ascii="仿宋_GB2312" w:eastAsia="仿宋_GB2312" w:hint="eastAsia"/>
          <w:sz w:val="32"/>
          <w:szCs w:val="32"/>
        </w:rPr>
        <w:t>项目拖欠类信访事项（第二批）、综合教学楼桌椅配套设施项目经费</w:t>
      </w:r>
      <w:r>
        <w:rPr>
          <w:rFonts w:ascii="仿宋_GB2312" w:eastAsia="仿宋_GB2312" w:hint="eastAsia"/>
          <w:sz w:val="32"/>
          <w:szCs w:val="32"/>
        </w:rPr>
        <w:t>。</w:t>
      </w:r>
    </w:p>
    <w:p w14:paraId="519EBC5A" w14:textId="77777777" w:rsidR="002E5EF8"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4798EF04" w14:textId="77777777" w:rsidR="002E5EF8"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一般公共服务支出（类）20.00万元，占3.02%。</w:t>
      </w:r>
    </w:p>
    <w:p w14:paraId="469E2049" w14:textId="77777777" w:rsidR="002E5EF8"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教育支出（类）474.48万元，占71.53%。</w:t>
      </w:r>
    </w:p>
    <w:p w14:paraId="1432F63F" w14:textId="77777777" w:rsidR="002E5EF8"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城乡社区支出（类）134.85万元，占20.33%。</w:t>
      </w:r>
    </w:p>
    <w:p w14:paraId="0A069B8C" w14:textId="77777777" w:rsidR="002E5EF8"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资源勘探工业信息等支出（类）34.00万元，占5.13%。</w:t>
      </w:r>
    </w:p>
    <w:p w14:paraId="131E35A5" w14:textId="77777777" w:rsidR="002E5EF8"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3548872F"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1、一般公共服务支出（类）信访事务（款）其他信访事务支出（项）：支出决算数为20.00万元，比上年决算增加20.00万元，增长100.00%，主要原因是：</w:t>
      </w:r>
      <w:r>
        <w:rPr>
          <w:rFonts w:ascii="仿宋_GB2312" w:eastAsia="仿宋_GB2312" w:hint="eastAsia"/>
          <w:sz w:val="32"/>
          <w:szCs w:val="32"/>
        </w:rPr>
        <w:t>本年推动化解</w:t>
      </w:r>
      <w:proofErr w:type="gramStart"/>
      <w:r>
        <w:rPr>
          <w:rFonts w:ascii="仿宋_GB2312" w:eastAsia="仿宋_GB2312" w:hint="eastAsia"/>
          <w:sz w:val="32"/>
          <w:szCs w:val="32"/>
        </w:rPr>
        <w:t>涉政府</w:t>
      </w:r>
      <w:proofErr w:type="gramEnd"/>
      <w:r>
        <w:rPr>
          <w:rFonts w:ascii="仿宋_GB2312" w:eastAsia="仿宋_GB2312" w:hint="eastAsia"/>
          <w:sz w:val="32"/>
          <w:szCs w:val="32"/>
        </w:rPr>
        <w:t>项目拖欠类信访事项（第二批）项目经费增加。</w:t>
      </w:r>
    </w:p>
    <w:p w14:paraId="0B671AC2" w14:textId="41FE4FBB" w:rsidR="002E5EF8" w:rsidRDefault="00000000">
      <w:pPr>
        <w:widowControl/>
        <w:ind w:firstLineChars="200" w:firstLine="640"/>
        <w:rPr>
          <w:rFonts w:ascii="仿宋_GB2312" w:eastAsia="仿宋_GB2312"/>
          <w:sz w:val="32"/>
          <w:szCs w:val="32"/>
        </w:rPr>
      </w:pPr>
      <w:r>
        <w:rPr>
          <w:rFonts w:ascii="仿宋_GB2312" w:eastAsia="仿宋_GB2312"/>
          <w:sz w:val="32"/>
          <w:szCs w:val="32"/>
        </w:rPr>
        <w:t>2、教育支出（类）进修及培训（款）干部教育（项）：支出决算数为474.48万元，比上年决算增加96.07万元，增长25.39%，主要原因是：</w:t>
      </w:r>
      <w:r>
        <w:rPr>
          <w:rFonts w:ascii="仿宋_GB2312" w:eastAsia="仿宋_GB2312" w:hint="eastAsia"/>
          <w:sz w:val="32"/>
          <w:szCs w:val="32"/>
        </w:rPr>
        <w:t>综合教学楼配套设施款、综合教学楼项目经费增加。</w:t>
      </w:r>
    </w:p>
    <w:p w14:paraId="06281116"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3、教育支出（类）进修及培训（款）其他进修及培训（项）：支出决算数为0.00万元，比上年决算减少43.09万</w:t>
      </w:r>
      <w:r>
        <w:rPr>
          <w:rFonts w:ascii="仿宋_GB2312" w:eastAsia="仿宋_GB2312"/>
          <w:sz w:val="32"/>
          <w:szCs w:val="32"/>
        </w:rPr>
        <w:lastRenderedPageBreak/>
        <w:t>元，下降100.00%，主要原因是：</w:t>
      </w:r>
      <w:r>
        <w:rPr>
          <w:rFonts w:ascii="仿宋_GB2312" w:eastAsia="仿宋_GB2312" w:hint="eastAsia"/>
          <w:sz w:val="32"/>
          <w:szCs w:val="32"/>
        </w:rPr>
        <w:t>隐性债务工程欠款化解项目经费减少。</w:t>
      </w:r>
    </w:p>
    <w:p w14:paraId="7239692D"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4、城乡社区支出（类）城乡社区公共设施（款）小城镇基础设施建设（项）：支出决算数为134.85万元，比上年决算增加134.85万元，增长100.00%，主要原因是：</w:t>
      </w:r>
      <w:r>
        <w:rPr>
          <w:rFonts w:ascii="仿宋_GB2312" w:eastAsia="仿宋_GB2312" w:hint="eastAsia"/>
          <w:sz w:val="32"/>
          <w:szCs w:val="32"/>
        </w:rPr>
        <w:t>综合教学</w:t>
      </w:r>
      <w:proofErr w:type="gramStart"/>
      <w:r>
        <w:rPr>
          <w:rFonts w:ascii="仿宋_GB2312" w:eastAsia="仿宋_GB2312" w:hint="eastAsia"/>
          <w:sz w:val="32"/>
          <w:szCs w:val="32"/>
        </w:rPr>
        <w:t>楼电子</w:t>
      </w:r>
      <w:proofErr w:type="gramEnd"/>
      <w:r>
        <w:rPr>
          <w:rFonts w:ascii="仿宋_GB2312" w:eastAsia="仿宋_GB2312" w:hint="eastAsia"/>
          <w:sz w:val="32"/>
          <w:szCs w:val="32"/>
        </w:rPr>
        <w:t>设备采购、隐性债务支出事项等项目经费增加。</w:t>
      </w:r>
    </w:p>
    <w:p w14:paraId="69EA1C22" w14:textId="09B56348" w:rsidR="002E5EF8" w:rsidRDefault="00000000">
      <w:pPr>
        <w:widowControl/>
        <w:ind w:firstLineChars="200" w:firstLine="640"/>
        <w:rPr>
          <w:rFonts w:ascii="仿宋_GB2312" w:eastAsia="仿宋_GB2312"/>
          <w:sz w:val="32"/>
          <w:szCs w:val="32"/>
        </w:rPr>
      </w:pPr>
      <w:r>
        <w:rPr>
          <w:rFonts w:ascii="仿宋_GB2312" w:eastAsia="仿宋_GB2312"/>
          <w:sz w:val="32"/>
          <w:szCs w:val="32"/>
        </w:rPr>
        <w:t>5、资源勘探工业信息等支出（类）支持中小企业发展和管理支出（款）其他支持中小企业发展和管理支出（项）：支出决算数为34.00万元，比上年决算增加34.00万元，增长100.00%，主要原因是：</w:t>
      </w:r>
      <w:r>
        <w:rPr>
          <w:rFonts w:ascii="仿宋_GB2312" w:eastAsia="仿宋_GB2312" w:hint="eastAsia"/>
          <w:sz w:val="32"/>
          <w:szCs w:val="32"/>
        </w:rPr>
        <w:t>综合教学楼桌椅配套设施项目经费增加。</w:t>
      </w:r>
    </w:p>
    <w:p w14:paraId="08429FB9"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610978F5"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349.51万元，其中：人员经费328.64万元，包括：基本工资、津贴补贴、奖金、绩效工资、机关事业单位基本养老保险缴费、职业年金缴费、职工基本医疗保险缴费、公务员医疗补助缴费、其他社会保障缴费、住房公积金、其他工资福利支出、退休费、抚恤金和奖励金。</w:t>
      </w:r>
    </w:p>
    <w:p w14:paraId="2BD6AC5A"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公用经费20.87万元，包括：办公费、水费、电费、邮电费、取暖费、劳务费和工会经费。</w:t>
      </w:r>
    </w:p>
    <w:p w14:paraId="43487CB6"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3D678CA8"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7F75E99E"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5E2F57AA"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2FAD6761"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0D34871F"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经费。其中：因公出国（境）费支出0.00万元,占0.00%，与上</w:t>
      </w:r>
      <w:r>
        <w:rPr>
          <w:rFonts w:ascii="仿宋_GB2312" w:eastAsia="仿宋_GB2312"/>
          <w:sz w:val="32"/>
          <w:szCs w:val="32"/>
        </w:rPr>
        <w:lastRenderedPageBreak/>
        <w:t>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ascii="仿宋_GB2312" w:eastAsia="仿宋_GB2312" w:hint="eastAsia"/>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3FEE2AAD" w14:textId="77777777" w:rsidR="002E5EF8"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1380A68D"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w:t>
      </w:r>
      <w:r>
        <w:rPr>
          <w:rFonts w:ascii="仿宋_GB2312" w:eastAsia="仿宋_GB2312" w:hint="eastAsia"/>
          <w:sz w:val="32"/>
          <w:szCs w:val="32"/>
        </w:rPr>
        <w:t>因公出国（境）费</w:t>
      </w:r>
      <w:r>
        <w:rPr>
          <w:rFonts w:ascii="仿宋_GB2312" w:eastAsia="仿宋_GB2312"/>
          <w:sz w:val="32"/>
          <w:szCs w:val="32"/>
        </w:rPr>
        <w:t>。单位全年安排的因公出国（境）团组0个，因公出国（境）0人次。</w:t>
      </w:r>
    </w:p>
    <w:p w14:paraId="26F5F5CF" w14:textId="7CA65054" w:rsidR="002E5EF8"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公务用车购置及运行维护费0.00万元，其中：公务用车购置费0.00万元，公务用车运行维护费0.00万元。公务用车运行维护费开支内容包括单位本年无</w:t>
      </w:r>
      <w:r w:rsidR="00A77388">
        <w:rPr>
          <w:rFonts w:ascii="仿宋_GB2312" w:eastAsia="仿宋_GB2312"/>
          <w:sz w:val="32"/>
          <w:szCs w:val="32"/>
        </w:rPr>
        <w:t>公务用车运行维护费</w:t>
      </w:r>
      <w:r>
        <w:rPr>
          <w:rFonts w:ascii="仿宋_GB2312" w:eastAsia="仿宋_GB2312"/>
          <w:sz w:val="32"/>
          <w:szCs w:val="32"/>
        </w:rPr>
        <w:t>。公务用车购置数0辆，公务用车保有量0辆。国有资产占用情况中固定资产车辆1辆，与公务用车保有量差异原因是：</w:t>
      </w:r>
      <w:r>
        <w:rPr>
          <w:rFonts w:ascii="仿宋_GB2312" w:eastAsia="仿宋_GB2312" w:hint="eastAsia"/>
          <w:sz w:val="32"/>
          <w:szCs w:val="32"/>
        </w:rPr>
        <w:t>差异车辆为一般业务用车1辆，车辆费用未使用财政拨款公务用车运行维护费支付</w:t>
      </w:r>
      <w:r>
        <w:rPr>
          <w:rFonts w:ascii="仿宋_GB2312" w:eastAsia="仿宋_GB2312"/>
          <w:sz w:val="32"/>
          <w:szCs w:val="32"/>
        </w:rPr>
        <w:t>。</w:t>
      </w:r>
    </w:p>
    <w:p w14:paraId="045E00AC"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w:t>
      </w:r>
      <w:r>
        <w:rPr>
          <w:rFonts w:ascii="仿宋_GB2312" w:eastAsia="仿宋_GB2312" w:hint="eastAsia"/>
          <w:sz w:val="32"/>
          <w:szCs w:val="32"/>
        </w:rPr>
        <w:t>公务接待费</w:t>
      </w:r>
      <w:r>
        <w:rPr>
          <w:rFonts w:ascii="仿宋_GB2312" w:eastAsia="仿宋_GB2312"/>
          <w:sz w:val="32"/>
          <w:szCs w:val="32"/>
        </w:rPr>
        <w:t>。单位全年安排的国内公务接待0批次，0人次。</w:t>
      </w:r>
    </w:p>
    <w:p w14:paraId="4B0CCD0A"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1052DDD7"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lastRenderedPageBreak/>
        <w:t>十、其他重要事项的情况说明</w:t>
      </w:r>
    </w:p>
    <w:p w14:paraId="5C27E78D" w14:textId="77777777" w:rsidR="002E5EF8"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25438265"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2024年度中国共产党奇台县委员会党校单位（行政单位和参照公务员法管理事业单位）机关运行经费支出20.87万元，比上年增加5.78万元，增长38.30%，主要原因是：</w:t>
      </w:r>
      <w:r>
        <w:rPr>
          <w:rFonts w:ascii="仿宋_GB2312" w:eastAsia="仿宋_GB2312" w:hint="eastAsia"/>
          <w:sz w:val="32"/>
          <w:szCs w:val="32"/>
        </w:rPr>
        <w:t>单位本年办公费、工会经费、劳务费等经费增加。</w:t>
      </w:r>
    </w:p>
    <w:p w14:paraId="3E15C91A" w14:textId="77777777" w:rsidR="002E5EF8"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6BADFC72"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2024年度政府采购支出总额2.24万元，其中：政府采购货物支出2.24万元、政府采购工程支出0.00万元、政府采购服务支出0.00万元。</w:t>
      </w:r>
    </w:p>
    <w:p w14:paraId="042A27EA"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授予中小企业合同金额2.24万元，占政府采购支出总额的100.00%，其中：授予小</w:t>
      </w:r>
      <w:proofErr w:type="gramStart"/>
      <w:r>
        <w:rPr>
          <w:rFonts w:ascii="仿宋_GB2312" w:eastAsia="仿宋_GB2312"/>
          <w:sz w:val="32"/>
          <w:szCs w:val="32"/>
        </w:rPr>
        <w:t>微企业</w:t>
      </w:r>
      <w:proofErr w:type="gramEnd"/>
      <w:r>
        <w:rPr>
          <w:rFonts w:ascii="仿宋_GB2312" w:eastAsia="仿宋_GB2312"/>
          <w:sz w:val="32"/>
          <w:szCs w:val="32"/>
        </w:rPr>
        <w:t>合同金额2.24万元，占政府采购支出总额的100.00%。</w:t>
      </w:r>
    </w:p>
    <w:p w14:paraId="74004FCB" w14:textId="77777777" w:rsidR="002E5EF8" w:rsidRDefault="00000000">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39450E3C"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17,708.84平方米，价值6,865.68万元。车辆1辆，价值14.98万元，其中：副部（省）级及以上领导用车0辆、主要负责人用车0辆、机要通信用车0辆、应急保障用车0辆、执法执勤用车0辆、特种专业技术用车0辆、离退休干部服务用车0辆、其他用车1辆，其他用车主要是：单位</w:t>
      </w:r>
      <w:r>
        <w:rPr>
          <w:rFonts w:ascii="仿宋_GB2312" w:eastAsia="仿宋_GB2312" w:hint="eastAsia"/>
          <w:sz w:val="32"/>
          <w:szCs w:val="32"/>
        </w:rPr>
        <w:t>业务</w:t>
      </w:r>
      <w:r>
        <w:rPr>
          <w:rFonts w:ascii="仿宋_GB2312" w:eastAsia="仿宋_GB2312"/>
          <w:sz w:val="32"/>
          <w:szCs w:val="32"/>
        </w:rPr>
        <w:t>用车;单价100万元（含）以上设备（不含车辆）0台（套）。</w:t>
      </w:r>
    </w:p>
    <w:p w14:paraId="01AD3B98"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74FE9C2C"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根据预算绩效管理要求，本单位2024年度预算绩效管理形成整体支出绩效自评表1个，全年预算总额728.76万元，实际执行总额720.30万元；预算绩效评价项目</w:t>
      </w:r>
      <w:r>
        <w:rPr>
          <w:rFonts w:ascii="仿宋_GB2312" w:eastAsia="仿宋_GB2312" w:hint="eastAsia"/>
          <w:sz w:val="32"/>
          <w:szCs w:val="32"/>
        </w:rPr>
        <w:t>2</w:t>
      </w:r>
      <w:r>
        <w:rPr>
          <w:rFonts w:ascii="仿宋_GB2312" w:eastAsia="仿宋_GB2312"/>
          <w:sz w:val="32"/>
          <w:szCs w:val="32"/>
        </w:rPr>
        <w:t>个，全年预算数</w:t>
      </w:r>
      <w:r>
        <w:rPr>
          <w:rFonts w:ascii="仿宋_GB2312" w:eastAsia="仿宋_GB2312" w:hint="eastAsia"/>
          <w:sz w:val="32"/>
          <w:szCs w:val="32"/>
        </w:rPr>
        <w:t>256.18</w:t>
      </w:r>
      <w:r>
        <w:rPr>
          <w:rFonts w:ascii="仿宋_GB2312" w:eastAsia="仿宋_GB2312"/>
          <w:sz w:val="32"/>
          <w:szCs w:val="32"/>
        </w:rPr>
        <w:t>万元，全年执行数</w:t>
      </w:r>
      <w:r>
        <w:rPr>
          <w:rFonts w:ascii="仿宋_GB2312" w:eastAsia="仿宋_GB2312" w:hint="eastAsia"/>
          <w:sz w:val="32"/>
          <w:szCs w:val="32"/>
        </w:rPr>
        <w:t>256.18</w:t>
      </w:r>
      <w:r>
        <w:rPr>
          <w:rFonts w:ascii="仿宋_GB2312" w:eastAsia="仿宋_GB2312"/>
          <w:sz w:val="32"/>
          <w:szCs w:val="32"/>
        </w:rPr>
        <w:t>万元。预算绩效管理取得的成效：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仿宋_GB2312" w:eastAsia="仿宋_GB2312"/>
          <w:sz w:val="32"/>
          <w:szCs w:val="32"/>
        </w:rPr>
        <w:lastRenderedPageBreak/>
        <w:t>二是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发现的问题及原因：一是相关绩效管理方面专业知识的系统性学习有待加强。各项指标的设置要进一步优化、完善，主要在细化、量化上改进。在绩效自评过程中，由于部分人员缺乏相关绩效管理专业知识，</w:t>
      </w:r>
      <w:proofErr w:type="gramStart"/>
      <w:r>
        <w:rPr>
          <w:rFonts w:ascii="仿宋_GB2312" w:eastAsia="仿宋_GB2312"/>
          <w:sz w:val="32"/>
          <w:szCs w:val="32"/>
        </w:rPr>
        <w:t>自评价</w:t>
      </w:r>
      <w:proofErr w:type="gramEnd"/>
      <w:r>
        <w:rPr>
          <w:rFonts w:ascii="仿宋_GB2312" w:eastAsia="仿宋_GB2312"/>
          <w:sz w:val="32"/>
          <w:szCs w:val="32"/>
        </w:rPr>
        <w:t>工作还存在自我审定的局限性，影响评价质量；二是因轮岗、调动、等因素使我单位绩效工作人员流动频繁，造成了工作衔接不到位的情况；三是项目绩效管理意识不强，根据评价结果改进工作不够，项目绩效管理办法不够科学合理。下一步改进措施：一是多进行有关绩效管理工作方面的培训。积极组织第三方开展绩效管理工作培训，进一步夯实业务基础，提高我单位绩效人员水平；二是专门设定对绩效工作人员定职、定岗、定责等相关制度措施，进一步提升我单位绩效管理工作业务水平，扎实做好绩效管理工作；三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四是进一步完善项目评价过程中有关数据和资料的收集、整理、审核及分析。项目启动时同步做好档案的归纳与整理，及时整理、收集、汇总，健全档案资料。项目后续管理有待进一步加强和跟踪；五是进一步加强对绩效管理工作的组织领导，提高对预算绩效管理工作重要性的认识，总结经验查找问题，抓紧研究制定更全面更完善的绩效评价管理办法。结合考核建立绩效工作考核制度，加大全局对全面实施预算绩效管理和绩效管理工作的学习力度，让</w:t>
      </w:r>
      <w:r>
        <w:rPr>
          <w:rFonts w:ascii="仿宋_GB2312" w:eastAsia="仿宋_GB2312"/>
          <w:sz w:val="32"/>
          <w:szCs w:val="32"/>
        </w:rPr>
        <w:t>“</w:t>
      </w:r>
      <w:r>
        <w:rPr>
          <w:rFonts w:ascii="仿宋_GB2312" w:eastAsia="仿宋_GB2312"/>
          <w:sz w:val="32"/>
          <w:szCs w:val="32"/>
        </w:rPr>
        <w:t>花钱必问效，无效必问责</w:t>
      </w:r>
      <w:r>
        <w:rPr>
          <w:rFonts w:ascii="仿宋_GB2312" w:eastAsia="仿宋_GB2312"/>
          <w:sz w:val="32"/>
          <w:szCs w:val="32"/>
        </w:rPr>
        <w:t>”</w:t>
      </w:r>
      <w:r>
        <w:rPr>
          <w:rFonts w:ascii="仿宋_GB2312" w:eastAsia="仿宋_GB2312"/>
          <w:sz w:val="32"/>
          <w:szCs w:val="32"/>
        </w:rPr>
        <w:t>的理念深入工作每个环节。具体</w:t>
      </w:r>
      <w:proofErr w:type="gramStart"/>
      <w:r>
        <w:rPr>
          <w:rFonts w:ascii="仿宋_GB2312" w:eastAsia="仿宋_GB2312"/>
          <w:sz w:val="32"/>
          <w:szCs w:val="32"/>
        </w:rPr>
        <w:lastRenderedPageBreak/>
        <w:t>附部门</w:t>
      </w:r>
      <w:proofErr w:type="gramEnd"/>
      <w:r>
        <w:rPr>
          <w:rFonts w:ascii="仿宋_GB2312" w:eastAsia="仿宋_GB2312"/>
          <w:sz w:val="32"/>
          <w:szCs w:val="32"/>
        </w:rPr>
        <w:t>整体支出绩效自评表，项目支出绩效自评表和部门评价报告。</w:t>
      </w:r>
    </w:p>
    <w:p w14:paraId="1486375A" w14:textId="77777777" w:rsidR="002E5EF8"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2D5924F4" w14:textId="77777777" w:rsidR="002E5EF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2E5EF8" w14:paraId="09872B4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BD5040B"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C2A6531"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中国共产党奇台县委员会党校</w:t>
            </w:r>
          </w:p>
        </w:tc>
        <w:tc>
          <w:tcPr>
            <w:tcW w:w="284" w:type="dxa"/>
            <w:tcBorders>
              <w:top w:val="nil"/>
              <w:left w:val="nil"/>
              <w:bottom w:val="nil"/>
              <w:right w:val="nil"/>
            </w:tcBorders>
            <w:noWrap/>
            <w:vAlign w:val="center"/>
          </w:tcPr>
          <w:p w14:paraId="67556D45" w14:textId="77777777" w:rsidR="002E5EF8" w:rsidRDefault="002E5EF8">
            <w:pPr>
              <w:widowControl/>
              <w:jc w:val="left"/>
              <w:rPr>
                <w:rFonts w:ascii="宋体" w:eastAsia="宋体" w:hAnsi="宋体" w:cs="宋体" w:hint="eastAsia"/>
                <w:b/>
                <w:bCs/>
                <w:sz w:val="18"/>
                <w:szCs w:val="18"/>
              </w:rPr>
            </w:pPr>
          </w:p>
        </w:tc>
      </w:tr>
      <w:tr w:rsidR="002E5EF8" w14:paraId="3834239C"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627D62E"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18AB091F"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0F754AEB"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122CC473"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07EB047A"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647B195A"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6CF3A77"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45F5F337"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5DF503E5" w14:textId="77777777" w:rsidR="002E5EF8" w:rsidRDefault="002E5EF8">
            <w:pPr>
              <w:widowControl/>
              <w:jc w:val="center"/>
              <w:rPr>
                <w:rFonts w:ascii="宋体" w:eastAsia="宋体" w:hAnsi="宋体" w:cs="宋体" w:hint="eastAsia"/>
                <w:b/>
                <w:bCs/>
                <w:sz w:val="18"/>
                <w:szCs w:val="18"/>
              </w:rPr>
            </w:pPr>
          </w:p>
        </w:tc>
      </w:tr>
      <w:tr w:rsidR="002E5EF8" w14:paraId="100A1F23"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19A051A" w14:textId="77777777" w:rsidR="002E5EF8" w:rsidRDefault="002E5EF8">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27F66AE"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15B9DE52"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740525B3"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5BB0452F"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90D558E"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9AE6BB6"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98.84%</w:t>
            </w:r>
          </w:p>
        </w:tc>
        <w:tc>
          <w:tcPr>
            <w:tcW w:w="720" w:type="dxa"/>
            <w:tcBorders>
              <w:top w:val="nil"/>
              <w:left w:val="nil"/>
              <w:bottom w:val="single" w:sz="4" w:space="0" w:color="auto"/>
              <w:right w:val="single" w:sz="4" w:space="0" w:color="auto"/>
            </w:tcBorders>
            <w:vAlign w:val="center"/>
          </w:tcPr>
          <w:p w14:paraId="7C3ACEA0"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75FB2E2C" w14:textId="77777777" w:rsidR="002E5EF8" w:rsidRDefault="002E5EF8">
            <w:pPr>
              <w:widowControl/>
              <w:jc w:val="center"/>
              <w:rPr>
                <w:rFonts w:ascii="宋体" w:eastAsia="宋体" w:hAnsi="宋体" w:cs="宋体" w:hint="eastAsia"/>
                <w:b/>
                <w:bCs/>
                <w:sz w:val="18"/>
                <w:szCs w:val="18"/>
              </w:rPr>
            </w:pPr>
          </w:p>
        </w:tc>
      </w:tr>
      <w:tr w:rsidR="002E5EF8" w14:paraId="6590D00A"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853C74D" w14:textId="77777777" w:rsidR="002E5EF8" w:rsidRDefault="002E5EF8">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DDB2D53"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3CA28082"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316.51</w:t>
            </w:r>
          </w:p>
        </w:tc>
        <w:tc>
          <w:tcPr>
            <w:tcW w:w="1242" w:type="dxa"/>
            <w:tcBorders>
              <w:top w:val="nil"/>
              <w:left w:val="nil"/>
              <w:bottom w:val="single" w:sz="4" w:space="0" w:color="auto"/>
              <w:right w:val="single" w:sz="4" w:space="0" w:color="auto"/>
            </w:tcBorders>
            <w:vAlign w:val="center"/>
          </w:tcPr>
          <w:p w14:paraId="6CA8097F"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663.33</w:t>
            </w:r>
          </w:p>
        </w:tc>
        <w:tc>
          <w:tcPr>
            <w:tcW w:w="1417" w:type="dxa"/>
            <w:tcBorders>
              <w:top w:val="nil"/>
              <w:left w:val="nil"/>
              <w:bottom w:val="single" w:sz="4" w:space="0" w:color="auto"/>
              <w:right w:val="single" w:sz="4" w:space="0" w:color="auto"/>
            </w:tcBorders>
            <w:vAlign w:val="center"/>
          </w:tcPr>
          <w:p w14:paraId="15D428A9"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663.33</w:t>
            </w:r>
          </w:p>
        </w:tc>
        <w:tc>
          <w:tcPr>
            <w:tcW w:w="1134" w:type="dxa"/>
            <w:tcBorders>
              <w:top w:val="nil"/>
              <w:left w:val="nil"/>
              <w:bottom w:val="single" w:sz="4" w:space="0" w:color="auto"/>
              <w:right w:val="single" w:sz="4" w:space="0" w:color="auto"/>
            </w:tcBorders>
            <w:vAlign w:val="center"/>
          </w:tcPr>
          <w:p w14:paraId="2410E51D" w14:textId="77777777" w:rsidR="002E5EF8"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5660ABC4" w14:textId="77777777" w:rsidR="002E5EF8"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31C42006" w14:textId="77777777" w:rsidR="002E5EF8"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250F92B5" w14:textId="77777777" w:rsidR="002E5EF8" w:rsidRDefault="002E5EF8">
            <w:pPr>
              <w:widowControl/>
              <w:jc w:val="center"/>
              <w:rPr>
                <w:rFonts w:ascii="宋体" w:eastAsia="宋体" w:hAnsi="宋体" w:cs="宋体" w:hint="eastAsia"/>
                <w:sz w:val="18"/>
                <w:szCs w:val="18"/>
              </w:rPr>
            </w:pPr>
          </w:p>
        </w:tc>
      </w:tr>
      <w:tr w:rsidR="002E5EF8" w14:paraId="4D665765"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666EF1E" w14:textId="77777777" w:rsidR="002E5EF8" w:rsidRDefault="002E5EF8">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CE132B2"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5CDF9D42"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155.00</w:t>
            </w:r>
          </w:p>
        </w:tc>
        <w:tc>
          <w:tcPr>
            <w:tcW w:w="1242" w:type="dxa"/>
            <w:tcBorders>
              <w:top w:val="nil"/>
              <w:left w:val="nil"/>
              <w:bottom w:val="single" w:sz="4" w:space="0" w:color="auto"/>
              <w:right w:val="single" w:sz="4" w:space="0" w:color="auto"/>
            </w:tcBorders>
            <w:vAlign w:val="center"/>
          </w:tcPr>
          <w:p w14:paraId="273BE652"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65.43</w:t>
            </w:r>
          </w:p>
        </w:tc>
        <w:tc>
          <w:tcPr>
            <w:tcW w:w="1417" w:type="dxa"/>
            <w:tcBorders>
              <w:top w:val="nil"/>
              <w:left w:val="nil"/>
              <w:bottom w:val="single" w:sz="4" w:space="0" w:color="auto"/>
              <w:right w:val="single" w:sz="4" w:space="0" w:color="auto"/>
            </w:tcBorders>
            <w:vAlign w:val="center"/>
          </w:tcPr>
          <w:p w14:paraId="1E0388D2"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56.97</w:t>
            </w:r>
          </w:p>
        </w:tc>
        <w:tc>
          <w:tcPr>
            <w:tcW w:w="1134" w:type="dxa"/>
            <w:tcBorders>
              <w:top w:val="nil"/>
              <w:left w:val="nil"/>
              <w:bottom w:val="single" w:sz="4" w:space="0" w:color="auto"/>
              <w:right w:val="single" w:sz="4" w:space="0" w:color="auto"/>
            </w:tcBorders>
            <w:vAlign w:val="center"/>
          </w:tcPr>
          <w:p w14:paraId="41EFB413" w14:textId="77777777" w:rsidR="002E5EF8"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21CFB5E7" w14:textId="77777777" w:rsidR="002E5EF8"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32B8E896" w14:textId="77777777" w:rsidR="002E5EF8"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3BC684DC" w14:textId="77777777" w:rsidR="002E5EF8" w:rsidRDefault="002E5EF8">
            <w:pPr>
              <w:widowControl/>
              <w:jc w:val="center"/>
              <w:rPr>
                <w:rFonts w:ascii="宋体" w:eastAsia="宋体" w:hAnsi="宋体" w:cs="宋体" w:hint="eastAsia"/>
                <w:sz w:val="18"/>
                <w:szCs w:val="18"/>
              </w:rPr>
            </w:pPr>
          </w:p>
        </w:tc>
      </w:tr>
      <w:tr w:rsidR="002E5EF8" w14:paraId="115A1029"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C270A0B" w14:textId="77777777" w:rsidR="002E5EF8" w:rsidRDefault="002E5EF8">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88C441D"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4A9F791B"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471.51</w:t>
            </w:r>
          </w:p>
        </w:tc>
        <w:tc>
          <w:tcPr>
            <w:tcW w:w="1242" w:type="dxa"/>
            <w:tcBorders>
              <w:top w:val="nil"/>
              <w:left w:val="nil"/>
              <w:bottom w:val="single" w:sz="4" w:space="0" w:color="auto"/>
              <w:right w:val="single" w:sz="4" w:space="0" w:color="auto"/>
            </w:tcBorders>
            <w:vAlign w:val="center"/>
          </w:tcPr>
          <w:p w14:paraId="365403BF"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728.76</w:t>
            </w:r>
          </w:p>
        </w:tc>
        <w:tc>
          <w:tcPr>
            <w:tcW w:w="1417" w:type="dxa"/>
            <w:tcBorders>
              <w:top w:val="nil"/>
              <w:left w:val="nil"/>
              <w:bottom w:val="single" w:sz="4" w:space="0" w:color="auto"/>
              <w:right w:val="single" w:sz="4" w:space="0" w:color="auto"/>
            </w:tcBorders>
            <w:vAlign w:val="center"/>
          </w:tcPr>
          <w:p w14:paraId="60867335"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720.30</w:t>
            </w:r>
          </w:p>
        </w:tc>
        <w:tc>
          <w:tcPr>
            <w:tcW w:w="1134" w:type="dxa"/>
            <w:tcBorders>
              <w:top w:val="nil"/>
              <w:left w:val="nil"/>
              <w:bottom w:val="single" w:sz="4" w:space="0" w:color="auto"/>
              <w:right w:val="single" w:sz="4" w:space="0" w:color="auto"/>
            </w:tcBorders>
            <w:vAlign w:val="center"/>
          </w:tcPr>
          <w:p w14:paraId="472C7675"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F15F3D3"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2D25DBA"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054C47F5" w14:textId="77777777" w:rsidR="002E5EF8" w:rsidRDefault="002E5EF8">
            <w:pPr>
              <w:widowControl/>
              <w:jc w:val="center"/>
              <w:rPr>
                <w:rFonts w:ascii="宋体" w:eastAsia="宋体" w:hAnsi="宋体" w:cs="宋体" w:hint="eastAsia"/>
                <w:sz w:val="18"/>
                <w:szCs w:val="18"/>
              </w:rPr>
            </w:pPr>
          </w:p>
        </w:tc>
      </w:tr>
      <w:tr w:rsidR="002E5EF8" w14:paraId="6BA6921C"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22A0458"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BA03691"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032540FD"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1F2EC1BB" w14:textId="77777777" w:rsidR="002E5EF8" w:rsidRDefault="002E5EF8">
            <w:pPr>
              <w:widowControl/>
              <w:jc w:val="left"/>
              <w:rPr>
                <w:rFonts w:ascii="宋体" w:eastAsia="宋体" w:hAnsi="宋体" w:cs="宋体" w:hint="eastAsia"/>
                <w:b/>
                <w:bCs/>
                <w:sz w:val="18"/>
                <w:szCs w:val="18"/>
              </w:rPr>
            </w:pPr>
          </w:p>
        </w:tc>
      </w:tr>
      <w:tr w:rsidR="002E5EF8" w14:paraId="08F78E13"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9F8C97C" w14:textId="77777777" w:rsidR="002E5EF8" w:rsidRDefault="002E5EF8">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2890E40" w14:textId="77777777" w:rsidR="002E5EF8"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奇台县委党校以习近平新时代中国特色社会主义思想为指导，深入学习宣传贯穿党的二十大精神，围绕区、州、县中心工作，推动整体工作：一是抓好教学工作，办好各类培训班次，2024年举办各类培训班次不少于20期，开展宣讲次数不少于35场次。二是做好科研工作，全年完成调研课题不少于3篇。三是进一步创新教学方法，不断提升教学质量，2024年至少打造1堂精品课。</w:t>
            </w:r>
          </w:p>
        </w:tc>
        <w:tc>
          <w:tcPr>
            <w:tcW w:w="4581" w:type="dxa"/>
            <w:gridSpan w:val="4"/>
            <w:tcBorders>
              <w:top w:val="single" w:sz="4" w:space="0" w:color="auto"/>
              <w:left w:val="nil"/>
              <w:bottom w:val="single" w:sz="4" w:space="0" w:color="auto"/>
              <w:right w:val="single" w:sz="4" w:space="0" w:color="auto"/>
            </w:tcBorders>
          </w:tcPr>
          <w:p w14:paraId="181635FF" w14:textId="77777777" w:rsidR="002E5EF8"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奇台县委党校全年预算为728.76万元，全年执行数为720.30万元，总预算执行率为98.84%。2024年我单位完成以下工作内容：1、举办各类培训班次20期；2、开展基层宣讲35场次；3、完成调研课题3篇；4、打造精品课1堂。通过以上工作的实施，2024年我校高质量完成全年干部教育培训任务，党员干部满意度不断提升，努力筑牢学科的学术根基、强化科研的支撑力量、推动教研互促相融，更好的发挥了党校献策、服务党委政府决策的资政作用。</w:t>
            </w:r>
          </w:p>
        </w:tc>
        <w:tc>
          <w:tcPr>
            <w:tcW w:w="284" w:type="dxa"/>
            <w:tcBorders>
              <w:top w:val="nil"/>
              <w:left w:val="nil"/>
              <w:bottom w:val="nil"/>
              <w:right w:val="nil"/>
            </w:tcBorders>
            <w:noWrap/>
            <w:vAlign w:val="center"/>
          </w:tcPr>
          <w:p w14:paraId="2C0B1972" w14:textId="77777777" w:rsidR="002E5EF8" w:rsidRDefault="002E5EF8">
            <w:pPr>
              <w:widowControl/>
              <w:jc w:val="left"/>
              <w:rPr>
                <w:rFonts w:ascii="宋体" w:eastAsia="宋体" w:hAnsi="宋体" w:cs="宋体" w:hint="eastAsia"/>
                <w:sz w:val="18"/>
                <w:szCs w:val="18"/>
              </w:rPr>
            </w:pPr>
          </w:p>
        </w:tc>
      </w:tr>
      <w:tr w:rsidR="002E5EF8" w14:paraId="0132EA5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CB6DB0A"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33217848"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0788090B"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2FAD8F22"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3F828D09"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195B8248"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2DEC007F"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6F4B0D85" w14:textId="77777777" w:rsidR="002E5EF8"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6D55AD41" w14:textId="77777777" w:rsidR="002E5EF8" w:rsidRDefault="002E5EF8">
            <w:pPr>
              <w:widowControl/>
              <w:jc w:val="left"/>
              <w:rPr>
                <w:rFonts w:ascii="宋体" w:eastAsia="宋体" w:hAnsi="宋体" w:cs="宋体" w:hint="eastAsia"/>
                <w:b/>
                <w:bCs/>
                <w:sz w:val="18"/>
                <w:szCs w:val="18"/>
              </w:rPr>
            </w:pPr>
          </w:p>
        </w:tc>
      </w:tr>
      <w:tr w:rsidR="002E5EF8" w14:paraId="0943F048"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34665D9"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1E5A2BA0"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6811C1BB"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举办各类培训</w:t>
            </w:r>
            <w:proofErr w:type="gramStart"/>
            <w:r>
              <w:rPr>
                <w:rFonts w:ascii="宋体" w:eastAsia="宋体" w:hAnsi="宋体" w:cs="宋体" w:hint="eastAsia"/>
                <w:sz w:val="18"/>
                <w:szCs w:val="18"/>
              </w:rPr>
              <w:t>班期数</w:t>
            </w:r>
            <w:proofErr w:type="gramEnd"/>
          </w:p>
        </w:tc>
        <w:tc>
          <w:tcPr>
            <w:tcW w:w="1242" w:type="dxa"/>
            <w:tcBorders>
              <w:top w:val="nil"/>
              <w:left w:val="nil"/>
              <w:bottom w:val="single" w:sz="4" w:space="0" w:color="auto"/>
              <w:right w:val="single" w:sz="4" w:space="0" w:color="auto"/>
            </w:tcBorders>
            <w:noWrap/>
            <w:vAlign w:val="center"/>
          </w:tcPr>
          <w:p w14:paraId="38F0A956"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&gt;=20期</w:t>
            </w:r>
          </w:p>
        </w:tc>
        <w:tc>
          <w:tcPr>
            <w:tcW w:w="1417" w:type="dxa"/>
            <w:tcBorders>
              <w:top w:val="nil"/>
              <w:left w:val="nil"/>
              <w:bottom w:val="single" w:sz="4" w:space="0" w:color="auto"/>
              <w:right w:val="single" w:sz="4" w:space="0" w:color="auto"/>
            </w:tcBorders>
            <w:noWrap/>
            <w:vAlign w:val="center"/>
          </w:tcPr>
          <w:p w14:paraId="041930BD" w14:textId="77777777" w:rsidR="002E5EF8"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《2024年奇台县绩效考核指标》</w:t>
            </w:r>
          </w:p>
        </w:tc>
        <w:tc>
          <w:tcPr>
            <w:tcW w:w="1134" w:type="dxa"/>
            <w:tcBorders>
              <w:top w:val="nil"/>
              <w:left w:val="nil"/>
              <w:bottom w:val="single" w:sz="4" w:space="0" w:color="auto"/>
              <w:right w:val="single" w:sz="4" w:space="0" w:color="auto"/>
            </w:tcBorders>
            <w:noWrap/>
            <w:vAlign w:val="center"/>
          </w:tcPr>
          <w:p w14:paraId="250FC786"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56D1E79B"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=20期</w:t>
            </w:r>
          </w:p>
        </w:tc>
        <w:tc>
          <w:tcPr>
            <w:tcW w:w="720" w:type="dxa"/>
            <w:tcBorders>
              <w:top w:val="nil"/>
              <w:left w:val="nil"/>
              <w:bottom w:val="single" w:sz="4" w:space="0" w:color="auto"/>
              <w:right w:val="single" w:sz="4" w:space="0" w:color="auto"/>
            </w:tcBorders>
            <w:noWrap/>
            <w:vAlign w:val="center"/>
          </w:tcPr>
          <w:p w14:paraId="669FAB7C"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62704DE6" w14:textId="77777777" w:rsidR="002E5EF8" w:rsidRDefault="002E5EF8">
            <w:pPr>
              <w:widowControl/>
              <w:jc w:val="center"/>
              <w:rPr>
                <w:rFonts w:ascii="宋体" w:eastAsia="宋体" w:hAnsi="宋体" w:cs="宋体" w:hint="eastAsia"/>
                <w:sz w:val="18"/>
                <w:szCs w:val="18"/>
              </w:rPr>
            </w:pPr>
          </w:p>
        </w:tc>
      </w:tr>
      <w:tr w:rsidR="002E5EF8" w14:paraId="233B8E57" w14:textId="77777777">
        <w:trPr>
          <w:cantSplit/>
          <w:trHeight w:val="740"/>
        </w:trPr>
        <w:tc>
          <w:tcPr>
            <w:tcW w:w="993" w:type="dxa"/>
            <w:vMerge/>
            <w:tcBorders>
              <w:left w:val="single" w:sz="4" w:space="0" w:color="auto"/>
              <w:right w:val="single" w:sz="4" w:space="0" w:color="auto"/>
            </w:tcBorders>
            <w:noWrap/>
            <w:vAlign w:val="center"/>
          </w:tcPr>
          <w:p w14:paraId="3455A28C" w14:textId="77777777" w:rsidR="002E5EF8" w:rsidRDefault="002E5EF8">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4C43490" w14:textId="77777777" w:rsidR="002E5EF8" w:rsidRDefault="002E5EF8">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D5D25DA"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开展宣讲次数</w:t>
            </w:r>
          </w:p>
        </w:tc>
        <w:tc>
          <w:tcPr>
            <w:tcW w:w="1242" w:type="dxa"/>
            <w:tcBorders>
              <w:top w:val="nil"/>
              <w:left w:val="nil"/>
              <w:bottom w:val="single" w:sz="4" w:space="0" w:color="auto"/>
              <w:right w:val="single" w:sz="4" w:space="0" w:color="auto"/>
            </w:tcBorders>
            <w:noWrap/>
            <w:vAlign w:val="center"/>
          </w:tcPr>
          <w:p w14:paraId="2680A243"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&gt;=35场次</w:t>
            </w:r>
          </w:p>
        </w:tc>
        <w:tc>
          <w:tcPr>
            <w:tcW w:w="1417" w:type="dxa"/>
            <w:tcBorders>
              <w:top w:val="nil"/>
              <w:left w:val="nil"/>
              <w:bottom w:val="single" w:sz="4" w:space="0" w:color="auto"/>
              <w:right w:val="single" w:sz="4" w:space="0" w:color="auto"/>
            </w:tcBorders>
            <w:noWrap/>
            <w:vAlign w:val="center"/>
          </w:tcPr>
          <w:p w14:paraId="29F2C6F1" w14:textId="77777777" w:rsidR="002E5EF8"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《2024年奇台县绩效考核指标》</w:t>
            </w:r>
          </w:p>
        </w:tc>
        <w:tc>
          <w:tcPr>
            <w:tcW w:w="1134" w:type="dxa"/>
            <w:tcBorders>
              <w:top w:val="nil"/>
              <w:left w:val="nil"/>
              <w:bottom w:val="single" w:sz="4" w:space="0" w:color="auto"/>
              <w:right w:val="single" w:sz="4" w:space="0" w:color="auto"/>
            </w:tcBorders>
            <w:noWrap/>
            <w:vAlign w:val="center"/>
          </w:tcPr>
          <w:p w14:paraId="62043543"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54853BFF"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=35场次</w:t>
            </w:r>
          </w:p>
        </w:tc>
        <w:tc>
          <w:tcPr>
            <w:tcW w:w="720" w:type="dxa"/>
            <w:tcBorders>
              <w:top w:val="nil"/>
              <w:left w:val="nil"/>
              <w:bottom w:val="single" w:sz="4" w:space="0" w:color="auto"/>
              <w:right w:val="single" w:sz="4" w:space="0" w:color="auto"/>
            </w:tcBorders>
            <w:noWrap/>
            <w:vAlign w:val="center"/>
          </w:tcPr>
          <w:p w14:paraId="3BDE04A1"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1F72BCA1" w14:textId="77777777" w:rsidR="002E5EF8" w:rsidRDefault="002E5EF8">
            <w:pPr>
              <w:widowControl/>
              <w:jc w:val="center"/>
              <w:rPr>
                <w:rFonts w:ascii="宋体" w:eastAsia="宋体" w:hAnsi="宋体" w:cs="宋体" w:hint="eastAsia"/>
                <w:sz w:val="18"/>
                <w:szCs w:val="18"/>
              </w:rPr>
            </w:pPr>
          </w:p>
        </w:tc>
      </w:tr>
      <w:tr w:rsidR="002E5EF8" w14:paraId="4976F2D9" w14:textId="77777777">
        <w:trPr>
          <w:cantSplit/>
          <w:trHeight w:val="740"/>
        </w:trPr>
        <w:tc>
          <w:tcPr>
            <w:tcW w:w="993" w:type="dxa"/>
            <w:vMerge/>
            <w:tcBorders>
              <w:left w:val="single" w:sz="4" w:space="0" w:color="auto"/>
              <w:right w:val="single" w:sz="4" w:space="0" w:color="auto"/>
            </w:tcBorders>
            <w:noWrap/>
            <w:vAlign w:val="center"/>
          </w:tcPr>
          <w:p w14:paraId="4BC00221" w14:textId="77777777" w:rsidR="002E5EF8" w:rsidRDefault="002E5EF8">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93ECBBC" w14:textId="77777777" w:rsidR="002E5EF8" w:rsidRDefault="002E5EF8">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0EB633C"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打造精品</w:t>
            </w:r>
            <w:proofErr w:type="gramStart"/>
            <w:r>
              <w:rPr>
                <w:rFonts w:ascii="宋体" w:eastAsia="宋体" w:hAnsi="宋体" w:cs="宋体" w:hint="eastAsia"/>
                <w:sz w:val="18"/>
                <w:szCs w:val="18"/>
              </w:rPr>
              <w:t>课数量</w:t>
            </w:r>
            <w:proofErr w:type="gramEnd"/>
          </w:p>
        </w:tc>
        <w:tc>
          <w:tcPr>
            <w:tcW w:w="1242" w:type="dxa"/>
            <w:tcBorders>
              <w:top w:val="nil"/>
              <w:left w:val="nil"/>
              <w:bottom w:val="single" w:sz="4" w:space="0" w:color="auto"/>
              <w:right w:val="single" w:sz="4" w:space="0" w:color="auto"/>
            </w:tcBorders>
            <w:noWrap/>
            <w:vAlign w:val="center"/>
          </w:tcPr>
          <w:p w14:paraId="2387B2A1"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&gt;=1堂</w:t>
            </w:r>
          </w:p>
        </w:tc>
        <w:tc>
          <w:tcPr>
            <w:tcW w:w="1417" w:type="dxa"/>
            <w:tcBorders>
              <w:top w:val="nil"/>
              <w:left w:val="nil"/>
              <w:bottom w:val="single" w:sz="4" w:space="0" w:color="auto"/>
              <w:right w:val="single" w:sz="4" w:space="0" w:color="auto"/>
            </w:tcBorders>
            <w:noWrap/>
            <w:vAlign w:val="center"/>
          </w:tcPr>
          <w:p w14:paraId="47556086" w14:textId="77777777" w:rsidR="002E5EF8"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《2024年奇台县绩效考核指标》</w:t>
            </w:r>
          </w:p>
        </w:tc>
        <w:tc>
          <w:tcPr>
            <w:tcW w:w="1134" w:type="dxa"/>
            <w:tcBorders>
              <w:top w:val="nil"/>
              <w:left w:val="nil"/>
              <w:bottom w:val="single" w:sz="4" w:space="0" w:color="auto"/>
              <w:right w:val="single" w:sz="4" w:space="0" w:color="auto"/>
            </w:tcBorders>
            <w:noWrap/>
            <w:vAlign w:val="center"/>
          </w:tcPr>
          <w:p w14:paraId="541CCE67"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DC6EF03"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=1堂</w:t>
            </w:r>
          </w:p>
        </w:tc>
        <w:tc>
          <w:tcPr>
            <w:tcW w:w="720" w:type="dxa"/>
            <w:tcBorders>
              <w:top w:val="nil"/>
              <w:left w:val="nil"/>
              <w:bottom w:val="single" w:sz="4" w:space="0" w:color="auto"/>
              <w:right w:val="single" w:sz="4" w:space="0" w:color="auto"/>
            </w:tcBorders>
            <w:noWrap/>
            <w:vAlign w:val="center"/>
          </w:tcPr>
          <w:p w14:paraId="45B468A6"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C54F7C0" w14:textId="77777777" w:rsidR="002E5EF8" w:rsidRDefault="002E5EF8">
            <w:pPr>
              <w:widowControl/>
              <w:jc w:val="center"/>
              <w:rPr>
                <w:rFonts w:ascii="宋体" w:eastAsia="宋体" w:hAnsi="宋体" w:cs="宋体" w:hint="eastAsia"/>
                <w:sz w:val="18"/>
                <w:szCs w:val="18"/>
              </w:rPr>
            </w:pPr>
          </w:p>
        </w:tc>
      </w:tr>
      <w:tr w:rsidR="002E5EF8" w14:paraId="3848677B"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C8324DD" w14:textId="77777777" w:rsidR="002E5EF8" w:rsidRDefault="002E5EF8">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68F96D62" w14:textId="77777777" w:rsidR="002E5EF8" w:rsidRDefault="002E5EF8">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B32EC74"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完成调研课题篇数</w:t>
            </w:r>
          </w:p>
        </w:tc>
        <w:tc>
          <w:tcPr>
            <w:tcW w:w="1242" w:type="dxa"/>
            <w:tcBorders>
              <w:top w:val="nil"/>
              <w:left w:val="nil"/>
              <w:bottom w:val="single" w:sz="4" w:space="0" w:color="auto"/>
              <w:right w:val="single" w:sz="4" w:space="0" w:color="auto"/>
            </w:tcBorders>
            <w:noWrap/>
            <w:vAlign w:val="center"/>
          </w:tcPr>
          <w:p w14:paraId="66B57E2C"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&gt;=3篇</w:t>
            </w:r>
          </w:p>
        </w:tc>
        <w:tc>
          <w:tcPr>
            <w:tcW w:w="1417" w:type="dxa"/>
            <w:tcBorders>
              <w:top w:val="nil"/>
              <w:left w:val="nil"/>
              <w:bottom w:val="single" w:sz="4" w:space="0" w:color="auto"/>
              <w:right w:val="single" w:sz="4" w:space="0" w:color="auto"/>
            </w:tcBorders>
            <w:noWrap/>
            <w:vAlign w:val="center"/>
          </w:tcPr>
          <w:p w14:paraId="776D907C" w14:textId="77777777" w:rsidR="002E5EF8"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《2024年奇台县绩效考核指标》</w:t>
            </w:r>
          </w:p>
        </w:tc>
        <w:tc>
          <w:tcPr>
            <w:tcW w:w="1134" w:type="dxa"/>
            <w:tcBorders>
              <w:top w:val="nil"/>
              <w:left w:val="nil"/>
              <w:bottom w:val="single" w:sz="4" w:space="0" w:color="auto"/>
              <w:right w:val="single" w:sz="4" w:space="0" w:color="auto"/>
            </w:tcBorders>
            <w:noWrap/>
            <w:vAlign w:val="center"/>
          </w:tcPr>
          <w:p w14:paraId="5C651B92"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D7E5084"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=3篇</w:t>
            </w:r>
          </w:p>
        </w:tc>
        <w:tc>
          <w:tcPr>
            <w:tcW w:w="720" w:type="dxa"/>
            <w:tcBorders>
              <w:top w:val="nil"/>
              <w:left w:val="nil"/>
              <w:bottom w:val="single" w:sz="4" w:space="0" w:color="auto"/>
              <w:right w:val="single" w:sz="4" w:space="0" w:color="auto"/>
            </w:tcBorders>
            <w:noWrap/>
            <w:vAlign w:val="center"/>
          </w:tcPr>
          <w:p w14:paraId="1FB9CA58" w14:textId="77777777" w:rsidR="002E5EF8"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1A8C21B" w14:textId="77777777" w:rsidR="002E5EF8" w:rsidRDefault="002E5EF8">
            <w:pPr>
              <w:widowControl/>
              <w:jc w:val="center"/>
              <w:rPr>
                <w:rFonts w:ascii="宋体" w:eastAsia="宋体" w:hAnsi="宋体" w:cs="宋体" w:hint="eastAsia"/>
                <w:sz w:val="18"/>
                <w:szCs w:val="18"/>
              </w:rPr>
            </w:pPr>
          </w:p>
        </w:tc>
      </w:tr>
    </w:tbl>
    <w:p w14:paraId="407C599E" w14:textId="77777777" w:rsidR="002E5EF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9213089" w14:textId="77777777" w:rsidR="002E5EF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2E5EF8" w14:paraId="3B5A7795"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4DB4305" w14:textId="77777777" w:rsidR="002E5EF8"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876B37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党校一号会议室暨学员培训教室音响设备更新费用</w:t>
            </w:r>
          </w:p>
        </w:tc>
      </w:tr>
      <w:tr w:rsidR="002E5EF8" w14:paraId="489FE834"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A6DC62B"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6F5048B6"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中共奇台县委员会党校（奇台县行政学校）</w:t>
            </w:r>
          </w:p>
        </w:tc>
        <w:tc>
          <w:tcPr>
            <w:tcW w:w="666" w:type="pct"/>
            <w:gridSpan w:val="2"/>
            <w:tcBorders>
              <w:top w:val="single" w:sz="4" w:space="0" w:color="auto"/>
              <w:left w:val="nil"/>
              <w:bottom w:val="single" w:sz="4" w:space="0" w:color="auto"/>
              <w:right w:val="single" w:sz="4" w:space="0" w:color="auto"/>
            </w:tcBorders>
            <w:vAlign w:val="center"/>
          </w:tcPr>
          <w:p w14:paraId="1AC2D306"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0D3026B2"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中共奇台县委员会党校（奇台县行政学校）</w:t>
            </w:r>
          </w:p>
        </w:tc>
      </w:tr>
      <w:tr w:rsidR="002E5EF8" w14:paraId="5AF75C5F"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F5C8AF0"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2F9F2CEA" w14:textId="77777777" w:rsidR="002E5EF8" w:rsidRDefault="002E5EF8">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6965374B"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4C2791C8"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248B9CCE"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5603DF3C"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7A86AC9B"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57E6FBA6"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E5EF8" w14:paraId="1842E51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5F7E539" w14:textId="77777777" w:rsidR="002E5EF8" w:rsidRDefault="002E5EF8">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09D529B"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4134417"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2" w:type="pct"/>
            <w:gridSpan w:val="3"/>
            <w:tcBorders>
              <w:top w:val="single" w:sz="4" w:space="0" w:color="auto"/>
              <w:left w:val="nil"/>
              <w:bottom w:val="single" w:sz="4" w:space="0" w:color="auto"/>
              <w:right w:val="single" w:sz="4" w:space="0" w:color="auto"/>
            </w:tcBorders>
            <w:vAlign w:val="center"/>
          </w:tcPr>
          <w:p w14:paraId="4D99024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66" w:type="pct"/>
            <w:gridSpan w:val="2"/>
            <w:tcBorders>
              <w:top w:val="single" w:sz="4" w:space="0" w:color="auto"/>
              <w:left w:val="nil"/>
              <w:bottom w:val="single" w:sz="4" w:space="0" w:color="auto"/>
              <w:right w:val="single" w:sz="4" w:space="0" w:color="auto"/>
            </w:tcBorders>
            <w:vAlign w:val="center"/>
          </w:tcPr>
          <w:p w14:paraId="75DB2172"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8" w:type="pct"/>
            <w:gridSpan w:val="2"/>
            <w:tcBorders>
              <w:top w:val="nil"/>
              <w:left w:val="nil"/>
              <w:bottom w:val="single" w:sz="4" w:space="0" w:color="auto"/>
              <w:right w:val="single" w:sz="4" w:space="0" w:color="auto"/>
            </w:tcBorders>
            <w:vAlign w:val="center"/>
          </w:tcPr>
          <w:p w14:paraId="0C4E829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AB5DB3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16B19F8E"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E5EF8" w14:paraId="43B34A6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6665017" w14:textId="77777777" w:rsidR="002E5EF8" w:rsidRDefault="002E5EF8">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EC00366"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C605A7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2" w:type="pct"/>
            <w:gridSpan w:val="3"/>
            <w:tcBorders>
              <w:top w:val="single" w:sz="4" w:space="0" w:color="auto"/>
              <w:left w:val="nil"/>
              <w:bottom w:val="single" w:sz="4" w:space="0" w:color="auto"/>
              <w:right w:val="single" w:sz="4" w:space="0" w:color="auto"/>
            </w:tcBorders>
            <w:vAlign w:val="center"/>
          </w:tcPr>
          <w:p w14:paraId="16BA165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66" w:type="pct"/>
            <w:gridSpan w:val="2"/>
            <w:tcBorders>
              <w:top w:val="single" w:sz="4" w:space="0" w:color="auto"/>
              <w:left w:val="nil"/>
              <w:bottom w:val="single" w:sz="4" w:space="0" w:color="auto"/>
              <w:right w:val="single" w:sz="4" w:space="0" w:color="auto"/>
            </w:tcBorders>
            <w:vAlign w:val="center"/>
          </w:tcPr>
          <w:p w14:paraId="036BCB10"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8" w:type="pct"/>
            <w:gridSpan w:val="2"/>
            <w:tcBorders>
              <w:top w:val="nil"/>
              <w:left w:val="nil"/>
              <w:bottom w:val="single" w:sz="4" w:space="0" w:color="auto"/>
              <w:right w:val="single" w:sz="4" w:space="0" w:color="auto"/>
            </w:tcBorders>
            <w:vAlign w:val="center"/>
          </w:tcPr>
          <w:p w14:paraId="1507E33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DFE851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509E59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E5EF8" w14:paraId="73DD44F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32C4C41" w14:textId="77777777" w:rsidR="002E5EF8" w:rsidRDefault="002E5EF8">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1C40D72"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8E191A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445BC4C"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A2DD114"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37ED9E1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47443B0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5899FB40"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E5EF8" w14:paraId="774A6647"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BB5393F"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3B0DF734"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12103027"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E5EF8" w14:paraId="5A5414D7"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6757495" w14:textId="77777777" w:rsidR="002E5EF8" w:rsidRDefault="002E5EF8">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69CD56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w:t>
            </w:r>
            <w:proofErr w:type="gramStart"/>
            <w:r>
              <w:rPr>
                <w:rFonts w:ascii="宋体" w:eastAsia="宋体" w:hAnsi="宋体" w:cs="宋体" w:hint="eastAsia"/>
                <w:color w:val="000000"/>
                <w:sz w:val="18"/>
                <w:szCs w:val="18"/>
              </w:rPr>
              <w:t>奇财行</w:t>
            </w:r>
            <w:proofErr w:type="gramEnd"/>
            <w:r>
              <w:rPr>
                <w:rFonts w:ascii="宋体" w:eastAsia="宋体" w:hAnsi="宋体" w:cs="宋体" w:hint="eastAsia"/>
                <w:color w:val="000000"/>
                <w:sz w:val="18"/>
                <w:szCs w:val="18"/>
              </w:rPr>
              <w:t>[2024]36号《关于下达党校培训教室音响设备更新资金的通知》，奇台县委党校运用此项资金对一号会议室和学员培训教室音响设备进行提升改造，用于更换话筒设备，更换功放设备及更换音箱设备等，进一步提升县级大型会议会务保障及确保学员学习培训效果。</w:t>
            </w:r>
          </w:p>
        </w:tc>
        <w:tc>
          <w:tcPr>
            <w:tcW w:w="2534" w:type="pct"/>
            <w:gridSpan w:val="7"/>
            <w:tcBorders>
              <w:top w:val="single" w:sz="4" w:space="0" w:color="auto"/>
              <w:left w:val="nil"/>
              <w:bottom w:val="single" w:sz="4" w:space="0" w:color="auto"/>
              <w:right w:val="single" w:sz="4" w:space="0" w:color="auto"/>
            </w:tcBorders>
            <w:vAlign w:val="center"/>
          </w:tcPr>
          <w:p w14:paraId="7CCCAE1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截止2024年12月31日，该项目实际购置功放2台、话筒22件；通过该项目的实施，提升了县委大型会议会务保障和学员培训效果，促进了党群干群关系。</w:t>
            </w:r>
          </w:p>
        </w:tc>
      </w:tr>
      <w:tr w:rsidR="002E5EF8" w14:paraId="2174B3F5" w14:textId="77777777">
        <w:trPr>
          <w:trHeight w:val="820"/>
        </w:trPr>
        <w:tc>
          <w:tcPr>
            <w:tcW w:w="332" w:type="pct"/>
            <w:tcBorders>
              <w:top w:val="nil"/>
              <w:left w:val="single" w:sz="4" w:space="0" w:color="auto"/>
              <w:bottom w:val="single" w:sz="4" w:space="0" w:color="auto"/>
              <w:right w:val="single" w:sz="4" w:space="0" w:color="auto"/>
            </w:tcBorders>
            <w:vAlign w:val="center"/>
          </w:tcPr>
          <w:p w14:paraId="21A66AA2" w14:textId="77777777" w:rsidR="002E5EF8" w:rsidRDefault="002E5EF8">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C40091A"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39F0E76A"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5A89166D"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2FDBB097"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5C7BE8BC"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40F1C10E"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26610D7F"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3B9A548F"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0ABD80A3"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34D5B69F"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5545F5DC" w14:textId="77777777" w:rsidR="002E5EF8"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261BC952"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72D0CFAD"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2E5EF8" w14:paraId="3E1EDB8C" w14:textId="77777777">
        <w:trPr>
          <w:trHeight w:val="800"/>
        </w:trPr>
        <w:tc>
          <w:tcPr>
            <w:tcW w:w="332" w:type="pct"/>
            <w:vMerge w:val="restart"/>
            <w:tcBorders>
              <w:top w:val="nil"/>
              <w:left w:val="single" w:sz="4" w:space="0" w:color="auto"/>
              <w:right w:val="single" w:sz="4" w:space="0" w:color="auto"/>
            </w:tcBorders>
            <w:vAlign w:val="center"/>
          </w:tcPr>
          <w:p w14:paraId="5E8BF19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2EEF365C"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4FD1BEE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D66C81F" w14:textId="77777777" w:rsidR="002E5EF8"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功放购置数</w:t>
            </w:r>
          </w:p>
        </w:tc>
        <w:tc>
          <w:tcPr>
            <w:tcW w:w="338" w:type="pct"/>
            <w:tcBorders>
              <w:top w:val="nil"/>
              <w:left w:val="nil"/>
              <w:bottom w:val="single" w:sz="4" w:space="0" w:color="auto"/>
              <w:right w:val="single" w:sz="4" w:space="0" w:color="auto"/>
            </w:tcBorders>
            <w:vAlign w:val="center"/>
          </w:tcPr>
          <w:p w14:paraId="49B03B1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2E59CA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&gt;=2台</w:t>
            </w:r>
          </w:p>
        </w:tc>
        <w:tc>
          <w:tcPr>
            <w:tcW w:w="337" w:type="pct"/>
            <w:tcBorders>
              <w:top w:val="nil"/>
              <w:left w:val="nil"/>
              <w:bottom w:val="single" w:sz="4" w:space="0" w:color="auto"/>
              <w:right w:val="single" w:sz="4" w:space="0" w:color="auto"/>
            </w:tcBorders>
            <w:vAlign w:val="center"/>
          </w:tcPr>
          <w:p w14:paraId="6643841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=4台</w:t>
            </w:r>
          </w:p>
        </w:tc>
        <w:tc>
          <w:tcPr>
            <w:tcW w:w="332" w:type="pct"/>
            <w:tcBorders>
              <w:top w:val="nil"/>
              <w:left w:val="nil"/>
              <w:bottom w:val="single" w:sz="4" w:space="0" w:color="auto"/>
              <w:right w:val="single" w:sz="4" w:space="0" w:color="auto"/>
            </w:tcBorders>
            <w:vAlign w:val="center"/>
          </w:tcPr>
          <w:p w14:paraId="6B503A7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334" w:type="pct"/>
            <w:tcBorders>
              <w:top w:val="nil"/>
              <w:left w:val="nil"/>
              <w:bottom w:val="single" w:sz="4" w:space="0" w:color="auto"/>
              <w:right w:val="single" w:sz="4" w:space="0" w:color="auto"/>
            </w:tcBorders>
            <w:vAlign w:val="center"/>
          </w:tcPr>
          <w:p w14:paraId="204C734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7730B4F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F57C82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3DA7D5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4C47990"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302BCBF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偏差原因：制定绩效目标时计划不到位；改进措施：今后进一步加强项目资金预算管理，严格制定项目支出计划，确保项目资金管理使用到位。</w:t>
            </w:r>
          </w:p>
        </w:tc>
      </w:tr>
      <w:tr w:rsidR="002E5EF8" w14:paraId="354689FB" w14:textId="77777777">
        <w:trPr>
          <w:trHeight w:val="800"/>
        </w:trPr>
        <w:tc>
          <w:tcPr>
            <w:tcW w:w="332" w:type="pct"/>
            <w:vMerge/>
            <w:tcBorders>
              <w:left w:val="single" w:sz="4" w:space="0" w:color="auto"/>
              <w:right w:val="single" w:sz="4" w:space="0" w:color="auto"/>
            </w:tcBorders>
            <w:vAlign w:val="center"/>
          </w:tcPr>
          <w:p w14:paraId="1AEADB73" w14:textId="77777777" w:rsidR="002E5EF8" w:rsidRDefault="002E5EF8">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15BB970" w14:textId="77777777" w:rsidR="002E5EF8" w:rsidRDefault="002E5EF8">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4ECCD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2A2174D" w14:textId="77777777" w:rsidR="002E5EF8"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话筒购置数</w:t>
            </w:r>
          </w:p>
        </w:tc>
        <w:tc>
          <w:tcPr>
            <w:tcW w:w="338" w:type="pct"/>
            <w:tcBorders>
              <w:top w:val="nil"/>
              <w:left w:val="nil"/>
              <w:bottom w:val="single" w:sz="4" w:space="0" w:color="auto"/>
              <w:right w:val="single" w:sz="4" w:space="0" w:color="auto"/>
            </w:tcBorders>
            <w:vAlign w:val="center"/>
          </w:tcPr>
          <w:p w14:paraId="64699DC2"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922C7DE"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&gt;=22件</w:t>
            </w:r>
          </w:p>
        </w:tc>
        <w:tc>
          <w:tcPr>
            <w:tcW w:w="337" w:type="pct"/>
            <w:tcBorders>
              <w:top w:val="nil"/>
              <w:left w:val="nil"/>
              <w:bottom w:val="single" w:sz="4" w:space="0" w:color="auto"/>
              <w:right w:val="single" w:sz="4" w:space="0" w:color="auto"/>
            </w:tcBorders>
            <w:vAlign w:val="center"/>
          </w:tcPr>
          <w:p w14:paraId="5ECF463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=26件</w:t>
            </w:r>
          </w:p>
        </w:tc>
        <w:tc>
          <w:tcPr>
            <w:tcW w:w="332" w:type="pct"/>
            <w:tcBorders>
              <w:top w:val="nil"/>
              <w:left w:val="nil"/>
              <w:bottom w:val="single" w:sz="4" w:space="0" w:color="auto"/>
              <w:right w:val="single" w:sz="4" w:space="0" w:color="auto"/>
            </w:tcBorders>
            <w:vAlign w:val="center"/>
          </w:tcPr>
          <w:p w14:paraId="4D0E71C2"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w:t>
            </w:r>
          </w:p>
        </w:tc>
        <w:tc>
          <w:tcPr>
            <w:tcW w:w="334" w:type="pct"/>
            <w:tcBorders>
              <w:top w:val="nil"/>
              <w:left w:val="nil"/>
              <w:bottom w:val="single" w:sz="4" w:space="0" w:color="auto"/>
              <w:right w:val="single" w:sz="4" w:space="0" w:color="auto"/>
            </w:tcBorders>
            <w:vAlign w:val="center"/>
          </w:tcPr>
          <w:p w14:paraId="588FE964"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w:t>
            </w:r>
          </w:p>
        </w:tc>
        <w:tc>
          <w:tcPr>
            <w:tcW w:w="346" w:type="pct"/>
            <w:tcBorders>
              <w:top w:val="nil"/>
              <w:left w:val="nil"/>
              <w:bottom w:val="single" w:sz="4" w:space="0" w:color="auto"/>
              <w:right w:val="single" w:sz="4" w:space="0" w:color="auto"/>
            </w:tcBorders>
            <w:vAlign w:val="center"/>
          </w:tcPr>
          <w:p w14:paraId="72F16767"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E24F237" w14:textId="77777777" w:rsidR="002E5EF8" w:rsidRDefault="002E5EF8">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4CB40CB"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8E3AE44"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688C799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偏差原因：制定绩效目标时计划不到位；改进措施：今后进一步加强项目资金预算管理，严格制定项目支出计划，确保项目资金管理使用到位。</w:t>
            </w:r>
          </w:p>
        </w:tc>
      </w:tr>
      <w:tr w:rsidR="002E5EF8" w14:paraId="7B2A2640" w14:textId="77777777">
        <w:trPr>
          <w:trHeight w:val="800"/>
        </w:trPr>
        <w:tc>
          <w:tcPr>
            <w:tcW w:w="332" w:type="pct"/>
            <w:vMerge/>
            <w:tcBorders>
              <w:left w:val="single" w:sz="4" w:space="0" w:color="auto"/>
              <w:right w:val="single" w:sz="4" w:space="0" w:color="auto"/>
            </w:tcBorders>
            <w:vAlign w:val="center"/>
          </w:tcPr>
          <w:p w14:paraId="17D9BF82" w14:textId="77777777" w:rsidR="002E5EF8" w:rsidRDefault="002E5EF8">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51D97C5" w14:textId="77777777" w:rsidR="002E5EF8" w:rsidRDefault="002E5EF8">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DDE12CC"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553648E" w14:textId="77777777" w:rsidR="002E5EF8"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设备验收合格率</w:t>
            </w:r>
          </w:p>
        </w:tc>
        <w:tc>
          <w:tcPr>
            <w:tcW w:w="338" w:type="pct"/>
            <w:tcBorders>
              <w:top w:val="nil"/>
              <w:left w:val="nil"/>
              <w:bottom w:val="single" w:sz="4" w:space="0" w:color="auto"/>
              <w:right w:val="single" w:sz="4" w:space="0" w:color="auto"/>
            </w:tcBorders>
            <w:vAlign w:val="center"/>
          </w:tcPr>
          <w:p w14:paraId="7552AB6C"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7E278F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5825464"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03B751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0345C1E"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5BDEE2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7444992"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F415BF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9C379BB"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52BB3C21" w14:textId="77777777" w:rsidR="002E5EF8" w:rsidRDefault="002E5EF8">
            <w:pPr>
              <w:widowControl/>
              <w:jc w:val="center"/>
              <w:rPr>
                <w:rFonts w:ascii="宋体" w:eastAsia="宋体" w:hAnsi="宋体" w:cs="宋体" w:hint="eastAsia"/>
                <w:color w:val="000000"/>
                <w:sz w:val="18"/>
                <w:szCs w:val="18"/>
              </w:rPr>
            </w:pPr>
          </w:p>
        </w:tc>
      </w:tr>
      <w:tr w:rsidR="002E5EF8" w14:paraId="15DE0B14" w14:textId="77777777">
        <w:trPr>
          <w:trHeight w:val="800"/>
        </w:trPr>
        <w:tc>
          <w:tcPr>
            <w:tcW w:w="332" w:type="pct"/>
            <w:vMerge/>
            <w:tcBorders>
              <w:left w:val="single" w:sz="4" w:space="0" w:color="auto"/>
              <w:right w:val="single" w:sz="4" w:space="0" w:color="auto"/>
            </w:tcBorders>
            <w:vAlign w:val="center"/>
          </w:tcPr>
          <w:p w14:paraId="3840CF7B" w14:textId="77777777" w:rsidR="002E5EF8" w:rsidRDefault="002E5EF8">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67CD386" w14:textId="77777777" w:rsidR="002E5EF8" w:rsidRDefault="002E5EF8">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5A21E6D"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3A20AA23" w14:textId="77777777" w:rsidR="002E5EF8"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设备购置完成时间</w:t>
            </w:r>
          </w:p>
        </w:tc>
        <w:tc>
          <w:tcPr>
            <w:tcW w:w="338" w:type="pct"/>
            <w:tcBorders>
              <w:top w:val="nil"/>
              <w:left w:val="nil"/>
              <w:bottom w:val="single" w:sz="4" w:space="0" w:color="auto"/>
              <w:right w:val="single" w:sz="4" w:space="0" w:color="auto"/>
            </w:tcBorders>
            <w:vAlign w:val="center"/>
          </w:tcPr>
          <w:p w14:paraId="24E071CD"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127D35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w:t>
            </w:r>
          </w:p>
        </w:tc>
        <w:tc>
          <w:tcPr>
            <w:tcW w:w="337" w:type="pct"/>
            <w:tcBorders>
              <w:top w:val="nil"/>
              <w:left w:val="nil"/>
              <w:bottom w:val="single" w:sz="4" w:space="0" w:color="auto"/>
              <w:right w:val="single" w:sz="4" w:space="0" w:color="auto"/>
            </w:tcBorders>
            <w:vAlign w:val="center"/>
          </w:tcPr>
          <w:p w14:paraId="514B81A6"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w:t>
            </w:r>
          </w:p>
        </w:tc>
        <w:tc>
          <w:tcPr>
            <w:tcW w:w="332" w:type="pct"/>
            <w:tcBorders>
              <w:top w:val="nil"/>
              <w:left w:val="nil"/>
              <w:bottom w:val="single" w:sz="4" w:space="0" w:color="auto"/>
              <w:right w:val="single" w:sz="4" w:space="0" w:color="auto"/>
            </w:tcBorders>
            <w:vAlign w:val="center"/>
          </w:tcPr>
          <w:p w14:paraId="7A1AF8D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5DE69D4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5A15D1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48839BE"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18777E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29070E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2BECD18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偏差原因：制定绩效目标时计划不到位；改进措施：今后进一步加强项目资金预算管理，严格制定项目支出计划，确保项目资金管理使用到位。</w:t>
            </w:r>
          </w:p>
        </w:tc>
      </w:tr>
      <w:tr w:rsidR="002E5EF8" w14:paraId="41BE7336" w14:textId="77777777">
        <w:trPr>
          <w:trHeight w:val="800"/>
        </w:trPr>
        <w:tc>
          <w:tcPr>
            <w:tcW w:w="332" w:type="pct"/>
            <w:vMerge/>
            <w:tcBorders>
              <w:left w:val="single" w:sz="4" w:space="0" w:color="auto"/>
              <w:right w:val="single" w:sz="4" w:space="0" w:color="auto"/>
            </w:tcBorders>
            <w:vAlign w:val="center"/>
          </w:tcPr>
          <w:p w14:paraId="4F0ADC03" w14:textId="77777777" w:rsidR="002E5EF8" w:rsidRDefault="002E5EF8">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BE7CFA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0322B480"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0FA3B030" w14:textId="77777777" w:rsidR="002E5EF8"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项目预算控制率</w:t>
            </w:r>
          </w:p>
        </w:tc>
        <w:tc>
          <w:tcPr>
            <w:tcW w:w="338" w:type="pct"/>
            <w:tcBorders>
              <w:top w:val="nil"/>
              <w:left w:val="nil"/>
              <w:bottom w:val="single" w:sz="4" w:space="0" w:color="auto"/>
              <w:right w:val="single" w:sz="4" w:space="0" w:color="auto"/>
            </w:tcBorders>
            <w:vAlign w:val="center"/>
          </w:tcPr>
          <w:p w14:paraId="74974CB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F220D5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3D7BE574"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ABF3404"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DB1888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23BE8F0"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3E1DD8B"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EDC6C0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w:t>
            </w:r>
            <w:r>
              <w:rPr>
                <w:rFonts w:ascii="宋体" w:eastAsia="宋体" w:hAnsi="宋体" w:cs="宋体" w:hint="eastAsia"/>
                <w:color w:val="000000"/>
                <w:sz w:val="18"/>
                <w:szCs w:val="18"/>
              </w:rPr>
              <w:lastRenderedPageBreak/>
              <w:t>例赋分</w:t>
            </w:r>
            <w:proofErr w:type="gramEnd"/>
          </w:p>
        </w:tc>
        <w:tc>
          <w:tcPr>
            <w:tcW w:w="332" w:type="pct"/>
            <w:tcBorders>
              <w:top w:val="nil"/>
              <w:left w:val="nil"/>
              <w:bottom w:val="single" w:sz="4" w:space="0" w:color="auto"/>
              <w:right w:val="single" w:sz="4" w:space="0" w:color="auto"/>
            </w:tcBorders>
            <w:vAlign w:val="center"/>
          </w:tcPr>
          <w:p w14:paraId="7F98D1E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7" w:type="pct"/>
            <w:tcBorders>
              <w:top w:val="nil"/>
              <w:left w:val="nil"/>
              <w:bottom w:val="single" w:sz="4" w:space="0" w:color="auto"/>
              <w:right w:val="single" w:sz="4" w:space="0" w:color="auto"/>
            </w:tcBorders>
            <w:vAlign w:val="center"/>
          </w:tcPr>
          <w:p w14:paraId="17FFAF21" w14:textId="77777777" w:rsidR="002E5EF8" w:rsidRDefault="002E5EF8">
            <w:pPr>
              <w:widowControl/>
              <w:jc w:val="center"/>
              <w:rPr>
                <w:rFonts w:ascii="宋体" w:eastAsia="宋体" w:hAnsi="宋体" w:cs="宋体" w:hint="eastAsia"/>
                <w:color w:val="000000"/>
                <w:sz w:val="18"/>
                <w:szCs w:val="18"/>
              </w:rPr>
            </w:pPr>
          </w:p>
        </w:tc>
      </w:tr>
      <w:tr w:rsidR="002E5EF8" w14:paraId="1F298A11" w14:textId="77777777">
        <w:trPr>
          <w:trHeight w:val="800"/>
        </w:trPr>
        <w:tc>
          <w:tcPr>
            <w:tcW w:w="332" w:type="pct"/>
            <w:vMerge/>
            <w:tcBorders>
              <w:left w:val="single" w:sz="4" w:space="0" w:color="auto"/>
              <w:right w:val="single" w:sz="4" w:space="0" w:color="auto"/>
            </w:tcBorders>
            <w:vAlign w:val="center"/>
          </w:tcPr>
          <w:p w14:paraId="26E4EAAB" w14:textId="77777777" w:rsidR="002E5EF8" w:rsidRDefault="002E5EF8">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37E8B9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47EB4C4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084DF65F" w14:textId="77777777" w:rsidR="002E5EF8"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提升学员培训效果</w:t>
            </w:r>
          </w:p>
        </w:tc>
        <w:tc>
          <w:tcPr>
            <w:tcW w:w="338" w:type="pct"/>
            <w:tcBorders>
              <w:top w:val="nil"/>
              <w:left w:val="nil"/>
              <w:bottom w:val="single" w:sz="4" w:space="0" w:color="auto"/>
              <w:right w:val="single" w:sz="4" w:space="0" w:color="auto"/>
            </w:tcBorders>
            <w:vAlign w:val="center"/>
          </w:tcPr>
          <w:p w14:paraId="1BC8CBC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59E78D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得到提升</w:t>
            </w:r>
          </w:p>
        </w:tc>
        <w:tc>
          <w:tcPr>
            <w:tcW w:w="337" w:type="pct"/>
            <w:tcBorders>
              <w:top w:val="nil"/>
              <w:left w:val="nil"/>
              <w:bottom w:val="single" w:sz="4" w:space="0" w:color="auto"/>
              <w:right w:val="single" w:sz="4" w:space="0" w:color="auto"/>
            </w:tcBorders>
            <w:vAlign w:val="center"/>
          </w:tcPr>
          <w:p w14:paraId="04B8168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332" w:type="pct"/>
            <w:tcBorders>
              <w:top w:val="nil"/>
              <w:left w:val="nil"/>
              <w:bottom w:val="single" w:sz="4" w:space="0" w:color="auto"/>
              <w:right w:val="single" w:sz="4" w:space="0" w:color="auto"/>
            </w:tcBorders>
            <w:vAlign w:val="center"/>
          </w:tcPr>
          <w:p w14:paraId="73FA19E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408E57C"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323010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B2EDB8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F1E398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6D2E1C60"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7338FED9" w14:textId="77777777" w:rsidR="002E5EF8" w:rsidRDefault="002E5EF8">
            <w:pPr>
              <w:widowControl/>
              <w:jc w:val="center"/>
              <w:rPr>
                <w:rFonts w:ascii="宋体" w:eastAsia="宋体" w:hAnsi="宋体" w:cs="宋体" w:hint="eastAsia"/>
                <w:color w:val="000000"/>
                <w:sz w:val="18"/>
                <w:szCs w:val="18"/>
              </w:rPr>
            </w:pPr>
          </w:p>
        </w:tc>
      </w:tr>
      <w:tr w:rsidR="002E5EF8" w14:paraId="31D29DCA" w14:textId="77777777">
        <w:trPr>
          <w:trHeight w:val="800"/>
        </w:trPr>
        <w:tc>
          <w:tcPr>
            <w:tcW w:w="332" w:type="pct"/>
            <w:vMerge/>
            <w:tcBorders>
              <w:left w:val="single" w:sz="4" w:space="0" w:color="auto"/>
              <w:bottom w:val="single" w:sz="4" w:space="0" w:color="auto"/>
              <w:right w:val="single" w:sz="4" w:space="0" w:color="auto"/>
            </w:tcBorders>
            <w:vAlign w:val="center"/>
          </w:tcPr>
          <w:p w14:paraId="575F0F20" w14:textId="77777777" w:rsidR="002E5EF8" w:rsidRDefault="002E5EF8">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563932E"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3300489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3E89FCF2" w14:textId="77777777" w:rsidR="002E5EF8"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党员干部满意度</w:t>
            </w:r>
          </w:p>
        </w:tc>
        <w:tc>
          <w:tcPr>
            <w:tcW w:w="338" w:type="pct"/>
            <w:tcBorders>
              <w:top w:val="nil"/>
              <w:left w:val="nil"/>
              <w:bottom w:val="single" w:sz="4" w:space="0" w:color="auto"/>
              <w:right w:val="single" w:sz="4" w:space="0" w:color="auto"/>
            </w:tcBorders>
            <w:vAlign w:val="center"/>
          </w:tcPr>
          <w:p w14:paraId="721788F7"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A1B1D66"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32D02B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4AF51B0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725A6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748042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6ABEE44"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91B568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1A54FCBB"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28B51537" w14:textId="77777777" w:rsidR="002E5EF8" w:rsidRDefault="002E5EF8">
            <w:pPr>
              <w:widowControl/>
              <w:jc w:val="center"/>
              <w:rPr>
                <w:rFonts w:ascii="宋体" w:eastAsia="宋体" w:hAnsi="宋体" w:cs="宋体" w:hint="eastAsia"/>
                <w:color w:val="000000"/>
                <w:sz w:val="18"/>
                <w:szCs w:val="18"/>
              </w:rPr>
            </w:pPr>
          </w:p>
        </w:tc>
      </w:tr>
      <w:tr w:rsidR="002E5EF8" w14:paraId="58854FAA"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8CB2287"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7D3B60D"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52BE8FD" w14:textId="77777777" w:rsidR="002E5EF8" w:rsidRDefault="002E5EF8">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6CDB970" w14:textId="77777777" w:rsidR="002E5EF8" w:rsidRDefault="002E5EF8">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A4E3C3B" w14:textId="77777777" w:rsidR="002E5EF8" w:rsidRDefault="002E5EF8">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519D66E"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78.20分</w:t>
            </w:r>
          </w:p>
        </w:tc>
        <w:tc>
          <w:tcPr>
            <w:tcW w:w="346" w:type="pct"/>
            <w:tcBorders>
              <w:top w:val="single" w:sz="4" w:space="0" w:color="auto"/>
              <w:left w:val="nil"/>
              <w:bottom w:val="single" w:sz="4" w:space="0" w:color="auto"/>
              <w:right w:val="single" w:sz="4" w:space="0" w:color="auto"/>
            </w:tcBorders>
            <w:vAlign w:val="center"/>
          </w:tcPr>
          <w:p w14:paraId="354AE2C4" w14:textId="77777777" w:rsidR="002E5EF8" w:rsidRDefault="002E5EF8">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35A91CA" w14:textId="77777777" w:rsidR="002E5EF8" w:rsidRDefault="002E5EF8">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C725571" w14:textId="77777777" w:rsidR="002E5EF8" w:rsidRDefault="002E5EF8">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DFF5F99" w14:textId="77777777" w:rsidR="002E5EF8" w:rsidRDefault="002E5EF8">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16F3056" w14:textId="77777777" w:rsidR="002E5EF8" w:rsidRDefault="002E5EF8">
            <w:pPr>
              <w:widowControl/>
              <w:jc w:val="left"/>
              <w:rPr>
                <w:rFonts w:ascii="宋体" w:eastAsia="宋体" w:hAnsi="宋体" w:cs="宋体" w:hint="eastAsia"/>
                <w:color w:val="000000"/>
                <w:sz w:val="18"/>
                <w:szCs w:val="18"/>
              </w:rPr>
            </w:pPr>
          </w:p>
        </w:tc>
      </w:tr>
      <w:bookmarkEnd w:id="0"/>
    </w:tbl>
    <w:p w14:paraId="166C1683" w14:textId="77777777" w:rsidR="002E5EF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523A85B" w14:textId="77777777" w:rsidR="002E5EF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2E5EF8" w14:paraId="64EFA5F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9E89989"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64098C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奇台县委党校综合教学楼配套设施款-化解债务（金烨电脑）</w:t>
            </w:r>
          </w:p>
        </w:tc>
      </w:tr>
      <w:tr w:rsidR="002E5EF8" w14:paraId="312C4F12"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85F1676"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25F4B43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中共奇台县委员会党校（奇台县行政学校）</w:t>
            </w:r>
          </w:p>
        </w:tc>
        <w:tc>
          <w:tcPr>
            <w:tcW w:w="708" w:type="pct"/>
            <w:gridSpan w:val="2"/>
            <w:tcBorders>
              <w:top w:val="single" w:sz="4" w:space="0" w:color="auto"/>
              <w:left w:val="nil"/>
              <w:bottom w:val="single" w:sz="4" w:space="0" w:color="auto"/>
              <w:right w:val="single" w:sz="4" w:space="0" w:color="auto"/>
            </w:tcBorders>
            <w:vAlign w:val="center"/>
          </w:tcPr>
          <w:p w14:paraId="14EC1012"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F20BFF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中共奇台县委员会党校（奇台县行政学校）</w:t>
            </w:r>
          </w:p>
        </w:tc>
      </w:tr>
      <w:tr w:rsidR="002E5EF8" w14:paraId="4691493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F5B2D38"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7C582A55" w14:textId="77777777" w:rsidR="002E5EF8" w:rsidRDefault="002E5EF8">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7398CA5D"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6F3CE9E"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359006D"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705F663"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35B60A3"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C84B0D0"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E5EF8" w14:paraId="2EEC4AD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DDE7AE3" w14:textId="77777777" w:rsidR="002E5EF8" w:rsidRDefault="002E5EF8">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2AF658E"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7343979B"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104.96</w:t>
            </w:r>
          </w:p>
        </w:tc>
        <w:tc>
          <w:tcPr>
            <w:tcW w:w="982" w:type="pct"/>
            <w:gridSpan w:val="3"/>
            <w:tcBorders>
              <w:top w:val="single" w:sz="4" w:space="0" w:color="auto"/>
              <w:left w:val="nil"/>
              <w:bottom w:val="single" w:sz="4" w:space="0" w:color="auto"/>
              <w:right w:val="single" w:sz="4" w:space="0" w:color="auto"/>
            </w:tcBorders>
            <w:vAlign w:val="center"/>
          </w:tcPr>
          <w:p w14:paraId="153FFE77"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246.18</w:t>
            </w:r>
          </w:p>
        </w:tc>
        <w:tc>
          <w:tcPr>
            <w:tcW w:w="708" w:type="pct"/>
            <w:gridSpan w:val="2"/>
            <w:tcBorders>
              <w:top w:val="single" w:sz="4" w:space="0" w:color="auto"/>
              <w:left w:val="nil"/>
              <w:bottom w:val="single" w:sz="4" w:space="0" w:color="auto"/>
              <w:right w:val="single" w:sz="4" w:space="0" w:color="auto"/>
            </w:tcBorders>
            <w:vAlign w:val="center"/>
          </w:tcPr>
          <w:p w14:paraId="61BACC94"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246.18</w:t>
            </w:r>
          </w:p>
        </w:tc>
        <w:tc>
          <w:tcPr>
            <w:tcW w:w="671" w:type="pct"/>
            <w:gridSpan w:val="2"/>
            <w:tcBorders>
              <w:top w:val="nil"/>
              <w:left w:val="nil"/>
              <w:bottom w:val="single" w:sz="4" w:space="0" w:color="auto"/>
              <w:right w:val="single" w:sz="4" w:space="0" w:color="auto"/>
            </w:tcBorders>
            <w:vAlign w:val="center"/>
          </w:tcPr>
          <w:p w14:paraId="39634926"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4A595ED"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D82142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E5EF8" w14:paraId="00BAC7F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B383642" w14:textId="77777777" w:rsidR="002E5EF8" w:rsidRDefault="002E5EF8">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E17F197"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D6327B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104.96</w:t>
            </w:r>
          </w:p>
        </w:tc>
        <w:tc>
          <w:tcPr>
            <w:tcW w:w="982" w:type="pct"/>
            <w:gridSpan w:val="3"/>
            <w:tcBorders>
              <w:top w:val="single" w:sz="4" w:space="0" w:color="auto"/>
              <w:left w:val="nil"/>
              <w:bottom w:val="single" w:sz="4" w:space="0" w:color="auto"/>
              <w:right w:val="single" w:sz="4" w:space="0" w:color="auto"/>
            </w:tcBorders>
            <w:vAlign w:val="center"/>
          </w:tcPr>
          <w:p w14:paraId="060886C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246.18</w:t>
            </w:r>
          </w:p>
        </w:tc>
        <w:tc>
          <w:tcPr>
            <w:tcW w:w="708" w:type="pct"/>
            <w:gridSpan w:val="2"/>
            <w:tcBorders>
              <w:top w:val="single" w:sz="4" w:space="0" w:color="auto"/>
              <w:left w:val="nil"/>
              <w:bottom w:val="single" w:sz="4" w:space="0" w:color="auto"/>
              <w:right w:val="single" w:sz="4" w:space="0" w:color="auto"/>
            </w:tcBorders>
            <w:vAlign w:val="center"/>
          </w:tcPr>
          <w:p w14:paraId="50E070D2"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246.18</w:t>
            </w:r>
          </w:p>
        </w:tc>
        <w:tc>
          <w:tcPr>
            <w:tcW w:w="671" w:type="pct"/>
            <w:gridSpan w:val="2"/>
            <w:tcBorders>
              <w:top w:val="nil"/>
              <w:left w:val="nil"/>
              <w:bottom w:val="single" w:sz="4" w:space="0" w:color="auto"/>
              <w:right w:val="single" w:sz="4" w:space="0" w:color="auto"/>
            </w:tcBorders>
            <w:vAlign w:val="center"/>
          </w:tcPr>
          <w:p w14:paraId="3BE1395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B1E2FB2"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DF9A67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E5EF8" w14:paraId="58E06CF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6002D6D" w14:textId="77777777" w:rsidR="002E5EF8" w:rsidRDefault="002E5EF8">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46DF7B9"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AB2A86E"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78582C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BABB480"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390FABB"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83DF68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8F2DA07"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E5EF8" w14:paraId="2EF0B42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536DFD0"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29BCC700"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67793EDD"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E5EF8" w14:paraId="4074BAB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41E41F9" w14:textId="77777777" w:rsidR="002E5EF8" w:rsidRDefault="002E5EF8">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1C9381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w:t>
            </w:r>
            <w:proofErr w:type="gramStart"/>
            <w:r>
              <w:rPr>
                <w:rFonts w:ascii="宋体" w:eastAsia="宋体" w:hAnsi="宋体" w:cs="宋体" w:hint="eastAsia"/>
                <w:color w:val="000000"/>
                <w:sz w:val="18"/>
                <w:szCs w:val="18"/>
              </w:rPr>
              <w:t>奇财行</w:t>
            </w:r>
            <w:proofErr w:type="gramEnd"/>
            <w:r>
              <w:rPr>
                <w:rFonts w:ascii="宋体" w:eastAsia="宋体" w:hAnsi="宋体" w:cs="宋体" w:hint="eastAsia"/>
                <w:color w:val="000000"/>
                <w:sz w:val="18"/>
                <w:szCs w:val="18"/>
              </w:rPr>
              <w:t>[2024]2号《关于下达化解债务支出资金的通知》进行债务化解，通过债务化解有效保障奇台县委党校良好信用，进一步提升支付对象满意度。</w:t>
            </w:r>
          </w:p>
        </w:tc>
        <w:tc>
          <w:tcPr>
            <w:tcW w:w="2559" w:type="pct"/>
            <w:gridSpan w:val="7"/>
            <w:tcBorders>
              <w:top w:val="single" w:sz="4" w:space="0" w:color="auto"/>
              <w:left w:val="nil"/>
              <w:bottom w:val="single" w:sz="4" w:space="0" w:color="auto"/>
              <w:right w:val="single" w:sz="4" w:space="0" w:color="auto"/>
            </w:tcBorders>
            <w:vAlign w:val="center"/>
          </w:tcPr>
          <w:p w14:paraId="5F3F335E"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截止2024年12月31日，该项目实际完成化解资金9笔，共计246.18万元，通过该项目的实施，提升了支付对象满意度，促进了党校与和各债权单位的健康友好关系。</w:t>
            </w:r>
          </w:p>
        </w:tc>
      </w:tr>
      <w:tr w:rsidR="002E5EF8" w14:paraId="5E3D364B" w14:textId="77777777">
        <w:trPr>
          <w:trHeight w:val="820"/>
        </w:trPr>
        <w:tc>
          <w:tcPr>
            <w:tcW w:w="328" w:type="pct"/>
            <w:tcBorders>
              <w:top w:val="nil"/>
              <w:left w:val="single" w:sz="4" w:space="0" w:color="auto"/>
              <w:bottom w:val="single" w:sz="4" w:space="0" w:color="auto"/>
              <w:right w:val="single" w:sz="4" w:space="0" w:color="auto"/>
            </w:tcBorders>
            <w:vAlign w:val="center"/>
          </w:tcPr>
          <w:p w14:paraId="71254574" w14:textId="77777777" w:rsidR="002E5EF8" w:rsidRDefault="002E5EF8">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9765748"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76B429F0"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213F39C0"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F95D90E"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18FF5F0"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6420F118"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72E4D479"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56B001A7"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1ACF09BB"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24D03DF8"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68AB0848" w14:textId="77777777" w:rsidR="002E5EF8"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544F47A1"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5586C11"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2E5EF8" w14:paraId="3EE77242" w14:textId="77777777">
        <w:trPr>
          <w:trHeight w:val="800"/>
        </w:trPr>
        <w:tc>
          <w:tcPr>
            <w:tcW w:w="328" w:type="pct"/>
            <w:vMerge w:val="restart"/>
            <w:tcBorders>
              <w:top w:val="nil"/>
              <w:left w:val="single" w:sz="4" w:space="0" w:color="auto"/>
              <w:right w:val="single" w:sz="4" w:space="0" w:color="auto"/>
            </w:tcBorders>
            <w:vAlign w:val="center"/>
          </w:tcPr>
          <w:p w14:paraId="130F7DBE"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00BFA70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D037A5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2F38656" w14:textId="77777777" w:rsidR="002E5EF8"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5287942B"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07B395C"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&gt;=9笔</w:t>
            </w:r>
          </w:p>
        </w:tc>
        <w:tc>
          <w:tcPr>
            <w:tcW w:w="333" w:type="pct"/>
            <w:tcBorders>
              <w:top w:val="nil"/>
              <w:left w:val="nil"/>
              <w:bottom w:val="single" w:sz="4" w:space="0" w:color="auto"/>
              <w:right w:val="single" w:sz="4" w:space="0" w:color="auto"/>
            </w:tcBorders>
            <w:vAlign w:val="center"/>
          </w:tcPr>
          <w:p w14:paraId="6F61FD7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=9笔</w:t>
            </w:r>
          </w:p>
        </w:tc>
        <w:tc>
          <w:tcPr>
            <w:tcW w:w="328" w:type="pct"/>
            <w:tcBorders>
              <w:top w:val="nil"/>
              <w:left w:val="nil"/>
              <w:bottom w:val="single" w:sz="4" w:space="0" w:color="auto"/>
              <w:right w:val="single" w:sz="4" w:space="0" w:color="auto"/>
            </w:tcBorders>
            <w:vAlign w:val="center"/>
          </w:tcPr>
          <w:p w14:paraId="786698E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07FD7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87AE39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B271E4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FC85A7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824413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0CA247A" w14:textId="77777777" w:rsidR="002E5EF8" w:rsidRDefault="002E5EF8">
            <w:pPr>
              <w:widowControl/>
              <w:jc w:val="center"/>
              <w:rPr>
                <w:rFonts w:ascii="宋体" w:eastAsia="宋体" w:hAnsi="宋体" w:cs="宋体" w:hint="eastAsia"/>
                <w:color w:val="000000"/>
                <w:sz w:val="18"/>
                <w:szCs w:val="18"/>
              </w:rPr>
            </w:pPr>
          </w:p>
        </w:tc>
      </w:tr>
      <w:tr w:rsidR="002E5EF8" w14:paraId="1979A9A6" w14:textId="77777777">
        <w:trPr>
          <w:trHeight w:val="800"/>
        </w:trPr>
        <w:tc>
          <w:tcPr>
            <w:tcW w:w="328" w:type="pct"/>
            <w:vMerge/>
            <w:tcBorders>
              <w:left w:val="single" w:sz="4" w:space="0" w:color="auto"/>
              <w:right w:val="single" w:sz="4" w:space="0" w:color="auto"/>
            </w:tcBorders>
            <w:vAlign w:val="center"/>
          </w:tcPr>
          <w:p w14:paraId="210D4343" w14:textId="77777777" w:rsidR="002E5EF8" w:rsidRDefault="002E5EF8">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19A32FA" w14:textId="77777777" w:rsidR="002E5EF8" w:rsidRDefault="002E5EF8">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6A9A0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B1B16A1" w14:textId="77777777" w:rsidR="002E5EF8"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725ADCC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69664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D77759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A1C00CC"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EFEC31D"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5B6D5B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2F1F7D6"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358BB7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614D9E0"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897FE17" w14:textId="77777777" w:rsidR="002E5EF8" w:rsidRDefault="002E5EF8">
            <w:pPr>
              <w:widowControl/>
              <w:jc w:val="center"/>
              <w:rPr>
                <w:rFonts w:ascii="宋体" w:eastAsia="宋体" w:hAnsi="宋体" w:cs="宋体" w:hint="eastAsia"/>
                <w:color w:val="000000"/>
                <w:sz w:val="18"/>
                <w:szCs w:val="18"/>
              </w:rPr>
            </w:pPr>
          </w:p>
        </w:tc>
      </w:tr>
      <w:tr w:rsidR="002E5EF8" w14:paraId="4BA306DD" w14:textId="77777777">
        <w:trPr>
          <w:trHeight w:val="800"/>
        </w:trPr>
        <w:tc>
          <w:tcPr>
            <w:tcW w:w="328" w:type="pct"/>
            <w:vMerge/>
            <w:tcBorders>
              <w:left w:val="single" w:sz="4" w:space="0" w:color="auto"/>
              <w:right w:val="single" w:sz="4" w:space="0" w:color="auto"/>
            </w:tcBorders>
            <w:vAlign w:val="center"/>
          </w:tcPr>
          <w:p w14:paraId="668C25C9" w14:textId="77777777" w:rsidR="002E5EF8" w:rsidRDefault="002E5EF8">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F6CD554" w14:textId="77777777" w:rsidR="002E5EF8" w:rsidRDefault="002E5EF8">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029DB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9360DE4" w14:textId="77777777" w:rsidR="002E5EF8"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096DAA1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A06B306"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18ED086"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EB97C5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DCFAE87"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A9D81A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FA6712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783DC4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C8F860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0B3EC1D" w14:textId="77777777" w:rsidR="002E5EF8" w:rsidRDefault="002E5EF8">
            <w:pPr>
              <w:widowControl/>
              <w:jc w:val="center"/>
              <w:rPr>
                <w:rFonts w:ascii="宋体" w:eastAsia="宋体" w:hAnsi="宋体" w:cs="宋体" w:hint="eastAsia"/>
                <w:color w:val="000000"/>
                <w:sz w:val="18"/>
                <w:szCs w:val="18"/>
              </w:rPr>
            </w:pPr>
          </w:p>
        </w:tc>
      </w:tr>
      <w:tr w:rsidR="002E5EF8" w14:paraId="776D680A" w14:textId="77777777">
        <w:trPr>
          <w:trHeight w:val="800"/>
        </w:trPr>
        <w:tc>
          <w:tcPr>
            <w:tcW w:w="328" w:type="pct"/>
            <w:vMerge/>
            <w:tcBorders>
              <w:left w:val="single" w:sz="4" w:space="0" w:color="auto"/>
              <w:right w:val="single" w:sz="4" w:space="0" w:color="auto"/>
            </w:tcBorders>
            <w:vAlign w:val="center"/>
          </w:tcPr>
          <w:p w14:paraId="60F6A47E" w14:textId="77777777" w:rsidR="002E5EF8" w:rsidRDefault="002E5EF8">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0C005FD" w14:textId="77777777" w:rsidR="002E5EF8" w:rsidRDefault="002E5EF8">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6F253A7"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CEAF0B9" w14:textId="77777777" w:rsidR="002E5EF8"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3D59E29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085B7B4"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C846DE0"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B2B0F47"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73FEB7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27283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0F90B3D"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A72EB58"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1A1D51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BBA21B2" w14:textId="77777777" w:rsidR="002E5EF8" w:rsidRDefault="002E5EF8">
            <w:pPr>
              <w:widowControl/>
              <w:jc w:val="center"/>
              <w:rPr>
                <w:rFonts w:ascii="宋体" w:eastAsia="宋体" w:hAnsi="宋体" w:cs="宋体" w:hint="eastAsia"/>
                <w:color w:val="000000"/>
                <w:sz w:val="18"/>
                <w:szCs w:val="18"/>
              </w:rPr>
            </w:pPr>
          </w:p>
        </w:tc>
      </w:tr>
      <w:tr w:rsidR="002E5EF8" w14:paraId="38F0611C" w14:textId="77777777">
        <w:trPr>
          <w:trHeight w:val="800"/>
        </w:trPr>
        <w:tc>
          <w:tcPr>
            <w:tcW w:w="328" w:type="pct"/>
            <w:vMerge/>
            <w:tcBorders>
              <w:left w:val="single" w:sz="4" w:space="0" w:color="auto"/>
              <w:right w:val="single" w:sz="4" w:space="0" w:color="auto"/>
            </w:tcBorders>
            <w:vAlign w:val="center"/>
          </w:tcPr>
          <w:p w14:paraId="3DCE78E4" w14:textId="77777777" w:rsidR="002E5EF8" w:rsidRDefault="002E5EF8">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CC1AC0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BB54EF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035B8B32" w14:textId="77777777" w:rsidR="002E5EF8"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3A2E51CD"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E84507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1290A1EB"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AC57702"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0CE251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09FFE4D"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E4C43D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52581DD"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3FD70F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6685BDE" w14:textId="77777777" w:rsidR="002E5EF8" w:rsidRDefault="002E5EF8">
            <w:pPr>
              <w:widowControl/>
              <w:jc w:val="center"/>
              <w:rPr>
                <w:rFonts w:ascii="宋体" w:eastAsia="宋体" w:hAnsi="宋体" w:cs="宋体" w:hint="eastAsia"/>
                <w:color w:val="000000"/>
                <w:sz w:val="18"/>
                <w:szCs w:val="18"/>
              </w:rPr>
            </w:pPr>
          </w:p>
        </w:tc>
      </w:tr>
      <w:tr w:rsidR="002E5EF8" w14:paraId="79D4E18B" w14:textId="77777777">
        <w:trPr>
          <w:trHeight w:val="800"/>
        </w:trPr>
        <w:tc>
          <w:tcPr>
            <w:tcW w:w="328" w:type="pct"/>
            <w:vMerge/>
            <w:tcBorders>
              <w:left w:val="single" w:sz="4" w:space="0" w:color="auto"/>
              <w:right w:val="single" w:sz="4" w:space="0" w:color="auto"/>
            </w:tcBorders>
            <w:vAlign w:val="center"/>
          </w:tcPr>
          <w:p w14:paraId="5BA4604A" w14:textId="77777777" w:rsidR="002E5EF8" w:rsidRDefault="002E5EF8">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213FB17"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73EE44B"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09329D7" w14:textId="77777777" w:rsidR="002E5EF8"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48DF32A2"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0051FB3"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1ABFBA7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328" w:type="pct"/>
            <w:tcBorders>
              <w:top w:val="nil"/>
              <w:left w:val="nil"/>
              <w:bottom w:val="single" w:sz="4" w:space="0" w:color="auto"/>
              <w:right w:val="single" w:sz="4" w:space="0" w:color="auto"/>
            </w:tcBorders>
            <w:vAlign w:val="center"/>
          </w:tcPr>
          <w:p w14:paraId="107787A1"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9E018C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4D275C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505FCB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BAF60AC"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46DCEC70"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154987F" w14:textId="77777777" w:rsidR="002E5EF8" w:rsidRDefault="002E5EF8">
            <w:pPr>
              <w:widowControl/>
              <w:jc w:val="center"/>
              <w:rPr>
                <w:rFonts w:ascii="宋体" w:eastAsia="宋体" w:hAnsi="宋体" w:cs="宋体" w:hint="eastAsia"/>
                <w:color w:val="000000"/>
                <w:sz w:val="18"/>
                <w:szCs w:val="18"/>
              </w:rPr>
            </w:pPr>
          </w:p>
        </w:tc>
      </w:tr>
      <w:tr w:rsidR="002E5EF8" w14:paraId="5673EF00" w14:textId="77777777">
        <w:trPr>
          <w:trHeight w:val="800"/>
        </w:trPr>
        <w:tc>
          <w:tcPr>
            <w:tcW w:w="328" w:type="pct"/>
            <w:vMerge/>
            <w:tcBorders>
              <w:left w:val="single" w:sz="4" w:space="0" w:color="auto"/>
              <w:bottom w:val="single" w:sz="4" w:space="0" w:color="auto"/>
              <w:right w:val="single" w:sz="4" w:space="0" w:color="auto"/>
            </w:tcBorders>
            <w:vAlign w:val="center"/>
          </w:tcPr>
          <w:p w14:paraId="523D2783" w14:textId="77777777" w:rsidR="002E5EF8" w:rsidRDefault="002E5EF8">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CC9D8A"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5706525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2299660A" w14:textId="77777777" w:rsidR="002E5EF8"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3775652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E13AF80"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54F2F9F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BEF1D8F"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5F16A9"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0D14794"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8D7793D"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27C6625"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7A89C31C"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D778A3F" w14:textId="77777777" w:rsidR="002E5EF8" w:rsidRDefault="002E5EF8">
            <w:pPr>
              <w:widowControl/>
              <w:jc w:val="center"/>
              <w:rPr>
                <w:rFonts w:ascii="宋体" w:eastAsia="宋体" w:hAnsi="宋体" w:cs="宋体" w:hint="eastAsia"/>
                <w:color w:val="000000"/>
                <w:sz w:val="18"/>
                <w:szCs w:val="18"/>
              </w:rPr>
            </w:pPr>
          </w:p>
        </w:tc>
      </w:tr>
      <w:tr w:rsidR="002E5EF8" w14:paraId="3C1E82F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E033EDC"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83117AB" w14:textId="77777777" w:rsidR="002E5EF8"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953228F" w14:textId="77777777" w:rsidR="002E5EF8" w:rsidRDefault="002E5EF8">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355CDC8" w14:textId="77777777" w:rsidR="002E5EF8" w:rsidRDefault="002E5EF8">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E83B978" w14:textId="77777777" w:rsidR="002E5EF8" w:rsidRDefault="002E5EF8">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89FE027" w14:textId="77777777" w:rsidR="002E5EF8"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E3D7C5F" w14:textId="77777777" w:rsidR="002E5EF8" w:rsidRDefault="002E5EF8">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B9E87C4" w14:textId="77777777" w:rsidR="002E5EF8" w:rsidRDefault="002E5EF8">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C4FCF96" w14:textId="77777777" w:rsidR="002E5EF8" w:rsidRDefault="002E5EF8">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B6E937A" w14:textId="77777777" w:rsidR="002E5EF8" w:rsidRDefault="002E5EF8">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491FCF9" w14:textId="77777777" w:rsidR="002E5EF8" w:rsidRDefault="002E5EF8">
            <w:pPr>
              <w:widowControl/>
              <w:jc w:val="left"/>
              <w:rPr>
                <w:rFonts w:ascii="宋体" w:eastAsia="宋体" w:hAnsi="宋体" w:cs="宋体" w:hint="eastAsia"/>
                <w:color w:val="000000"/>
                <w:sz w:val="18"/>
                <w:szCs w:val="18"/>
              </w:rPr>
            </w:pPr>
          </w:p>
        </w:tc>
      </w:tr>
    </w:tbl>
    <w:p w14:paraId="1590466D" w14:textId="77777777" w:rsidR="002E5EF8" w:rsidRDefault="002E5EF8">
      <w:pPr>
        <w:widowControl/>
        <w:ind w:firstLineChars="200" w:firstLine="640"/>
        <w:rPr>
          <w:rFonts w:ascii="仿宋_GB2312" w:eastAsia="仿宋_GB2312"/>
          <w:sz w:val="32"/>
          <w:szCs w:val="32"/>
        </w:rPr>
      </w:pPr>
    </w:p>
    <w:p w14:paraId="6BAB1B92" w14:textId="77777777" w:rsidR="002E5EF8"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2154C1EF" w14:textId="77777777" w:rsidR="002E5EF8"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2698A7AA" w14:textId="77777777" w:rsidR="002E5EF8" w:rsidRDefault="002E5EF8">
      <w:pPr>
        <w:widowControl/>
        <w:ind w:firstLineChars="200" w:firstLine="640"/>
        <w:jc w:val="left"/>
        <w:rPr>
          <w:rFonts w:ascii="仿宋_GB2312" w:eastAsia="仿宋_GB2312"/>
          <w:sz w:val="32"/>
          <w:szCs w:val="32"/>
        </w:rPr>
      </w:pPr>
    </w:p>
    <w:p w14:paraId="06909054" w14:textId="77777777" w:rsidR="002E5EF8" w:rsidRDefault="00000000">
      <w:pPr>
        <w:widowControl/>
      </w:pPr>
      <w:r>
        <w:rPr>
          <w:sz w:val="0"/>
          <w:szCs w:val="0"/>
        </w:rPr>
        <w:br w:type="page"/>
      </w:r>
    </w:p>
    <w:p w14:paraId="1941CE19" w14:textId="77777777" w:rsidR="002E5EF8" w:rsidRDefault="00000000">
      <w:pPr>
        <w:widowControl/>
        <w:jc w:val="center"/>
        <w:outlineLvl w:val="0"/>
        <w:rPr>
          <w:rFonts w:ascii="黑体" w:eastAsia="黑体"/>
          <w:sz w:val="32"/>
          <w:szCs w:val="32"/>
        </w:rPr>
      </w:pPr>
      <w:r>
        <w:rPr>
          <w:rFonts w:ascii="黑体" w:eastAsia="黑体"/>
          <w:sz w:val="32"/>
          <w:szCs w:val="32"/>
        </w:rPr>
        <w:t>第三部分 专业名词解释</w:t>
      </w:r>
    </w:p>
    <w:p w14:paraId="0284E17D"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25453F75"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468B3ED5"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6D7131E1"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711272D0"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16DCE5BF"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7954DBC6"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89E9206"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ADCFCCD"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7EE8F9B1"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4E706EBA"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03BE14B9"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245DF86C"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2F1C5185" w14:textId="77777777" w:rsidR="002E5EF8"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783A22DC" w14:textId="77777777" w:rsidR="002E5EF8" w:rsidRDefault="00000000">
      <w:pPr>
        <w:widowControl/>
      </w:pPr>
      <w:r>
        <w:rPr>
          <w:sz w:val="0"/>
          <w:szCs w:val="0"/>
        </w:rPr>
        <w:br w:type="page"/>
      </w:r>
    </w:p>
    <w:p w14:paraId="36DFE68E" w14:textId="77777777" w:rsidR="002E5EF8"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707EB8E3" w14:textId="77777777" w:rsidR="002E5EF8"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1181E373" w14:textId="77777777" w:rsidR="002E5EF8"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0C7C95D3" w14:textId="77777777" w:rsidR="002E5EF8"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3E505CC3" w14:textId="77777777" w:rsidR="002E5EF8"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08281C6D" w14:textId="77777777" w:rsidR="002E5EF8"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47DF5AEF" w14:textId="77777777" w:rsidR="002E5EF8"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7196B57A" w14:textId="77777777" w:rsidR="002E5EF8"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2CC16795" w14:textId="77777777" w:rsidR="002E5EF8"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06C79725" w14:textId="77777777" w:rsidR="002E5EF8"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2E5EF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87B8C" w14:textId="77777777" w:rsidR="00146F64" w:rsidRDefault="00146F64" w:rsidP="00A77388">
      <w:r>
        <w:separator/>
      </w:r>
    </w:p>
  </w:endnote>
  <w:endnote w:type="continuationSeparator" w:id="0">
    <w:p w14:paraId="79524502" w14:textId="77777777" w:rsidR="00146F64" w:rsidRDefault="00146F64" w:rsidP="00A7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076A3" w14:textId="77777777" w:rsidR="00146F64" w:rsidRDefault="00146F64" w:rsidP="00A77388">
      <w:r>
        <w:separator/>
      </w:r>
    </w:p>
  </w:footnote>
  <w:footnote w:type="continuationSeparator" w:id="0">
    <w:p w14:paraId="1F4A21B6" w14:textId="77777777" w:rsidR="00146F64" w:rsidRDefault="00146F64" w:rsidP="00A773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2E5EF8"/>
    <w:rsid w:val="0010572B"/>
    <w:rsid w:val="00146F64"/>
    <w:rsid w:val="002E5EF8"/>
    <w:rsid w:val="00A77388"/>
    <w:rsid w:val="410B3EE6"/>
    <w:rsid w:val="44451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30FED7"/>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77388"/>
    <w:pPr>
      <w:tabs>
        <w:tab w:val="center" w:pos="4153"/>
        <w:tab w:val="right" w:pos="8306"/>
      </w:tabs>
      <w:snapToGrid w:val="0"/>
      <w:jc w:val="center"/>
    </w:pPr>
    <w:rPr>
      <w:sz w:val="18"/>
      <w:szCs w:val="18"/>
    </w:rPr>
  </w:style>
  <w:style w:type="character" w:customStyle="1" w:styleId="a4">
    <w:name w:val="页眉 字符"/>
    <w:basedOn w:val="a0"/>
    <w:link w:val="a3"/>
    <w:rsid w:val="00A77388"/>
    <w:rPr>
      <w:sz w:val="18"/>
      <w:szCs w:val="18"/>
    </w:rPr>
  </w:style>
  <w:style w:type="paragraph" w:styleId="a5">
    <w:name w:val="footer"/>
    <w:basedOn w:val="a"/>
    <w:link w:val="a6"/>
    <w:rsid w:val="00A77388"/>
    <w:pPr>
      <w:tabs>
        <w:tab w:val="center" w:pos="4153"/>
        <w:tab w:val="right" w:pos="8306"/>
      </w:tabs>
      <w:snapToGrid w:val="0"/>
      <w:jc w:val="left"/>
    </w:pPr>
    <w:rPr>
      <w:sz w:val="18"/>
      <w:szCs w:val="18"/>
    </w:rPr>
  </w:style>
  <w:style w:type="character" w:customStyle="1" w:styleId="a6">
    <w:name w:val="页脚 字符"/>
    <w:basedOn w:val="a0"/>
    <w:link w:val="a5"/>
    <w:rsid w:val="00A773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19</Pages>
  <Words>4607</Words>
  <Characters>5160</Characters>
  <Application>Microsoft Office Word</Application>
  <DocSecurity>0</DocSecurity>
  <Lines>737</Lines>
  <Paragraphs>488</Paragraphs>
  <ScaleCrop>false</ScaleCrop>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2</cp:revision>
  <dcterms:created xsi:type="dcterms:W3CDTF">2025-09-18T03:54:00Z</dcterms:created>
  <dcterms:modified xsi:type="dcterms:W3CDTF">2025-09-23T07:41:00Z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4E6D5E98025F4CBC96D7A48323CD266C_12</vt:lpwstr>
  </property>
</Properties>
</file>