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75F4C7">
      <w:pPr>
        <w:spacing w:line="540" w:lineRule="exact"/>
        <w:jc w:val="center"/>
        <w:rPr>
          <w:rFonts w:hint="default" w:ascii="Times New Roman" w:hAnsi="Times New Roman" w:eastAsia="华文中宋" w:cs="Times New Roman"/>
          <w:b/>
          <w:kern w:val="0"/>
          <w:sz w:val="52"/>
          <w:szCs w:val="52"/>
        </w:rPr>
      </w:pPr>
    </w:p>
    <w:p w14:paraId="276AD48F">
      <w:pPr>
        <w:spacing w:line="540" w:lineRule="exact"/>
        <w:rPr>
          <w:rFonts w:hint="default" w:ascii="Times New Roman" w:hAnsi="Times New Roman" w:eastAsia="华文中宋" w:cs="Times New Roman"/>
          <w:b/>
          <w:kern w:val="0"/>
          <w:sz w:val="52"/>
          <w:szCs w:val="52"/>
        </w:rPr>
      </w:pPr>
    </w:p>
    <w:p w14:paraId="2C565163">
      <w:pPr>
        <w:spacing w:line="540" w:lineRule="exact"/>
        <w:jc w:val="center"/>
        <w:rPr>
          <w:rFonts w:hint="default" w:ascii="Times New Roman" w:hAnsi="Times New Roman" w:eastAsia="华文中宋" w:cs="Times New Roman"/>
          <w:b/>
          <w:kern w:val="0"/>
          <w:sz w:val="52"/>
          <w:szCs w:val="52"/>
        </w:rPr>
      </w:pPr>
    </w:p>
    <w:p w14:paraId="6935B0A3">
      <w:pPr>
        <w:spacing w:line="540" w:lineRule="exact"/>
        <w:jc w:val="center"/>
        <w:rPr>
          <w:rFonts w:hint="default" w:ascii="Times New Roman" w:hAnsi="Times New Roman" w:eastAsia="华文中宋" w:cs="Times New Roman"/>
          <w:b/>
          <w:kern w:val="0"/>
          <w:sz w:val="52"/>
          <w:szCs w:val="52"/>
        </w:rPr>
      </w:pPr>
    </w:p>
    <w:p w14:paraId="149F87C9">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2024年大学生志愿者服务西部计划中央补助资金项目支出绩效评价</w:t>
      </w:r>
    </w:p>
    <w:p w14:paraId="195F3017">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报告</w:t>
      </w:r>
    </w:p>
    <w:p w14:paraId="7E75FC3E">
      <w:pPr>
        <w:spacing w:line="540" w:lineRule="exact"/>
        <w:jc w:val="center"/>
        <w:rPr>
          <w:rFonts w:hint="default" w:ascii="Times New Roman" w:hAnsi="Times New Roman" w:eastAsia="华文中宋" w:cs="Times New Roman"/>
          <w:b/>
          <w:kern w:val="0"/>
          <w:sz w:val="52"/>
          <w:szCs w:val="52"/>
        </w:rPr>
      </w:pPr>
    </w:p>
    <w:p w14:paraId="5DFE0953">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38774211">
      <w:pPr>
        <w:spacing w:line="540" w:lineRule="exact"/>
        <w:jc w:val="center"/>
        <w:rPr>
          <w:rFonts w:hint="default" w:ascii="Times New Roman" w:hAnsi="Times New Roman" w:eastAsia="仿宋_GB2312" w:cs="Times New Roman"/>
          <w:kern w:val="0"/>
          <w:sz w:val="30"/>
          <w:szCs w:val="30"/>
        </w:rPr>
      </w:pPr>
    </w:p>
    <w:p w14:paraId="73B526AB">
      <w:pPr>
        <w:spacing w:line="540" w:lineRule="exact"/>
        <w:jc w:val="center"/>
        <w:rPr>
          <w:rFonts w:hint="default" w:ascii="Times New Roman" w:hAnsi="Times New Roman" w:eastAsia="仿宋_GB2312" w:cs="Times New Roman"/>
          <w:kern w:val="0"/>
          <w:sz w:val="30"/>
          <w:szCs w:val="30"/>
        </w:rPr>
      </w:pPr>
    </w:p>
    <w:p w14:paraId="17DAA46C">
      <w:pPr>
        <w:spacing w:line="540" w:lineRule="exact"/>
        <w:jc w:val="center"/>
        <w:rPr>
          <w:rFonts w:hint="default" w:ascii="Times New Roman" w:hAnsi="Times New Roman" w:eastAsia="仿宋_GB2312" w:cs="Times New Roman"/>
          <w:kern w:val="0"/>
          <w:sz w:val="30"/>
          <w:szCs w:val="30"/>
        </w:rPr>
      </w:pPr>
    </w:p>
    <w:p w14:paraId="196FBD40">
      <w:pPr>
        <w:spacing w:line="540" w:lineRule="exact"/>
        <w:rPr>
          <w:rFonts w:hint="default" w:ascii="Times New Roman" w:hAnsi="Times New Roman" w:eastAsia="仿宋_GB2312" w:cs="Times New Roman"/>
          <w:kern w:val="0"/>
          <w:sz w:val="30"/>
          <w:szCs w:val="30"/>
        </w:rPr>
      </w:pPr>
    </w:p>
    <w:p w14:paraId="79875598">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项目名称：2024年大学生志愿者服务西部计划中央补助资金</w:t>
      </w:r>
    </w:p>
    <w:p w14:paraId="7B48DC1C">
      <w:pPr>
        <w:spacing w:line="700" w:lineRule="exact"/>
        <w:ind w:firstLine="1440" w:firstLineChars="400"/>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val="en-US" w:eastAsia="zh-CN"/>
        </w:rPr>
        <w:t>中国共产主义青年团奇台县委员会</w:t>
      </w:r>
    </w:p>
    <w:p w14:paraId="017566E9">
      <w:pPr>
        <w:spacing w:line="700" w:lineRule="exact"/>
        <w:ind w:firstLine="1440" w:firstLineChars="400"/>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主管部门（公章）：</w:t>
      </w:r>
      <w:r>
        <w:rPr>
          <w:rFonts w:hint="eastAsia" w:eastAsia="仿宋_GB2312" w:cs="Times New Roman"/>
          <w:kern w:val="0"/>
          <w:sz w:val="36"/>
          <w:szCs w:val="36"/>
          <w:lang w:val="en-US" w:eastAsia="zh-CN"/>
        </w:rPr>
        <w:t>中国共产主义青年团奇台县委员会</w:t>
      </w:r>
    </w:p>
    <w:p w14:paraId="15B72060">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val="en-US" w:eastAsia="zh-CN"/>
        </w:rPr>
        <w:t>程建泽</w:t>
      </w:r>
    </w:p>
    <w:p w14:paraId="6D7B14E2">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5</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10</w:t>
      </w:r>
      <w:r>
        <w:rPr>
          <w:rFonts w:hint="default" w:ascii="Times New Roman" w:hAnsi="Times New Roman" w:eastAsia="仿宋_GB2312" w:cs="Times New Roman"/>
          <w:kern w:val="0"/>
          <w:sz w:val="36"/>
          <w:szCs w:val="36"/>
        </w:rPr>
        <w:t>日</w:t>
      </w:r>
    </w:p>
    <w:p w14:paraId="49E91EAC">
      <w:pPr>
        <w:spacing w:line="540" w:lineRule="exact"/>
        <w:ind w:firstLine="640"/>
        <w:rPr>
          <w:rStyle w:val="16"/>
          <w:rFonts w:hint="default" w:ascii="Times New Roman" w:hAnsi="Times New Roman" w:eastAsia="黑体" w:cs="Times New Roman"/>
          <w:b w:val="0"/>
          <w:spacing w:val="-4"/>
          <w:sz w:val="32"/>
          <w:szCs w:val="32"/>
        </w:rPr>
      </w:pPr>
    </w:p>
    <w:p w14:paraId="1DBE3466">
      <w:pPr>
        <w:spacing w:line="540" w:lineRule="exact"/>
        <w:rPr>
          <w:rStyle w:val="16"/>
          <w:rFonts w:hint="default" w:ascii="Times New Roman" w:hAnsi="Times New Roman" w:eastAsia="黑体" w:cs="Times New Roman"/>
          <w:b w:val="0"/>
          <w:spacing w:val="-4"/>
          <w:sz w:val="32"/>
          <w:szCs w:val="32"/>
        </w:rPr>
      </w:pPr>
    </w:p>
    <w:p w14:paraId="4912E6AC">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14:paraId="635BFA87">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41542FB2">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0E14DA85">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14:paraId="5E609740">
      <w:pPr>
        <w:spacing w:line="560" w:lineRule="exact"/>
        <w:ind w:firstLine="600" w:firstLineChars="200"/>
        <w:rPr>
          <w:rStyle w:val="16"/>
          <w:rFonts w:hint="default" w:ascii="Times New Roman" w:hAnsi="Times New Roman" w:eastAsia="黑体" w:cs="Times New Roman"/>
          <w:b w:val="0"/>
          <w:bCs/>
          <w:spacing w:val="-4"/>
          <w:sz w:val="32"/>
          <w:szCs w:val="32"/>
          <w:highlight w:val="yellow"/>
          <w:lang w:eastAsia="zh-CN"/>
        </w:rPr>
      </w:pPr>
      <w:r>
        <w:rPr>
          <w:rFonts w:hint="default" w:ascii="Times New Roman" w:hAnsi="Times New Roman" w:eastAsia="仿宋_GB2312" w:cs="Times New Roman"/>
          <w:sz w:val="30"/>
          <w:szCs w:val="30"/>
          <w:highlight w:val="none"/>
          <w:lang w:val="en-US" w:eastAsia="zh-CN"/>
        </w:rPr>
        <w:t>团中央、教育部、财政部、人力资源社会保障部根据国务院常务会议和全国高校毕业生就业工作会议精神，联合实施大学生志愿服务西部计划，招募一定数量的普通高等学校应届毕业生或在读研究生，到西部基层开展为期1-3年的志愿服务工作，鼓励志愿者服务期满后扎根当地就业创业。</w:t>
      </w:r>
    </w:p>
    <w:p w14:paraId="7B1065A5">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14:paraId="0646AEC6">
      <w:pPr>
        <w:spacing w:line="560" w:lineRule="exact"/>
        <w:ind w:firstLine="600" w:firstLineChars="200"/>
        <w:rPr>
          <w:rFonts w:hint="default" w:ascii="Times New Roman" w:hAnsi="Times New Roman" w:eastAsia="黑体" w:cs="Times New Roman"/>
          <w:highlight w:val="yellow"/>
          <w:lang w:eastAsia="zh-CN"/>
        </w:rPr>
      </w:pPr>
      <w:r>
        <w:rPr>
          <w:rFonts w:hint="default" w:ascii="Times New Roman" w:hAnsi="Times New Roman" w:eastAsia="仿宋_GB2312" w:cs="Times New Roman"/>
          <w:sz w:val="30"/>
          <w:szCs w:val="30"/>
          <w:highlight w:val="none"/>
          <w:lang w:val="en-US" w:eastAsia="zh-CN"/>
        </w:rPr>
        <w:t>项目主要内容：</w:t>
      </w:r>
      <w:r>
        <w:rPr>
          <w:rFonts w:hint="eastAsia" w:eastAsia="仿宋_GB2312" w:cs="Times New Roman"/>
          <w:sz w:val="30"/>
          <w:szCs w:val="30"/>
          <w:highlight w:val="none"/>
          <w:lang w:val="en-US" w:eastAsia="zh-CN"/>
        </w:rPr>
        <w:t>保障奇台县在岗西部计划志愿者工作和生活补助按时按标准发放，按时缴纳在岗西部计划志愿者医保社保。</w:t>
      </w:r>
    </w:p>
    <w:p w14:paraId="6951DBFA">
      <w:pPr>
        <w:spacing w:line="560" w:lineRule="exact"/>
        <w:ind w:firstLine="640" w:firstLineChars="200"/>
        <w:rPr>
          <w:rFonts w:hint="default" w:ascii="Times New Roman" w:hAnsi="Times New Roman" w:cs="Times New Roman"/>
        </w:rPr>
      </w:pPr>
      <w:r>
        <w:rPr>
          <w:rFonts w:hint="default" w:ascii="Times New Roman" w:hAnsi="Times New Roman" w:eastAsia="仿宋_GB2312" w:cs="Times New Roman"/>
          <w:sz w:val="32"/>
          <w:szCs w:val="32"/>
        </w:rPr>
        <w:t>项目实施情况：</w:t>
      </w:r>
      <w:r>
        <w:rPr>
          <w:rFonts w:hint="eastAsia" w:eastAsia="仿宋_GB2312" w:cs="Times New Roman"/>
          <w:sz w:val="32"/>
          <w:szCs w:val="32"/>
          <w:lang w:val="en-US" w:eastAsia="zh-CN"/>
        </w:rPr>
        <w:t>2024年全年，每月按时按标准对奇台县在岗西部计划志愿者发放工作生活补助，每月按要求对在岗西部计划志愿者缴纳医保社保，1、7月按要求发放交通补助。</w:t>
      </w:r>
    </w:p>
    <w:p w14:paraId="59898845">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14:paraId="25EBD2B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236FC90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37.04</w:t>
      </w:r>
      <w:r>
        <w:rPr>
          <w:rFonts w:hint="default" w:ascii="Times New Roman" w:hAnsi="Times New Roman" w:eastAsia="仿宋_GB2312" w:cs="Times New Roman"/>
          <w:sz w:val="32"/>
          <w:szCs w:val="32"/>
          <w:highlight w:val="none"/>
          <w:lang w:val="en-US" w:eastAsia="zh-CN"/>
        </w:rPr>
        <w:t>万元，全年预算数347.41万元，该项目资金已全部落实到位，资金来源为</w:t>
      </w:r>
      <w:r>
        <w:rPr>
          <w:rFonts w:hint="eastAsia" w:eastAsia="仿宋_GB2312" w:cs="Times New Roman"/>
          <w:sz w:val="32"/>
          <w:szCs w:val="32"/>
          <w:highlight w:val="none"/>
          <w:lang w:val="en-US" w:eastAsia="zh-CN"/>
        </w:rPr>
        <w:t>财政拨款</w:t>
      </w:r>
      <w:r>
        <w:rPr>
          <w:rFonts w:hint="default" w:ascii="Times New Roman" w:hAnsi="Times New Roman" w:eastAsia="仿宋_GB2312" w:cs="Times New Roman"/>
          <w:sz w:val="32"/>
          <w:szCs w:val="32"/>
          <w:highlight w:val="none"/>
          <w:lang w:val="en-US" w:eastAsia="zh-CN"/>
        </w:rPr>
        <w:t>。</w:t>
      </w:r>
    </w:p>
    <w:p w14:paraId="6A0494E9">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29EBA57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37.04</w:t>
      </w:r>
      <w:r>
        <w:rPr>
          <w:rFonts w:hint="default" w:ascii="Times New Roman" w:hAnsi="Times New Roman" w:eastAsia="仿宋_GB2312" w:cs="Times New Roman"/>
          <w:sz w:val="32"/>
          <w:szCs w:val="32"/>
          <w:highlight w:val="none"/>
          <w:lang w:val="en-US" w:eastAsia="zh-CN"/>
        </w:rPr>
        <w:t>万元，全年预算数347.41万元，全年执行数347.41万元，预算执行率为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Fonts w:hint="eastAsia" w:eastAsia="仿宋_GB2312" w:cs="Times New Roman"/>
          <w:sz w:val="32"/>
          <w:szCs w:val="32"/>
          <w:highlight w:val="none"/>
          <w:lang w:val="en-US" w:eastAsia="zh-CN"/>
        </w:rPr>
        <w:t>发放西部计划志愿者生活和工作补助，缴纳西部计划志愿者医保社保。</w:t>
      </w:r>
    </w:p>
    <w:p w14:paraId="6BDE7EB3">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14:paraId="651AB103">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14:paraId="3634DBD6">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发放大学生志愿者西部计划新疆专项志愿者工作生活补贴，办理志愿者基本养老保险及基本医疗保险，为志愿者更好的在疆开展志愿服务提供有力保障，大学生志愿服务西部计划服务领域不断拓展，管理服务进一步完善，社会各界广泛关注，有效服务大局、服务社会，服务青年，为新疆社会稳定和长治久安贡献青春力量。</w:t>
      </w:r>
    </w:p>
    <w:p w14:paraId="7C822894">
      <w:pPr>
        <w:spacing w:line="560" w:lineRule="exact"/>
        <w:ind w:firstLine="640" w:firstLineChars="200"/>
        <w:rPr>
          <w:rFonts w:hint="default" w:ascii="Times New Roman" w:hAnsi="Times New Roman" w:eastAsia="仿宋_GB2312" w:cs="Times New Roman"/>
          <w:color w:val="FF0000"/>
          <w:sz w:val="30"/>
          <w:szCs w:val="30"/>
          <w:highlight w:val="none"/>
          <w:lang w:val="en-US" w:eastAsia="zh-CN"/>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r>
        <w:rPr>
          <w:rFonts w:hint="eastAsia" w:eastAsia="仿宋_GB2312" w:cs="Times New Roman"/>
          <w:sz w:val="32"/>
          <w:szCs w:val="32"/>
          <w:lang w:val="en-US" w:eastAsia="zh-CN"/>
        </w:rPr>
        <w:t>2024年全年，每月按时按标准对奇台县在岗西部计划志愿者发放工作生活补助，每月按要求对在岗西部计划志愿者缴纳医保社保，1、7月按要求发放交通补助。</w:t>
      </w:r>
    </w:p>
    <w:p w14:paraId="36677A6B">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14:paraId="4FB2CB32">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14:paraId="53137965">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14:paraId="062C1D23">
      <w:p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val="0"/>
          <w:bCs w:val="0"/>
          <w:kern w:val="2"/>
          <w:sz w:val="32"/>
          <w:szCs w:val="32"/>
          <w:highlight w:val="none"/>
          <w:lang w:val="en-US" w:eastAsia="zh-CN" w:bidi="ar-SA"/>
        </w:rPr>
        <w:t>本项目预算绩效评价报告在编制过程中，严格遵循相关法规与标准，确保评价内容的全面性与准确性。</w:t>
      </w:r>
      <w:r>
        <w:rPr>
          <w:rFonts w:hint="eastAsia" w:eastAsia="仿宋_GB2312" w:cs="Times New Roman"/>
          <w:sz w:val="32"/>
          <w:szCs w:val="32"/>
          <w:highlight w:val="none"/>
          <w:lang w:val="en-US" w:eastAsia="zh-CN"/>
        </w:rPr>
        <w:t>包括产出指标，如数量指标发放志愿者工作补贴人数；质量指标志愿者补助发放率；时效指标志愿者补助发放及时率。包括成本指标经济成本指标志愿者工作生活补助发放标准。效益指标经济效益指标享受补贴志愿者生活得到改善。满意度指标志愿者对发放补贴满意度。通过</w:t>
      </w:r>
      <w:r>
        <w:rPr>
          <w:rFonts w:hint="default" w:ascii="Times New Roman" w:hAnsi="Times New Roman" w:eastAsia="仿宋_GB2312" w:cs="Times New Roman"/>
          <w:b w:val="0"/>
          <w:bCs w:val="0"/>
          <w:kern w:val="2"/>
          <w:sz w:val="32"/>
          <w:szCs w:val="32"/>
          <w:highlight w:val="none"/>
          <w:lang w:val="en-US" w:eastAsia="zh-CN" w:bidi="ar-SA"/>
        </w:rPr>
        <w:t>多个维度</w:t>
      </w:r>
      <w:r>
        <w:rPr>
          <w:rFonts w:hint="eastAsia" w:eastAsia="仿宋_GB2312" w:cs="Times New Roman"/>
          <w:b w:val="0"/>
          <w:bCs w:val="0"/>
          <w:kern w:val="2"/>
          <w:sz w:val="32"/>
          <w:szCs w:val="32"/>
          <w:highlight w:val="none"/>
          <w:lang w:val="en-US" w:eastAsia="zh-CN" w:bidi="ar-SA"/>
        </w:rPr>
        <w:t>指标</w:t>
      </w:r>
      <w:r>
        <w:rPr>
          <w:rFonts w:hint="default" w:ascii="Times New Roman" w:hAnsi="Times New Roman" w:eastAsia="仿宋_GB2312" w:cs="Times New Roman"/>
          <w:b w:val="0"/>
          <w:bCs w:val="0"/>
          <w:kern w:val="2"/>
          <w:sz w:val="32"/>
          <w:szCs w:val="32"/>
          <w:highlight w:val="none"/>
          <w:lang w:val="en-US" w:eastAsia="zh-CN" w:bidi="ar-SA"/>
        </w:rPr>
        <w:t>，</w:t>
      </w:r>
      <w:r>
        <w:rPr>
          <w:rFonts w:hint="default" w:ascii="Times New Roman" w:hAnsi="Times New Roman" w:eastAsia="仿宋_GB2312" w:cs="Times New Roman"/>
          <w:sz w:val="32"/>
          <w:szCs w:val="32"/>
          <w:lang w:val="en-US" w:eastAsia="zh-CN"/>
        </w:rPr>
        <w:t>全面反映</w:t>
      </w:r>
      <w:r>
        <w:rPr>
          <w:rFonts w:hint="eastAsia" w:eastAsia="仿宋_GB2312" w:cs="Times New Roman"/>
          <w:sz w:val="32"/>
          <w:szCs w:val="32"/>
          <w:lang w:val="en-US" w:eastAsia="zh-CN"/>
        </w:rPr>
        <w:t>西部计划志愿者中央补助资金</w:t>
      </w:r>
      <w:r>
        <w:rPr>
          <w:rFonts w:hint="default" w:ascii="Times New Roman" w:hAnsi="Times New Roman" w:eastAsia="仿宋_GB2312" w:cs="Times New Roman"/>
          <w:sz w:val="32"/>
          <w:szCs w:val="32"/>
          <w:lang w:val="en-US" w:eastAsia="zh-CN"/>
        </w:rPr>
        <w:t>的综合绩效。</w:t>
      </w:r>
    </w:p>
    <w:p w14:paraId="0A93489F">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评价数据的完整性</w:t>
      </w:r>
    </w:p>
    <w:p w14:paraId="152E93B4">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涵盖多个渠道，如</w:t>
      </w:r>
      <w:r>
        <w:rPr>
          <w:rFonts w:hint="eastAsia" w:eastAsia="仿宋_GB2312" w:cs="Times New Roman"/>
          <w:sz w:val="32"/>
          <w:szCs w:val="32"/>
          <w:highlight w:val="none"/>
          <w:lang w:val="en-US" w:eastAsia="zh-CN"/>
        </w:rPr>
        <w:t>发放志愿者工作补贴人数</w:t>
      </w:r>
      <w:r>
        <w:rPr>
          <w:rFonts w:hint="eastAsia" w:eastAsia="仿宋_GB2312" w:cs="Times New Roman"/>
          <w:sz w:val="32"/>
          <w:szCs w:val="32"/>
          <w:lang w:val="en-US" w:eastAsia="zh-CN"/>
        </w:rPr>
        <w:t>等</w:t>
      </w:r>
      <w:r>
        <w:rPr>
          <w:rFonts w:hint="default" w:ascii="Times New Roman" w:hAnsi="Times New Roman" w:eastAsia="仿宋_GB2312" w:cs="Times New Roman"/>
          <w:sz w:val="32"/>
          <w:szCs w:val="32"/>
          <w:lang w:val="en-US" w:eastAsia="zh-CN"/>
        </w:rPr>
        <w:t>数据，确保从不同角度获取</w:t>
      </w:r>
      <w:r>
        <w:rPr>
          <w:rFonts w:hint="eastAsia" w:eastAsia="仿宋_GB2312" w:cs="Times New Roman"/>
          <w:sz w:val="32"/>
          <w:szCs w:val="32"/>
          <w:lang w:val="en-US" w:eastAsia="zh-CN"/>
        </w:rPr>
        <w:t>志愿者补助资金发放</w:t>
      </w:r>
      <w:r>
        <w:rPr>
          <w:rFonts w:hint="default" w:ascii="Times New Roman" w:hAnsi="Times New Roman" w:eastAsia="仿宋_GB2312" w:cs="Times New Roman"/>
          <w:sz w:val="32"/>
          <w:szCs w:val="32"/>
          <w:lang w:val="en-US" w:eastAsia="zh-CN"/>
        </w:rPr>
        <w:t>绩效相关的信息。对收集的数据进行严格的审核和验证，确保数据的真实性、准确性和一致性。同时，对数据进行</w:t>
      </w:r>
      <w:r>
        <w:rPr>
          <w:rFonts w:hint="eastAsia" w:eastAsia="仿宋_GB2312" w:cs="Times New Roman"/>
          <w:sz w:val="32"/>
          <w:szCs w:val="32"/>
          <w:lang w:val="en-US" w:eastAsia="zh-CN"/>
        </w:rPr>
        <w:t>整</w:t>
      </w:r>
      <w:r>
        <w:rPr>
          <w:rFonts w:hint="default" w:ascii="Times New Roman" w:hAnsi="Times New Roman" w:eastAsia="仿宋_GB2312" w:cs="Times New Roman"/>
          <w:sz w:val="32"/>
          <w:szCs w:val="32"/>
          <w:lang w:val="en-US" w:eastAsia="zh-CN"/>
        </w:rPr>
        <w:t>理，便于随时查询和使用，为评价工作提供可靠的数据支持。</w:t>
      </w:r>
    </w:p>
    <w:p w14:paraId="0104B48A">
      <w:pPr>
        <w:numPr>
          <w:ilvl w:val="0"/>
          <w:numId w:val="0"/>
        </w:numPr>
        <w:spacing w:line="560" w:lineRule="exact"/>
        <w:ind w:firstLine="640" w:firstLineChars="20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评价过程的完整性</w:t>
      </w:r>
    </w:p>
    <w:p w14:paraId="62186EEC">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明确评价目的、对象和范围，制定详细的评价方案，确定评价方法和指标体系，收集相关资料和数据，包括</w:t>
      </w:r>
      <w:r>
        <w:rPr>
          <w:rFonts w:hint="eastAsia" w:eastAsia="仿宋_GB2312" w:cs="Times New Roman"/>
          <w:sz w:val="32"/>
          <w:szCs w:val="32"/>
          <w:highlight w:val="none"/>
          <w:lang w:val="en-US" w:eastAsia="zh-CN"/>
        </w:rPr>
        <w:t>发放志愿者工作补贴发放标准</w:t>
      </w:r>
      <w:r>
        <w:rPr>
          <w:rFonts w:hint="default" w:ascii="Times New Roman" w:hAnsi="Times New Roman" w:eastAsia="仿宋_GB2312" w:cs="Times New Roman"/>
          <w:sz w:val="32"/>
          <w:szCs w:val="32"/>
          <w:lang w:val="en-US" w:eastAsia="zh-CN"/>
        </w:rPr>
        <w:t>等，为评价工作奠定坚实基础；按照既定的评价方案，运用科学的方法，对收集的数据进行整理、分析和计算，通过实地</w:t>
      </w:r>
      <w:r>
        <w:rPr>
          <w:rFonts w:hint="eastAsia" w:eastAsia="仿宋_GB2312" w:cs="Times New Roman"/>
          <w:sz w:val="32"/>
          <w:szCs w:val="32"/>
          <w:lang w:val="en-US" w:eastAsia="zh-CN"/>
        </w:rPr>
        <w:t>入户</w:t>
      </w:r>
      <w:r>
        <w:rPr>
          <w:rFonts w:hint="default"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走访、座谈</w:t>
      </w:r>
      <w:r>
        <w:rPr>
          <w:rFonts w:hint="default" w:ascii="Times New Roman" w:hAnsi="Times New Roman" w:eastAsia="仿宋_GB2312" w:cs="Times New Roman"/>
          <w:sz w:val="32"/>
          <w:szCs w:val="32"/>
          <w:lang w:val="en-US" w:eastAsia="zh-CN"/>
        </w:rPr>
        <w:t>等多种方式获取全面准确的信息，确保评价过程的客观性和公正性；及时将评价结果反馈给</w:t>
      </w:r>
      <w:r>
        <w:rPr>
          <w:rFonts w:hint="eastAsia" w:eastAsia="仿宋_GB2312" w:cs="Times New Roman"/>
          <w:sz w:val="32"/>
          <w:szCs w:val="32"/>
          <w:lang w:val="en-US" w:eastAsia="zh-CN"/>
        </w:rPr>
        <w:t>领导小组组长</w:t>
      </w:r>
      <w:r>
        <w:rPr>
          <w:rFonts w:hint="default" w:ascii="Times New Roman" w:hAnsi="Times New Roman" w:eastAsia="仿宋_GB2312" w:cs="Times New Roman"/>
          <w:sz w:val="32"/>
          <w:szCs w:val="32"/>
          <w:lang w:val="en-US" w:eastAsia="zh-CN"/>
        </w:rPr>
        <w:t>，为政策调整、</w:t>
      </w:r>
      <w:r>
        <w:rPr>
          <w:rFonts w:hint="eastAsia" w:eastAsia="仿宋_GB2312" w:cs="Times New Roman"/>
          <w:sz w:val="32"/>
          <w:szCs w:val="32"/>
          <w:lang w:val="en-US" w:eastAsia="zh-CN"/>
        </w:rPr>
        <w:t>工作</w:t>
      </w:r>
      <w:r>
        <w:rPr>
          <w:rFonts w:hint="default" w:ascii="Times New Roman" w:hAnsi="Times New Roman" w:eastAsia="仿宋_GB2312" w:cs="Times New Roman"/>
          <w:sz w:val="32"/>
          <w:szCs w:val="32"/>
          <w:lang w:val="en-US" w:eastAsia="zh-CN"/>
        </w:rPr>
        <w:t>改进提供依据，同时跟踪反馈意见的落实情况，形成评价工作的闭环，以保证评价结果能够切实发挥作用，促进</w:t>
      </w:r>
      <w:r>
        <w:rPr>
          <w:rFonts w:hint="eastAsia" w:eastAsia="仿宋_GB2312" w:cs="Times New Roman"/>
          <w:sz w:val="32"/>
          <w:szCs w:val="32"/>
          <w:lang w:val="en-US" w:eastAsia="zh-CN"/>
        </w:rPr>
        <w:t>西部计划志愿者补助资金发放工作</w:t>
      </w:r>
      <w:r>
        <w:rPr>
          <w:rFonts w:hint="default" w:ascii="Times New Roman" w:hAnsi="Times New Roman" w:eastAsia="仿宋_GB2312" w:cs="Times New Roman"/>
          <w:sz w:val="32"/>
          <w:szCs w:val="32"/>
          <w:lang w:val="en-US" w:eastAsia="zh-CN"/>
        </w:rPr>
        <w:t>的持续优化。</w:t>
      </w:r>
    </w:p>
    <w:p w14:paraId="2F18BA9C">
      <w:pPr>
        <w:keepNext w:val="0"/>
        <w:keepLines w:val="0"/>
        <w:pageBreakBefore w:val="0"/>
        <w:widowControl w:val="0"/>
        <w:numPr>
          <w:ilvl w:val="0"/>
          <w:numId w:val="1"/>
        </w:numPr>
        <w:kinsoku/>
        <w:wordWrap w:val="0"/>
        <w:overflowPunct/>
        <w:topLinePunct/>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评价主体的完整性</w:t>
      </w:r>
    </w:p>
    <w:p w14:paraId="19A0A66C">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包括</w:t>
      </w:r>
      <w:r>
        <w:rPr>
          <w:rFonts w:hint="eastAsia" w:eastAsia="仿宋_GB2312" w:cs="Times New Roman"/>
          <w:sz w:val="32"/>
          <w:szCs w:val="32"/>
          <w:lang w:val="en-US" w:eastAsia="zh-CN"/>
        </w:rPr>
        <w:t>办公室、奇台县西部计划志愿者项目办、财务室</w:t>
      </w:r>
      <w:r>
        <w:rPr>
          <w:rFonts w:hint="default" w:ascii="Times New Roman" w:hAnsi="Times New Roman" w:eastAsia="仿宋_GB2312" w:cs="Times New Roman"/>
          <w:sz w:val="32"/>
          <w:szCs w:val="32"/>
          <w:lang w:val="en-US" w:eastAsia="zh-CN"/>
        </w:rPr>
        <w:t>等</w:t>
      </w:r>
      <w:r>
        <w:rPr>
          <w:rFonts w:hint="eastAsia" w:eastAsia="仿宋_GB2312" w:cs="Times New Roman"/>
          <w:sz w:val="32"/>
          <w:szCs w:val="32"/>
          <w:lang w:val="en-US" w:eastAsia="zh-CN"/>
        </w:rPr>
        <w:t>部门</w:t>
      </w:r>
      <w:r>
        <w:rPr>
          <w:rFonts w:hint="default"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办公室</w:t>
      </w:r>
      <w:r>
        <w:rPr>
          <w:rFonts w:hint="default" w:ascii="Times New Roman" w:hAnsi="Times New Roman" w:eastAsia="仿宋_GB2312" w:cs="Times New Roman"/>
          <w:sz w:val="32"/>
          <w:szCs w:val="32"/>
          <w:lang w:val="en-US" w:eastAsia="zh-CN"/>
        </w:rPr>
        <w:t>从政策执行和管理角度进行评价，</w:t>
      </w:r>
      <w:r>
        <w:rPr>
          <w:rFonts w:hint="eastAsia" w:eastAsia="仿宋_GB2312" w:cs="Times New Roman"/>
          <w:sz w:val="32"/>
          <w:szCs w:val="32"/>
          <w:lang w:val="en-US" w:eastAsia="zh-CN"/>
        </w:rPr>
        <w:t>西部计划志愿者项目办</w:t>
      </w:r>
      <w:r>
        <w:rPr>
          <w:rFonts w:hint="default" w:ascii="Times New Roman" w:hAnsi="Times New Roman" w:eastAsia="仿宋_GB2312" w:cs="Times New Roman"/>
          <w:sz w:val="32"/>
          <w:szCs w:val="32"/>
          <w:lang w:val="en-US" w:eastAsia="zh-CN"/>
        </w:rPr>
        <w:t>凭借专业知识和</w:t>
      </w:r>
      <w:r>
        <w:rPr>
          <w:rFonts w:hint="eastAsia" w:eastAsia="仿宋_GB2312" w:cs="Times New Roman"/>
          <w:sz w:val="32"/>
          <w:szCs w:val="32"/>
          <w:lang w:val="en-US" w:eastAsia="zh-CN"/>
        </w:rPr>
        <w:t>政策</w:t>
      </w:r>
      <w:r>
        <w:rPr>
          <w:rFonts w:hint="default" w:ascii="Times New Roman" w:hAnsi="Times New Roman" w:eastAsia="仿宋_GB2312" w:cs="Times New Roman"/>
          <w:sz w:val="32"/>
          <w:szCs w:val="32"/>
          <w:lang w:val="en-US" w:eastAsia="zh-CN"/>
        </w:rPr>
        <w:t>进行</w:t>
      </w:r>
      <w:r>
        <w:rPr>
          <w:rFonts w:hint="eastAsia" w:eastAsia="仿宋_GB2312" w:cs="Times New Roman"/>
          <w:sz w:val="32"/>
          <w:szCs w:val="32"/>
          <w:lang w:val="en-US" w:eastAsia="zh-CN"/>
        </w:rPr>
        <w:t>实地走访</w:t>
      </w:r>
      <w:r>
        <w:rPr>
          <w:rFonts w:hint="default"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补助资金发放对象</w:t>
      </w:r>
      <w:r>
        <w:rPr>
          <w:rFonts w:hint="default" w:ascii="Times New Roman" w:hAnsi="Times New Roman" w:eastAsia="仿宋_GB2312" w:cs="Times New Roman"/>
          <w:sz w:val="32"/>
          <w:szCs w:val="32"/>
          <w:lang w:val="en-US" w:eastAsia="zh-CN"/>
        </w:rPr>
        <w:t>则从切身感受和实际受益角度反馈情况，多元主体相互补充，保证评价的全面性和客观性。各评价主体在评价过程中明确分工、密切配合，共同参与评价指标制定、数据收集分析、结果讨论等环节，形成协同效应，使评价结果更具说服力和可信度。</w:t>
      </w:r>
    </w:p>
    <w:p w14:paraId="77D1BF71">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14:paraId="585E1DC7">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lang w:eastAsia="zh-CN"/>
        </w:rPr>
        <w:t>）</w:t>
      </w:r>
      <w:r>
        <w:rPr>
          <w:rFonts w:hint="eastAsia" w:eastAsia="仿宋_GB2312" w:cs="Times New Roman"/>
          <w:sz w:val="32"/>
          <w:szCs w:val="32"/>
          <w:lang w:eastAsia="zh-CN"/>
        </w:rPr>
        <w:t>衡量项目成果</w:t>
      </w:r>
      <w:r>
        <w:rPr>
          <w:rFonts w:hint="default" w:ascii="Times New Roman" w:hAnsi="Times New Roman" w:eastAsia="仿宋_GB2312" w:cs="Times New Roman"/>
          <w:sz w:val="32"/>
          <w:szCs w:val="32"/>
        </w:rPr>
        <w:t>：</w:t>
      </w:r>
      <w:r>
        <w:rPr>
          <w:rFonts w:hint="eastAsia" w:eastAsia="仿宋_GB2312" w:cs="Times New Roman"/>
          <w:sz w:val="32"/>
          <w:szCs w:val="32"/>
          <w:lang w:eastAsia="zh-CN"/>
        </w:rPr>
        <w:t>准确</w:t>
      </w:r>
      <w:r>
        <w:rPr>
          <w:rFonts w:hint="default" w:ascii="Times New Roman" w:hAnsi="Times New Roman" w:eastAsia="仿宋_GB2312" w:cs="Times New Roman"/>
          <w:sz w:val="32"/>
          <w:szCs w:val="32"/>
        </w:rPr>
        <w:t>了解</w:t>
      </w:r>
      <w:r>
        <w:rPr>
          <w:rFonts w:hint="eastAsia" w:eastAsia="仿宋_GB2312" w:cs="Times New Roman"/>
          <w:sz w:val="32"/>
          <w:szCs w:val="32"/>
          <w:lang w:val="en-US" w:eastAsia="zh-CN"/>
        </w:rPr>
        <w:t>西部计划志愿者补助资金发放</w:t>
      </w:r>
      <w:r>
        <w:rPr>
          <w:rFonts w:hint="eastAsia" w:eastAsia="仿宋_GB2312" w:cs="Times New Roman"/>
          <w:sz w:val="32"/>
          <w:szCs w:val="32"/>
          <w:lang w:eastAsia="zh-CN"/>
        </w:rPr>
        <w:t>工作在既定时间、预算和</w:t>
      </w:r>
      <w:r>
        <w:rPr>
          <w:rFonts w:hint="eastAsia" w:eastAsia="仿宋_GB2312" w:cs="Times New Roman"/>
          <w:sz w:val="32"/>
          <w:szCs w:val="32"/>
          <w:lang w:val="en-US" w:eastAsia="zh-CN"/>
        </w:rPr>
        <w:t>资金发放对象人员使用资金情况</w:t>
      </w:r>
      <w:r>
        <w:rPr>
          <w:rFonts w:hint="eastAsia" w:eastAsia="仿宋_GB2312" w:cs="Times New Roman"/>
          <w:sz w:val="32"/>
          <w:szCs w:val="32"/>
          <w:lang w:eastAsia="zh-CN"/>
        </w:rPr>
        <w:t>等方面的完成情况，判断能否达到预期目标</w:t>
      </w:r>
      <w:r>
        <w:rPr>
          <w:rFonts w:hint="default" w:ascii="Times New Roman" w:hAnsi="Times New Roman" w:eastAsia="仿宋_GB2312" w:cs="Times New Roman"/>
          <w:sz w:val="32"/>
          <w:szCs w:val="32"/>
        </w:rPr>
        <w:t>。</w:t>
      </w:r>
    </w:p>
    <w:p w14:paraId="06130408">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优化资源配置：通过分析投入与产出的关系，明确资源在</w:t>
      </w:r>
      <w:r>
        <w:rPr>
          <w:rFonts w:hint="eastAsia" w:eastAsia="仿宋_GB2312" w:cs="Times New Roman"/>
          <w:sz w:val="32"/>
          <w:szCs w:val="32"/>
          <w:lang w:val="en-US" w:eastAsia="zh-CN"/>
        </w:rPr>
        <w:t>西部计划</w:t>
      </w:r>
      <w:r>
        <w:rPr>
          <w:rFonts w:hint="eastAsia" w:eastAsia="仿宋_GB2312" w:cs="Times New Roman"/>
          <w:sz w:val="32"/>
          <w:szCs w:val="32"/>
          <w:lang w:eastAsia="zh-CN"/>
        </w:rPr>
        <w:t>工作</w:t>
      </w:r>
      <w:r>
        <w:rPr>
          <w:rFonts w:hint="default" w:ascii="Times New Roman" w:hAnsi="Times New Roman" w:eastAsia="仿宋_GB2312" w:cs="Times New Roman"/>
          <w:sz w:val="32"/>
          <w:szCs w:val="32"/>
        </w:rPr>
        <w:t>中的使用效率，为后续资金分配、资源投入方向提供科学依据，使资源得到更合理有效的利用。</w:t>
      </w:r>
    </w:p>
    <w:p w14:paraId="2DCB11E8">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发现问题并改进：及时</w:t>
      </w:r>
      <w:r>
        <w:rPr>
          <w:rFonts w:hint="eastAsia" w:eastAsia="仿宋_GB2312" w:cs="Times New Roman"/>
          <w:sz w:val="32"/>
          <w:szCs w:val="32"/>
          <w:lang w:eastAsia="zh-CN"/>
        </w:rPr>
        <w:t>找出</w:t>
      </w:r>
      <w:r>
        <w:rPr>
          <w:rFonts w:hint="eastAsia" w:eastAsia="仿宋_GB2312" w:cs="Times New Roman"/>
          <w:sz w:val="32"/>
          <w:szCs w:val="32"/>
          <w:lang w:val="en-US" w:eastAsia="zh-CN"/>
        </w:rPr>
        <w:t>西部计划志愿者</w:t>
      </w:r>
      <w:r>
        <w:rPr>
          <w:rFonts w:hint="default" w:ascii="Times New Roman" w:hAnsi="Times New Roman" w:eastAsia="仿宋_GB2312" w:cs="Times New Roman"/>
          <w:sz w:val="32"/>
          <w:szCs w:val="32"/>
        </w:rPr>
        <w:t>工作中存在的问题</w:t>
      </w:r>
      <w:r>
        <w:rPr>
          <w:rFonts w:hint="eastAsia" w:eastAsia="仿宋_GB2312" w:cs="Times New Roman"/>
          <w:sz w:val="32"/>
          <w:szCs w:val="32"/>
          <w:lang w:eastAsia="zh-CN"/>
        </w:rPr>
        <w:t>和风险</w:t>
      </w:r>
      <w:r>
        <w:rPr>
          <w:rFonts w:hint="default" w:ascii="Times New Roman" w:hAnsi="Times New Roman" w:eastAsia="仿宋_GB2312" w:cs="Times New Roman"/>
          <w:sz w:val="32"/>
          <w:szCs w:val="32"/>
        </w:rPr>
        <w:t>，以便采取针对性措施加以</w:t>
      </w:r>
      <w:r>
        <w:rPr>
          <w:rFonts w:hint="eastAsia" w:eastAsia="仿宋_GB2312" w:cs="Times New Roman"/>
          <w:sz w:val="32"/>
          <w:szCs w:val="32"/>
          <w:lang w:eastAsia="zh-CN"/>
        </w:rPr>
        <w:t>纠正</w:t>
      </w:r>
      <w:r>
        <w:rPr>
          <w:rFonts w:hint="default" w:ascii="Times New Roman" w:hAnsi="Times New Roman" w:eastAsia="仿宋_GB2312" w:cs="Times New Roman"/>
          <w:sz w:val="32"/>
          <w:szCs w:val="32"/>
        </w:rPr>
        <w:t>，</w:t>
      </w:r>
      <w:r>
        <w:rPr>
          <w:rFonts w:hint="eastAsia" w:eastAsia="仿宋_GB2312" w:cs="Times New Roman"/>
          <w:sz w:val="32"/>
          <w:szCs w:val="32"/>
          <w:lang w:eastAsia="zh-CN"/>
        </w:rPr>
        <w:t>避免问题扩大化</w:t>
      </w:r>
      <w:r>
        <w:rPr>
          <w:rFonts w:hint="default" w:ascii="Times New Roman" w:hAnsi="Times New Roman" w:eastAsia="仿宋_GB2312" w:cs="Times New Roman"/>
          <w:sz w:val="32"/>
          <w:szCs w:val="32"/>
        </w:rPr>
        <w:t>。</w:t>
      </w:r>
    </w:p>
    <w:p w14:paraId="658E8501">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lang w:eastAsia="zh-CN"/>
        </w:rPr>
        <w:t>）</w:t>
      </w:r>
      <w:r>
        <w:rPr>
          <w:rFonts w:hint="eastAsia" w:eastAsia="仿宋_GB2312" w:cs="Times New Roman"/>
          <w:sz w:val="32"/>
          <w:szCs w:val="32"/>
          <w:lang w:eastAsia="zh-CN"/>
        </w:rPr>
        <w:t>积累项目经验</w:t>
      </w:r>
      <w:r>
        <w:rPr>
          <w:rFonts w:hint="default" w:ascii="Times New Roman" w:hAnsi="Times New Roman" w:eastAsia="仿宋_GB2312" w:cs="Times New Roman"/>
          <w:sz w:val="32"/>
          <w:szCs w:val="32"/>
        </w:rPr>
        <w:t>：</w:t>
      </w:r>
      <w:r>
        <w:rPr>
          <w:rFonts w:hint="eastAsia" w:eastAsia="仿宋_GB2312" w:cs="Times New Roman"/>
          <w:sz w:val="32"/>
          <w:szCs w:val="32"/>
          <w:lang w:eastAsia="zh-CN"/>
        </w:rPr>
        <w:t>总结成功经验和失败教训，为未来类似工作提供参考和借鉴，不断提高工作管理水平和绩效</w:t>
      </w:r>
      <w:r>
        <w:rPr>
          <w:rFonts w:hint="default" w:ascii="Times New Roman" w:hAnsi="Times New Roman" w:eastAsia="仿宋_GB2312" w:cs="Times New Roman"/>
          <w:sz w:val="32"/>
          <w:szCs w:val="32"/>
        </w:rPr>
        <w:t>。</w:t>
      </w:r>
    </w:p>
    <w:p w14:paraId="619E6B63">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eastAsia="仿宋_GB2312" w:cs="Times New Roman"/>
          <w:sz w:val="32"/>
          <w:szCs w:val="32"/>
          <w:lang w:eastAsia="zh-CN"/>
        </w:rPr>
        <w:t>（</w:t>
      </w:r>
      <w:r>
        <w:rPr>
          <w:rFonts w:hint="eastAsia" w:eastAsia="仿宋_GB2312" w:cs="Times New Roman"/>
          <w:sz w:val="32"/>
          <w:szCs w:val="32"/>
          <w:lang w:val="en-US" w:eastAsia="zh-CN"/>
        </w:rPr>
        <w:t>5</w:t>
      </w:r>
      <w:r>
        <w:rPr>
          <w:rFonts w:hint="eastAsia" w:eastAsia="仿宋_GB2312" w:cs="Times New Roman"/>
          <w:sz w:val="32"/>
          <w:szCs w:val="32"/>
          <w:lang w:eastAsia="zh-CN"/>
        </w:rPr>
        <w:t>）促进沟通协调：在评价过程中，</w:t>
      </w:r>
      <w:r>
        <w:rPr>
          <w:rFonts w:hint="eastAsia" w:eastAsia="仿宋_GB2312" w:cs="Times New Roman"/>
          <w:sz w:val="32"/>
          <w:szCs w:val="32"/>
          <w:lang w:val="en-US" w:eastAsia="zh-CN"/>
        </w:rPr>
        <w:t>促进县项目办和西部计划志愿者组织</w:t>
      </w:r>
      <w:r>
        <w:rPr>
          <w:rFonts w:hint="eastAsia" w:eastAsia="仿宋_GB2312" w:cs="Times New Roman"/>
          <w:sz w:val="32"/>
          <w:szCs w:val="32"/>
          <w:lang w:eastAsia="zh-CN"/>
        </w:rPr>
        <w:t>的沟通与协调，使各方对此次工作的进展和结果达成共识，减少冲突和误解。</w:t>
      </w:r>
    </w:p>
    <w:p w14:paraId="5CD11F8B">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14:paraId="01C1EF90">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本项目预算绩效评价报告的评价对象是</w:t>
      </w:r>
      <w:r>
        <w:rPr>
          <w:rFonts w:hint="eastAsia" w:ascii="Times New Roman" w:hAnsi="Times New Roman" w:eastAsia="仿宋_GB2312" w:cs="Times New Roman"/>
          <w:b w:val="0"/>
          <w:bCs w:val="0"/>
          <w:kern w:val="2"/>
          <w:sz w:val="32"/>
          <w:szCs w:val="32"/>
          <w:highlight w:val="none"/>
          <w:lang w:val="en-US" w:eastAsia="zh-CN" w:bidi="ar-SA"/>
        </w:rPr>
        <w:t>2024年妇女儿童工作经费项目</w:t>
      </w:r>
      <w:r>
        <w:rPr>
          <w:rFonts w:hint="default" w:ascii="Times New Roman" w:hAnsi="Times New Roman" w:eastAsia="仿宋_GB2312" w:cs="Times New Roman"/>
          <w:b w:val="0"/>
          <w:bCs w:val="0"/>
          <w:kern w:val="2"/>
          <w:sz w:val="32"/>
          <w:szCs w:val="32"/>
          <w:highlight w:val="none"/>
          <w:lang w:val="en-US" w:eastAsia="zh-CN" w:bidi="ar-SA"/>
        </w:rPr>
        <w:t>及其预算执行情况。该项目由</w:t>
      </w:r>
      <w:r>
        <w:rPr>
          <w:rFonts w:hint="eastAsia" w:ascii="Times New Roman" w:hAnsi="Times New Roman" w:eastAsia="仿宋_GB2312" w:cs="Times New Roman"/>
          <w:b w:val="0"/>
          <w:bCs w:val="0"/>
          <w:kern w:val="2"/>
          <w:sz w:val="32"/>
          <w:szCs w:val="32"/>
          <w:highlight w:val="none"/>
          <w:lang w:val="en-US" w:eastAsia="zh-CN" w:bidi="ar-SA"/>
        </w:rPr>
        <w:t>奇台县团委</w:t>
      </w:r>
      <w:r>
        <w:rPr>
          <w:rFonts w:hint="default" w:ascii="Times New Roman" w:hAnsi="Times New Roman" w:eastAsia="仿宋_GB2312" w:cs="Times New Roman"/>
          <w:b w:val="0"/>
          <w:bCs w:val="0"/>
          <w:kern w:val="2"/>
          <w:sz w:val="32"/>
          <w:szCs w:val="32"/>
          <w:highlight w:val="none"/>
          <w:lang w:val="en-US" w:eastAsia="zh-CN" w:bidi="ar-SA"/>
        </w:rPr>
        <w:t>负责实施，旨在</w:t>
      </w:r>
      <w:r>
        <w:rPr>
          <w:rFonts w:hint="eastAsia" w:ascii="Times New Roman" w:hAnsi="Times New Roman" w:eastAsia="仿宋_GB2312" w:cs="Times New Roman"/>
          <w:b w:val="0"/>
          <w:bCs w:val="0"/>
          <w:kern w:val="2"/>
          <w:sz w:val="32"/>
          <w:szCs w:val="32"/>
          <w:highlight w:val="none"/>
          <w:lang w:val="en-US" w:eastAsia="zh-CN" w:bidi="ar-SA"/>
        </w:rPr>
        <w:t>发放大学生志愿者西部计划新疆专项志愿者工作生活补贴，办理志愿者基本养老保险及基本医疗保险，为志愿者更好的在疆开展志愿服务提供有力保障，大学生志愿服务西部计划服务领域不断拓展，管理服务进一步完善，社会各界广泛关注，有效服务大局、服务社会，服务青年，为新疆社会稳定和长治久安贡献青春力量。</w:t>
      </w:r>
      <w:r>
        <w:rPr>
          <w:rFonts w:hint="default" w:ascii="Times New Roman" w:hAnsi="Times New Roman" w:eastAsia="仿宋_GB2312" w:cs="Times New Roman"/>
          <w:b w:val="0"/>
          <w:bCs w:val="0"/>
          <w:kern w:val="2"/>
          <w:sz w:val="32"/>
          <w:szCs w:val="32"/>
          <w:highlight w:val="none"/>
          <w:lang w:val="en-US" w:eastAsia="zh-CN" w:bidi="ar-SA"/>
        </w:rPr>
        <w:t>项目预算涵盖从</w:t>
      </w:r>
      <w:r>
        <w:rPr>
          <w:rFonts w:hint="eastAsia" w:ascii="Times New Roman" w:hAnsi="Times New Roman" w:eastAsia="仿宋_GB2312" w:cs="Times New Roman"/>
          <w:b w:val="0"/>
          <w:bCs w:val="0"/>
          <w:kern w:val="2"/>
          <w:sz w:val="32"/>
          <w:szCs w:val="32"/>
          <w:highlight w:val="none"/>
          <w:lang w:val="en-US" w:eastAsia="zh-CN" w:bidi="ar-SA"/>
        </w:rPr>
        <w:t>2024年12月1日</w:t>
      </w:r>
      <w:r>
        <w:rPr>
          <w:rFonts w:hint="default" w:ascii="Times New Roman" w:hAnsi="Times New Roman" w:eastAsia="仿宋_GB2312" w:cs="Times New Roman"/>
          <w:b w:val="0"/>
          <w:bCs w:val="0"/>
          <w:kern w:val="2"/>
          <w:sz w:val="32"/>
          <w:szCs w:val="32"/>
          <w:highlight w:val="none"/>
          <w:lang w:val="en-US" w:eastAsia="zh-CN" w:bidi="ar-SA"/>
        </w:rPr>
        <w:t>至[</w:t>
      </w:r>
      <w:r>
        <w:rPr>
          <w:rFonts w:hint="eastAsia" w:ascii="Times New Roman" w:hAnsi="Times New Roman" w:eastAsia="仿宋_GB2312" w:cs="Times New Roman"/>
          <w:b w:val="0"/>
          <w:bCs w:val="0"/>
          <w:kern w:val="2"/>
          <w:sz w:val="32"/>
          <w:szCs w:val="32"/>
          <w:highlight w:val="none"/>
          <w:lang w:val="en-US" w:eastAsia="zh-CN" w:bidi="ar-SA"/>
        </w:rPr>
        <w:t>2024年12月31日</w:t>
      </w:r>
      <w:r>
        <w:rPr>
          <w:rFonts w:hint="default" w:ascii="Times New Roman" w:hAnsi="Times New Roman" w:eastAsia="仿宋_GB2312" w:cs="Times New Roman"/>
          <w:b w:val="0"/>
          <w:bCs w:val="0"/>
          <w:kern w:val="2"/>
          <w:sz w:val="32"/>
          <w:szCs w:val="32"/>
          <w:highlight w:val="none"/>
          <w:lang w:val="en-US" w:eastAsia="zh-CN" w:bidi="ar-SA"/>
        </w:rPr>
        <w:t>的全部资金投入与支出，涉及资金总额为</w:t>
      </w:r>
      <w:r>
        <w:rPr>
          <w:rFonts w:hint="eastAsia" w:ascii="Times New Roman" w:hAnsi="Times New Roman" w:eastAsia="仿宋_GB2312" w:cs="Times New Roman"/>
          <w:b w:val="0"/>
          <w:bCs w:val="0"/>
          <w:kern w:val="2"/>
          <w:sz w:val="32"/>
          <w:szCs w:val="32"/>
          <w:highlight w:val="none"/>
          <w:lang w:val="en-US" w:eastAsia="zh-CN" w:bidi="ar-SA"/>
        </w:rPr>
        <w:t>347.41</w:t>
      </w:r>
      <w:r>
        <w:rPr>
          <w:rFonts w:hint="default" w:ascii="Times New Roman" w:hAnsi="Times New Roman" w:eastAsia="仿宋_GB2312" w:cs="Times New Roman"/>
          <w:b w:val="0"/>
          <w:bCs w:val="0"/>
          <w:kern w:val="2"/>
          <w:sz w:val="32"/>
          <w:szCs w:val="32"/>
          <w:highlight w:val="none"/>
          <w:lang w:val="en-US" w:eastAsia="zh-CN" w:bidi="ar-SA"/>
        </w:rPr>
        <w:t>万元。</w:t>
      </w:r>
    </w:p>
    <w:p w14:paraId="131F0420">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14:paraId="09439234">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本项目预算绩效评价报告的评价范围广泛而全面，涵盖了从项目立项至评价时点期间的所有关键预算活动和财务流程。具体而言，评价范围包括但不限于以下几个方面：</w:t>
      </w:r>
    </w:p>
    <w:p w14:paraId="63A40DFB">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项目预算编制与执行：全面审视项目预算的编制依据、合理性、科学性以及实际执行情况，包括预算调整的原因和效果。</w:t>
      </w:r>
    </w:p>
    <w:p w14:paraId="4DD97550">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资金管理：深入分析项目资金的分配、使用和监管情况，确保资金使用的合规性、高效性和透明度。</w:t>
      </w:r>
    </w:p>
    <w:p w14:paraId="256ED014">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项目实施进度与产出：评估项目是否按照既定计划顺利推进，各项任务是否按时完成，以及项目产出的数量、质量和时效性是否符合预期。</w:t>
      </w:r>
    </w:p>
    <w:p w14:paraId="3B4E9555">
      <w:pPr>
        <w:spacing w:line="560" w:lineRule="exact"/>
        <w:ind w:firstLine="640" w:firstLineChars="200"/>
        <w:rPr>
          <w:rFonts w:hint="eastAsia"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社会、</w:t>
      </w:r>
      <w:r>
        <w:rPr>
          <w:rFonts w:hint="eastAsia" w:ascii="Times New Roman" w:hAnsi="Times New Roman" w:eastAsia="仿宋_GB2312" w:cs="Times New Roman"/>
          <w:b w:val="0"/>
          <w:bCs w:val="0"/>
          <w:kern w:val="2"/>
          <w:sz w:val="32"/>
          <w:szCs w:val="32"/>
          <w:highlight w:val="none"/>
          <w:lang w:val="en-US" w:eastAsia="zh-CN" w:bidi="ar-SA"/>
        </w:rPr>
        <w:t>生态</w:t>
      </w:r>
      <w:r>
        <w:rPr>
          <w:rFonts w:hint="default" w:ascii="Times New Roman" w:hAnsi="Times New Roman" w:eastAsia="仿宋_GB2312" w:cs="Times New Roman"/>
          <w:b w:val="0"/>
          <w:bCs w:val="0"/>
          <w:kern w:val="2"/>
          <w:sz w:val="32"/>
          <w:szCs w:val="32"/>
          <w:highlight w:val="none"/>
          <w:lang w:val="en-US" w:eastAsia="zh-CN" w:bidi="ar-SA"/>
        </w:rPr>
        <w:t>等影响：考察项目对社会、</w:t>
      </w:r>
      <w:r>
        <w:rPr>
          <w:rFonts w:hint="eastAsia" w:ascii="Times New Roman" w:hAnsi="Times New Roman" w:eastAsia="仿宋_GB2312" w:cs="Times New Roman"/>
          <w:b w:val="0"/>
          <w:bCs w:val="0"/>
          <w:kern w:val="2"/>
          <w:sz w:val="32"/>
          <w:szCs w:val="32"/>
          <w:highlight w:val="none"/>
          <w:lang w:val="en-US" w:eastAsia="zh-CN" w:bidi="ar-SA"/>
        </w:rPr>
        <w:t>生态</w:t>
      </w:r>
      <w:r>
        <w:rPr>
          <w:rFonts w:hint="default" w:ascii="Times New Roman" w:hAnsi="Times New Roman" w:eastAsia="仿宋_GB2312" w:cs="Times New Roman"/>
          <w:b w:val="0"/>
          <w:bCs w:val="0"/>
          <w:kern w:val="2"/>
          <w:sz w:val="32"/>
          <w:szCs w:val="32"/>
          <w:highlight w:val="none"/>
          <w:lang w:val="en-US" w:eastAsia="zh-CN" w:bidi="ar-SA"/>
        </w:rPr>
        <w:t>、经济等方面的综合影响。</w:t>
      </w:r>
      <w:r>
        <w:rPr>
          <w:rFonts w:hint="eastAsia" w:ascii="Times New Roman" w:hAnsi="Times New Roman" w:eastAsia="仿宋_GB2312" w:cs="Times New Roman"/>
          <w:b w:val="0"/>
          <w:bCs w:val="0"/>
          <w:kern w:val="2"/>
          <w:sz w:val="32"/>
          <w:szCs w:val="32"/>
          <w:highlight w:val="none"/>
          <w:lang w:val="en-US" w:eastAsia="zh-CN" w:bidi="ar-SA"/>
        </w:rPr>
        <w:t>通过发放大学生志愿者西部计划新疆专项志愿者工作生活补贴，办理志愿者基本养老保险及基本医疗保险，为志愿者更好的在疆开展志愿服务提供有力保障，大学生志愿服务西部计划服务领域不断拓展，管理服务进一步完善，社会各界广泛关注，有效服务大局、服务社会，服务青年，为新疆社会稳定和长治久安贡献青春力量。</w:t>
      </w:r>
    </w:p>
    <w:p w14:paraId="0DE571CC">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14:paraId="1ED5D490">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14:paraId="23FB8367">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6DEA8141">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14:paraId="7BFBB174">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14:paraId="607D3D42">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14:paraId="0ED55A4D">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14:paraId="252DE999">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14:paraId="113F9216">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22BDEA5E">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14:paraId="7324F97F">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34ABEA44">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14:paraId="19B04CEB">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7FB3B71B">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14:paraId="1361ADCA">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46E12BA1">
      <w:pPr>
        <w:pStyle w:val="10"/>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14:paraId="447D10E4">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4CCC056C">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14:paraId="4DF016FE">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绩效评价从项目决策、项目过程、项目产出、项目效益四个维度进行评价。评价对象为项目目标实施情况，评价核心为资金的支出完成情况和项目的产出效益。</w:t>
      </w:r>
    </w:p>
    <w:p w14:paraId="5F300582">
      <w:pPr>
        <w:spacing w:line="560" w:lineRule="exact"/>
        <w:ind w:firstLine="640" w:firstLineChars="200"/>
        <w:rPr>
          <w:rFonts w:hint="default" w:ascii="Times New Roman" w:hAnsi="Times New Roman" w:eastAsia="仿宋_GB2312" w:cs="Times New Roman"/>
          <w:color w:val="000000"/>
          <w:spacing w:val="17"/>
          <w:sz w:val="32"/>
          <w:szCs w:val="32"/>
          <w:highlight w:val="green"/>
        </w:rPr>
      </w:pPr>
      <w:r>
        <w:rPr>
          <w:rFonts w:hint="default" w:ascii="Times New Roman" w:hAnsi="Times New Roman" w:eastAsia="仿宋_GB2312" w:cs="Times New Roman"/>
          <w:sz w:val="32"/>
          <w:szCs w:val="32"/>
        </w:rPr>
        <w:t>本次绩效评价采用的方法比较法</w:t>
      </w:r>
      <w:r>
        <w:rPr>
          <w:rFonts w:hint="default" w:ascii="Times New Roman" w:hAnsi="Times New Roman" w:eastAsia="仿宋_GB2312" w:cs="Times New Roman"/>
          <w:sz w:val="32"/>
          <w:szCs w:val="32"/>
          <w:lang w:eastAsia="zh-CN"/>
        </w:rPr>
        <w:t>、因素分析法、公众评判法</w:t>
      </w:r>
      <w:r>
        <w:rPr>
          <w:rFonts w:hint="default" w:ascii="Times New Roman" w:hAnsi="Times New Roman" w:eastAsia="仿宋_GB2312" w:cs="Times New Roman"/>
          <w:sz w:val="32"/>
          <w:szCs w:val="32"/>
          <w:lang w:val="en-US" w:eastAsia="zh-CN"/>
        </w:rPr>
        <w:t>对项目绩效目标预期指标值与实施情况进行比较，以及采取公众问卷及抽样调查等方式进行评判的方法</w:t>
      </w:r>
    </w:p>
    <w:p w14:paraId="7033B47C">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评价标准</w:t>
      </w:r>
    </w:p>
    <w:p w14:paraId="174173D1">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sz w:val="32"/>
          <w:szCs w:val="32"/>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sz w:val="32"/>
          <w:szCs w:val="32"/>
          <w:highlight w:val="none"/>
          <w:lang w:val="en-US" w:eastAsia="zh-CN"/>
        </w:rPr>
        <w:t>计划</w:t>
      </w:r>
      <w:r>
        <w:rPr>
          <w:rFonts w:hint="default" w:ascii="Times New Roman" w:hAnsi="Times New Roman" w:eastAsia="仿宋_GB2312" w:cs="Times New Roman"/>
          <w:b w:val="0"/>
          <w:bCs w:val="0"/>
          <w:sz w:val="32"/>
          <w:szCs w:val="32"/>
        </w:rPr>
        <w:t>标准。</w:t>
      </w:r>
    </w:p>
    <w:p w14:paraId="7176D85F">
      <w:pPr>
        <w:pStyle w:val="10"/>
        <w:numPr>
          <w:numId w:val="0"/>
        </w:numPr>
        <w:spacing w:before="0" w:after="0" w:line="560" w:lineRule="exact"/>
        <w:ind w:left="840" w:leftChars="0"/>
        <w:jc w:val="both"/>
        <w:rPr>
          <w:rFonts w:hint="default" w:ascii="Times New Roman" w:hAnsi="Times New Roman" w:eastAsia="楷体" w:cs="Times New Roman"/>
          <w:color w:val="000000"/>
          <w:spacing w:val="17"/>
        </w:rPr>
      </w:pPr>
      <w:r>
        <w:rPr>
          <w:rFonts w:hint="eastAsia" w:ascii="Times New Roman" w:hAnsi="Times New Roman" w:eastAsia="楷体" w:cs="Times New Roman"/>
          <w:color w:val="000000"/>
          <w:spacing w:val="17"/>
          <w:lang w:eastAsia="zh-CN"/>
        </w:rPr>
        <w:t>（</w:t>
      </w:r>
      <w:r>
        <w:rPr>
          <w:rFonts w:hint="eastAsia" w:ascii="Times New Roman" w:hAnsi="Times New Roman" w:eastAsia="楷体" w:cs="Times New Roman"/>
          <w:color w:val="000000"/>
          <w:spacing w:val="17"/>
          <w:lang w:val="en-US" w:eastAsia="zh-CN"/>
        </w:rPr>
        <w:t>三</w:t>
      </w:r>
      <w:r>
        <w:rPr>
          <w:rFonts w:hint="eastAsia" w:ascii="Times New Roman" w:hAnsi="Times New Roman" w:eastAsia="楷体" w:cs="Times New Roman"/>
          <w:color w:val="000000"/>
          <w:spacing w:val="17"/>
          <w:lang w:eastAsia="zh-CN"/>
        </w:rPr>
        <w:t>）</w:t>
      </w:r>
      <w:r>
        <w:rPr>
          <w:rFonts w:hint="default" w:ascii="Times New Roman" w:hAnsi="Times New Roman" w:eastAsia="楷体" w:cs="Times New Roman"/>
          <w:color w:val="000000"/>
          <w:spacing w:val="17"/>
        </w:rPr>
        <w:t>绩效评价工作过程</w:t>
      </w:r>
    </w:p>
    <w:p w14:paraId="63110E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1.</w:t>
      </w:r>
      <w:r>
        <w:rPr>
          <w:rFonts w:hint="eastAsia" w:eastAsia="仿宋_GB2312" w:cs="Times New Roman"/>
          <w:color w:val="auto"/>
          <w:sz w:val="32"/>
          <w:szCs w:val="32"/>
          <w:highlight w:val="none"/>
          <w:lang w:eastAsia="zh-CN"/>
        </w:rPr>
        <w:t>评价准备阶段</w:t>
      </w:r>
    </w:p>
    <w:p w14:paraId="3A76C3A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1</w:t>
      </w:r>
      <w:r>
        <w:rPr>
          <w:rFonts w:hint="eastAsia" w:eastAsia="仿宋_GB2312" w:cs="Times New Roman"/>
          <w:color w:val="auto"/>
          <w:sz w:val="32"/>
          <w:szCs w:val="32"/>
          <w:highlight w:val="none"/>
          <w:lang w:eastAsia="zh-CN"/>
        </w:rPr>
        <w:t>）明确评价目标与范围。确定评价旨在衡量</w:t>
      </w:r>
      <w:r>
        <w:rPr>
          <w:rFonts w:hint="eastAsia" w:eastAsia="仿宋_GB2312" w:cs="Times New Roman"/>
          <w:color w:val="auto"/>
          <w:sz w:val="32"/>
          <w:szCs w:val="32"/>
          <w:highlight w:val="none"/>
          <w:lang w:val="en-US" w:eastAsia="zh-CN"/>
        </w:rPr>
        <w:t>志愿者补助发放工作</w:t>
      </w:r>
      <w:r>
        <w:rPr>
          <w:rFonts w:hint="eastAsia" w:eastAsia="仿宋_GB2312" w:cs="Times New Roman"/>
          <w:color w:val="auto"/>
          <w:sz w:val="32"/>
          <w:szCs w:val="32"/>
          <w:highlight w:val="none"/>
          <w:lang w:eastAsia="zh-CN"/>
        </w:rPr>
        <w:t>效率等。界定评价</w:t>
      </w:r>
      <w:r>
        <w:rPr>
          <w:rFonts w:hint="eastAsia" w:eastAsia="仿宋_GB2312" w:cs="Times New Roman"/>
          <w:color w:val="auto"/>
          <w:sz w:val="32"/>
          <w:szCs w:val="32"/>
          <w:highlight w:val="none"/>
          <w:lang w:val="en-US" w:eastAsia="zh-CN"/>
        </w:rPr>
        <w:t>项目完成的时间和效果</w:t>
      </w:r>
      <w:r>
        <w:rPr>
          <w:rFonts w:hint="eastAsia" w:eastAsia="仿宋_GB2312" w:cs="Times New Roman"/>
          <w:color w:val="auto"/>
          <w:sz w:val="32"/>
          <w:szCs w:val="32"/>
          <w:highlight w:val="none"/>
          <w:lang w:eastAsia="zh-CN"/>
        </w:rPr>
        <w:t>。</w:t>
      </w:r>
    </w:p>
    <w:p w14:paraId="00EA06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2</w:t>
      </w:r>
      <w:r>
        <w:rPr>
          <w:rFonts w:hint="eastAsia" w:eastAsia="仿宋_GB2312" w:cs="Times New Roman"/>
          <w:color w:val="auto"/>
          <w:sz w:val="32"/>
          <w:szCs w:val="32"/>
          <w:highlight w:val="none"/>
          <w:lang w:eastAsia="zh-CN"/>
        </w:rPr>
        <w:t>）组建评价团队。</w:t>
      </w:r>
      <w:r>
        <w:rPr>
          <w:rFonts w:hint="default" w:ascii="Times New Roman" w:hAnsi="Times New Roman" w:eastAsia="仿宋_GB2312" w:cs="Times New Roman"/>
          <w:color w:val="auto"/>
          <w:sz w:val="32"/>
          <w:szCs w:val="32"/>
          <w:highlight w:val="none"/>
        </w:rPr>
        <w:t>在项目绩效评价工作启动之初，成立了专门的评价工作小组，小组成员由</w:t>
      </w:r>
      <w:r>
        <w:rPr>
          <w:rFonts w:hint="eastAsia" w:eastAsia="仿宋_GB2312" w:cs="Times New Roman"/>
          <w:color w:val="auto"/>
          <w:sz w:val="32"/>
          <w:szCs w:val="32"/>
          <w:highlight w:val="none"/>
          <w:lang w:val="en-US" w:eastAsia="zh-CN"/>
        </w:rPr>
        <w:t>党组书记、副书记、</w:t>
      </w:r>
      <w:r>
        <w:rPr>
          <w:rFonts w:hint="default" w:ascii="Times New Roman" w:hAnsi="Times New Roman" w:eastAsia="仿宋_GB2312" w:cs="Times New Roman"/>
          <w:color w:val="auto"/>
          <w:sz w:val="32"/>
          <w:szCs w:val="32"/>
          <w:highlight w:val="none"/>
        </w:rPr>
        <w:t>财务</w:t>
      </w:r>
      <w:r>
        <w:rPr>
          <w:rFonts w:hint="eastAsia" w:eastAsia="仿宋_GB2312" w:cs="Times New Roman"/>
          <w:color w:val="auto"/>
          <w:sz w:val="32"/>
          <w:szCs w:val="32"/>
          <w:highlight w:val="none"/>
          <w:lang w:eastAsia="zh-CN"/>
        </w:rPr>
        <w:t>人员</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纪检干事等</w:t>
      </w:r>
      <w:r>
        <w:rPr>
          <w:rFonts w:hint="default" w:ascii="Times New Roman" w:hAnsi="Times New Roman" w:eastAsia="仿宋_GB2312" w:cs="Times New Roman"/>
          <w:color w:val="auto"/>
          <w:sz w:val="32"/>
          <w:szCs w:val="32"/>
          <w:highlight w:val="none"/>
        </w:rPr>
        <w:t>组成，确保从多角度、全方位对项目绩效进行评价。</w:t>
      </w:r>
    </w:p>
    <w:p w14:paraId="250ADE0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3</w:t>
      </w:r>
      <w:r>
        <w:rPr>
          <w:rFonts w:hint="eastAsia" w:eastAsia="仿宋_GB2312" w:cs="Times New Roman"/>
          <w:color w:val="auto"/>
          <w:sz w:val="32"/>
          <w:szCs w:val="32"/>
          <w:highlight w:val="none"/>
          <w:lang w:eastAsia="zh-CN"/>
        </w:rPr>
        <w:t>）设计评价指标。围绕</w:t>
      </w:r>
      <w:r>
        <w:rPr>
          <w:rFonts w:hint="eastAsia" w:eastAsia="仿宋_GB2312" w:cs="Times New Roman"/>
          <w:color w:val="auto"/>
          <w:sz w:val="32"/>
          <w:szCs w:val="32"/>
          <w:highlight w:val="none"/>
          <w:lang w:val="en-US" w:eastAsia="zh-CN"/>
        </w:rPr>
        <w:t>创建数量</w:t>
      </w:r>
      <w:r>
        <w:rPr>
          <w:rFonts w:hint="eastAsia" w:eastAsia="仿宋_GB2312" w:cs="Times New Roman"/>
          <w:color w:val="auto"/>
          <w:sz w:val="32"/>
          <w:szCs w:val="32"/>
          <w:highlight w:val="none"/>
          <w:lang w:eastAsia="zh-CN"/>
        </w:rPr>
        <w:t>、成本控制、</w:t>
      </w:r>
      <w:r>
        <w:rPr>
          <w:rFonts w:hint="eastAsia" w:eastAsia="仿宋_GB2312" w:cs="Times New Roman"/>
          <w:color w:val="auto"/>
          <w:sz w:val="32"/>
          <w:szCs w:val="32"/>
          <w:highlight w:val="none"/>
          <w:lang w:val="en-US" w:eastAsia="zh-CN"/>
        </w:rPr>
        <w:t>设备利用率</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使用人员</w:t>
      </w:r>
      <w:r>
        <w:rPr>
          <w:rFonts w:hint="eastAsia" w:eastAsia="仿宋_GB2312" w:cs="Times New Roman"/>
          <w:color w:val="auto"/>
          <w:sz w:val="32"/>
          <w:szCs w:val="32"/>
          <w:highlight w:val="none"/>
          <w:lang w:eastAsia="zh-CN"/>
        </w:rPr>
        <w:t>满意度等方面，构建全面的指标体系。如</w:t>
      </w:r>
      <w:r>
        <w:rPr>
          <w:rFonts w:hint="eastAsia" w:eastAsia="仿宋_GB2312" w:cs="Times New Roman"/>
          <w:color w:val="auto"/>
          <w:sz w:val="32"/>
          <w:szCs w:val="32"/>
          <w:highlight w:val="none"/>
          <w:lang w:val="en-US" w:eastAsia="zh-CN"/>
        </w:rPr>
        <w:t>志愿者补助发放人数、成本控制数、补助发放及时率</w:t>
      </w:r>
      <w:r>
        <w:rPr>
          <w:rFonts w:hint="eastAsia" w:eastAsia="仿宋_GB2312" w:cs="Times New Roman"/>
          <w:color w:val="auto"/>
          <w:sz w:val="32"/>
          <w:szCs w:val="32"/>
          <w:highlight w:val="none"/>
          <w:lang w:eastAsia="zh-CN"/>
        </w:rPr>
        <w:t>等具体指标。</w:t>
      </w:r>
    </w:p>
    <w:p w14:paraId="6AE3597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4</w:t>
      </w:r>
      <w:r>
        <w:rPr>
          <w:rFonts w:hint="eastAsia" w:eastAsia="仿宋_GB2312" w:cs="Times New Roman"/>
          <w:color w:val="auto"/>
          <w:sz w:val="32"/>
          <w:szCs w:val="32"/>
          <w:highlight w:val="none"/>
          <w:lang w:eastAsia="zh-CN"/>
        </w:rPr>
        <w:t>）制定评价方案。规划评价工作流程、方法、时间安排及人员分工，确定数据收集方式，如</w:t>
      </w:r>
      <w:r>
        <w:rPr>
          <w:rFonts w:hint="eastAsia" w:eastAsia="仿宋_GB2312" w:cs="Times New Roman"/>
          <w:color w:val="auto"/>
          <w:sz w:val="32"/>
          <w:szCs w:val="32"/>
          <w:highlight w:val="none"/>
          <w:lang w:val="en-US" w:eastAsia="zh-CN"/>
        </w:rPr>
        <w:t>设备购买</w:t>
      </w:r>
      <w:r>
        <w:rPr>
          <w:rFonts w:hint="eastAsia" w:eastAsia="仿宋_GB2312" w:cs="Times New Roman"/>
          <w:color w:val="auto"/>
          <w:sz w:val="32"/>
          <w:szCs w:val="32"/>
          <w:highlight w:val="none"/>
          <w:lang w:eastAsia="zh-CN"/>
        </w:rPr>
        <w:t>、问卷调查、访谈等，确保评价工作有序开展。</w:t>
      </w:r>
    </w:p>
    <w:p w14:paraId="7D1263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2.实施评价阶段</w:t>
      </w:r>
    </w:p>
    <w:p w14:paraId="53BC3B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1</w:t>
      </w:r>
      <w:r>
        <w:rPr>
          <w:rFonts w:hint="eastAsia" w:eastAsia="仿宋_GB2312" w:cs="Times New Roman"/>
          <w:color w:val="auto"/>
          <w:sz w:val="32"/>
          <w:szCs w:val="32"/>
          <w:highlight w:val="none"/>
          <w:lang w:eastAsia="zh-CN"/>
        </w:rPr>
        <w:t>）数据收据。采用现场走访记录拆除数量；合理估算</w:t>
      </w:r>
      <w:r>
        <w:rPr>
          <w:rFonts w:hint="eastAsia" w:eastAsia="仿宋_GB2312" w:cs="Times New Roman"/>
          <w:color w:val="auto"/>
          <w:sz w:val="32"/>
          <w:szCs w:val="32"/>
          <w:highlight w:val="none"/>
          <w:lang w:val="en-US" w:eastAsia="zh-CN"/>
        </w:rPr>
        <w:t>创建</w:t>
      </w:r>
      <w:r>
        <w:rPr>
          <w:rFonts w:hint="eastAsia" w:eastAsia="仿宋_GB2312" w:cs="Times New Roman"/>
          <w:color w:val="auto"/>
          <w:sz w:val="32"/>
          <w:szCs w:val="32"/>
          <w:highlight w:val="none"/>
          <w:lang w:eastAsia="zh-CN"/>
        </w:rPr>
        <w:t>成本；通过问卷等方式收集</w:t>
      </w:r>
      <w:r>
        <w:rPr>
          <w:rFonts w:hint="eastAsia" w:eastAsia="仿宋_GB2312" w:cs="Times New Roman"/>
          <w:color w:val="auto"/>
          <w:sz w:val="32"/>
          <w:szCs w:val="32"/>
          <w:highlight w:val="none"/>
          <w:lang w:val="en-US" w:eastAsia="zh-CN"/>
        </w:rPr>
        <w:t>设备使用人员对创建</w:t>
      </w:r>
      <w:r>
        <w:rPr>
          <w:rFonts w:hint="eastAsia" w:eastAsia="仿宋_GB2312" w:cs="Times New Roman"/>
          <w:color w:val="auto"/>
          <w:sz w:val="32"/>
          <w:szCs w:val="32"/>
          <w:highlight w:val="none"/>
          <w:lang w:eastAsia="zh-CN"/>
        </w:rPr>
        <w:t>工作的看法。</w:t>
      </w:r>
    </w:p>
    <w:p w14:paraId="1641984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2</w:t>
      </w:r>
      <w:r>
        <w:rPr>
          <w:rFonts w:hint="eastAsia" w:eastAsia="仿宋_GB2312" w:cs="Times New Roman"/>
          <w:color w:val="auto"/>
          <w:sz w:val="32"/>
          <w:szCs w:val="32"/>
          <w:highlight w:val="none"/>
          <w:lang w:eastAsia="zh-CN"/>
        </w:rPr>
        <w:t>）资料整理与分析。对收据到的数据资料进行分类整理，运用定量分析方法，如</w:t>
      </w:r>
      <w:r>
        <w:rPr>
          <w:rFonts w:hint="eastAsia" w:eastAsia="仿宋_GB2312" w:cs="Times New Roman"/>
          <w:color w:val="auto"/>
          <w:sz w:val="32"/>
          <w:szCs w:val="32"/>
          <w:highlight w:val="none"/>
          <w:lang w:val="en-US" w:eastAsia="zh-CN"/>
        </w:rPr>
        <w:t>设备购买完成时间</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设备</w:t>
      </w:r>
      <w:r>
        <w:rPr>
          <w:rFonts w:hint="eastAsia" w:eastAsia="仿宋_GB2312" w:cs="Times New Roman"/>
          <w:color w:val="auto"/>
          <w:sz w:val="32"/>
          <w:szCs w:val="32"/>
          <w:highlight w:val="none"/>
          <w:lang w:eastAsia="zh-CN"/>
        </w:rPr>
        <w:t>成本</w:t>
      </w:r>
      <w:r>
        <w:rPr>
          <w:rFonts w:hint="eastAsia" w:eastAsia="仿宋_GB2312" w:cs="Times New Roman"/>
          <w:color w:val="auto"/>
          <w:sz w:val="32"/>
          <w:szCs w:val="32"/>
          <w:highlight w:val="none"/>
          <w:lang w:val="en-US" w:eastAsia="zh-CN"/>
        </w:rPr>
        <w:t>控制数等</w:t>
      </w:r>
      <w:r>
        <w:rPr>
          <w:rFonts w:hint="eastAsia" w:eastAsia="仿宋_GB2312" w:cs="Times New Roman"/>
          <w:color w:val="auto"/>
          <w:sz w:val="32"/>
          <w:szCs w:val="32"/>
          <w:highlight w:val="none"/>
          <w:lang w:eastAsia="zh-CN"/>
        </w:rPr>
        <w:t>；结合定性分析，解读</w:t>
      </w:r>
      <w:r>
        <w:rPr>
          <w:rFonts w:hint="eastAsia" w:eastAsia="仿宋_GB2312" w:cs="Times New Roman"/>
          <w:color w:val="auto"/>
          <w:sz w:val="32"/>
          <w:szCs w:val="32"/>
          <w:highlight w:val="none"/>
          <w:lang w:val="en-US" w:eastAsia="zh-CN"/>
        </w:rPr>
        <w:t>设备使用人员</w:t>
      </w:r>
      <w:r>
        <w:rPr>
          <w:rFonts w:hint="eastAsia" w:eastAsia="仿宋_GB2312" w:cs="Times New Roman"/>
          <w:color w:val="auto"/>
          <w:sz w:val="32"/>
          <w:szCs w:val="32"/>
          <w:highlight w:val="none"/>
          <w:lang w:eastAsia="zh-CN"/>
        </w:rPr>
        <w:t>的反馈意见。</w:t>
      </w:r>
    </w:p>
    <w:p w14:paraId="626F21D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color w:val="0000FF"/>
          <w:sz w:val="32"/>
          <w:szCs w:val="32"/>
          <w:highlight w:val="none"/>
          <w:lang w:eastAsia="zh-CN"/>
        </w:rPr>
      </w:pP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3</w:t>
      </w:r>
      <w:r>
        <w:rPr>
          <w:rFonts w:hint="eastAsia" w:eastAsia="仿宋_GB2312" w:cs="Times New Roman"/>
          <w:color w:val="auto"/>
          <w:sz w:val="32"/>
          <w:szCs w:val="32"/>
          <w:highlight w:val="none"/>
          <w:lang w:eastAsia="zh-CN"/>
        </w:rPr>
        <w:t>）开展综合评价。对照评价指标体系，对</w:t>
      </w:r>
      <w:r>
        <w:rPr>
          <w:rFonts w:hint="eastAsia" w:eastAsia="仿宋_GB2312" w:cs="Times New Roman"/>
          <w:color w:val="auto"/>
          <w:sz w:val="32"/>
          <w:szCs w:val="32"/>
          <w:highlight w:val="none"/>
          <w:lang w:val="en-US" w:eastAsia="zh-CN"/>
        </w:rPr>
        <w:t>西部计划志愿者</w:t>
      </w:r>
      <w:r>
        <w:rPr>
          <w:rFonts w:hint="eastAsia" w:eastAsia="仿宋_GB2312" w:cs="Times New Roman"/>
          <w:color w:val="auto"/>
          <w:sz w:val="32"/>
          <w:szCs w:val="32"/>
          <w:highlight w:val="none"/>
          <w:lang w:eastAsia="zh-CN"/>
        </w:rPr>
        <w:t>工作的绩效进行综合打分，分析各项指标的完成情况及存在问题。</w:t>
      </w:r>
    </w:p>
    <w:p w14:paraId="735696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3.</w:t>
      </w:r>
      <w:r>
        <w:rPr>
          <w:rFonts w:hint="eastAsia" w:eastAsia="仿宋_GB2312" w:cs="Times New Roman"/>
          <w:color w:val="auto"/>
          <w:sz w:val="32"/>
          <w:szCs w:val="32"/>
          <w:highlight w:val="none"/>
          <w:lang w:eastAsia="zh-CN"/>
        </w:rPr>
        <w:t>结果反馈与应用阶段</w:t>
      </w:r>
    </w:p>
    <w:p w14:paraId="2E2E4EC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1</w:t>
      </w:r>
      <w:r>
        <w:rPr>
          <w:rFonts w:hint="eastAsia" w:eastAsia="仿宋_GB2312" w:cs="Times New Roman"/>
          <w:color w:val="auto"/>
          <w:sz w:val="32"/>
          <w:szCs w:val="32"/>
          <w:highlight w:val="none"/>
          <w:lang w:eastAsia="zh-CN"/>
        </w:rPr>
        <w:t>）撰写评价报告。详细阐述评价过程、结果，分析成功经验与不足，提出改进建议，形成书面报告提交给</w:t>
      </w:r>
      <w:r>
        <w:rPr>
          <w:rFonts w:hint="eastAsia" w:eastAsia="仿宋_GB2312" w:cs="Times New Roman"/>
          <w:color w:val="auto"/>
          <w:sz w:val="32"/>
          <w:szCs w:val="32"/>
          <w:highlight w:val="none"/>
          <w:lang w:val="en-US" w:eastAsia="zh-CN"/>
        </w:rPr>
        <w:t>县团委党组</w:t>
      </w:r>
      <w:r>
        <w:rPr>
          <w:rFonts w:hint="eastAsia" w:eastAsia="仿宋_GB2312" w:cs="Times New Roman"/>
          <w:color w:val="auto"/>
          <w:sz w:val="32"/>
          <w:szCs w:val="32"/>
          <w:highlight w:val="none"/>
          <w:lang w:eastAsia="zh-CN"/>
        </w:rPr>
        <w:t>、政府相关机构等。</w:t>
      </w:r>
    </w:p>
    <w:p w14:paraId="0B150F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2</w:t>
      </w:r>
      <w:r>
        <w:rPr>
          <w:rFonts w:hint="eastAsia" w:eastAsia="仿宋_GB2312" w:cs="Times New Roman"/>
          <w:color w:val="auto"/>
          <w:sz w:val="32"/>
          <w:szCs w:val="32"/>
          <w:highlight w:val="none"/>
          <w:lang w:eastAsia="zh-CN"/>
        </w:rPr>
        <w:t>）反馈评价结果。组织召开反馈会议，向</w:t>
      </w:r>
      <w:r>
        <w:rPr>
          <w:rFonts w:hint="eastAsia" w:eastAsia="仿宋_GB2312" w:cs="Times New Roman"/>
          <w:color w:val="auto"/>
          <w:sz w:val="32"/>
          <w:szCs w:val="32"/>
          <w:highlight w:val="none"/>
          <w:lang w:val="en-US" w:eastAsia="zh-CN"/>
        </w:rPr>
        <w:t>西部计划志愿者群体</w:t>
      </w:r>
      <w:r>
        <w:rPr>
          <w:rFonts w:hint="eastAsia" w:eastAsia="仿宋_GB2312" w:cs="Times New Roman"/>
          <w:color w:val="auto"/>
          <w:sz w:val="32"/>
          <w:szCs w:val="32"/>
          <w:highlight w:val="none"/>
          <w:lang w:eastAsia="zh-CN"/>
        </w:rPr>
        <w:t>通报评价结果，解释评价结论，接受各方咨询，促进对评价结果的理解与认同。</w:t>
      </w:r>
    </w:p>
    <w:p w14:paraId="3A9850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green"/>
          <w:lang w:eastAsia="zh-CN"/>
        </w:rPr>
      </w:pP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3</w:t>
      </w:r>
      <w:r>
        <w:rPr>
          <w:rFonts w:hint="eastAsia" w:eastAsia="仿宋_GB2312" w:cs="Times New Roman"/>
          <w:color w:val="auto"/>
          <w:sz w:val="32"/>
          <w:szCs w:val="32"/>
          <w:highlight w:val="none"/>
          <w:lang w:eastAsia="zh-CN"/>
        </w:rPr>
        <w:t>）应用评价结果。针对问题制定改进措施，优化后续</w:t>
      </w:r>
      <w:r>
        <w:rPr>
          <w:rFonts w:hint="eastAsia" w:eastAsia="仿宋_GB2312" w:cs="Times New Roman"/>
          <w:color w:val="auto"/>
          <w:sz w:val="32"/>
          <w:szCs w:val="32"/>
          <w:highlight w:val="none"/>
          <w:lang w:val="en-US" w:eastAsia="zh-CN"/>
        </w:rPr>
        <w:t>创建</w:t>
      </w:r>
      <w:r>
        <w:rPr>
          <w:rFonts w:hint="eastAsia" w:eastAsia="仿宋_GB2312" w:cs="Times New Roman"/>
          <w:color w:val="auto"/>
          <w:sz w:val="32"/>
          <w:szCs w:val="32"/>
          <w:highlight w:val="none"/>
          <w:lang w:eastAsia="zh-CN"/>
        </w:rPr>
        <w:t>工作流程；同时对</w:t>
      </w:r>
      <w:r>
        <w:rPr>
          <w:rFonts w:hint="eastAsia" w:eastAsia="仿宋_GB2312" w:cs="Times New Roman"/>
          <w:color w:val="auto"/>
          <w:sz w:val="32"/>
          <w:szCs w:val="32"/>
          <w:highlight w:val="none"/>
          <w:lang w:val="en-US" w:eastAsia="zh-CN"/>
        </w:rPr>
        <w:t>西部计划志愿者工作</w:t>
      </w:r>
      <w:r>
        <w:rPr>
          <w:rFonts w:hint="eastAsia" w:eastAsia="仿宋_GB2312" w:cs="Times New Roman"/>
          <w:color w:val="auto"/>
          <w:sz w:val="32"/>
          <w:szCs w:val="32"/>
          <w:highlight w:val="none"/>
          <w:lang w:eastAsia="zh-CN"/>
        </w:rPr>
        <w:t>规划、政策制定提供参考依据，建立</w:t>
      </w:r>
      <w:r>
        <w:rPr>
          <w:rFonts w:hint="eastAsia" w:eastAsia="仿宋_GB2312" w:cs="Times New Roman"/>
          <w:color w:val="auto"/>
          <w:sz w:val="32"/>
          <w:szCs w:val="32"/>
          <w:highlight w:val="none"/>
          <w:lang w:val="en-US" w:eastAsia="zh-CN"/>
        </w:rPr>
        <w:t>西部计划志愿者工作</w:t>
      </w:r>
      <w:r>
        <w:rPr>
          <w:rFonts w:hint="eastAsia" w:eastAsia="仿宋_GB2312" w:cs="Times New Roman"/>
          <w:color w:val="auto"/>
          <w:sz w:val="32"/>
          <w:szCs w:val="32"/>
          <w:highlight w:val="none"/>
          <w:lang w:eastAsia="zh-CN"/>
        </w:rPr>
        <w:t>的长效机制。</w:t>
      </w:r>
    </w:p>
    <w:p w14:paraId="34F52670">
      <w:pPr>
        <w:numPr>
          <w:ilvl w:val="0"/>
          <w:numId w:val="2"/>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14:paraId="2ED5489D">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14:paraId="1CDE3CA1">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color w:val="auto"/>
          <w:sz w:val="32"/>
          <w:szCs w:val="32"/>
          <w:highlight w:val="none"/>
        </w:rPr>
        <w:t>2024年大学生志愿者服务西部计划中央补助资金</w:t>
      </w:r>
      <w:r>
        <w:rPr>
          <w:rFonts w:hint="default" w:ascii="Times New Roman" w:hAnsi="Times New Roman" w:eastAsia="仿宋_GB2312" w:cs="Times New Roman"/>
          <w:sz w:val="32"/>
          <w:szCs w:val="32"/>
          <w:highlight w:val="none"/>
        </w:rPr>
        <w:t>在</w:t>
      </w:r>
      <w:r>
        <w:rPr>
          <w:rFonts w:hint="eastAsia" w:eastAsia="仿宋_GB2312" w:cs="Times New Roman"/>
          <w:sz w:val="32"/>
          <w:szCs w:val="32"/>
          <w:highlight w:val="none"/>
          <w:lang w:val="en-US" w:eastAsia="zh-CN"/>
        </w:rPr>
        <w:t>发放西部计划志愿者工作生活补助、缴纳西部计划志愿者医保社保</w:t>
      </w:r>
      <w:r>
        <w:rPr>
          <w:rFonts w:hint="default" w:ascii="Times New Roman" w:hAnsi="Times New Roman" w:eastAsia="仿宋_GB2312" w:cs="Times New Roman"/>
          <w:sz w:val="32"/>
          <w:szCs w:val="32"/>
          <w:highlight w:val="none"/>
        </w:rPr>
        <w:t>等方面表现出色，达到了预期的标准与要求。同时，项目也在</w:t>
      </w:r>
      <w:r>
        <w:rPr>
          <w:rFonts w:hint="eastAsia" w:eastAsia="仿宋_GB2312" w:cs="Times New Roman"/>
          <w:color w:val="auto"/>
          <w:sz w:val="32"/>
          <w:szCs w:val="32"/>
          <w:highlight w:val="none"/>
          <w:lang w:val="en-US" w:eastAsia="zh-CN"/>
        </w:rPr>
        <w:t>西部计划志愿者补助发放率方面</w:t>
      </w:r>
      <w:r>
        <w:rPr>
          <w:rFonts w:hint="default" w:ascii="Times New Roman" w:hAnsi="Times New Roman" w:eastAsia="仿宋_GB2312" w:cs="Times New Roman"/>
          <w:sz w:val="32"/>
          <w:szCs w:val="32"/>
          <w:highlight w:val="none"/>
        </w:rPr>
        <w:t>取得了显著的成效，如</w:t>
      </w:r>
      <w:r>
        <w:rPr>
          <w:rFonts w:hint="eastAsia" w:eastAsia="仿宋_GB2312" w:cs="Times New Roman"/>
          <w:sz w:val="32"/>
          <w:szCs w:val="32"/>
          <w:highlight w:val="none"/>
          <w:lang w:val="en-US" w:eastAsia="zh-CN"/>
        </w:rPr>
        <w:t>按时按要求发放西部计划志愿者补助</w:t>
      </w:r>
      <w:r>
        <w:rPr>
          <w:rFonts w:hint="default" w:ascii="Times New Roman" w:hAnsi="Times New Roman" w:eastAsia="仿宋_GB2312" w:cs="Times New Roman"/>
          <w:sz w:val="32"/>
          <w:szCs w:val="32"/>
          <w:highlight w:val="none"/>
        </w:rPr>
        <w:t>等。</w:t>
      </w:r>
    </w:p>
    <w:p w14:paraId="7DD7D044">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val="en-US" w:eastAsia="zh-CN"/>
        </w:rPr>
        <w:t>中国共产主义青年团奇台县委员会</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14:paraId="507B8BD6">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w:t>
      </w:r>
      <w:r>
        <w:rPr>
          <w:rFonts w:hint="eastAsia" w:eastAsia="仿宋_GB2312" w:cs="Times New Roman"/>
          <w:sz w:val="32"/>
          <w:szCs w:val="32"/>
          <w:highlight w:val="none"/>
          <w:lang w:val="en-US" w:eastAsia="zh-CN"/>
        </w:rPr>
        <w:t>生态</w:t>
      </w:r>
      <w:r>
        <w:rPr>
          <w:rFonts w:hint="default" w:ascii="Times New Roman" w:hAnsi="Times New Roman" w:eastAsia="仿宋_GB2312" w:cs="Times New Roman"/>
          <w:sz w:val="32"/>
          <w:szCs w:val="32"/>
          <w:highlight w:val="none"/>
        </w:rPr>
        <w:t>效益</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经济效益</w:t>
      </w:r>
      <w:r>
        <w:rPr>
          <w:rFonts w:hint="default" w:ascii="Times New Roman" w:hAnsi="Times New Roman" w:eastAsia="仿宋_GB2312" w:cs="Times New Roman"/>
          <w:sz w:val="32"/>
          <w:szCs w:val="32"/>
          <w:highlight w:val="none"/>
        </w:rPr>
        <w:t>等方面产生了积极的影响。具体而言，</w:t>
      </w:r>
      <w:r>
        <w:rPr>
          <w:rFonts w:hint="eastAsia" w:eastAsia="仿宋_GB2312" w:cs="Times New Roman"/>
          <w:sz w:val="32"/>
          <w:szCs w:val="32"/>
          <w:highlight w:val="none"/>
          <w:lang w:val="en-US" w:eastAsia="zh-CN"/>
        </w:rPr>
        <w:t>西部计划志愿者补助发放及时率</w:t>
      </w:r>
      <w:r>
        <w:rPr>
          <w:rFonts w:hint="default" w:ascii="Times New Roman" w:hAnsi="Times New Roman" w:eastAsia="仿宋_GB2312" w:cs="Times New Roman"/>
          <w:sz w:val="32"/>
          <w:szCs w:val="32"/>
          <w:highlight w:val="none"/>
        </w:rPr>
        <w:t>等方面的提升，为项目的利益相关者带来了实实在在的利益。</w:t>
      </w:r>
    </w:p>
    <w:p w14:paraId="68831ABD">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default" w:ascii="Times New Roman" w:hAnsi="Times New Roman" w:eastAsia="仿宋_GB2312" w:cs="Times New Roman"/>
          <w:color w:val="auto"/>
          <w:sz w:val="32"/>
          <w:szCs w:val="32"/>
          <w:highlight w:val="none"/>
        </w:rPr>
        <w:t>2024年大学生志愿者服务西部计划中央补助资金</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14:paraId="5587A607">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14:paraId="711E4187">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分，属于“优”。其中，项目</w:t>
      </w:r>
      <w:r>
        <w:rPr>
          <w:rFonts w:hint="eastAsia" w:ascii="Times New Roman" w:hAnsi="Times New Roman" w:eastAsia="仿宋_GB2312" w:cs="Times New Roman"/>
          <w:b w:val="0"/>
          <w:bCs w:val="0"/>
          <w:lang w:val="en-US" w:eastAsia="zh-CN"/>
        </w:rPr>
        <w:t>成本</w:t>
      </w:r>
      <w:r>
        <w:rPr>
          <w:rFonts w:hint="default" w:ascii="Times New Roman" w:hAnsi="Times New Roman" w:eastAsia="仿宋_GB2312" w:cs="Times New Roman"/>
          <w:b w:val="0"/>
          <w:bCs w:val="0"/>
        </w:rPr>
        <w:t xml:space="preserve">类指标权重为20分，得分为 </w:t>
      </w:r>
      <w:r>
        <w:rPr>
          <w:rFonts w:hint="eastAsia" w:ascii="Times New Roman" w:hAnsi="Times New Roman" w:eastAsia="仿宋_GB2312" w:cs="Times New Roman"/>
          <w:b w:val="0"/>
          <w:bCs w:val="0"/>
          <w:lang w:val="en-US" w:eastAsia="zh-CN"/>
        </w:rPr>
        <w:t>20</w:t>
      </w:r>
      <w:r>
        <w:rPr>
          <w:rFonts w:hint="default" w:ascii="Times New Roman" w:hAnsi="Times New Roman" w:eastAsia="仿宋_GB2312" w:cs="Times New Roman"/>
          <w:b w:val="0"/>
          <w:bCs w:val="0"/>
        </w:rPr>
        <w:t xml:space="preserve">分，得分率为 </w:t>
      </w:r>
      <w:r>
        <w:rPr>
          <w:rFonts w:hint="eastAsia"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%。项目产出类指标权重为40分，得分为</w:t>
      </w:r>
      <w:r>
        <w:rPr>
          <w:rFonts w:hint="eastAsia" w:ascii="Times New Roman" w:hAnsi="Times New Roman" w:eastAsia="仿宋_GB2312" w:cs="Times New Roman"/>
          <w:b w:val="0"/>
          <w:bCs w:val="0"/>
          <w:lang w:val="en-US" w:eastAsia="zh-CN"/>
        </w:rPr>
        <w:t>40</w:t>
      </w:r>
      <w:r>
        <w:rPr>
          <w:rFonts w:hint="default" w:ascii="Times New Roman" w:hAnsi="Times New Roman" w:eastAsia="仿宋_GB2312" w:cs="Times New Roman"/>
          <w:b w:val="0"/>
          <w:bCs w:val="0"/>
        </w:rPr>
        <w:t>分，得分率为</w:t>
      </w:r>
      <w:r>
        <w:rPr>
          <w:rFonts w:hint="eastAsia"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%。项目效益类指标权重为20分，得分为</w:t>
      </w:r>
      <w:r>
        <w:rPr>
          <w:rFonts w:hint="eastAsia" w:ascii="Times New Roman" w:hAnsi="Times New Roman" w:eastAsia="仿宋_GB2312" w:cs="Times New Roman"/>
          <w:b w:val="0"/>
          <w:bCs w:val="0"/>
          <w:lang w:val="en-US" w:eastAsia="zh-CN"/>
        </w:rPr>
        <w:t>20</w:t>
      </w:r>
      <w:r>
        <w:rPr>
          <w:rFonts w:hint="default" w:ascii="Times New Roman" w:hAnsi="Times New Roman" w:eastAsia="仿宋_GB2312" w:cs="Times New Roman"/>
          <w:b w:val="0"/>
          <w:bCs w:val="0"/>
        </w:rPr>
        <w:t>分，得分率为</w:t>
      </w:r>
      <w:r>
        <w:rPr>
          <w:rFonts w:hint="eastAsia"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%。项目</w:t>
      </w:r>
      <w:r>
        <w:rPr>
          <w:rFonts w:hint="eastAsia" w:ascii="Times New Roman" w:hAnsi="Times New Roman" w:eastAsia="仿宋_GB2312" w:cs="Times New Roman"/>
          <w:b w:val="0"/>
          <w:bCs w:val="0"/>
          <w:lang w:val="en-US" w:eastAsia="zh-CN"/>
        </w:rPr>
        <w:t>满意度</w:t>
      </w:r>
      <w:r>
        <w:rPr>
          <w:rFonts w:hint="default" w:ascii="Times New Roman" w:hAnsi="Times New Roman" w:eastAsia="仿宋_GB2312" w:cs="Times New Roman"/>
          <w:b w:val="0"/>
          <w:bCs w:val="0"/>
        </w:rPr>
        <w:t xml:space="preserve">指标权重为20分，得分为 </w:t>
      </w:r>
      <w:r>
        <w:rPr>
          <w:rFonts w:hint="eastAsia" w:ascii="Times New Roman" w:hAnsi="Times New Roman" w:eastAsia="仿宋_GB2312" w:cs="Times New Roman"/>
          <w:b w:val="0"/>
          <w:bCs w:val="0"/>
          <w:lang w:val="en-US" w:eastAsia="zh-CN"/>
        </w:rPr>
        <w:t>20</w:t>
      </w:r>
      <w:r>
        <w:rPr>
          <w:rFonts w:hint="default" w:ascii="Times New Roman" w:hAnsi="Times New Roman" w:eastAsia="仿宋_GB2312" w:cs="Times New Roman"/>
          <w:b w:val="0"/>
          <w:bCs w:val="0"/>
        </w:rPr>
        <w:t xml:space="preserve">分，得分率为 </w:t>
      </w:r>
      <w:r>
        <w:rPr>
          <w:rFonts w:hint="eastAsia"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%。具体打分情况详见：附件1综合评分表</w:t>
      </w:r>
      <w:r>
        <w:rPr>
          <w:rFonts w:hint="default" w:ascii="Times New Roman" w:hAnsi="Times New Roman" w:eastAsia="仿宋_GB2312" w:cs="Times New Roman"/>
          <w:b w:val="0"/>
          <w:bCs w:val="0"/>
          <w:lang w:eastAsia="zh-CN"/>
        </w:rPr>
        <w:t>。</w:t>
      </w:r>
    </w:p>
    <w:p w14:paraId="3744CAB7">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4"/>
        <w:tblW w:w="8760" w:type="dxa"/>
        <w:jc w:val="center"/>
        <w:tblLayout w:type="fixed"/>
        <w:tblCellMar>
          <w:top w:w="0" w:type="dxa"/>
          <w:left w:w="108" w:type="dxa"/>
          <w:bottom w:w="0" w:type="dxa"/>
          <w:right w:w="108" w:type="dxa"/>
        </w:tblCellMar>
      </w:tblPr>
      <w:tblGrid>
        <w:gridCol w:w="2787"/>
        <w:gridCol w:w="1927"/>
        <w:gridCol w:w="2023"/>
        <w:gridCol w:w="2023"/>
      </w:tblGrid>
      <w:tr w14:paraId="05C61CA1">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45E52456">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2F16F83F">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5C266F97">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20B875D4">
            <w:pPr>
              <w:jc w:val="center"/>
              <w:rPr>
                <w:rFonts w:hint="eastAsia"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得分率</w:t>
            </w:r>
          </w:p>
        </w:tc>
      </w:tr>
      <w:tr w14:paraId="1D687680">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24943102">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1927" w:type="dxa"/>
            <w:tcBorders>
              <w:top w:val="nil"/>
              <w:left w:val="nil"/>
              <w:bottom w:val="single" w:color="auto" w:sz="4" w:space="0"/>
              <w:right w:val="single" w:color="auto" w:sz="4" w:space="0"/>
            </w:tcBorders>
            <w:shd w:val="clear" w:color="auto" w:fill="auto"/>
            <w:vAlign w:val="center"/>
          </w:tcPr>
          <w:p w14:paraId="37BC8B01">
            <w:pPr>
              <w:jc w:val="center"/>
              <w:rPr>
                <w:rFonts w:hint="default" w:ascii="Times New Roman" w:hAnsi="Times New Roman" w:eastAsia="仿宋_GB2312" w:cs="Times New Roman"/>
                <w:color w:val="000000"/>
                <w:sz w:val="21"/>
                <w:szCs w:val="21"/>
                <w:highlight w:val="yellow"/>
                <w:lang w:val="en-US" w:eastAsia="zh-CN"/>
              </w:rPr>
            </w:pPr>
            <w:r>
              <w:rPr>
                <w:rFonts w:hint="default" w:ascii="Times New Roman" w:hAnsi="Times New Roman"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2800253C">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6D6AEB71">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100%</w:t>
            </w:r>
          </w:p>
        </w:tc>
      </w:tr>
      <w:tr w14:paraId="3F3ABDE3">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0334CD84">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1927" w:type="dxa"/>
            <w:tcBorders>
              <w:top w:val="nil"/>
              <w:left w:val="nil"/>
              <w:bottom w:val="single" w:color="auto" w:sz="4" w:space="0"/>
              <w:right w:val="single" w:color="auto" w:sz="4" w:space="0"/>
            </w:tcBorders>
            <w:shd w:val="clear" w:color="auto" w:fill="auto"/>
            <w:vAlign w:val="center"/>
          </w:tcPr>
          <w:p w14:paraId="6D9FF242">
            <w:pPr>
              <w:jc w:val="center"/>
              <w:rPr>
                <w:rFonts w:hint="default" w:ascii="Times New Roman" w:hAnsi="Times New Roman" w:eastAsia="仿宋_GB2312" w:cs="Times New Roman"/>
                <w:color w:val="000000"/>
                <w:sz w:val="21"/>
                <w:szCs w:val="21"/>
                <w:highlight w:val="yellow"/>
                <w:lang w:val="en-US" w:eastAsia="zh-CN"/>
              </w:rPr>
            </w:pPr>
            <w:r>
              <w:rPr>
                <w:rFonts w:hint="default" w:ascii="Times New Roman" w:hAnsi="Times New Roman"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3B777202">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76DE6A05">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100%</w:t>
            </w:r>
          </w:p>
        </w:tc>
      </w:tr>
      <w:tr w14:paraId="3C5B24BB">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449ACAAE">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1927" w:type="dxa"/>
            <w:tcBorders>
              <w:top w:val="nil"/>
              <w:left w:val="nil"/>
              <w:bottom w:val="single" w:color="auto" w:sz="4" w:space="0"/>
              <w:right w:val="single" w:color="auto" w:sz="4" w:space="0"/>
            </w:tcBorders>
            <w:shd w:val="clear" w:color="auto" w:fill="auto"/>
            <w:vAlign w:val="center"/>
          </w:tcPr>
          <w:p w14:paraId="7A466983">
            <w:pPr>
              <w:jc w:val="center"/>
              <w:rPr>
                <w:rFonts w:hint="default" w:ascii="Times New Roman" w:hAnsi="Times New Roman" w:eastAsia="仿宋_GB2312" w:cs="Times New Roman"/>
                <w:color w:val="000000"/>
                <w:sz w:val="21"/>
                <w:szCs w:val="21"/>
                <w:highlight w:val="yellow"/>
                <w:lang w:val="en-US" w:eastAsia="zh-CN"/>
              </w:rPr>
            </w:pPr>
            <w:r>
              <w:rPr>
                <w:rFonts w:hint="default" w:ascii="Times New Roman" w:hAnsi="Times New Roman" w:eastAsia="仿宋_GB2312" w:cs="Times New Roman"/>
                <w:color w:val="000000"/>
                <w:sz w:val="21"/>
                <w:szCs w:val="21"/>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4B474D8C">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51C36B21">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100%</w:t>
            </w:r>
          </w:p>
        </w:tc>
      </w:tr>
      <w:tr w14:paraId="37C2255E">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222F2BF2">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1927" w:type="dxa"/>
            <w:tcBorders>
              <w:top w:val="nil"/>
              <w:left w:val="nil"/>
              <w:bottom w:val="single" w:color="auto" w:sz="4" w:space="0"/>
              <w:right w:val="single" w:color="auto" w:sz="4" w:space="0"/>
            </w:tcBorders>
            <w:shd w:val="clear" w:color="auto" w:fill="auto"/>
            <w:vAlign w:val="center"/>
          </w:tcPr>
          <w:p w14:paraId="0AE6B4F0">
            <w:pPr>
              <w:jc w:val="center"/>
              <w:rPr>
                <w:rFonts w:hint="default" w:ascii="Times New Roman" w:hAnsi="Times New Roman" w:eastAsia="仿宋_GB2312" w:cs="Times New Roman"/>
                <w:color w:val="000000"/>
                <w:sz w:val="21"/>
                <w:szCs w:val="21"/>
                <w:highlight w:val="yellow"/>
                <w:lang w:val="en-US" w:eastAsia="zh-CN"/>
              </w:rPr>
            </w:pPr>
            <w:r>
              <w:rPr>
                <w:rFonts w:hint="default" w:ascii="Times New Roman" w:hAnsi="Times New Roman"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29880B21">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0E1A867A">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100%</w:t>
            </w:r>
          </w:p>
        </w:tc>
      </w:tr>
      <w:tr w14:paraId="3E481FD3">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45365884">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1927" w:type="dxa"/>
            <w:tcBorders>
              <w:top w:val="nil"/>
              <w:left w:val="nil"/>
              <w:bottom w:val="single" w:color="auto" w:sz="4" w:space="0"/>
              <w:right w:val="single" w:color="auto" w:sz="4" w:space="0"/>
            </w:tcBorders>
            <w:shd w:val="clear" w:color="auto" w:fill="auto"/>
            <w:vAlign w:val="center"/>
          </w:tcPr>
          <w:p w14:paraId="11D911A8">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27B0057A">
            <w:pPr>
              <w:jc w:val="center"/>
              <w:rPr>
                <w:rFonts w:hint="default" w:ascii="Times New Roman" w:hAnsi="Times New Roman" w:eastAsia="仿宋_GB2312" w:cs="Times New Roman"/>
                <w:b/>
                <w:bCs/>
                <w:color w:val="000000"/>
                <w:sz w:val="21"/>
                <w:szCs w:val="21"/>
              </w:rPr>
            </w:pPr>
            <w:r>
              <w:rPr>
                <w:rFonts w:hint="eastAsia" w:eastAsia="仿宋_GB2312" w:cs="Times New Roman"/>
                <w:b/>
                <w:bCs/>
                <w:color w:val="000000"/>
                <w:sz w:val="21"/>
                <w:szCs w:val="21"/>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42A089F1">
            <w:pPr>
              <w:jc w:val="center"/>
              <w:rPr>
                <w:rFonts w:hint="default" w:ascii="Times New Roman" w:hAnsi="Times New Roman" w:eastAsia="仿宋_GB2312" w:cs="Times New Roman"/>
                <w:b/>
                <w:bCs/>
                <w:color w:val="000000"/>
                <w:sz w:val="21"/>
                <w:szCs w:val="21"/>
              </w:rPr>
            </w:pPr>
            <w:r>
              <w:rPr>
                <w:rFonts w:hint="eastAsia" w:eastAsia="仿宋_GB2312" w:cs="Times New Roman"/>
                <w:b/>
                <w:bCs/>
                <w:color w:val="000000"/>
                <w:sz w:val="21"/>
                <w:szCs w:val="21"/>
                <w:lang w:val="en-US" w:eastAsia="zh-CN"/>
              </w:rPr>
              <w:t>100%</w:t>
            </w:r>
          </w:p>
        </w:tc>
      </w:tr>
    </w:tbl>
    <w:p w14:paraId="4955C589">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14:paraId="6E37322D">
      <w:pPr>
        <w:pStyle w:val="10"/>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14:paraId="688EE73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ascii="Times New Roman" w:hAnsi="Times New Roman"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4B142A8F">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14:paraId="0F418CD0">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14:paraId="06097B96">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4A6C7BA2">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14:paraId="00F8763F">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w:t>
      </w:r>
      <w:r>
        <w:rPr>
          <w:rFonts w:hint="default" w:ascii="Times New Roman" w:hAnsi="Times New Roman" w:eastAsia="仿宋_GB2312" w:cs="Times New Roman"/>
          <w:sz w:val="32"/>
          <w:szCs w:val="32"/>
          <w:highlight w:val="none"/>
          <w:lang w:eastAsia="zh-Hans"/>
        </w:rPr>
        <w:t>料；</w:t>
      </w:r>
      <w:r>
        <w:rPr>
          <w:rFonts w:hint="default" w:ascii="Times New Roman" w:hAnsi="Times New Roman" w:eastAsia="仿宋_GB2312" w:cs="Times New Roman"/>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w:t>
      </w:r>
      <w:r>
        <w:rPr>
          <w:rFonts w:hint="default" w:ascii="Times New Roman" w:hAnsi="Times New Roman" w:eastAsia="仿宋_GB2312" w:cs="Times New Roman"/>
          <w:sz w:val="32"/>
          <w:szCs w:val="32"/>
          <w:lang w:val="en-US" w:eastAsia="zh-CN"/>
        </w:rPr>
        <w:t>规范性。</w:t>
      </w:r>
    </w:p>
    <w:p w14:paraId="4E7E09EF">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14:paraId="3B5B10CB">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14:paraId="0DF33425">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64C6C003">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14:paraId="4491B751">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7832A87C">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2CB7C44E">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14:paraId="55C5E163">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656DB872">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4C60872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1211D54B">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248E010F">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1F160E49">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6BDD32EC">
      <w:pPr>
        <w:pStyle w:val="10"/>
        <w:numPr>
          <w:numId w:val="0"/>
        </w:numPr>
        <w:spacing w:before="0" w:after="0" w:line="560" w:lineRule="exact"/>
        <w:jc w:val="both"/>
        <w:rPr>
          <w:rFonts w:hint="default" w:ascii="Times New Roman" w:hAnsi="Times New Roman" w:eastAsia="楷体" w:cs="Times New Roman"/>
        </w:rPr>
      </w:pPr>
      <w:r>
        <w:rPr>
          <w:rFonts w:hint="eastAsia" w:ascii="Times New Roman" w:hAnsi="Times New Roman" w:eastAsia="楷体" w:cs="Times New Roman"/>
          <w:lang w:eastAsia="zh-CN"/>
        </w:rPr>
        <w:t>（</w:t>
      </w:r>
      <w:r>
        <w:rPr>
          <w:rFonts w:hint="eastAsia" w:ascii="Times New Roman" w:hAnsi="Times New Roman" w:eastAsia="楷体" w:cs="Times New Roman"/>
          <w:lang w:val="en-US" w:eastAsia="zh-CN"/>
        </w:rPr>
        <w:t>二</w:t>
      </w:r>
      <w:r>
        <w:rPr>
          <w:rFonts w:hint="eastAsia" w:ascii="Times New Roman" w:hAnsi="Times New Roman" w:eastAsia="楷体" w:cs="Times New Roman"/>
          <w:lang w:eastAsia="zh-CN"/>
        </w:rPr>
        <w:t>）</w:t>
      </w:r>
      <w:r>
        <w:rPr>
          <w:rFonts w:hint="default" w:ascii="Times New Roman" w:hAnsi="Times New Roman" w:eastAsia="楷体" w:cs="Times New Roman"/>
        </w:rPr>
        <w:t>项目过程情况</w:t>
      </w:r>
    </w:p>
    <w:p w14:paraId="6B44AFF1">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项目过程类指标包括资金管理和组织实施两方面的内容，由5个三级指标构成，权重分值为20分，实际得分</w:t>
      </w:r>
      <w:r>
        <w:rPr>
          <w:rFonts w:hint="eastAsia"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lang w:val="en-US" w:eastAsia="zh-CN"/>
        </w:rPr>
        <w:t>分，得分率为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w:t>
      </w:r>
    </w:p>
    <w:p w14:paraId="5D91D7FD">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1.资金管理</w:t>
      </w:r>
    </w:p>
    <w:p w14:paraId="3222FF27">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14:paraId="0493BA37">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本项目总投资</w:t>
      </w:r>
      <w:r>
        <w:rPr>
          <w:rFonts w:hint="eastAsia" w:ascii="Times New Roman" w:hAnsi="Times New Roman" w:eastAsia="仿宋_GB2312" w:cs="Times New Roman"/>
          <w:sz w:val="32"/>
          <w:szCs w:val="32"/>
          <w:lang w:val="en-US" w:eastAsia="zh-CN"/>
        </w:rPr>
        <w:t>10.5</w:t>
      </w:r>
      <w:r>
        <w:rPr>
          <w:rFonts w:hint="default" w:ascii="Times New Roman" w:hAnsi="Times New Roman" w:eastAsia="仿宋_GB2312" w:cs="Times New Roman"/>
          <w:sz w:val="32"/>
          <w:szCs w:val="32"/>
          <w:lang w:val="en-US" w:eastAsia="zh-CN"/>
        </w:rPr>
        <w:t>万元，财政资金及时足额到位，到位率</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%，预算资金按计划进度执行。</w:t>
      </w:r>
    </w:p>
    <w:p w14:paraId="1A31331A">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（2）预算执行率</w:t>
      </w:r>
    </w:p>
    <w:p w14:paraId="3526BDCF">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预算编制较为详细，项目资金支出总体能够按照预算执行，预算资金支出</w:t>
      </w:r>
      <w:r>
        <w:rPr>
          <w:rFonts w:hint="eastAsia" w:ascii="Times New Roman" w:hAnsi="Times New Roman" w:eastAsia="仿宋_GB2312" w:cs="Times New Roman"/>
          <w:sz w:val="32"/>
          <w:szCs w:val="32"/>
          <w:lang w:val="en-US" w:eastAsia="zh-CN"/>
        </w:rPr>
        <w:t>10.5</w:t>
      </w:r>
      <w:r>
        <w:rPr>
          <w:rFonts w:hint="default" w:ascii="Times New Roman" w:hAnsi="Times New Roman" w:eastAsia="仿宋_GB2312" w:cs="Times New Roman"/>
          <w:sz w:val="32"/>
          <w:szCs w:val="32"/>
          <w:lang w:val="en-US" w:eastAsia="zh-CN"/>
        </w:rPr>
        <w:t>万元，预算执行率为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w:t>
      </w:r>
    </w:p>
    <w:p w14:paraId="03F6F0F3">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14:paraId="60BF9914">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本项目的资金使用严格遵循了国家相关法律法规与财务制度，确保了资金的合规性与安全性。在资金使用过程中，我们建立了完善的财务管理体系，对资金的流动进行了全程监控与记录。</w:t>
      </w:r>
    </w:p>
    <w:p w14:paraId="6F1488FE">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28F3E5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22734426">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14:paraId="517AD28A">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14:paraId="690D5904">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080E943D">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在制度设计上，我们注重了制度的科学性与可操作性，确保制度能够切实指导项目的执行与管理。</w:t>
      </w:r>
    </w:p>
    <w:p w14:paraId="26B221A0">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57D9813B">
      <w:pPr>
        <w:shd w:val="clear"/>
        <w:spacing w:line="600" w:lineRule="exact"/>
        <w:ind w:firstLine="640" w:firstLineChars="200"/>
        <w:outlineLvl w:val="0"/>
        <w:rPr>
          <w:rFonts w:hint="default" w:ascii="Times New Roman" w:hAnsi="Times New Roman" w:eastAsia="仿宋_GB2312" w:cs="Times New Roman"/>
          <w:sz w:val="32"/>
          <w:szCs w:val="32"/>
          <w:highlight w:val="green"/>
          <w:lang w:eastAsia="zh-CN"/>
        </w:rPr>
      </w:pPr>
      <w:r>
        <w:rPr>
          <w:rFonts w:hint="default" w:ascii="Times New Roman" w:hAnsi="Times New Roman" w:eastAsia="仿宋_GB2312" w:cs="Times New Roman"/>
          <w:sz w:val="32"/>
          <w:szCs w:val="32"/>
          <w:lang w:val="en-US"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54D5699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14:paraId="407E54F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0FDE9B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14:paraId="15D46884">
      <w:pPr>
        <w:pStyle w:val="12"/>
        <w:numPr>
          <w:numId w:val="0"/>
        </w:numPr>
        <w:spacing w:line="560" w:lineRule="exact"/>
        <w:rPr>
          <w:rFonts w:hint="default" w:ascii="Times New Roman" w:hAnsi="Times New Roman" w:eastAsia="楷体_GB2312" w:cs="Times New Roman"/>
          <w:b/>
          <w:bCs/>
          <w:sz w:val="32"/>
          <w:szCs w:val="32"/>
        </w:rPr>
      </w:pPr>
      <w:r>
        <w:rPr>
          <w:rFonts w:hint="eastAsia" w:eastAsia="楷体_GB2312" w:cs="Times New Roman"/>
          <w:b/>
          <w:bCs/>
          <w:sz w:val="32"/>
          <w:szCs w:val="32"/>
          <w:lang w:eastAsia="zh-CN"/>
        </w:rPr>
        <w:t>（</w:t>
      </w:r>
      <w:r>
        <w:rPr>
          <w:rFonts w:hint="eastAsia" w:eastAsia="楷体_GB2312" w:cs="Times New Roman"/>
          <w:b/>
          <w:bCs/>
          <w:sz w:val="32"/>
          <w:szCs w:val="32"/>
          <w:lang w:val="en-US" w:eastAsia="zh-CN"/>
        </w:rPr>
        <w:t>二</w:t>
      </w:r>
      <w:r>
        <w:rPr>
          <w:rFonts w:hint="eastAsia" w:eastAsia="楷体_GB2312" w:cs="Times New Roman"/>
          <w:b/>
          <w:bCs/>
          <w:sz w:val="32"/>
          <w:szCs w:val="32"/>
          <w:lang w:eastAsia="zh-CN"/>
        </w:rPr>
        <w:t>）</w:t>
      </w: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14:paraId="699AF2F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项目产出类指标包括产出数量、产出质量、产出时效、产出成本四方面的内容，由</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个三级指标构成，权重分为40分，实际得分</w:t>
      </w:r>
      <w:r>
        <w:rPr>
          <w:rFonts w:hint="eastAsia" w:ascii="Times New Roman" w:hAnsi="Times New Roman" w:eastAsia="仿宋_GB2312" w:cs="Times New Roman"/>
          <w:sz w:val="32"/>
          <w:szCs w:val="32"/>
          <w:lang w:val="en-US" w:eastAsia="zh-CN"/>
        </w:rPr>
        <w:t>40</w:t>
      </w:r>
      <w:r>
        <w:rPr>
          <w:rFonts w:hint="default" w:ascii="Times New Roman" w:hAnsi="Times New Roman" w:eastAsia="仿宋_GB2312" w:cs="Times New Roman"/>
          <w:sz w:val="32"/>
          <w:szCs w:val="32"/>
          <w:lang w:val="en-US" w:eastAsia="zh-CN"/>
        </w:rPr>
        <w:t>分，得分率为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%。具体产出指标完成情况如下：</w:t>
      </w:r>
    </w:p>
    <w:p w14:paraId="1CEBDCB9">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68599E7C">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发放志愿者工作生活补贴（人）</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≥17人</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17人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74576397">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指标2：发放志愿者艰苦地区津贴，</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≥17人</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17人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71B3203B">
      <w:pPr>
        <w:shd w:val="clear"/>
        <w:spacing w:line="600" w:lineRule="exact"/>
        <w:ind w:firstLine="640" w:firstLineChars="200"/>
        <w:outlineLvl w:val="0"/>
        <w:rPr>
          <w:rFonts w:hint="eastAsia" w:eastAsia="仿宋_GB2312" w:cs="Times New Roman"/>
          <w:sz w:val="32"/>
          <w:szCs w:val="32"/>
          <w:highlight w:val="none"/>
          <w:lang w:eastAsia="zh-CN"/>
        </w:rPr>
      </w:pPr>
      <w:r>
        <w:rPr>
          <w:rFonts w:hint="eastAsia" w:eastAsia="仿宋_GB2312" w:cs="Times New Roman"/>
          <w:sz w:val="32"/>
          <w:szCs w:val="32"/>
          <w:highlight w:val="none"/>
          <w:lang w:val="en-US" w:eastAsia="zh-CN"/>
        </w:rPr>
        <w:t>指标3：发放志愿者交通补贴，</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≥17人</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17人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5128262C">
      <w:pPr>
        <w:shd w:val="clear"/>
        <w:spacing w:line="600" w:lineRule="exact"/>
        <w:ind w:firstLine="640" w:firstLineChars="200"/>
        <w:outlineLvl w:val="0"/>
        <w:rPr>
          <w:rFonts w:hint="eastAsia" w:eastAsia="仿宋_GB2312" w:cs="Times New Roman"/>
          <w:sz w:val="32"/>
          <w:szCs w:val="32"/>
          <w:highlight w:val="none"/>
          <w:lang w:eastAsia="zh-CN"/>
        </w:rPr>
      </w:pPr>
      <w:r>
        <w:rPr>
          <w:rFonts w:hint="eastAsia" w:eastAsia="仿宋_GB2312" w:cs="Times New Roman"/>
          <w:sz w:val="32"/>
          <w:szCs w:val="32"/>
          <w:highlight w:val="none"/>
          <w:lang w:val="en-US" w:eastAsia="zh-CN"/>
        </w:rPr>
        <w:t>指标4：缴纳志愿者养老保险人数，</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≥17人</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17人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2BD5C89D">
      <w:pPr>
        <w:shd w:val="clear"/>
        <w:spacing w:line="600" w:lineRule="exact"/>
        <w:ind w:firstLine="640" w:firstLineChars="200"/>
        <w:outlineLvl w:val="0"/>
        <w:rPr>
          <w:rFonts w:hint="eastAsia" w:eastAsia="仿宋_GB2312" w:cs="Times New Roman"/>
          <w:sz w:val="32"/>
          <w:szCs w:val="32"/>
          <w:highlight w:val="none"/>
          <w:lang w:eastAsia="zh-CN"/>
        </w:rPr>
      </w:pPr>
      <w:r>
        <w:rPr>
          <w:rFonts w:hint="eastAsia" w:eastAsia="仿宋_GB2312" w:cs="Times New Roman"/>
          <w:sz w:val="32"/>
          <w:szCs w:val="32"/>
          <w:highlight w:val="none"/>
          <w:lang w:val="en-US" w:eastAsia="zh-CN"/>
        </w:rPr>
        <w:t>指标5：缴纳志愿者基本医疗保险人数，</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≥17人</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17人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3E71C832">
      <w:pPr>
        <w:shd w:val="clear"/>
        <w:spacing w:line="600" w:lineRule="exact"/>
        <w:ind w:firstLine="640" w:firstLineChars="200"/>
        <w:outlineLvl w:val="0"/>
        <w:rPr>
          <w:rFonts w:hint="eastAsia" w:eastAsia="仿宋_GB2312" w:cs="Times New Roman"/>
          <w:sz w:val="32"/>
          <w:szCs w:val="32"/>
          <w:highlight w:val="none"/>
          <w:lang w:eastAsia="zh-CN"/>
        </w:rPr>
      </w:pPr>
      <w:r>
        <w:rPr>
          <w:rFonts w:hint="eastAsia" w:eastAsia="仿宋_GB2312" w:cs="Times New Roman"/>
          <w:sz w:val="32"/>
          <w:szCs w:val="32"/>
          <w:highlight w:val="none"/>
          <w:lang w:val="en-US" w:eastAsia="zh-CN"/>
        </w:rPr>
        <w:t>指标6：购买志愿者意外伤害保险(人），</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≥17人</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17人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423802B9">
      <w:pPr>
        <w:shd w:val="clear"/>
        <w:spacing w:line="600" w:lineRule="exact"/>
        <w:ind w:firstLine="640" w:firstLineChars="200"/>
        <w:outlineLvl w:val="0"/>
        <w:rPr>
          <w:rFonts w:hint="eastAsia" w:eastAsia="仿宋_GB2312" w:cs="Times New Roman"/>
          <w:sz w:val="32"/>
          <w:szCs w:val="32"/>
          <w:highlight w:val="none"/>
          <w:lang w:eastAsia="zh-CN"/>
        </w:rPr>
      </w:pPr>
      <w:r>
        <w:rPr>
          <w:rFonts w:hint="eastAsia" w:eastAsia="仿宋_GB2312" w:cs="Times New Roman"/>
          <w:sz w:val="32"/>
          <w:szCs w:val="32"/>
          <w:highlight w:val="none"/>
          <w:lang w:val="en-US" w:eastAsia="zh-CN"/>
        </w:rPr>
        <w:t>指标7：发放志愿者单位补贴，</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≥134人</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134人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29F2996D">
      <w:pPr>
        <w:shd w:val="clear"/>
        <w:spacing w:line="600" w:lineRule="exact"/>
        <w:ind w:firstLine="640" w:firstLineChars="200"/>
        <w:outlineLvl w:val="0"/>
        <w:rPr>
          <w:rFonts w:hint="eastAsia" w:eastAsia="仿宋_GB2312" w:cs="Times New Roman"/>
          <w:sz w:val="32"/>
          <w:szCs w:val="32"/>
          <w:highlight w:val="none"/>
          <w:lang w:eastAsia="zh-CN"/>
        </w:rPr>
      </w:pPr>
      <w:r>
        <w:rPr>
          <w:rFonts w:hint="eastAsia" w:eastAsia="仿宋_GB2312" w:cs="Times New Roman"/>
          <w:sz w:val="32"/>
          <w:szCs w:val="32"/>
          <w:highlight w:val="none"/>
          <w:lang w:val="en-US" w:eastAsia="zh-CN"/>
        </w:rPr>
        <w:t>指标8：慰问西部计划志愿者，</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≥1场次</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1场次</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1B070F39">
      <w:pPr>
        <w:shd w:val="clear"/>
        <w:spacing w:line="600" w:lineRule="exact"/>
        <w:ind w:firstLine="640" w:firstLineChars="200"/>
        <w:outlineLvl w:val="0"/>
        <w:rPr>
          <w:rFonts w:hint="eastAsia" w:eastAsia="仿宋_GB2312" w:cs="Times New Roman"/>
          <w:sz w:val="32"/>
          <w:szCs w:val="32"/>
          <w:highlight w:val="none"/>
          <w:lang w:eastAsia="zh-CN"/>
        </w:rPr>
      </w:pPr>
      <w:r>
        <w:rPr>
          <w:rFonts w:hint="eastAsia" w:eastAsia="仿宋_GB2312" w:cs="Times New Roman"/>
          <w:sz w:val="32"/>
          <w:szCs w:val="32"/>
          <w:highlight w:val="none"/>
          <w:lang w:val="en-US" w:eastAsia="zh-CN"/>
        </w:rPr>
        <w:t>指标9：开展西部计划志愿者迎新活动，</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≥1场次</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1场次</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187FD220">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14:paraId="2CF55BF5">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指标1：补助资金发放率，指标值：</w:t>
      </w:r>
      <w:r>
        <w:rPr>
          <w:rFonts w:hint="eastAsia" w:ascii="Arial" w:hAnsi="Arial" w:eastAsia="仿宋_GB2312" w:cs="Arial"/>
          <w:sz w:val="32"/>
          <w:szCs w:val="32"/>
          <w:highlight w:val="none"/>
          <w:lang w:val="en-US" w:eastAsia="zh-CN"/>
        </w:rPr>
        <w:t>=</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ascii="Arial" w:hAnsi="Arial" w:eastAsia="仿宋_GB2312" w:cs="Arial"/>
          <w:sz w:val="32"/>
          <w:szCs w:val="32"/>
          <w:highlight w:val="none"/>
          <w:lang w:val="en-US" w:eastAsia="zh-CN"/>
        </w:rPr>
        <w:t>=</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1D40E827">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14:paraId="3A440C86">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指标1：补助金发放及时率，指标值：</w:t>
      </w:r>
      <w:r>
        <w:rPr>
          <w:rFonts w:hint="eastAsia" w:ascii="Arial" w:hAnsi="Arial" w:eastAsia="仿宋_GB2312" w:cs="Arial"/>
          <w:sz w:val="32"/>
          <w:szCs w:val="32"/>
          <w:highlight w:val="none"/>
          <w:lang w:val="en-US" w:eastAsia="zh-CN"/>
        </w:rPr>
        <w:t>=</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ascii="Arial" w:hAnsi="Arial" w:eastAsia="仿宋_GB2312" w:cs="Arial"/>
          <w:sz w:val="32"/>
          <w:szCs w:val="32"/>
          <w:highlight w:val="none"/>
          <w:lang w:val="en-US" w:eastAsia="zh-CN"/>
        </w:rPr>
        <w:t>=</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42698DA4">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14:paraId="588FB44E">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发放志愿者工作生活补贴标准</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==1000元/人/月</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=1000元/人/月</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4A2B60C6">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指标2：发放志愿者艰苦地区津贴补贴标准，指标值：=545元/人/月</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=545元/人/月</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7A576D93">
      <w:pPr>
        <w:pStyle w:val="12"/>
        <w:numPr>
          <w:ilvl w:val="0"/>
          <w:numId w:val="3"/>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14:paraId="5A608758">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2</w:t>
      </w:r>
      <w:r>
        <w:rPr>
          <w:rFonts w:hint="default"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%。具体效益指</w:t>
      </w:r>
      <w:r>
        <w:rPr>
          <w:rFonts w:hint="default" w:ascii="Times New Roman" w:hAnsi="Times New Roman" w:eastAsia="仿宋_GB2312" w:cs="Times New Roman"/>
          <w:sz w:val="32"/>
          <w:szCs w:val="32"/>
          <w:lang w:val="en-US" w:eastAsia="zh-CN"/>
        </w:rPr>
        <w:t>标及满意度指标完成情况如下：</w:t>
      </w:r>
    </w:p>
    <w:p w14:paraId="7A76E9B4">
      <w:pPr>
        <w:numPr>
          <w:ilvl w:val="0"/>
          <w:numId w:val="4"/>
        </w:num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实施效益</w:t>
      </w:r>
    </w:p>
    <w:p w14:paraId="052492CF">
      <w:pPr>
        <w:numPr>
          <w:ilvl w:val="0"/>
          <w:numId w:val="0"/>
        </w:num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①</w:t>
      </w:r>
      <w:r>
        <w:rPr>
          <w:rFonts w:hint="eastAsia" w:eastAsia="仿宋_GB2312" w:cs="Times New Roman"/>
          <w:sz w:val="32"/>
          <w:szCs w:val="32"/>
          <w:highlight w:val="none"/>
          <w:lang w:val="en-US" w:eastAsia="zh-CN"/>
        </w:rPr>
        <w:t>社会</w:t>
      </w:r>
      <w:r>
        <w:rPr>
          <w:rFonts w:hint="default" w:ascii="Times New Roman" w:hAnsi="Times New Roman" w:eastAsia="仿宋_GB2312" w:cs="Times New Roman"/>
          <w:sz w:val="32"/>
          <w:szCs w:val="32"/>
          <w:highlight w:val="none"/>
          <w:lang w:val="en-US" w:eastAsia="zh-CN"/>
        </w:rPr>
        <w:t>效益指标：</w:t>
      </w:r>
    </w:p>
    <w:p w14:paraId="53416DE3">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指标1：享受补贴志愿者生活得到改善，指标值：</w:t>
      </w:r>
      <w:r>
        <w:rPr>
          <w:rFonts w:hint="default" w:ascii="Arial" w:hAnsi="Arial" w:eastAsia="仿宋_GB2312" w:cs="Arial"/>
          <w:sz w:val="32"/>
          <w:szCs w:val="32"/>
          <w:highlight w:val="none"/>
          <w:lang w:val="en-US" w:eastAsia="zh-CN"/>
        </w:rPr>
        <w:t>有效改善</w:t>
      </w:r>
      <w:r>
        <w:rPr>
          <w:rFonts w:hint="default" w:ascii="Times New Roman" w:hAnsi="Times New Roman" w:eastAsia="仿宋_GB2312" w:cs="Times New Roman"/>
          <w:sz w:val="32"/>
          <w:szCs w:val="32"/>
          <w:highlight w:val="none"/>
        </w:rPr>
        <w:t>，实际完成值：</w:t>
      </w:r>
      <w:r>
        <w:rPr>
          <w:rFonts w:hint="default" w:ascii="Arial" w:hAnsi="Arial" w:eastAsia="仿宋_GB2312" w:cs="Arial"/>
          <w:sz w:val="32"/>
          <w:szCs w:val="32"/>
          <w:highlight w:val="none"/>
          <w:lang w:val="en-US" w:eastAsia="zh-CN"/>
        </w:rPr>
        <w:t>有效改善</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1E798F6F">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14:paraId="69183D77">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指标1：志愿者对发放补贴满意度，指标值：</w:t>
      </w:r>
      <w:r>
        <w:rPr>
          <w:rFonts w:hint="default" w:ascii="Arial" w:hAnsi="Arial" w:eastAsia="仿宋_GB2312" w:cs="Arial"/>
          <w:sz w:val="32"/>
          <w:szCs w:val="32"/>
          <w:highlight w:val="none"/>
          <w:lang w:val="en-US" w:eastAsia="zh-CN"/>
        </w:rPr>
        <w:t>≥</w:t>
      </w:r>
      <w:r>
        <w:rPr>
          <w:rFonts w:hint="eastAsia" w:ascii="Arial" w:hAnsi="Arial" w:eastAsia="仿宋_GB2312" w:cs="Arial"/>
          <w:sz w:val="32"/>
          <w:szCs w:val="32"/>
          <w:highlight w:val="none"/>
          <w:lang w:val="en-US" w:eastAsia="zh-CN"/>
        </w:rPr>
        <w:t>95</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，实际完成值：</w:t>
      </w:r>
      <w:r>
        <w:rPr>
          <w:rFonts w:hint="default" w:ascii="Arial" w:hAnsi="Arial" w:eastAsia="仿宋_GB2312" w:cs="Arial"/>
          <w:sz w:val="32"/>
          <w:szCs w:val="32"/>
          <w:highlight w:val="none"/>
          <w:lang w:val="en-US" w:eastAsia="zh-CN"/>
        </w:rPr>
        <w:t>=98%</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5F828E30">
      <w:pPr>
        <w:spacing w:line="560" w:lineRule="exact"/>
        <w:ind w:firstLine="643" w:firstLineChars="200"/>
        <w:rPr>
          <w:rFonts w:hint="default" w:ascii="Times New Roman" w:hAnsi="Times New Roman" w:eastAsia="楷体_GB2312" w:cs="Times New Roman"/>
          <w:b/>
          <w:bCs/>
          <w:sz w:val="32"/>
          <w:szCs w:val="32"/>
          <w:lang w:val="en-US" w:eastAsia="zh-Han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eastAsia="zh-Hans"/>
        </w:rPr>
        <w:t>预算执行进度与绩效指标总体完成率偏差</w:t>
      </w:r>
    </w:p>
    <w:p w14:paraId="56E62670">
      <w:pPr>
        <w:pStyle w:val="19"/>
        <w:spacing w:line="560" w:lineRule="exact"/>
        <w:ind w:firstLine="640"/>
        <w:rPr>
          <w:rFonts w:hint="default" w:ascii="Times New Roman" w:hAnsi="Times New Roman" w:eastAsia="方正仿宋_GBK" w:cs="Times New Roman"/>
          <w:sz w:val="32"/>
          <w:szCs w:val="32"/>
          <w:highlight w:val="yellow"/>
        </w:rPr>
      </w:pPr>
      <w:r>
        <w:rPr>
          <w:rFonts w:hint="eastAsia" w:ascii="Times New Roman" w:hAnsi="Times New Roman" w:eastAsia="仿宋_GB2312" w:cs="Times New Roman"/>
          <w:kern w:val="2"/>
          <w:sz w:val="32"/>
          <w:szCs w:val="32"/>
          <w:highlight w:val="none"/>
          <w:lang w:val="en-US" w:eastAsia="zh-CN" w:bidi="ar-SA"/>
        </w:rPr>
        <w:t>2024年妇女儿童工作经费</w:t>
      </w:r>
      <w:r>
        <w:rPr>
          <w:rFonts w:hint="default" w:ascii="Times New Roman" w:hAnsi="Times New Roman" w:eastAsia="仿宋_GB2312" w:cs="Times New Roman"/>
          <w:kern w:val="2"/>
          <w:sz w:val="32"/>
          <w:szCs w:val="32"/>
          <w:highlight w:val="none"/>
          <w:lang w:val="en-US" w:eastAsia="zh-CN" w:bidi="ar-SA"/>
        </w:rPr>
        <w:t>项目年初预算</w:t>
      </w:r>
      <w:r>
        <w:rPr>
          <w:rFonts w:hint="eastAsia" w:eastAsia="仿宋_GB2312" w:cs="Times New Roman"/>
          <w:kern w:val="2"/>
          <w:sz w:val="32"/>
          <w:szCs w:val="32"/>
          <w:highlight w:val="none"/>
          <w:lang w:val="en-US" w:eastAsia="zh-CN" w:bidi="ar-SA"/>
        </w:rPr>
        <w:t>37.04</w:t>
      </w:r>
      <w:r>
        <w:rPr>
          <w:rFonts w:hint="default" w:ascii="Times New Roman" w:hAnsi="Times New Roman" w:eastAsia="仿宋_GB2312" w:cs="Times New Roman"/>
          <w:kern w:val="2"/>
          <w:sz w:val="32"/>
          <w:szCs w:val="32"/>
          <w:highlight w:val="none"/>
          <w:lang w:val="en-US" w:eastAsia="zh-CN" w:bidi="ar-SA"/>
        </w:rPr>
        <w:t>万元，全年预算</w:t>
      </w:r>
      <w:r>
        <w:rPr>
          <w:rFonts w:hint="eastAsia" w:ascii="Times New Roman" w:hAnsi="Times New Roman" w:eastAsia="仿宋_GB2312" w:cs="Times New Roman"/>
          <w:kern w:val="2"/>
          <w:sz w:val="32"/>
          <w:szCs w:val="32"/>
          <w:highlight w:val="none"/>
          <w:lang w:val="en-US" w:eastAsia="zh-CN" w:bidi="ar-SA"/>
        </w:rPr>
        <w:t>347.41</w:t>
      </w:r>
      <w:r>
        <w:rPr>
          <w:rFonts w:hint="default" w:ascii="Times New Roman" w:hAnsi="Times New Roman" w:eastAsia="仿宋_GB2312" w:cs="Times New Roman"/>
          <w:kern w:val="2"/>
          <w:sz w:val="32"/>
          <w:szCs w:val="32"/>
          <w:highlight w:val="none"/>
          <w:lang w:val="en-US" w:eastAsia="zh-CN" w:bidi="ar-SA"/>
        </w:rPr>
        <w:t>万元，实际支出</w:t>
      </w:r>
      <w:r>
        <w:rPr>
          <w:rFonts w:hint="eastAsia" w:ascii="Times New Roman" w:hAnsi="Times New Roman" w:eastAsia="仿宋_GB2312" w:cs="Times New Roman"/>
          <w:kern w:val="2"/>
          <w:sz w:val="32"/>
          <w:szCs w:val="32"/>
          <w:highlight w:val="none"/>
          <w:lang w:val="en-US" w:eastAsia="zh-CN" w:bidi="ar-SA"/>
        </w:rPr>
        <w:t>347.41</w:t>
      </w:r>
      <w:r>
        <w:rPr>
          <w:rFonts w:hint="default" w:ascii="Times New Roman" w:hAnsi="Times New Roman" w:eastAsia="仿宋_GB2312" w:cs="Times New Roman"/>
          <w:kern w:val="2"/>
          <w:sz w:val="32"/>
          <w:szCs w:val="32"/>
          <w:highlight w:val="none"/>
          <w:lang w:val="en-US" w:eastAsia="zh-CN" w:bidi="ar-SA"/>
        </w:rPr>
        <w:t>万元，预算执行率为</w:t>
      </w:r>
      <w:r>
        <w:rPr>
          <w:rFonts w:hint="eastAsia" w:ascii="Times New Roman" w:hAnsi="Times New Roman" w:eastAsia="仿宋_GB2312" w:cs="Times New Roman"/>
          <w:kern w:val="2"/>
          <w:sz w:val="32"/>
          <w:szCs w:val="32"/>
          <w:highlight w:val="none"/>
          <w:lang w:val="en-US" w:eastAsia="zh-CN" w:bidi="ar-SA"/>
        </w:rPr>
        <w:t>100</w:t>
      </w:r>
      <w:r>
        <w:rPr>
          <w:rFonts w:hint="default" w:ascii="Times New Roman" w:hAnsi="Times New Roman" w:eastAsia="仿宋_GB2312" w:cs="Times New Roman"/>
          <w:kern w:val="2"/>
          <w:sz w:val="32"/>
          <w:szCs w:val="32"/>
          <w:highlight w:val="none"/>
          <w:lang w:val="en-US" w:eastAsia="zh-CN" w:bidi="ar-SA"/>
        </w:rPr>
        <w:t>%，项目绩效指标总体完成率为</w:t>
      </w:r>
      <w:r>
        <w:rPr>
          <w:rFonts w:hint="eastAsia" w:ascii="Times New Roman" w:hAnsi="Times New Roman" w:eastAsia="仿宋_GB2312" w:cs="Times New Roman"/>
          <w:kern w:val="2"/>
          <w:sz w:val="32"/>
          <w:szCs w:val="32"/>
          <w:highlight w:val="none"/>
          <w:lang w:val="en-US" w:eastAsia="zh-CN" w:bidi="ar-SA"/>
        </w:rPr>
        <w:t>100</w:t>
      </w:r>
      <w:r>
        <w:rPr>
          <w:rFonts w:hint="default"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Hans" w:bidi="ar-SA"/>
        </w:rPr>
        <w:t>总体</w:t>
      </w:r>
      <w:r>
        <w:rPr>
          <w:rFonts w:hint="default" w:ascii="Times New Roman" w:hAnsi="Times New Roman" w:eastAsia="仿宋_GB2312" w:cs="Times New Roman"/>
          <w:kern w:val="2"/>
          <w:sz w:val="32"/>
          <w:szCs w:val="32"/>
          <w:highlight w:val="none"/>
          <w:lang w:val="en-US" w:eastAsia="zh-CN" w:bidi="ar-SA"/>
        </w:rPr>
        <w:t>偏差率为</w:t>
      </w:r>
      <w:r>
        <w:rPr>
          <w:rFonts w:hint="eastAsia" w:ascii="Times New Roman" w:hAnsi="Times New Roman" w:eastAsia="仿宋_GB2312" w:cs="Times New Roman"/>
          <w:kern w:val="2"/>
          <w:sz w:val="32"/>
          <w:szCs w:val="32"/>
          <w:highlight w:val="none"/>
          <w:lang w:val="en-US" w:eastAsia="zh-CN" w:bidi="ar-SA"/>
        </w:rPr>
        <w:t>0</w:t>
      </w:r>
      <w:r>
        <w:rPr>
          <w:rFonts w:hint="default" w:ascii="Times New Roman" w:hAnsi="Times New Roman" w:eastAsia="仿宋_GB2312" w:cs="Times New Roman"/>
          <w:kern w:val="2"/>
          <w:sz w:val="32"/>
          <w:szCs w:val="32"/>
          <w:highlight w:val="none"/>
          <w:lang w:val="en-US" w:eastAsia="zh-CN" w:bidi="ar-SA"/>
        </w:rPr>
        <w:t>%。</w:t>
      </w:r>
    </w:p>
    <w:p w14:paraId="2519EAFE">
      <w:pPr>
        <w:spacing w:line="560" w:lineRule="exact"/>
        <w:ind w:firstLine="640" w:firstLineChars="200"/>
        <w:rPr>
          <w:rStyle w:val="18"/>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黑体" w:cs="Times New Roman"/>
          <w:sz w:val="32"/>
          <w:szCs w:val="32"/>
        </w:rPr>
        <w:t>主要经验及做法、存在的问题及原因分析</w:t>
      </w:r>
    </w:p>
    <w:p w14:paraId="5A3D277F">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14:paraId="6073B33F">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按照年初预算资金项目组织并实施，加强年初预算项目的管理，提高项目资金预算的准确性。县</w:t>
      </w:r>
      <w:r>
        <w:rPr>
          <w:rFonts w:hint="eastAsia" w:eastAsia="仿宋_GB2312" w:cs="Times New Roman"/>
          <w:sz w:val="32"/>
          <w:szCs w:val="32"/>
          <w:lang w:val="en-US" w:eastAsia="zh-CN"/>
        </w:rPr>
        <w:t>团委</w:t>
      </w:r>
      <w:r>
        <w:rPr>
          <w:rFonts w:hint="default" w:ascii="Times New Roman" w:hAnsi="Times New Roman" w:eastAsia="仿宋_GB2312" w:cs="Times New Roman"/>
          <w:sz w:val="32"/>
          <w:szCs w:val="32"/>
        </w:rPr>
        <w:t>按照《行政事业单位内部控制规范》《会计工作基础规范》的要求，并结合自身实际各办公室、各环节、各岗位内部控制制度，并确保制度能够长期有效的执行。项目支出方面，县妇联严格审查编制方案和执行政府采购程序，保证了项目资金使用的合规、有效。</w:t>
      </w:r>
    </w:p>
    <w:p w14:paraId="05522B7C">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481E7990">
      <w:pPr>
        <w:pStyle w:val="10"/>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严格坚持先做事、后验收、再拨付的原则，</w:t>
      </w:r>
      <w:r>
        <w:rPr>
          <w:rFonts w:hint="eastAsia" w:ascii="Times New Roman" w:hAnsi="Times New Roman" w:eastAsia="仿宋_GB2312" w:cs="Times New Roman"/>
          <w:b w:val="0"/>
          <w:bCs w:val="0"/>
          <w:kern w:val="2"/>
          <w:lang w:eastAsia="zh-CN"/>
        </w:rPr>
        <w:t>杜绝</w:t>
      </w:r>
      <w:r>
        <w:rPr>
          <w:rFonts w:hint="default" w:ascii="Times New Roman" w:hAnsi="Times New Roman" w:eastAsia="仿宋_GB2312" w:cs="Times New Roman"/>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7602B17F">
      <w:pPr>
        <w:keepNext/>
        <w:keepLines/>
        <w:numPr>
          <w:ilvl w:val="0"/>
          <w:numId w:val="5"/>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14:paraId="32C8B63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4CFD940E">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14:paraId="0B0ECAF3">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3</w:t>
      </w:r>
      <w:r>
        <w:rPr>
          <w:rFonts w:hint="eastAsia" w:ascii="仿宋_GB2312" w:hAnsi="仿宋_GB2312" w:eastAsia="仿宋_GB2312" w:cs="仿宋_GB2312"/>
          <w:sz w:val="32"/>
          <w:szCs w:val="32"/>
          <w:highlight w:val="none"/>
          <w:lang w:val="en-US" w:eastAsia="zh-CN"/>
        </w:rPr>
        <w:t>.项目管理制度不健全，制度执行有效性不强，对项目任务提前分解、落实，切实提高财政资金使用率。</w:t>
      </w:r>
    </w:p>
    <w:p w14:paraId="37EAAC54">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六、</w:t>
      </w:r>
      <w:r>
        <w:rPr>
          <w:rFonts w:hint="default" w:ascii="Times New Roman" w:hAnsi="Times New Roman" w:eastAsia="黑体" w:cs="Times New Roman"/>
          <w:sz w:val="32"/>
          <w:szCs w:val="32"/>
        </w:rPr>
        <w:t>有关建议</w:t>
      </w:r>
    </w:p>
    <w:p w14:paraId="501868B1">
      <w:pPr>
        <w:numPr>
          <w:ilvl w:val="0"/>
          <w:numId w:val="0"/>
        </w:num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14:paraId="7CF2E8E7">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14:paraId="6F92AEBD">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6CB59B9F">
      <w:pPr>
        <w:shd w:val="clear"/>
        <w:spacing w:line="600" w:lineRule="exact"/>
        <w:ind w:firstLine="640" w:firstLineChars="200"/>
        <w:outlineLvl w:val="0"/>
        <w:rPr>
          <w:rFonts w:hint="default" w:ascii="Times New Roman" w:hAnsi="Times New Roman" w:cs="Times New Roman"/>
          <w:sz w:val="22"/>
          <w:szCs w:val="28"/>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rPr>
        <w:t>。</w:t>
      </w:r>
    </w:p>
    <w:p w14:paraId="087381F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52B75EF1">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14:paraId="25C1CA91">
      <w:pPr>
        <w:pStyle w:val="13"/>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bookmarkStart w:id="3" w:name="_GoBack"/>
      <w:bookmarkEnd w:id="3"/>
    </w:p>
    <w:p w14:paraId="2A476D20">
      <w:pPr>
        <w:pStyle w:val="13"/>
        <w:spacing w:after="0" w:line="560" w:lineRule="exact"/>
        <w:ind w:left="0" w:leftChars="0" w:firstLine="640"/>
        <w:rPr>
          <w:rFonts w:hint="default" w:ascii="Times New Roman" w:hAnsi="Times New Roman" w:eastAsia="仿宋_GB2312" w:cs="Times New Roman"/>
          <w:sz w:val="32"/>
          <w:szCs w:val="32"/>
        </w:rPr>
      </w:pPr>
    </w:p>
    <w:p w14:paraId="299B5B0F">
      <w:pPr>
        <w:pStyle w:val="13"/>
        <w:spacing w:after="0" w:line="560" w:lineRule="exact"/>
        <w:ind w:left="0" w:leftChars="0" w:firstLine="640"/>
        <w:rPr>
          <w:rFonts w:hint="default" w:ascii="Times New Roman" w:hAnsi="Times New Roman" w:eastAsia="仿宋_GB2312" w:cs="Times New Roman"/>
          <w:sz w:val="32"/>
          <w:szCs w:val="32"/>
        </w:rPr>
      </w:pPr>
    </w:p>
    <w:p w14:paraId="611D1C11">
      <w:pPr>
        <w:pStyle w:val="13"/>
        <w:spacing w:after="0" w:line="560" w:lineRule="exact"/>
        <w:ind w:left="0" w:leftChars="0" w:firstLine="0" w:firstLineChars="0"/>
        <w:rPr>
          <w:rFonts w:hint="default" w:ascii="Times New Roman" w:hAnsi="Times New Roman" w:eastAsia="仿宋_GB2312" w:cs="Times New Roman"/>
          <w:sz w:val="32"/>
          <w:szCs w:val="32"/>
        </w:rPr>
      </w:pPr>
    </w:p>
    <w:p w14:paraId="5A58EA7A">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60126CE5">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14:paraId="2319DF26">
      <w:pPr>
        <w:pStyle w:val="19"/>
        <w:ind w:firstLine="562"/>
        <w:jc w:val="center"/>
        <w:rPr>
          <w:rFonts w:hint="eastAsia" w:ascii="仿宋_GB2312" w:hAnsi="仿宋_GB2312" w:eastAsia="仿宋_GB2312" w:cs="仿宋_GB2312"/>
          <w:sz w:val="28"/>
          <w:szCs w:val="40"/>
        </w:rPr>
      </w:pPr>
      <w:bookmarkStart w:id="1" w:name="_Toc26499_WPSOffice_Level2"/>
      <w:bookmarkStart w:id="2" w:name="_Toc30064_WPSOffice_Level1"/>
      <w:r>
        <w:rPr>
          <w:rFonts w:hint="eastAsia" w:ascii="仿宋_GB2312" w:hAnsi="仿宋_GB2312" w:eastAsia="仿宋_GB2312" w:cs="仿宋_GB2312"/>
          <w:b/>
          <w:bCs/>
          <w:sz w:val="28"/>
          <w:szCs w:val="40"/>
          <w:lang w:val="en-US" w:eastAsia="zh-CN"/>
        </w:rPr>
        <w:t>2024年大学生志愿者服务西部计划中央补助资金</w:t>
      </w:r>
      <w:r>
        <w:rPr>
          <w:rFonts w:hint="eastAsia" w:ascii="仿宋_GB2312" w:hAnsi="仿宋_GB2312" w:eastAsia="仿宋_GB2312" w:cs="仿宋_GB2312"/>
          <w:b/>
          <w:bCs/>
          <w:sz w:val="28"/>
          <w:szCs w:val="40"/>
        </w:rPr>
        <w:t>项目绩效评价指标体系及综合评分表</w:t>
      </w:r>
      <w:bookmarkEnd w:id="1"/>
      <w:bookmarkEnd w:id="2"/>
    </w:p>
    <w:tbl>
      <w:tblPr>
        <w:tblStyle w:val="14"/>
        <w:tblpPr w:leftFromText="180" w:rightFromText="180" w:vertAnchor="text" w:horzAnchor="page" w:tblpX="1647" w:tblpY="522"/>
        <w:tblOverlap w:val="never"/>
        <w:tblW w:w="12683"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2482"/>
        <w:gridCol w:w="5130"/>
        <w:gridCol w:w="1035"/>
        <w:gridCol w:w="963"/>
      </w:tblGrid>
      <w:tr w14:paraId="44841F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trPr>
        <w:tc>
          <w:tcPr>
            <w:tcW w:w="1002" w:type="dxa"/>
            <w:shd w:val="clear" w:color="auto" w:fill="FFFFFF"/>
            <w:vAlign w:val="center"/>
          </w:tcPr>
          <w:p w14:paraId="6FAFEE37">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一级指标</w:t>
            </w:r>
          </w:p>
        </w:tc>
        <w:tc>
          <w:tcPr>
            <w:tcW w:w="1000" w:type="dxa"/>
            <w:shd w:val="clear" w:color="auto" w:fill="FFFFFF"/>
            <w:vAlign w:val="center"/>
          </w:tcPr>
          <w:p w14:paraId="7170485E">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二级指标</w:t>
            </w:r>
          </w:p>
        </w:tc>
        <w:tc>
          <w:tcPr>
            <w:tcW w:w="1071" w:type="dxa"/>
            <w:shd w:val="clear" w:color="auto" w:fill="FFFFFF"/>
            <w:vAlign w:val="center"/>
          </w:tcPr>
          <w:p w14:paraId="14922567">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三级指标</w:t>
            </w:r>
          </w:p>
        </w:tc>
        <w:tc>
          <w:tcPr>
            <w:tcW w:w="2482" w:type="dxa"/>
            <w:shd w:val="clear" w:color="auto" w:fill="FFFFFF"/>
            <w:vAlign w:val="center"/>
          </w:tcPr>
          <w:p w14:paraId="6A6A560A">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指标解释</w:t>
            </w:r>
          </w:p>
        </w:tc>
        <w:tc>
          <w:tcPr>
            <w:tcW w:w="5130" w:type="dxa"/>
            <w:shd w:val="clear" w:color="auto" w:fill="FFFFFF"/>
            <w:vAlign w:val="center"/>
          </w:tcPr>
          <w:p w14:paraId="05FA8462">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指标说明</w:t>
            </w:r>
          </w:p>
        </w:tc>
        <w:tc>
          <w:tcPr>
            <w:tcW w:w="1035" w:type="dxa"/>
            <w:shd w:val="clear" w:color="auto" w:fill="FFFFFF"/>
            <w:vAlign w:val="center"/>
          </w:tcPr>
          <w:p w14:paraId="43E51E57">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权重</w:t>
            </w:r>
          </w:p>
        </w:tc>
        <w:tc>
          <w:tcPr>
            <w:tcW w:w="963" w:type="dxa"/>
            <w:shd w:val="clear" w:color="auto" w:fill="FFFFFF"/>
            <w:vAlign w:val="center"/>
          </w:tcPr>
          <w:p w14:paraId="20704DEF">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得分</w:t>
            </w:r>
          </w:p>
        </w:tc>
      </w:tr>
      <w:tr w14:paraId="60FF4E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44" w:hRule="atLeast"/>
        </w:trPr>
        <w:tc>
          <w:tcPr>
            <w:tcW w:w="1002" w:type="dxa"/>
            <w:vMerge w:val="restart"/>
            <w:shd w:val="clear" w:color="auto" w:fill="FFFFFF"/>
            <w:vAlign w:val="center"/>
          </w:tcPr>
          <w:p w14:paraId="19138FA1">
            <w:pPr>
              <w:widowControl/>
              <w:spacing w:line="0" w:lineRule="atLeast"/>
              <w:jc w:val="center"/>
              <w:rPr>
                <w:rFonts w:hint="default" w:ascii="Times New Roman" w:hAnsi="Times New Roman" w:eastAsia="仿宋_GB2312" w:cs="Times New Roman"/>
                <w:color w:val="auto"/>
                <w:kern w:val="0"/>
                <w:sz w:val="18"/>
                <w:szCs w:val="18"/>
              </w:rPr>
            </w:pPr>
          </w:p>
          <w:p w14:paraId="5AB49CD2">
            <w:pPr>
              <w:widowControl/>
              <w:spacing w:line="0" w:lineRule="atLeast"/>
              <w:jc w:val="center"/>
              <w:rPr>
                <w:rFonts w:hint="default" w:ascii="Times New Roman" w:hAnsi="Times New Roman" w:eastAsia="仿宋_GB2312" w:cs="Times New Roman"/>
                <w:color w:val="auto"/>
                <w:kern w:val="0"/>
                <w:sz w:val="18"/>
                <w:szCs w:val="18"/>
              </w:rPr>
            </w:pPr>
          </w:p>
          <w:p w14:paraId="443A9899">
            <w:pPr>
              <w:widowControl/>
              <w:spacing w:line="0" w:lineRule="atLeast"/>
              <w:jc w:val="center"/>
              <w:rPr>
                <w:rFonts w:hint="default" w:ascii="Times New Roman" w:hAnsi="Times New Roman" w:eastAsia="仿宋_GB2312" w:cs="Times New Roman"/>
                <w:color w:val="auto"/>
                <w:kern w:val="0"/>
                <w:sz w:val="18"/>
                <w:szCs w:val="18"/>
              </w:rPr>
            </w:pPr>
          </w:p>
          <w:p w14:paraId="0BDAE427">
            <w:pPr>
              <w:widowControl/>
              <w:spacing w:line="0" w:lineRule="atLeast"/>
              <w:jc w:val="center"/>
              <w:rPr>
                <w:rFonts w:hint="default" w:ascii="Times New Roman" w:hAnsi="Times New Roman" w:eastAsia="仿宋_GB2312" w:cs="Times New Roman"/>
                <w:color w:val="auto"/>
                <w:kern w:val="0"/>
                <w:sz w:val="18"/>
                <w:szCs w:val="18"/>
              </w:rPr>
            </w:pPr>
          </w:p>
          <w:p w14:paraId="4D7ADABA">
            <w:pPr>
              <w:widowControl/>
              <w:spacing w:line="0" w:lineRule="atLeast"/>
              <w:jc w:val="center"/>
              <w:rPr>
                <w:rFonts w:hint="default" w:ascii="Times New Roman" w:hAnsi="Times New Roman" w:eastAsia="仿宋_GB2312" w:cs="Times New Roman"/>
                <w:color w:val="auto"/>
                <w:kern w:val="0"/>
                <w:sz w:val="18"/>
                <w:szCs w:val="18"/>
              </w:rPr>
            </w:pPr>
          </w:p>
          <w:p w14:paraId="21039245">
            <w:pPr>
              <w:widowControl/>
              <w:spacing w:line="0" w:lineRule="atLeast"/>
              <w:jc w:val="center"/>
              <w:rPr>
                <w:rFonts w:hint="default" w:ascii="Times New Roman" w:hAnsi="Times New Roman" w:eastAsia="仿宋_GB2312" w:cs="Times New Roman"/>
                <w:color w:val="auto"/>
                <w:kern w:val="0"/>
                <w:sz w:val="18"/>
                <w:szCs w:val="18"/>
              </w:rPr>
            </w:pPr>
          </w:p>
          <w:p w14:paraId="6BE17084">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决策　</w:t>
            </w:r>
          </w:p>
        </w:tc>
        <w:tc>
          <w:tcPr>
            <w:tcW w:w="1000" w:type="dxa"/>
            <w:vMerge w:val="restart"/>
            <w:shd w:val="clear" w:color="auto" w:fill="FFFFFF"/>
            <w:vAlign w:val="center"/>
          </w:tcPr>
          <w:p w14:paraId="215574E9">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项目立项　</w:t>
            </w:r>
          </w:p>
        </w:tc>
        <w:tc>
          <w:tcPr>
            <w:tcW w:w="1071" w:type="dxa"/>
            <w:shd w:val="clear" w:color="auto" w:fill="FFFFFF"/>
            <w:vAlign w:val="center"/>
          </w:tcPr>
          <w:p w14:paraId="5FFB87D0">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立项依据</w:t>
            </w:r>
          </w:p>
          <w:p w14:paraId="718878AE">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充分性</w:t>
            </w:r>
          </w:p>
        </w:tc>
        <w:tc>
          <w:tcPr>
            <w:tcW w:w="2482" w:type="dxa"/>
            <w:shd w:val="clear" w:color="auto" w:fill="FFFFFF"/>
            <w:vAlign w:val="center"/>
          </w:tcPr>
          <w:p w14:paraId="242B62B7">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项目立项是否符合法律法规、相关政策、发展规划以及部门职责，用以反映和考核项目立项依据情况。</w:t>
            </w:r>
          </w:p>
        </w:tc>
        <w:tc>
          <w:tcPr>
            <w:tcW w:w="5130" w:type="dxa"/>
            <w:shd w:val="clear" w:color="auto" w:fill="FFFFFF"/>
            <w:vAlign w:val="center"/>
          </w:tcPr>
          <w:p w14:paraId="52C25CB9">
            <w:pPr>
              <w:widowControl/>
              <w:spacing w:line="0" w:lineRule="atLeast"/>
              <w:jc w:val="lef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①项目立项是否符合国家法律法规、国民经济发展规划和相关政策；</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②项目立项是否符合行业发展规划和政策要求；</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③项目立项是否与部门职责范围相符，属于部门履职所需；</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④项目是否属于公共财政支持范围，是否符合中央、地方事权支出责任划分原则；</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⑤项目是否与相关部门同类项目或部门内部相关项目重复。</w:t>
            </w:r>
          </w:p>
        </w:tc>
        <w:tc>
          <w:tcPr>
            <w:tcW w:w="1035" w:type="dxa"/>
            <w:shd w:val="clear" w:color="auto" w:fill="FFFFFF"/>
            <w:vAlign w:val="center"/>
          </w:tcPr>
          <w:p w14:paraId="3FF754F5">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3</w:t>
            </w:r>
          </w:p>
        </w:tc>
        <w:tc>
          <w:tcPr>
            <w:tcW w:w="963" w:type="dxa"/>
            <w:shd w:val="clear" w:color="auto" w:fill="FFFFFF"/>
            <w:vAlign w:val="center"/>
          </w:tcPr>
          <w:p w14:paraId="2CF40F9C">
            <w:pPr>
              <w:widowControl/>
              <w:spacing w:line="0" w:lineRule="atLeast"/>
              <w:jc w:val="center"/>
              <w:rPr>
                <w:rFonts w:hint="eastAsia" w:ascii="Times New Roman" w:hAnsi="Times New Roman" w:eastAsia="仿宋_GB2312" w:cs="Times New Roman"/>
                <w:b/>
                <w:bCs/>
                <w:color w:val="auto"/>
                <w:kern w:val="0"/>
                <w:sz w:val="18"/>
                <w:szCs w:val="18"/>
                <w:lang w:eastAsia="zh-CN"/>
              </w:rPr>
            </w:pPr>
            <w:r>
              <w:rPr>
                <w:rFonts w:hint="eastAsia" w:eastAsia="仿宋_GB2312" w:cs="Times New Roman"/>
                <w:b/>
                <w:bCs/>
                <w:color w:val="auto"/>
                <w:kern w:val="0"/>
                <w:sz w:val="18"/>
                <w:szCs w:val="18"/>
                <w:highlight w:val="none"/>
                <w:lang w:val="en-US" w:eastAsia="zh-CN"/>
              </w:rPr>
              <w:t>3</w:t>
            </w:r>
          </w:p>
        </w:tc>
      </w:tr>
      <w:tr w14:paraId="5D9EED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trPr>
        <w:tc>
          <w:tcPr>
            <w:tcW w:w="1002" w:type="dxa"/>
            <w:vMerge w:val="continue"/>
            <w:shd w:val="clear" w:color="auto" w:fill="FFFFFF"/>
            <w:vAlign w:val="center"/>
          </w:tcPr>
          <w:p w14:paraId="3B46EDB7">
            <w:pPr>
              <w:spacing w:line="0" w:lineRule="atLeast"/>
              <w:jc w:val="center"/>
              <w:rPr>
                <w:rFonts w:hint="default" w:ascii="Times New Roman" w:hAnsi="Times New Roman" w:eastAsia="仿宋_GB2312" w:cs="Times New Roman"/>
                <w:color w:val="auto"/>
                <w:kern w:val="0"/>
                <w:sz w:val="18"/>
                <w:szCs w:val="18"/>
              </w:rPr>
            </w:pPr>
          </w:p>
        </w:tc>
        <w:tc>
          <w:tcPr>
            <w:tcW w:w="1000" w:type="dxa"/>
            <w:vMerge w:val="continue"/>
            <w:shd w:val="clear" w:color="auto" w:fill="FFFFFF"/>
            <w:vAlign w:val="center"/>
          </w:tcPr>
          <w:p w14:paraId="3962F454">
            <w:pPr>
              <w:widowControl/>
              <w:spacing w:line="0" w:lineRule="atLeast"/>
              <w:jc w:val="center"/>
              <w:rPr>
                <w:rFonts w:hint="default" w:ascii="Times New Roman" w:hAnsi="Times New Roman" w:eastAsia="仿宋_GB2312" w:cs="Times New Roman"/>
                <w:color w:val="auto"/>
                <w:kern w:val="0"/>
                <w:sz w:val="18"/>
                <w:szCs w:val="18"/>
              </w:rPr>
            </w:pPr>
          </w:p>
        </w:tc>
        <w:tc>
          <w:tcPr>
            <w:tcW w:w="1071" w:type="dxa"/>
            <w:shd w:val="clear" w:color="auto" w:fill="FFFFFF"/>
            <w:vAlign w:val="center"/>
          </w:tcPr>
          <w:p w14:paraId="7A60D0B6">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立项程序</w:t>
            </w:r>
          </w:p>
          <w:p w14:paraId="50410029">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规范性</w:t>
            </w:r>
          </w:p>
        </w:tc>
        <w:tc>
          <w:tcPr>
            <w:tcW w:w="2482" w:type="dxa"/>
            <w:shd w:val="clear" w:color="auto" w:fill="FFFFFF"/>
            <w:vAlign w:val="center"/>
          </w:tcPr>
          <w:p w14:paraId="739CED3A">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项目申请、设立过程是否符合相关要求，用以反映和考核项目立项的规范情况。</w:t>
            </w:r>
          </w:p>
        </w:tc>
        <w:tc>
          <w:tcPr>
            <w:tcW w:w="5130" w:type="dxa"/>
            <w:shd w:val="clear" w:color="auto" w:fill="FFFFFF"/>
            <w:vAlign w:val="center"/>
          </w:tcPr>
          <w:p w14:paraId="09E5C333">
            <w:pPr>
              <w:widowControl/>
              <w:spacing w:line="0" w:lineRule="atLeast"/>
              <w:jc w:val="lef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①项目是否按照规定的程序申请设立；</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②审批文件、材料是否符合相关要求；</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③事前是否已经过必要的可行性研究、专家论证、风险评估、绩效评估、集体决策。</w:t>
            </w:r>
          </w:p>
        </w:tc>
        <w:tc>
          <w:tcPr>
            <w:tcW w:w="1035" w:type="dxa"/>
            <w:shd w:val="clear" w:color="auto" w:fill="FFFFFF"/>
            <w:vAlign w:val="center"/>
          </w:tcPr>
          <w:p w14:paraId="3451EA63">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3</w:t>
            </w:r>
          </w:p>
        </w:tc>
        <w:tc>
          <w:tcPr>
            <w:tcW w:w="963" w:type="dxa"/>
            <w:shd w:val="clear" w:color="auto" w:fill="FFFFFF"/>
            <w:vAlign w:val="center"/>
          </w:tcPr>
          <w:p w14:paraId="4E8DEA96">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14:paraId="5E056F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trPr>
        <w:tc>
          <w:tcPr>
            <w:tcW w:w="1002" w:type="dxa"/>
            <w:vMerge w:val="continue"/>
            <w:shd w:val="clear" w:color="auto" w:fill="FFFFFF"/>
            <w:vAlign w:val="center"/>
          </w:tcPr>
          <w:p w14:paraId="555021A2">
            <w:pPr>
              <w:spacing w:line="0" w:lineRule="atLeast"/>
              <w:jc w:val="center"/>
              <w:rPr>
                <w:rFonts w:hint="default" w:ascii="Times New Roman" w:hAnsi="Times New Roman" w:eastAsia="仿宋_GB2312" w:cs="Times New Roman"/>
                <w:color w:val="auto"/>
                <w:kern w:val="0"/>
                <w:sz w:val="18"/>
                <w:szCs w:val="18"/>
              </w:rPr>
            </w:pPr>
          </w:p>
        </w:tc>
        <w:tc>
          <w:tcPr>
            <w:tcW w:w="1000" w:type="dxa"/>
            <w:vMerge w:val="restart"/>
            <w:shd w:val="clear" w:color="auto" w:fill="FFFFFF"/>
            <w:vAlign w:val="center"/>
          </w:tcPr>
          <w:p w14:paraId="112AE1C0">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绩效目标　</w:t>
            </w:r>
          </w:p>
        </w:tc>
        <w:tc>
          <w:tcPr>
            <w:tcW w:w="1071" w:type="dxa"/>
            <w:shd w:val="clear" w:color="auto" w:fill="FFFFFF"/>
            <w:vAlign w:val="center"/>
          </w:tcPr>
          <w:p w14:paraId="052FBE8F">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绩效目标</w:t>
            </w:r>
          </w:p>
          <w:p w14:paraId="3926D168">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合理性</w:t>
            </w:r>
          </w:p>
        </w:tc>
        <w:tc>
          <w:tcPr>
            <w:tcW w:w="2482" w:type="dxa"/>
            <w:shd w:val="clear" w:color="000000" w:fill="FFFFFF"/>
            <w:vAlign w:val="center"/>
          </w:tcPr>
          <w:p w14:paraId="58D1DEF3">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项目所设定的绩效目标是否依据充分，是否符合客观实际，用以反映和考核项目绩效目标与项目实施的相符情况。</w:t>
            </w:r>
          </w:p>
        </w:tc>
        <w:tc>
          <w:tcPr>
            <w:tcW w:w="5130" w:type="dxa"/>
            <w:shd w:val="clear" w:color="000000" w:fill="FFFFFF"/>
            <w:vAlign w:val="center"/>
          </w:tcPr>
          <w:p w14:paraId="050183E4">
            <w:pPr>
              <w:widowControl/>
              <w:spacing w:line="0" w:lineRule="atLeast"/>
              <w:jc w:val="lef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（如未设定预算绩效目标，也可考核其他工作任务目标）</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①项目是否有绩效目标；</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②项目绩效目标与实际工作内容是否具有相关性；</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③项目预期产出效益和效果是否符合正常的业绩水平；</w:t>
            </w:r>
          </w:p>
          <w:p w14:paraId="7E1883E1">
            <w:pPr>
              <w:widowControl/>
              <w:spacing w:line="0" w:lineRule="atLeast"/>
              <w:jc w:val="lef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④是否与预算确定的项目投资额或资金量相匹配。</w:t>
            </w:r>
          </w:p>
        </w:tc>
        <w:tc>
          <w:tcPr>
            <w:tcW w:w="1035" w:type="dxa"/>
            <w:shd w:val="clear" w:color="000000" w:fill="FFFFFF"/>
            <w:vAlign w:val="center"/>
          </w:tcPr>
          <w:p w14:paraId="6FF510C9">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3</w:t>
            </w:r>
          </w:p>
        </w:tc>
        <w:tc>
          <w:tcPr>
            <w:tcW w:w="963" w:type="dxa"/>
            <w:shd w:val="clear" w:color="000000" w:fill="FFFFFF"/>
            <w:vAlign w:val="center"/>
          </w:tcPr>
          <w:p w14:paraId="4D00E674">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14:paraId="482FBA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85" w:hRule="atLeast"/>
        </w:trPr>
        <w:tc>
          <w:tcPr>
            <w:tcW w:w="1002" w:type="dxa"/>
            <w:vMerge w:val="continue"/>
            <w:shd w:val="clear" w:color="auto" w:fill="FFFFFF"/>
            <w:vAlign w:val="center"/>
          </w:tcPr>
          <w:p w14:paraId="6CDA9401">
            <w:pPr>
              <w:widowControl/>
              <w:spacing w:line="0" w:lineRule="atLeast"/>
              <w:jc w:val="center"/>
              <w:rPr>
                <w:rFonts w:hint="default" w:ascii="Times New Roman" w:hAnsi="Times New Roman" w:eastAsia="仿宋_GB2312" w:cs="Times New Roman"/>
                <w:color w:val="auto"/>
                <w:kern w:val="0"/>
                <w:sz w:val="18"/>
                <w:szCs w:val="18"/>
              </w:rPr>
            </w:pPr>
          </w:p>
        </w:tc>
        <w:tc>
          <w:tcPr>
            <w:tcW w:w="1000" w:type="dxa"/>
            <w:vMerge w:val="continue"/>
            <w:shd w:val="clear" w:color="auto" w:fill="FFFFFF"/>
            <w:vAlign w:val="center"/>
          </w:tcPr>
          <w:p w14:paraId="69AC9482">
            <w:pPr>
              <w:widowControl/>
              <w:spacing w:line="0" w:lineRule="atLeast"/>
              <w:jc w:val="center"/>
              <w:rPr>
                <w:rFonts w:hint="default" w:ascii="Times New Roman" w:hAnsi="Times New Roman" w:eastAsia="仿宋_GB2312" w:cs="Times New Roman"/>
                <w:color w:val="auto"/>
                <w:kern w:val="0"/>
                <w:sz w:val="18"/>
                <w:szCs w:val="18"/>
              </w:rPr>
            </w:pPr>
          </w:p>
        </w:tc>
        <w:tc>
          <w:tcPr>
            <w:tcW w:w="1071" w:type="dxa"/>
            <w:shd w:val="clear" w:color="auto" w:fill="FFFFFF"/>
            <w:vAlign w:val="center"/>
          </w:tcPr>
          <w:p w14:paraId="5B898DED">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绩效指标</w:t>
            </w:r>
          </w:p>
          <w:p w14:paraId="11C24EDD">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明确性</w:t>
            </w:r>
          </w:p>
        </w:tc>
        <w:tc>
          <w:tcPr>
            <w:tcW w:w="2482" w:type="dxa"/>
            <w:shd w:val="clear" w:color="000000" w:fill="FFFFFF"/>
            <w:vAlign w:val="center"/>
          </w:tcPr>
          <w:p w14:paraId="47EEC30C">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依据绩效目标设定的绩效指标是否清晰、细化、可衡量等，用以反映和考核项目绩效目标的明细化情况。</w:t>
            </w:r>
          </w:p>
        </w:tc>
        <w:tc>
          <w:tcPr>
            <w:tcW w:w="5130" w:type="dxa"/>
            <w:shd w:val="clear" w:color="000000" w:fill="FFFFFF"/>
            <w:vAlign w:val="center"/>
          </w:tcPr>
          <w:p w14:paraId="783E2C7B">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①是否将项目绩效目标细化分解为具体的绩效指标；</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②是否通过清晰、可衡量的指标值予以体现；</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③是否与项目目标任务数或计划数相对应。</w:t>
            </w:r>
          </w:p>
        </w:tc>
        <w:tc>
          <w:tcPr>
            <w:tcW w:w="1035" w:type="dxa"/>
            <w:shd w:val="clear" w:color="000000" w:fill="FFFFFF"/>
            <w:vAlign w:val="center"/>
          </w:tcPr>
          <w:p w14:paraId="20E519C5">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3</w:t>
            </w:r>
          </w:p>
        </w:tc>
        <w:tc>
          <w:tcPr>
            <w:tcW w:w="963" w:type="dxa"/>
            <w:shd w:val="clear" w:color="000000" w:fill="FFFFFF"/>
            <w:vAlign w:val="center"/>
          </w:tcPr>
          <w:p w14:paraId="4138F320">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14:paraId="0E8C6C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2" w:hRule="atLeast"/>
        </w:trPr>
        <w:tc>
          <w:tcPr>
            <w:tcW w:w="1002" w:type="dxa"/>
            <w:vMerge w:val="continue"/>
            <w:shd w:val="clear" w:color="auto" w:fill="FFFFFF"/>
            <w:vAlign w:val="center"/>
          </w:tcPr>
          <w:p w14:paraId="7BE087C2">
            <w:pPr>
              <w:spacing w:line="0" w:lineRule="atLeast"/>
              <w:jc w:val="center"/>
              <w:rPr>
                <w:rFonts w:hint="default" w:ascii="Times New Roman" w:hAnsi="Times New Roman" w:eastAsia="仿宋_GB2312" w:cs="Times New Roman"/>
                <w:color w:val="auto"/>
                <w:kern w:val="0"/>
                <w:sz w:val="18"/>
                <w:szCs w:val="18"/>
              </w:rPr>
            </w:pPr>
          </w:p>
        </w:tc>
        <w:tc>
          <w:tcPr>
            <w:tcW w:w="1000" w:type="dxa"/>
            <w:vMerge w:val="restart"/>
            <w:shd w:val="clear" w:color="auto" w:fill="FFFFFF"/>
            <w:vAlign w:val="center"/>
          </w:tcPr>
          <w:p w14:paraId="70992FD9">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资金投入</w:t>
            </w:r>
          </w:p>
          <w:p w14:paraId="09446852">
            <w:pPr>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　</w:t>
            </w:r>
          </w:p>
        </w:tc>
        <w:tc>
          <w:tcPr>
            <w:tcW w:w="1071" w:type="dxa"/>
            <w:shd w:val="clear" w:color="auto" w:fill="FFFFFF"/>
            <w:vAlign w:val="center"/>
          </w:tcPr>
          <w:p w14:paraId="07A0344C">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预算编制</w:t>
            </w:r>
          </w:p>
          <w:p w14:paraId="5A58D32B">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科学性</w:t>
            </w:r>
          </w:p>
        </w:tc>
        <w:tc>
          <w:tcPr>
            <w:tcW w:w="2482" w:type="dxa"/>
            <w:shd w:val="clear" w:color="auto" w:fill="FFFFFF"/>
            <w:vAlign w:val="center"/>
          </w:tcPr>
          <w:p w14:paraId="4228248F">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项目预算编制是否经过科学论证、有明确标准，资金额度与年度目标是否相适应，用以反映和考核项目预算编制的科学性、合理性情况。</w:t>
            </w:r>
          </w:p>
        </w:tc>
        <w:tc>
          <w:tcPr>
            <w:tcW w:w="5130" w:type="dxa"/>
            <w:shd w:val="clear" w:color="auto" w:fill="FFFFFF"/>
            <w:vAlign w:val="center"/>
          </w:tcPr>
          <w:p w14:paraId="02D6C9CA">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①预算编制是否经过科学论证；</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②预算内容与项目内容是否匹配；</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③预算额度测算依据是否充分，是否按照标准编制；</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④预算确定的项目投资额或资金量是否与工作任务相匹配。</w:t>
            </w:r>
          </w:p>
        </w:tc>
        <w:tc>
          <w:tcPr>
            <w:tcW w:w="1035" w:type="dxa"/>
            <w:shd w:val="clear" w:color="auto" w:fill="FFFFFF"/>
            <w:vAlign w:val="center"/>
          </w:tcPr>
          <w:p w14:paraId="390EBDE1">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4</w:t>
            </w:r>
          </w:p>
        </w:tc>
        <w:tc>
          <w:tcPr>
            <w:tcW w:w="963" w:type="dxa"/>
            <w:shd w:val="clear" w:color="auto" w:fill="FFFFFF"/>
            <w:vAlign w:val="center"/>
          </w:tcPr>
          <w:p w14:paraId="6F6C6DAD">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0D4298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16" w:hRule="atLeast"/>
        </w:trPr>
        <w:tc>
          <w:tcPr>
            <w:tcW w:w="1002" w:type="dxa"/>
            <w:vMerge w:val="continue"/>
            <w:shd w:val="clear" w:color="auto" w:fill="FFFFFF"/>
            <w:vAlign w:val="center"/>
          </w:tcPr>
          <w:p w14:paraId="393F3301">
            <w:pPr>
              <w:widowControl/>
              <w:spacing w:line="0" w:lineRule="atLeast"/>
              <w:jc w:val="center"/>
              <w:rPr>
                <w:rFonts w:hint="default" w:ascii="Times New Roman" w:hAnsi="Times New Roman" w:eastAsia="仿宋_GB2312" w:cs="Times New Roman"/>
                <w:color w:val="auto"/>
                <w:kern w:val="0"/>
                <w:sz w:val="18"/>
                <w:szCs w:val="18"/>
              </w:rPr>
            </w:pPr>
          </w:p>
        </w:tc>
        <w:tc>
          <w:tcPr>
            <w:tcW w:w="1000" w:type="dxa"/>
            <w:vMerge w:val="continue"/>
            <w:shd w:val="clear" w:color="auto" w:fill="FFFFFF"/>
            <w:vAlign w:val="center"/>
          </w:tcPr>
          <w:p w14:paraId="2C340A36">
            <w:pPr>
              <w:widowControl/>
              <w:spacing w:line="0" w:lineRule="atLeast"/>
              <w:jc w:val="center"/>
              <w:rPr>
                <w:rFonts w:hint="default" w:ascii="Times New Roman" w:hAnsi="Times New Roman" w:eastAsia="仿宋_GB2312" w:cs="Times New Roman"/>
                <w:color w:val="auto"/>
                <w:kern w:val="0"/>
                <w:sz w:val="18"/>
                <w:szCs w:val="18"/>
              </w:rPr>
            </w:pPr>
          </w:p>
        </w:tc>
        <w:tc>
          <w:tcPr>
            <w:tcW w:w="1071" w:type="dxa"/>
            <w:shd w:val="clear" w:color="auto" w:fill="FFFFFF"/>
            <w:vAlign w:val="center"/>
          </w:tcPr>
          <w:p w14:paraId="2D4E047B">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资金分配</w:t>
            </w:r>
          </w:p>
          <w:p w14:paraId="05C4C4D9">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合理性</w:t>
            </w:r>
          </w:p>
        </w:tc>
        <w:tc>
          <w:tcPr>
            <w:tcW w:w="2482" w:type="dxa"/>
            <w:shd w:val="clear" w:color="auto" w:fill="FFFFFF"/>
            <w:vAlign w:val="center"/>
          </w:tcPr>
          <w:p w14:paraId="52AFB86C">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项目预算资金分配是否有测算依据，与补助单位或地方实际是否相适应，用以反映和考核项目预算资金分配的科学性、合理性情况。</w:t>
            </w:r>
          </w:p>
        </w:tc>
        <w:tc>
          <w:tcPr>
            <w:tcW w:w="5130" w:type="dxa"/>
            <w:shd w:val="clear" w:color="auto" w:fill="FFFFFF"/>
            <w:vAlign w:val="center"/>
          </w:tcPr>
          <w:p w14:paraId="047CC4BC">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①预算资金分配依据是否充分；</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②资金分配额度是否合理，与项目单位或地方实际是否相适应。</w:t>
            </w:r>
          </w:p>
        </w:tc>
        <w:tc>
          <w:tcPr>
            <w:tcW w:w="1035" w:type="dxa"/>
            <w:shd w:val="clear" w:color="auto" w:fill="FFFFFF"/>
            <w:vAlign w:val="center"/>
          </w:tcPr>
          <w:p w14:paraId="6AC35721">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4</w:t>
            </w:r>
          </w:p>
        </w:tc>
        <w:tc>
          <w:tcPr>
            <w:tcW w:w="963" w:type="dxa"/>
            <w:shd w:val="clear" w:color="auto" w:fill="FFFFFF"/>
            <w:vAlign w:val="center"/>
          </w:tcPr>
          <w:p w14:paraId="31F425D9">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630C51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20" w:hRule="atLeast"/>
        </w:trPr>
        <w:tc>
          <w:tcPr>
            <w:tcW w:w="1002" w:type="dxa"/>
            <w:vMerge w:val="restart"/>
            <w:shd w:val="clear" w:color="auto" w:fill="FFFFFF"/>
            <w:vAlign w:val="center"/>
          </w:tcPr>
          <w:p w14:paraId="5D3C389F">
            <w:pPr>
              <w:spacing w:line="0" w:lineRule="atLeast"/>
              <w:jc w:val="center"/>
              <w:rPr>
                <w:rFonts w:hint="default" w:ascii="Times New Roman" w:hAnsi="Times New Roman" w:eastAsia="仿宋_GB2312" w:cs="Times New Roman"/>
                <w:color w:val="auto"/>
                <w:kern w:val="0"/>
                <w:sz w:val="18"/>
                <w:szCs w:val="18"/>
              </w:rPr>
            </w:pPr>
          </w:p>
          <w:p w14:paraId="07904ADF">
            <w:pPr>
              <w:spacing w:line="0" w:lineRule="atLeast"/>
              <w:jc w:val="center"/>
              <w:rPr>
                <w:rFonts w:hint="default" w:ascii="Times New Roman" w:hAnsi="Times New Roman" w:eastAsia="仿宋_GB2312" w:cs="Times New Roman"/>
                <w:color w:val="auto"/>
                <w:kern w:val="0"/>
                <w:sz w:val="18"/>
                <w:szCs w:val="18"/>
              </w:rPr>
            </w:pPr>
          </w:p>
          <w:p w14:paraId="09C38975">
            <w:pPr>
              <w:spacing w:line="0" w:lineRule="atLeast"/>
              <w:jc w:val="center"/>
              <w:rPr>
                <w:rFonts w:hint="default" w:ascii="Times New Roman" w:hAnsi="Times New Roman" w:eastAsia="仿宋_GB2312" w:cs="Times New Roman"/>
                <w:color w:val="auto"/>
                <w:kern w:val="0"/>
                <w:sz w:val="18"/>
                <w:szCs w:val="18"/>
              </w:rPr>
            </w:pPr>
          </w:p>
          <w:p w14:paraId="55449F24">
            <w:pPr>
              <w:spacing w:line="0" w:lineRule="atLeast"/>
              <w:jc w:val="center"/>
              <w:rPr>
                <w:rFonts w:hint="default" w:ascii="Times New Roman" w:hAnsi="Times New Roman" w:eastAsia="仿宋_GB2312" w:cs="Times New Roman"/>
                <w:color w:val="auto"/>
                <w:kern w:val="0"/>
                <w:sz w:val="18"/>
                <w:szCs w:val="18"/>
              </w:rPr>
            </w:pPr>
          </w:p>
          <w:p w14:paraId="1CC65C5C">
            <w:pPr>
              <w:spacing w:line="0" w:lineRule="atLeast"/>
              <w:jc w:val="center"/>
              <w:rPr>
                <w:rFonts w:hint="default" w:ascii="Times New Roman" w:hAnsi="Times New Roman" w:eastAsia="仿宋_GB2312" w:cs="Times New Roman"/>
                <w:color w:val="auto"/>
                <w:kern w:val="0"/>
                <w:sz w:val="18"/>
                <w:szCs w:val="18"/>
              </w:rPr>
            </w:pPr>
          </w:p>
          <w:p w14:paraId="7AAA4B39">
            <w:pPr>
              <w:spacing w:line="0" w:lineRule="atLeast"/>
              <w:jc w:val="center"/>
              <w:rPr>
                <w:rFonts w:hint="default" w:ascii="Times New Roman" w:hAnsi="Times New Roman" w:eastAsia="仿宋_GB2312" w:cs="Times New Roman"/>
                <w:color w:val="auto"/>
                <w:kern w:val="0"/>
                <w:sz w:val="18"/>
                <w:szCs w:val="18"/>
              </w:rPr>
            </w:pPr>
          </w:p>
          <w:p w14:paraId="0FA651BE">
            <w:pPr>
              <w:spacing w:line="0" w:lineRule="atLeast"/>
              <w:jc w:val="center"/>
              <w:rPr>
                <w:rFonts w:hint="default" w:ascii="Times New Roman" w:hAnsi="Times New Roman" w:eastAsia="仿宋_GB2312" w:cs="Times New Roman"/>
                <w:color w:val="auto"/>
                <w:kern w:val="0"/>
                <w:sz w:val="18"/>
                <w:szCs w:val="18"/>
              </w:rPr>
            </w:pPr>
          </w:p>
          <w:p w14:paraId="476ED432">
            <w:pPr>
              <w:spacing w:line="0" w:lineRule="atLeast"/>
              <w:jc w:val="center"/>
              <w:rPr>
                <w:rFonts w:hint="default" w:ascii="Times New Roman" w:hAnsi="Times New Roman" w:eastAsia="仿宋_GB2312" w:cs="Times New Roman"/>
                <w:color w:val="auto"/>
                <w:kern w:val="0"/>
                <w:sz w:val="18"/>
                <w:szCs w:val="18"/>
              </w:rPr>
            </w:pPr>
          </w:p>
          <w:p w14:paraId="451FE62E">
            <w:pPr>
              <w:spacing w:line="0" w:lineRule="atLeast"/>
              <w:jc w:val="center"/>
              <w:rPr>
                <w:rFonts w:hint="default" w:ascii="Times New Roman" w:hAnsi="Times New Roman" w:eastAsia="仿宋_GB2312" w:cs="Times New Roman"/>
                <w:color w:val="auto"/>
                <w:kern w:val="0"/>
                <w:sz w:val="18"/>
                <w:szCs w:val="18"/>
              </w:rPr>
            </w:pPr>
          </w:p>
          <w:p w14:paraId="20803C23">
            <w:pPr>
              <w:spacing w:line="0" w:lineRule="atLeast"/>
              <w:jc w:val="center"/>
              <w:rPr>
                <w:rFonts w:hint="default" w:ascii="Times New Roman" w:hAnsi="Times New Roman" w:eastAsia="仿宋_GB2312" w:cs="Times New Roman"/>
                <w:color w:val="auto"/>
                <w:kern w:val="0"/>
                <w:sz w:val="18"/>
                <w:szCs w:val="18"/>
              </w:rPr>
            </w:pPr>
          </w:p>
          <w:p w14:paraId="5ABDDF3B">
            <w:pPr>
              <w:spacing w:line="0" w:lineRule="atLeast"/>
              <w:jc w:val="center"/>
              <w:rPr>
                <w:rFonts w:hint="default" w:ascii="Times New Roman" w:hAnsi="Times New Roman" w:eastAsia="仿宋_GB2312" w:cs="Times New Roman"/>
                <w:color w:val="auto"/>
                <w:kern w:val="0"/>
                <w:sz w:val="18"/>
                <w:szCs w:val="18"/>
              </w:rPr>
            </w:pPr>
          </w:p>
          <w:p w14:paraId="0479A26B">
            <w:pPr>
              <w:spacing w:line="0" w:lineRule="atLeast"/>
              <w:jc w:val="center"/>
              <w:rPr>
                <w:rFonts w:hint="default" w:ascii="Times New Roman" w:hAnsi="Times New Roman" w:eastAsia="仿宋_GB2312" w:cs="Times New Roman"/>
                <w:color w:val="auto"/>
                <w:kern w:val="0"/>
                <w:sz w:val="18"/>
                <w:szCs w:val="18"/>
              </w:rPr>
            </w:pPr>
          </w:p>
          <w:p w14:paraId="6933FA6A">
            <w:pPr>
              <w:spacing w:line="0" w:lineRule="atLeast"/>
              <w:jc w:val="center"/>
              <w:rPr>
                <w:rFonts w:hint="default" w:ascii="Times New Roman" w:hAnsi="Times New Roman" w:eastAsia="仿宋_GB2312" w:cs="Times New Roman"/>
                <w:color w:val="auto"/>
                <w:kern w:val="0"/>
                <w:sz w:val="18"/>
                <w:szCs w:val="18"/>
              </w:rPr>
            </w:pPr>
          </w:p>
          <w:p w14:paraId="7B39678C">
            <w:pPr>
              <w:spacing w:line="0" w:lineRule="atLeast"/>
              <w:jc w:val="center"/>
              <w:rPr>
                <w:rFonts w:hint="default" w:ascii="Times New Roman" w:hAnsi="Times New Roman" w:eastAsia="仿宋_GB2312" w:cs="Times New Roman"/>
                <w:color w:val="auto"/>
                <w:kern w:val="0"/>
                <w:sz w:val="18"/>
                <w:szCs w:val="18"/>
              </w:rPr>
            </w:pPr>
          </w:p>
          <w:p w14:paraId="1318EFA4">
            <w:pPr>
              <w:spacing w:line="0" w:lineRule="atLeast"/>
              <w:jc w:val="center"/>
              <w:rPr>
                <w:rFonts w:hint="default" w:ascii="Times New Roman" w:hAnsi="Times New Roman" w:eastAsia="仿宋_GB2312" w:cs="Times New Roman"/>
                <w:color w:val="auto"/>
                <w:kern w:val="0"/>
                <w:sz w:val="18"/>
                <w:szCs w:val="18"/>
              </w:rPr>
            </w:pPr>
          </w:p>
          <w:p w14:paraId="582C5BFC">
            <w:pPr>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过程</w:t>
            </w:r>
          </w:p>
          <w:p w14:paraId="74905B31">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　　</w:t>
            </w:r>
          </w:p>
        </w:tc>
        <w:tc>
          <w:tcPr>
            <w:tcW w:w="1000" w:type="dxa"/>
            <w:vMerge w:val="restart"/>
            <w:shd w:val="clear" w:color="auto" w:fill="FFFFFF"/>
            <w:vAlign w:val="center"/>
          </w:tcPr>
          <w:p w14:paraId="618414B8">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资金管理</w:t>
            </w:r>
          </w:p>
        </w:tc>
        <w:tc>
          <w:tcPr>
            <w:tcW w:w="1071" w:type="dxa"/>
            <w:shd w:val="clear" w:color="auto" w:fill="FFFFFF"/>
            <w:vAlign w:val="center"/>
          </w:tcPr>
          <w:p w14:paraId="2E111AE0">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资金到位率</w:t>
            </w:r>
          </w:p>
        </w:tc>
        <w:tc>
          <w:tcPr>
            <w:tcW w:w="2482" w:type="dxa"/>
            <w:shd w:val="clear" w:color="000000" w:fill="FFFFFF"/>
            <w:vAlign w:val="center"/>
          </w:tcPr>
          <w:p w14:paraId="2C5A1914">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实际到位资金与预算资金的比率，用以反映和考核资金落实情况对项目实施的总体保障程度。</w:t>
            </w:r>
          </w:p>
        </w:tc>
        <w:tc>
          <w:tcPr>
            <w:tcW w:w="5130" w:type="dxa"/>
            <w:shd w:val="clear" w:color="000000" w:fill="FFFFFF"/>
            <w:vAlign w:val="center"/>
          </w:tcPr>
          <w:p w14:paraId="126AA2B4">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资金到位率=（实际到位资金/预算资金）×100%。</w:t>
            </w:r>
          </w:p>
          <w:p w14:paraId="3CD91A66">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实际到位资金：一定时期（本年度或项目期）内落实到具体项目的资金。</w:t>
            </w:r>
          </w:p>
          <w:p w14:paraId="13D1CAFB">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预算资金：一定时期（本年度或项目期）内预算安排到具体项目的资金。</w:t>
            </w:r>
          </w:p>
        </w:tc>
        <w:tc>
          <w:tcPr>
            <w:tcW w:w="1035" w:type="dxa"/>
            <w:shd w:val="clear" w:color="000000" w:fill="FFFFFF"/>
            <w:vAlign w:val="center"/>
          </w:tcPr>
          <w:p w14:paraId="1ECDAC84">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4</w:t>
            </w:r>
          </w:p>
        </w:tc>
        <w:tc>
          <w:tcPr>
            <w:tcW w:w="963" w:type="dxa"/>
            <w:shd w:val="clear" w:color="000000" w:fill="FFFFFF"/>
            <w:vAlign w:val="center"/>
          </w:tcPr>
          <w:p w14:paraId="5FD9A3A4">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58C041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50" w:hRule="atLeast"/>
        </w:trPr>
        <w:tc>
          <w:tcPr>
            <w:tcW w:w="1002" w:type="dxa"/>
            <w:vMerge w:val="continue"/>
            <w:shd w:val="clear" w:color="auto" w:fill="FFFFFF"/>
            <w:vAlign w:val="center"/>
          </w:tcPr>
          <w:p w14:paraId="26250185">
            <w:pPr>
              <w:spacing w:line="0" w:lineRule="atLeast"/>
              <w:jc w:val="center"/>
              <w:rPr>
                <w:rFonts w:hint="default" w:ascii="Times New Roman" w:hAnsi="Times New Roman" w:eastAsia="仿宋_GB2312" w:cs="Times New Roman"/>
                <w:color w:val="auto"/>
                <w:kern w:val="0"/>
                <w:sz w:val="18"/>
                <w:szCs w:val="18"/>
              </w:rPr>
            </w:pPr>
          </w:p>
        </w:tc>
        <w:tc>
          <w:tcPr>
            <w:tcW w:w="1000" w:type="dxa"/>
            <w:vMerge w:val="continue"/>
            <w:shd w:val="clear" w:color="auto" w:fill="FFFFFF"/>
            <w:vAlign w:val="center"/>
          </w:tcPr>
          <w:p w14:paraId="612F0F4C">
            <w:pPr>
              <w:spacing w:line="0" w:lineRule="atLeast"/>
              <w:jc w:val="center"/>
              <w:rPr>
                <w:rFonts w:hint="default" w:ascii="Times New Roman" w:hAnsi="Times New Roman" w:eastAsia="仿宋_GB2312" w:cs="Times New Roman"/>
                <w:color w:val="auto"/>
                <w:kern w:val="0"/>
                <w:sz w:val="18"/>
                <w:szCs w:val="18"/>
              </w:rPr>
            </w:pPr>
          </w:p>
        </w:tc>
        <w:tc>
          <w:tcPr>
            <w:tcW w:w="1071" w:type="dxa"/>
            <w:shd w:val="clear" w:color="auto" w:fill="FFFFFF"/>
            <w:vAlign w:val="center"/>
          </w:tcPr>
          <w:p w14:paraId="6B53E508">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预算执行率</w:t>
            </w:r>
          </w:p>
        </w:tc>
        <w:tc>
          <w:tcPr>
            <w:tcW w:w="2482" w:type="dxa"/>
            <w:shd w:val="clear" w:color="auto" w:fill="FFFFFF"/>
            <w:vAlign w:val="center"/>
          </w:tcPr>
          <w:p w14:paraId="15ECF93B">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项目预算资金是否按照计划执行，用以反映或考核项目预算执行情况。</w:t>
            </w:r>
          </w:p>
        </w:tc>
        <w:tc>
          <w:tcPr>
            <w:tcW w:w="5130" w:type="dxa"/>
            <w:shd w:val="clear" w:color="auto" w:fill="FFFFFF"/>
            <w:vAlign w:val="center"/>
          </w:tcPr>
          <w:p w14:paraId="7A898630">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预算执行率=（实际支出资金/实际到位资金）×100%。</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实际支出资金：一定时期（本年度或项目期）内项目实际拨付的资金。</w:t>
            </w:r>
          </w:p>
        </w:tc>
        <w:tc>
          <w:tcPr>
            <w:tcW w:w="1035" w:type="dxa"/>
            <w:shd w:val="clear" w:color="auto" w:fill="FFFFFF"/>
            <w:vAlign w:val="center"/>
          </w:tcPr>
          <w:p w14:paraId="121903F4">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4</w:t>
            </w:r>
          </w:p>
        </w:tc>
        <w:tc>
          <w:tcPr>
            <w:tcW w:w="963" w:type="dxa"/>
            <w:shd w:val="clear" w:color="auto" w:fill="FFFFFF"/>
            <w:vAlign w:val="center"/>
          </w:tcPr>
          <w:p w14:paraId="264F1A74">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2460DD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41" w:hRule="atLeast"/>
        </w:trPr>
        <w:tc>
          <w:tcPr>
            <w:tcW w:w="1002" w:type="dxa"/>
            <w:vMerge w:val="continue"/>
            <w:shd w:val="clear" w:color="auto" w:fill="FFFFFF"/>
            <w:vAlign w:val="center"/>
          </w:tcPr>
          <w:p w14:paraId="23282A56">
            <w:pPr>
              <w:spacing w:line="0" w:lineRule="atLeast"/>
              <w:jc w:val="center"/>
              <w:rPr>
                <w:rFonts w:hint="default" w:ascii="Times New Roman" w:hAnsi="Times New Roman" w:eastAsia="仿宋_GB2312" w:cs="Times New Roman"/>
                <w:color w:val="auto"/>
                <w:kern w:val="0"/>
                <w:sz w:val="18"/>
                <w:szCs w:val="18"/>
              </w:rPr>
            </w:pPr>
          </w:p>
        </w:tc>
        <w:tc>
          <w:tcPr>
            <w:tcW w:w="1000" w:type="dxa"/>
            <w:shd w:val="clear" w:color="auto" w:fill="FFFFFF"/>
            <w:vAlign w:val="center"/>
          </w:tcPr>
          <w:p w14:paraId="330A58D5">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资金管理</w:t>
            </w:r>
          </w:p>
        </w:tc>
        <w:tc>
          <w:tcPr>
            <w:tcW w:w="1071" w:type="dxa"/>
            <w:shd w:val="clear" w:color="auto" w:fill="FFFFFF"/>
            <w:vAlign w:val="center"/>
          </w:tcPr>
          <w:p w14:paraId="0DC425BA">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资金使用</w:t>
            </w:r>
          </w:p>
          <w:p w14:paraId="532D1FF0">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合规性</w:t>
            </w:r>
          </w:p>
        </w:tc>
        <w:tc>
          <w:tcPr>
            <w:tcW w:w="2482" w:type="dxa"/>
            <w:shd w:val="clear" w:color="000000" w:fill="FFFFFF"/>
            <w:vAlign w:val="center"/>
          </w:tcPr>
          <w:p w14:paraId="037283C5">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项目资金使用是否符合相关的财务管理制度规定，用以反映和考核项目资金的规范运行情况。</w:t>
            </w:r>
          </w:p>
        </w:tc>
        <w:tc>
          <w:tcPr>
            <w:tcW w:w="5130" w:type="dxa"/>
            <w:shd w:val="clear" w:color="000000" w:fill="FFFFFF"/>
            <w:vAlign w:val="center"/>
          </w:tcPr>
          <w:p w14:paraId="3C1E27B6">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①是否符合国家财经法规和财务管理制度以及有关专项资金管理办法的规定；</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②资金的拨付是否有完整的审批程序和手续；</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③是否符合项目预算批复或合同规定的用途；</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④是否存在截留、挤占、挪用、虚列支出等情况。</w:t>
            </w:r>
          </w:p>
        </w:tc>
        <w:tc>
          <w:tcPr>
            <w:tcW w:w="1035" w:type="dxa"/>
            <w:shd w:val="clear" w:color="000000" w:fill="FFFFFF"/>
            <w:vAlign w:val="center"/>
          </w:tcPr>
          <w:p w14:paraId="40DAAF5F">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4</w:t>
            </w:r>
          </w:p>
        </w:tc>
        <w:tc>
          <w:tcPr>
            <w:tcW w:w="963" w:type="dxa"/>
            <w:shd w:val="clear" w:color="000000" w:fill="FFFFFF"/>
            <w:vAlign w:val="center"/>
          </w:tcPr>
          <w:p w14:paraId="71ABD4E9">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64E5C9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07" w:hRule="atLeast"/>
        </w:trPr>
        <w:tc>
          <w:tcPr>
            <w:tcW w:w="1002" w:type="dxa"/>
            <w:vMerge w:val="continue"/>
            <w:shd w:val="clear" w:color="auto" w:fill="FFFFFF"/>
            <w:vAlign w:val="center"/>
          </w:tcPr>
          <w:p w14:paraId="38FA48B5">
            <w:pPr>
              <w:spacing w:line="0" w:lineRule="atLeast"/>
              <w:jc w:val="center"/>
              <w:rPr>
                <w:rFonts w:hint="default" w:ascii="Times New Roman" w:hAnsi="Times New Roman" w:eastAsia="仿宋_GB2312" w:cs="Times New Roman"/>
                <w:color w:val="auto"/>
                <w:kern w:val="0"/>
                <w:sz w:val="18"/>
                <w:szCs w:val="18"/>
              </w:rPr>
            </w:pPr>
          </w:p>
        </w:tc>
        <w:tc>
          <w:tcPr>
            <w:tcW w:w="1000" w:type="dxa"/>
            <w:vMerge w:val="restart"/>
            <w:shd w:val="clear" w:color="auto" w:fill="FFFFFF"/>
            <w:vAlign w:val="center"/>
          </w:tcPr>
          <w:p w14:paraId="4FC2830C">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组织实施</w:t>
            </w:r>
          </w:p>
          <w:p w14:paraId="12DDAEBE">
            <w:pPr>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　</w:t>
            </w:r>
          </w:p>
        </w:tc>
        <w:tc>
          <w:tcPr>
            <w:tcW w:w="1071" w:type="dxa"/>
            <w:shd w:val="clear" w:color="auto" w:fill="FFFFFF"/>
            <w:vAlign w:val="center"/>
          </w:tcPr>
          <w:p w14:paraId="47442121">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管理制度</w:t>
            </w:r>
          </w:p>
          <w:p w14:paraId="0C8A8057">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健全性</w:t>
            </w:r>
          </w:p>
        </w:tc>
        <w:tc>
          <w:tcPr>
            <w:tcW w:w="2482" w:type="dxa"/>
            <w:shd w:val="clear" w:color="000000" w:fill="FFFFFF"/>
            <w:vAlign w:val="center"/>
          </w:tcPr>
          <w:p w14:paraId="095CFCB4">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项目实施单位的财务和业务管理制度是否健全，用以反映和考核财务和业务管理制度对项目顺利实施的保障情况。</w:t>
            </w:r>
          </w:p>
        </w:tc>
        <w:tc>
          <w:tcPr>
            <w:tcW w:w="5130" w:type="dxa"/>
            <w:shd w:val="clear" w:color="000000" w:fill="FFFFFF"/>
            <w:vAlign w:val="center"/>
          </w:tcPr>
          <w:p w14:paraId="4A0D2B9C">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①是否已制定或具有相应的财务和业务管理制度；</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②财务和业务管理制度是否合法、合规、完整。</w:t>
            </w:r>
          </w:p>
        </w:tc>
        <w:tc>
          <w:tcPr>
            <w:tcW w:w="1035" w:type="dxa"/>
            <w:shd w:val="clear" w:color="000000" w:fill="FFFFFF"/>
            <w:vAlign w:val="center"/>
          </w:tcPr>
          <w:p w14:paraId="19430124">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4</w:t>
            </w:r>
          </w:p>
        </w:tc>
        <w:tc>
          <w:tcPr>
            <w:tcW w:w="963" w:type="dxa"/>
            <w:shd w:val="clear" w:color="000000" w:fill="FFFFFF"/>
            <w:vAlign w:val="center"/>
          </w:tcPr>
          <w:p w14:paraId="670723EB">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7EA69F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9" w:hRule="atLeast"/>
        </w:trPr>
        <w:tc>
          <w:tcPr>
            <w:tcW w:w="1002" w:type="dxa"/>
            <w:vMerge w:val="continue"/>
            <w:shd w:val="clear" w:color="auto" w:fill="FFFFFF"/>
            <w:vAlign w:val="center"/>
          </w:tcPr>
          <w:p w14:paraId="5BB4AFAA">
            <w:pPr>
              <w:widowControl/>
              <w:spacing w:line="0" w:lineRule="atLeast"/>
              <w:jc w:val="center"/>
              <w:rPr>
                <w:rFonts w:hint="default" w:ascii="Times New Roman" w:hAnsi="Times New Roman" w:eastAsia="仿宋_GB2312" w:cs="Times New Roman"/>
                <w:color w:val="auto"/>
                <w:kern w:val="0"/>
                <w:sz w:val="18"/>
                <w:szCs w:val="18"/>
              </w:rPr>
            </w:pPr>
          </w:p>
        </w:tc>
        <w:tc>
          <w:tcPr>
            <w:tcW w:w="1000" w:type="dxa"/>
            <w:vMerge w:val="continue"/>
            <w:shd w:val="clear" w:color="auto" w:fill="FFFFFF"/>
            <w:vAlign w:val="center"/>
          </w:tcPr>
          <w:p w14:paraId="6F8A9736">
            <w:pPr>
              <w:widowControl/>
              <w:spacing w:line="0" w:lineRule="atLeast"/>
              <w:jc w:val="center"/>
              <w:rPr>
                <w:rFonts w:hint="default" w:ascii="Times New Roman" w:hAnsi="Times New Roman" w:eastAsia="仿宋_GB2312" w:cs="Times New Roman"/>
                <w:color w:val="auto"/>
                <w:kern w:val="0"/>
                <w:sz w:val="18"/>
                <w:szCs w:val="18"/>
              </w:rPr>
            </w:pPr>
          </w:p>
        </w:tc>
        <w:tc>
          <w:tcPr>
            <w:tcW w:w="1071" w:type="dxa"/>
            <w:shd w:val="clear" w:color="auto" w:fill="FFFFFF"/>
            <w:vAlign w:val="center"/>
          </w:tcPr>
          <w:p w14:paraId="40A3E91E">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制度执行</w:t>
            </w:r>
          </w:p>
          <w:p w14:paraId="2D1D76A7">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有效性</w:t>
            </w:r>
          </w:p>
        </w:tc>
        <w:tc>
          <w:tcPr>
            <w:tcW w:w="2482" w:type="dxa"/>
            <w:shd w:val="clear" w:color="000000" w:fill="FFFFFF"/>
            <w:vAlign w:val="center"/>
          </w:tcPr>
          <w:p w14:paraId="616992A1">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项目实施是否符合相关管理规定，用以反映和考核相关管理制度的有效执行情况。</w:t>
            </w:r>
          </w:p>
        </w:tc>
        <w:tc>
          <w:tcPr>
            <w:tcW w:w="5130" w:type="dxa"/>
            <w:shd w:val="clear" w:color="000000" w:fill="FFFFFF"/>
            <w:vAlign w:val="center"/>
          </w:tcPr>
          <w:p w14:paraId="6E0915C1">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①是否遵守相关法律法规和相关管理规定；</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②项目调整及支出调整手续是否完备；</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③项目合同书、验收报告、技术鉴定等资料是否齐全并及时归档；</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④项目实施的人员条件、场地设备、信息支撑等是否落实到位。</w:t>
            </w:r>
          </w:p>
        </w:tc>
        <w:tc>
          <w:tcPr>
            <w:tcW w:w="1035" w:type="dxa"/>
            <w:shd w:val="clear" w:color="000000" w:fill="FFFFFF"/>
            <w:vAlign w:val="center"/>
          </w:tcPr>
          <w:p w14:paraId="519F1FCC">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4</w:t>
            </w:r>
          </w:p>
        </w:tc>
        <w:tc>
          <w:tcPr>
            <w:tcW w:w="963" w:type="dxa"/>
            <w:shd w:val="clear" w:color="000000" w:fill="FFFFFF"/>
            <w:vAlign w:val="center"/>
          </w:tcPr>
          <w:p w14:paraId="27775DCC">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640A9E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12" w:hRule="atLeast"/>
        </w:trPr>
        <w:tc>
          <w:tcPr>
            <w:tcW w:w="1002" w:type="dxa"/>
            <w:vMerge w:val="restart"/>
            <w:shd w:val="clear" w:color="auto" w:fill="FFFFFF"/>
            <w:vAlign w:val="center"/>
          </w:tcPr>
          <w:p w14:paraId="73642221">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产出</w:t>
            </w:r>
          </w:p>
        </w:tc>
        <w:tc>
          <w:tcPr>
            <w:tcW w:w="1000" w:type="dxa"/>
            <w:shd w:val="clear" w:color="auto" w:fill="FFFFFF"/>
            <w:vAlign w:val="center"/>
          </w:tcPr>
          <w:p w14:paraId="7275D27D">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产出数量</w:t>
            </w:r>
          </w:p>
        </w:tc>
        <w:tc>
          <w:tcPr>
            <w:tcW w:w="1071" w:type="dxa"/>
            <w:shd w:val="clear" w:color="auto" w:fill="FFFFFF"/>
            <w:vAlign w:val="center"/>
          </w:tcPr>
          <w:p w14:paraId="329727EE">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实际完成率</w:t>
            </w:r>
          </w:p>
        </w:tc>
        <w:tc>
          <w:tcPr>
            <w:tcW w:w="2482" w:type="dxa"/>
            <w:shd w:val="clear" w:color="000000" w:fill="FFFFFF"/>
            <w:vAlign w:val="center"/>
          </w:tcPr>
          <w:p w14:paraId="1A855C3C">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项目实施的实际产出数与计划产出数的比率，用以反映和考核项目产出数量目标的实现程度。</w:t>
            </w:r>
          </w:p>
        </w:tc>
        <w:tc>
          <w:tcPr>
            <w:tcW w:w="5130" w:type="dxa"/>
            <w:shd w:val="clear" w:color="000000" w:fill="FFFFFF"/>
            <w:vAlign w:val="center"/>
          </w:tcPr>
          <w:p w14:paraId="36259316">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实际完成率=（实际产出数/计划产出数）×100%。</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实际产出数：一定时期（本年度或项目期）内项目实际产出的产品或提供的服务数量。</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计划产出数：项目绩效目标确定的在一定时期（本年度或项目期）内计划产出的产品或提供的服务数量。</w:t>
            </w:r>
          </w:p>
        </w:tc>
        <w:tc>
          <w:tcPr>
            <w:tcW w:w="1035" w:type="dxa"/>
            <w:shd w:val="clear" w:color="000000" w:fill="FFFFFF"/>
            <w:vAlign w:val="center"/>
          </w:tcPr>
          <w:p w14:paraId="20661821">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10</w:t>
            </w:r>
          </w:p>
        </w:tc>
        <w:tc>
          <w:tcPr>
            <w:tcW w:w="963" w:type="dxa"/>
            <w:shd w:val="clear" w:color="000000" w:fill="FFFFFF"/>
            <w:vAlign w:val="center"/>
          </w:tcPr>
          <w:p w14:paraId="301371F5">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5F7490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78" w:hRule="atLeast"/>
        </w:trPr>
        <w:tc>
          <w:tcPr>
            <w:tcW w:w="1002" w:type="dxa"/>
            <w:vMerge w:val="continue"/>
            <w:shd w:val="clear" w:color="auto" w:fill="FFFFFF"/>
            <w:vAlign w:val="center"/>
          </w:tcPr>
          <w:p w14:paraId="38FB52C9">
            <w:pPr>
              <w:widowControl/>
              <w:spacing w:line="0" w:lineRule="atLeast"/>
              <w:jc w:val="center"/>
              <w:rPr>
                <w:rFonts w:hint="default" w:ascii="Times New Roman" w:hAnsi="Times New Roman" w:eastAsia="仿宋_GB2312" w:cs="Times New Roman"/>
                <w:color w:val="auto"/>
                <w:kern w:val="0"/>
                <w:sz w:val="18"/>
                <w:szCs w:val="18"/>
              </w:rPr>
            </w:pPr>
          </w:p>
        </w:tc>
        <w:tc>
          <w:tcPr>
            <w:tcW w:w="1000" w:type="dxa"/>
            <w:shd w:val="clear" w:color="auto" w:fill="FFFFFF"/>
            <w:vAlign w:val="center"/>
          </w:tcPr>
          <w:p w14:paraId="71D29FB7">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产出质量</w:t>
            </w:r>
          </w:p>
        </w:tc>
        <w:tc>
          <w:tcPr>
            <w:tcW w:w="1071" w:type="dxa"/>
            <w:shd w:val="clear" w:color="auto" w:fill="FFFFFF"/>
            <w:vAlign w:val="center"/>
          </w:tcPr>
          <w:p w14:paraId="278CBC7D">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质量达标率</w:t>
            </w:r>
          </w:p>
        </w:tc>
        <w:tc>
          <w:tcPr>
            <w:tcW w:w="2482" w:type="dxa"/>
            <w:shd w:val="clear" w:color="000000" w:fill="FFFFFF"/>
            <w:vAlign w:val="center"/>
          </w:tcPr>
          <w:p w14:paraId="2C065368">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项目完成的质量达标产出数与实际产出数的比率，用以反映和考核项目产出质量目标的实现程度。</w:t>
            </w:r>
          </w:p>
        </w:tc>
        <w:tc>
          <w:tcPr>
            <w:tcW w:w="5130" w:type="dxa"/>
            <w:shd w:val="clear" w:color="000000" w:fill="FFFFFF"/>
            <w:vAlign w:val="center"/>
          </w:tcPr>
          <w:p w14:paraId="1BA8EBA9">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质量达标率=（质量达标产出数/实际产出数）×100%。</w:t>
            </w:r>
          </w:p>
          <w:p w14:paraId="2ED1B171">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035" w:type="dxa"/>
            <w:shd w:val="clear" w:color="000000" w:fill="FFFFFF"/>
            <w:vAlign w:val="center"/>
          </w:tcPr>
          <w:p w14:paraId="0D440854">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10</w:t>
            </w:r>
          </w:p>
        </w:tc>
        <w:tc>
          <w:tcPr>
            <w:tcW w:w="963" w:type="dxa"/>
            <w:shd w:val="clear" w:color="000000" w:fill="FFFFFF"/>
            <w:vAlign w:val="center"/>
          </w:tcPr>
          <w:p w14:paraId="2F4035C6">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4D7C03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41" w:hRule="atLeast"/>
        </w:trPr>
        <w:tc>
          <w:tcPr>
            <w:tcW w:w="1002" w:type="dxa"/>
            <w:vMerge w:val="continue"/>
            <w:shd w:val="clear" w:color="auto" w:fill="FFFFFF"/>
            <w:vAlign w:val="center"/>
          </w:tcPr>
          <w:p w14:paraId="27EDB110">
            <w:pPr>
              <w:widowControl/>
              <w:spacing w:line="0" w:lineRule="atLeast"/>
              <w:jc w:val="center"/>
              <w:rPr>
                <w:rFonts w:hint="default" w:ascii="Times New Roman" w:hAnsi="Times New Roman" w:eastAsia="仿宋_GB2312" w:cs="Times New Roman"/>
                <w:color w:val="auto"/>
                <w:kern w:val="0"/>
                <w:sz w:val="18"/>
                <w:szCs w:val="18"/>
              </w:rPr>
            </w:pPr>
          </w:p>
        </w:tc>
        <w:tc>
          <w:tcPr>
            <w:tcW w:w="1000" w:type="dxa"/>
            <w:shd w:val="clear" w:color="auto" w:fill="FFFFFF"/>
            <w:vAlign w:val="center"/>
          </w:tcPr>
          <w:p w14:paraId="3D63B7B4">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产出时效</w:t>
            </w:r>
          </w:p>
        </w:tc>
        <w:tc>
          <w:tcPr>
            <w:tcW w:w="1071" w:type="dxa"/>
            <w:shd w:val="clear" w:color="auto" w:fill="FFFFFF"/>
            <w:vAlign w:val="center"/>
          </w:tcPr>
          <w:p w14:paraId="23DED7F6">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完成及时性</w:t>
            </w:r>
          </w:p>
        </w:tc>
        <w:tc>
          <w:tcPr>
            <w:tcW w:w="2482" w:type="dxa"/>
            <w:shd w:val="clear" w:color="000000" w:fill="FFFFFF"/>
            <w:vAlign w:val="center"/>
          </w:tcPr>
          <w:p w14:paraId="3EBF7E84">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项目实际完成时间与计划完成时间的比较，用以反映和考核项目产出时效目标的实现程度。</w:t>
            </w:r>
          </w:p>
        </w:tc>
        <w:tc>
          <w:tcPr>
            <w:tcW w:w="5130" w:type="dxa"/>
            <w:shd w:val="clear" w:color="000000" w:fill="FFFFFF"/>
            <w:vAlign w:val="center"/>
          </w:tcPr>
          <w:p w14:paraId="1F7A3356">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实际完成时间：项目实施单位完成该项目实际所耗用的时间。</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计划完成时间：按照项目实施计划或相关规定完成该项目所需的时间。</w:t>
            </w:r>
          </w:p>
        </w:tc>
        <w:tc>
          <w:tcPr>
            <w:tcW w:w="1035" w:type="dxa"/>
            <w:shd w:val="clear" w:color="000000" w:fill="FFFFFF"/>
            <w:vAlign w:val="center"/>
          </w:tcPr>
          <w:p w14:paraId="231C8306">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10</w:t>
            </w:r>
          </w:p>
        </w:tc>
        <w:tc>
          <w:tcPr>
            <w:tcW w:w="963" w:type="dxa"/>
            <w:shd w:val="clear" w:color="000000" w:fill="FFFFFF"/>
            <w:vAlign w:val="center"/>
          </w:tcPr>
          <w:p w14:paraId="6EC8AEAA">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6B8C0E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81" w:hRule="atLeast"/>
        </w:trPr>
        <w:tc>
          <w:tcPr>
            <w:tcW w:w="1002" w:type="dxa"/>
            <w:vMerge w:val="continue"/>
            <w:shd w:val="clear" w:color="auto" w:fill="FFFFFF"/>
            <w:vAlign w:val="center"/>
          </w:tcPr>
          <w:p w14:paraId="79AFD9DB">
            <w:pPr>
              <w:widowControl/>
              <w:spacing w:line="0" w:lineRule="atLeast"/>
              <w:jc w:val="center"/>
              <w:rPr>
                <w:rFonts w:hint="default" w:ascii="Times New Roman" w:hAnsi="Times New Roman" w:eastAsia="仿宋_GB2312" w:cs="Times New Roman"/>
                <w:color w:val="auto"/>
                <w:kern w:val="0"/>
                <w:sz w:val="18"/>
                <w:szCs w:val="18"/>
              </w:rPr>
            </w:pPr>
          </w:p>
        </w:tc>
        <w:tc>
          <w:tcPr>
            <w:tcW w:w="1000" w:type="dxa"/>
            <w:shd w:val="clear" w:color="auto" w:fill="FFFFFF"/>
            <w:vAlign w:val="center"/>
          </w:tcPr>
          <w:p w14:paraId="590F903A">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产出成本</w:t>
            </w:r>
          </w:p>
        </w:tc>
        <w:tc>
          <w:tcPr>
            <w:tcW w:w="1071" w:type="dxa"/>
            <w:shd w:val="clear" w:color="auto" w:fill="FFFFFF"/>
            <w:vAlign w:val="center"/>
          </w:tcPr>
          <w:p w14:paraId="1DB3696C">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成本节约率</w:t>
            </w:r>
          </w:p>
        </w:tc>
        <w:tc>
          <w:tcPr>
            <w:tcW w:w="2482" w:type="dxa"/>
            <w:shd w:val="clear" w:color="000000" w:fill="FFFFFF"/>
            <w:vAlign w:val="center"/>
          </w:tcPr>
          <w:p w14:paraId="5C505EBA">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完成项目计划工作目标的实际节约成本与计划成本的比率，用以反映和考核项目的成本节约程度。</w:t>
            </w:r>
          </w:p>
        </w:tc>
        <w:tc>
          <w:tcPr>
            <w:tcW w:w="5130" w:type="dxa"/>
            <w:shd w:val="clear" w:color="000000" w:fill="FFFFFF"/>
            <w:vAlign w:val="center"/>
          </w:tcPr>
          <w:p w14:paraId="315C1E7F">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成本节约率=[（计划成本-实际成本）/计划成本]×100%。</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实际成本：项目实施单位如期、保质、保量完成既定工作目标实际所耗费的支出。</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计划成本：项目实施单位为完成工作目标计划安排的支出，一般以项目预算为参考。</w:t>
            </w:r>
          </w:p>
        </w:tc>
        <w:tc>
          <w:tcPr>
            <w:tcW w:w="1035" w:type="dxa"/>
            <w:shd w:val="clear" w:color="000000" w:fill="FFFFFF"/>
            <w:vAlign w:val="center"/>
          </w:tcPr>
          <w:p w14:paraId="00E41A85">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10</w:t>
            </w:r>
          </w:p>
        </w:tc>
        <w:tc>
          <w:tcPr>
            <w:tcW w:w="963" w:type="dxa"/>
            <w:shd w:val="clear" w:color="000000" w:fill="FFFFFF"/>
            <w:vAlign w:val="center"/>
          </w:tcPr>
          <w:p w14:paraId="06787DDA">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592FB5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59" w:hRule="atLeast"/>
        </w:trPr>
        <w:tc>
          <w:tcPr>
            <w:tcW w:w="1002" w:type="dxa"/>
            <w:vMerge w:val="restart"/>
            <w:shd w:val="clear" w:color="auto" w:fill="FFFFFF"/>
            <w:vAlign w:val="center"/>
          </w:tcPr>
          <w:p w14:paraId="353E04C4">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效益　</w:t>
            </w:r>
          </w:p>
        </w:tc>
        <w:tc>
          <w:tcPr>
            <w:tcW w:w="1000" w:type="dxa"/>
            <w:vMerge w:val="restart"/>
            <w:shd w:val="clear" w:color="auto" w:fill="FFFFFF"/>
            <w:vAlign w:val="center"/>
          </w:tcPr>
          <w:p w14:paraId="40BC44C0">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项目效益　</w:t>
            </w:r>
          </w:p>
        </w:tc>
        <w:tc>
          <w:tcPr>
            <w:tcW w:w="1071" w:type="dxa"/>
            <w:shd w:val="clear" w:color="auto" w:fill="FFFFFF"/>
            <w:vAlign w:val="center"/>
          </w:tcPr>
          <w:p w14:paraId="42AE1B8B">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实施效益</w:t>
            </w:r>
          </w:p>
        </w:tc>
        <w:tc>
          <w:tcPr>
            <w:tcW w:w="2482" w:type="dxa"/>
            <w:shd w:val="clear" w:color="auto" w:fill="FFFFFF"/>
            <w:vAlign w:val="center"/>
          </w:tcPr>
          <w:p w14:paraId="1B6B54A6">
            <w:pPr>
              <w:widowControl/>
              <w:spacing w:line="0" w:lineRule="atLeast"/>
              <w:jc w:val="lef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项目实施所产生的效益。</w:t>
            </w:r>
          </w:p>
        </w:tc>
        <w:tc>
          <w:tcPr>
            <w:tcW w:w="5130" w:type="dxa"/>
            <w:shd w:val="clear" w:color="auto" w:fill="FFFFFF"/>
            <w:vAlign w:val="center"/>
          </w:tcPr>
          <w:p w14:paraId="3C512DA2">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项目实施所产生的社会效益、经济效益、生态效益、可持续影响等。可根据项目实际情况有选择地设置和细化。</w:t>
            </w:r>
          </w:p>
        </w:tc>
        <w:tc>
          <w:tcPr>
            <w:tcW w:w="1035" w:type="dxa"/>
            <w:shd w:val="clear" w:color="auto" w:fill="FFFFFF"/>
            <w:vAlign w:val="center"/>
          </w:tcPr>
          <w:p w14:paraId="6DE5B042">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10</w:t>
            </w:r>
          </w:p>
        </w:tc>
        <w:tc>
          <w:tcPr>
            <w:tcW w:w="963" w:type="dxa"/>
            <w:shd w:val="clear" w:color="auto" w:fill="FFFFFF"/>
            <w:vAlign w:val="center"/>
          </w:tcPr>
          <w:p w14:paraId="1BC8CCC8">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4CA258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67" w:hRule="atLeast"/>
        </w:trPr>
        <w:tc>
          <w:tcPr>
            <w:tcW w:w="1002" w:type="dxa"/>
            <w:vMerge w:val="continue"/>
            <w:shd w:val="clear" w:color="auto" w:fill="FFFFFF"/>
            <w:vAlign w:val="center"/>
          </w:tcPr>
          <w:p w14:paraId="6E77C7FA">
            <w:pPr>
              <w:widowControl/>
              <w:spacing w:line="0" w:lineRule="atLeast"/>
              <w:jc w:val="center"/>
              <w:rPr>
                <w:rFonts w:hint="default" w:ascii="Times New Roman" w:hAnsi="Times New Roman" w:eastAsia="仿宋_GB2312" w:cs="Times New Roman"/>
                <w:color w:val="auto"/>
                <w:kern w:val="0"/>
                <w:sz w:val="18"/>
                <w:szCs w:val="18"/>
              </w:rPr>
            </w:pPr>
          </w:p>
        </w:tc>
        <w:tc>
          <w:tcPr>
            <w:tcW w:w="1000" w:type="dxa"/>
            <w:vMerge w:val="continue"/>
            <w:shd w:val="clear" w:color="auto" w:fill="FFFFFF"/>
            <w:vAlign w:val="center"/>
          </w:tcPr>
          <w:p w14:paraId="51F5FE9B">
            <w:pPr>
              <w:widowControl/>
              <w:spacing w:line="0" w:lineRule="atLeast"/>
              <w:jc w:val="center"/>
              <w:rPr>
                <w:rFonts w:hint="default" w:ascii="Times New Roman" w:hAnsi="Times New Roman" w:eastAsia="仿宋_GB2312" w:cs="Times New Roman"/>
                <w:color w:val="auto"/>
                <w:kern w:val="0"/>
                <w:sz w:val="18"/>
                <w:szCs w:val="18"/>
              </w:rPr>
            </w:pPr>
          </w:p>
        </w:tc>
        <w:tc>
          <w:tcPr>
            <w:tcW w:w="1071" w:type="dxa"/>
            <w:shd w:val="clear" w:color="auto" w:fill="FFFFFF"/>
            <w:vAlign w:val="center"/>
          </w:tcPr>
          <w:p w14:paraId="51F9DB7C">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highlight w:val="none"/>
              </w:rPr>
              <w:t>满意度</w:t>
            </w:r>
          </w:p>
        </w:tc>
        <w:tc>
          <w:tcPr>
            <w:tcW w:w="2482" w:type="dxa"/>
            <w:shd w:val="clear" w:color="000000" w:fill="FFFFFF"/>
            <w:vAlign w:val="center"/>
          </w:tcPr>
          <w:p w14:paraId="3E26A9AF">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社会公众或服务对象对项目实施效果的满意程度。</w:t>
            </w:r>
          </w:p>
        </w:tc>
        <w:tc>
          <w:tcPr>
            <w:tcW w:w="5130" w:type="dxa"/>
            <w:shd w:val="clear" w:color="000000" w:fill="FFFFFF"/>
            <w:vAlign w:val="center"/>
          </w:tcPr>
          <w:p w14:paraId="288938F7">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社会公众或服务对象是指因该项目实施而受到影响的部门（单位）、群体或个人。一般采取社会调查的方式。</w:t>
            </w:r>
          </w:p>
        </w:tc>
        <w:tc>
          <w:tcPr>
            <w:tcW w:w="1035" w:type="dxa"/>
            <w:shd w:val="clear" w:color="000000" w:fill="FFFFFF"/>
            <w:vAlign w:val="center"/>
          </w:tcPr>
          <w:p w14:paraId="33605698">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10</w:t>
            </w:r>
          </w:p>
        </w:tc>
        <w:tc>
          <w:tcPr>
            <w:tcW w:w="963" w:type="dxa"/>
            <w:shd w:val="clear" w:color="000000" w:fill="FFFFFF"/>
            <w:vAlign w:val="center"/>
          </w:tcPr>
          <w:p w14:paraId="7A155581">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25DFFA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3" w:hRule="atLeast"/>
        </w:trPr>
        <w:tc>
          <w:tcPr>
            <w:tcW w:w="10685" w:type="dxa"/>
            <w:gridSpan w:val="5"/>
            <w:shd w:val="clear" w:color="auto" w:fill="FFFFFF"/>
            <w:vAlign w:val="center"/>
          </w:tcPr>
          <w:p w14:paraId="2EF13281">
            <w:pPr>
              <w:widowControl/>
              <w:spacing w:line="0" w:lineRule="atLeast"/>
              <w:jc w:val="center"/>
              <w:rPr>
                <w:rFonts w:hint="eastAsia" w:ascii="Times New Roman" w:hAnsi="Times New Roman" w:eastAsia="仿宋_GB2312" w:cs="Times New Roman"/>
                <w:b/>
                <w:bCs/>
                <w:color w:val="auto"/>
                <w:kern w:val="0"/>
                <w:sz w:val="18"/>
                <w:szCs w:val="18"/>
                <w:lang w:val="en-US" w:eastAsia="zh-CN"/>
              </w:rPr>
            </w:pPr>
            <w:r>
              <w:rPr>
                <w:rFonts w:hint="eastAsia" w:eastAsia="仿宋_GB2312" w:cs="Times New Roman"/>
                <w:b/>
                <w:bCs/>
                <w:color w:val="auto"/>
                <w:kern w:val="0"/>
                <w:sz w:val="18"/>
                <w:szCs w:val="18"/>
                <w:lang w:val="en-US" w:eastAsia="zh-CN"/>
              </w:rPr>
              <w:t>合计</w:t>
            </w:r>
          </w:p>
        </w:tc>
        <w:tc>
          <w:tcPr>
            <w:tcW w:w="1035" w:type="dxa"/>
            <w:shd w:val="clear" w:color="000000" w:fill="FFFFFF"/>
            <w:vAlign w:val="center"/>
          </w:tcPr>
          <w:p w14:paraId="0E618081">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fldChar w:fldCharType="begin"/>
            </w:r>
            <w:r>
              <w:rPr>
                <w:rFonts w:hint="default" w:ascii="Times New Roman" w:hAnsi="Times New Roman" w:eastAsia="仿宋_GB2312" w:cs="Times New Roman"/>
                <w:b/>
                <w:bCs/>
                <w:color w:val="auto"/>
                <w:kern w:val="0"/>
                <w:sz w:val="18"/>
                <w:szCs w:val="18"/>
              </w:rPr>
              <w:instrText xml:space="preserve"> = sum(F2:F18) \* MERGEFORMAT </w:instrText>
            </w:r>
            <w:r>
              <w:rPr>
                <w:rFonts w:hint="default" w:ascii="Times New Roman" w:hAnsi="Times New Roman" w:eastAsia="仿宋_GB2312" w:cs="Times New Roman"/>
                <w:b/>
                <w:bCs/>
                <w:color w:val="auto"/>
                <w:kern w:val="0"/>
                <w:sz w:val="18"/>
                <w:szCs w:val="18"/>
              </w:rPr>
              <w:fldChar w:fldCharType="separate"/>
            </w:r>
            <w:r>
              <w:rPr>
                <w:rFonts w:hint="default" w:ascii="Times New Roman" w:hAnsi="Times New Roman" w:eastAsia="仿宋_GB2312" w:cs="Times New Roman"/>
                <w:b/>
                <w:bCs/>
                <w:color w:val="auto"/>
                <w:kern w:val="0"/>
                <w:sz w:val="18"/>
                <w:szCs w:val="18"/>
              </w:rPr>
              <w:t>100</w:t>
            </w:r>
            <w:r>
              <w:rPr>
                <w:rFonts w:hint="default" w:ascii="Times New Roman" w:hAnsi="Times New Roman" w:eastAsia="仿宋_GB2312" w:cs="Times New Roman"/>
                <w:b/>
                <w:bCs/>
                <w:color w:val="auto"/>
                <w:kern w:val="0"/>
                <w:sz w:val="18"/>
                <w:szCs w:val="18"/>
              </w:rPr>
              <w:fldChar w:fldCharType="end"/>
            </w:r>
          </w:p>
        </w:tc>
        <w:tc>
          <w:tcPr>
            <w:tcW w:w="963" w:type="dxa"/>
            <w:shd w:val="clear" w:color="000000" w:fill="FFFFFF"/>
            <w:vAlign w:val="center"/>
          </w:tcPr>
          <w:p w14:paraId="61C4FD97">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100</w:t>
            </w:r>
          </w:p>
        </w:tc>
      </w:tr>
    </w:tbl>
    <w:p w14:paraId="4A434B1E">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14:paraId="1A5A972F">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p w14:paraId="50E1F2D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p w14:paraId="43FDE8D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p>
    <w:tbl>
      <w:tblPr>
        <w:tblStyle w:val="14"/>
        <w:tblpPr w:leftFromText="180" w:rightFromText="180" w:vertAnchor="text" w:horzAnchor="page" w:tblpX="1373" w:tblpY="306"/>
        <w:tblOverlap w:val="never"/>
        <w:tblW w:w="14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04"/>
        <w:gridCol w:w="1105"/>
        <w:gridCol w:w="1117"/>
        <w:gridCol w:w="1117"/>
        <w:gridCol w:w="1039"/>
        <w:gridCol w:w="652"/>
        <w:gridCol w:w="1553"/>
        <w:gridCol w:w="1381"/>
        <w:gridCol w:w="900"/>
        <w:gridCol w:w="806"/>
        <w:gridCol w:w="916"/>
        <w:gridCol w:w="636"/>
        <w:gridCol w:w="730"/>
        <w:gridCol w:w="1118"/>
      </w:tblGrid>
      <w:tr w14:paraId="5A89E3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1"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098ED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项目名称</w:t>
            </w:r>
          </w:p>
        </w:tc>
        <w:tc>
          <w:tcPr>
            <w:tcW w:w="1196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0939EB3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2024年大学生志愿者服务西部计划中央补助资金</w:t>
            </w:r>
          </w:p>
        </w:tc>
      </w:tr>
      <w:tr w14:paraId="70A2DA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C92D9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主管部门</w:t>
            </w:r>
          </w:p>
        </w:tc>
        <w:tc>
          <w:tcPr>
            <w:tcW w:w="547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910BF3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中国共产主义青年团奇台县委员会</w:t>
            </w:r>
          </w:p>
        </w:tc>
        <w:tc>
          <w:tcPr>
            <w:tcW w:w="22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815C9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实施单位</w:t>
            </w:r>
          </w:p>
        </w:tc>
        <w:tc>
          <w:tcPr>
            <w:tcW w:w="420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BDE92D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中国共产主义青年团奇台县委员会</w:t>
            </w:r>
          </w:p>
        </w:tc>
      </w:tr>
      <w:tr w14:paraId="63F772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0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130F5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项目资金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（万元）</w:t>
            </w:r>
          </w:p>
        </w:tc>
        <w:tc>
          <w:tcPr>
            <w:tcW w:w="22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AA21A1">
            <w:pPr>
              <w:jc w:val="center"/>
              <w:rPr>
                <w:rFonts w:hint="eastAsia" w:ascii="仿宋_GB2312" w:hAnsi="仿宋_GB2312" w:eastAsia="仿宋_GB2312" w:cs="仿宋_GB2312"/>
                <w:i w:val="0"/>
                <w:iCs w:val="0"/>
                <w:color w:val="000000"/>
                <w:sz w:val="18"/>
                <w:szCs w:val="18"/>
                <w:u w:val="none"/>
              </w:rPr>
            </w:pP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0057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年初预算数</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45174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22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B6228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17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DE39E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分值</w:t>
            </w:r>
          </w:p>
        </w:tc>
        <w:tc>
          <w:tcPr>
            <w:tcW w:w="13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288CE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执行率</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9333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得分</w:t>
            </w:r>
          </w:p>
        </w:tc>
      </w:tr>
      <w:tr w14:paraId="493192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F7A521">
            <w:pPr>
              <w:jc w:val="center"/>
              <w:rPr>
                <w:rFonts w:hint="eastAsia" w:ascii="仿宋_GB2312" w:hAnsi="仿宋_GB2312" w:eastAsia="仿宋_GB2312" w:cs="仿宋_GB2312"/>
                <w:i w:val="0"/>
                <w:iCs w:val="0"/>
                <w:color w:val="000000"/>
                <w:sz w:val="18"/>
                <w:szCs w:val="18"/>
                <w:u w:val="none"/>
              </w:rPr>
            </w:pPr>
          </w:p>
        </w:tc>
        <w:tc>
          <w:tcPr>
            <w:tcW w:w="22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236F4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D919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37.04</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3944E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347.41</w:t>
            </w:r>
          </w:p>
        </w:tc>
        <w:tc>
          <w:tcPr>
            <w:tcW w:w="22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23DC1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336.89</w:t>
            </w:r>
          </w:p>
        </w:tc>
        <w:tc>
          <w:tcPr>
            <w:tcW w:w="17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D0347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w:t>
            </w:r>
          </w:p>
        </w:tc>
        <w:tc>
          <w:tcPr>
            <w:tcW w:w="13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68116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96.97%</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5E6B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10.00</w:t>
            </w:r>
          </w:p>
        </w:tc>
      </w:tr>
      <w:tr w14:paraId="6E5BFE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BF929D">
            <w:pPr>
              <w:jc w:val="center"/>
              <w:rPr>
                <w:rFonts w:hint="eastAsia" w:ascii="仿宋_GB2312" w:hAnsi="仿宋_GB2312" w:eastAsia="仿宋_GB2312" w:cs="仿宋_GB2312"/>
                <w:i w:val="0"/>
                <w:iCs w:val="0"/>
                <w:color w:val="000000"/>
                <w:sz w:val="18"/>
                <w:szCs w:val="18"/>
                <w:u w:val="none"/>
              </w:rPr>
            </w:pPr>
          </w:p>
        </w:tc>
        <w:tc>
          <w:tcPr>
            <w:tcW w:w="22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B45D7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其中：当年财政拨款</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4699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37.04</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018A4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347.41</w:t>
            </w:r>
          </w:p>
        </w:tc>
        <w:tc>
          <w:tcPr>
            <w:tcW w:w="22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BC65F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336.89</w:t>
            </w:r>
          </w:p>
        </w:tc>
        <w:tc>
          <w:tcPr>
            <w:tcW w:w="17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CE594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13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A37BD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B3AE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479FC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FADD71">
            <w:pPr>
              <w:jc w:val="center"/>
              <w:rPr>
                <w:rFonts w:hint="eastAsia" w:ascii="仿宋_GB2312" w:hAnsi="仿宋_GB2312" w:eastAsia="仿宋_GB2312" w:cs="仿宋_GB2312"/>
                <w:i w:val="0"/>
                <w:iCs w:val="0"/>
                <w:color w:val="000000"/>
                <w:sz w:val="18"/>
                <w:szCs w:val="18"/>
                <w:u w:val="none"/>
              </w:rPr>
            </w:pPr>
          </w:p>
        </w:tc>
        <w:tc>
          <w:tcPr>
            <w:tcW w:w="2234" w:type="dxa"/>
            <w:gridSpan w:val="2"/>
            <w:tcBorders>
              <w:top w:val="single" w:color="000000" w:sz="4" w:space="0"/>
              <w:left w:val="single" w:color="000000" w:sz="4" w:space="0"/>
              <w:bottom w:val="nil"/>
              <w:right w:val="single" w:color="000000" w:sz="4" w:space="0"/>
            </w:tcBorders>
            <w:shd w:val="clear" w:color="auto" w:fill="auto"/>
            <w:vAlign w:val="center"/>
          </w:tcPr>
          <w:p w14:paraId="6FC1A93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1039" w:type="dxa"/>
            <w:tcBorders>
              <w:top w:val="single" w:color="000000" w:sz="4" w:space="0"/>
              <w:left w:val="single" w:color="000000" w:sz="4" w:space="0"/>
              <w:bottom w:val="nil"/>
              <w:right w:val="single" w:color="000000" w:sz="4" w:space="0"/>
            </w:tcBorders>
            <w:shd w:val="clear" w:color="auto" w:fill="auto"/>
            <w:vAlign w:val="center"/>
          </w:tcPr>
          <w:p w14:paraId="20C3746B">
            <w:pPr>
              <w:jc w:val="center"/>
              <w:rPr>
                <w:rFonts w:hint="eastAsia" w:ascii="仿宋_GB2312" w:hAnsi="仿宋_GB2312" w:eastAsia="仿宋_GB2312" w:cs="仿宋_GB2312"/>
                <w:i w:val="0"/>
                <w:iCs w:val="0"/>
                <w:color w:val="000000"/>
                <w:sz w:val="18"/>
                <w:szCs w:val="18"/>
                <w:u w:val="none"/>
              </w:rPr>
            </w:pPr>
          </w:p>
        </w:tc>
        <w:tc>
          <w:tcPr>
            <w:tcW w:w="2205" w:type="dxa"/>
            <w:gridSpan w:val="2"/>
            <w:tcBorders>
              <w:top w:val="single" w:color="000000" w:sz="4" w:space="0"/>
              <w:left w:val="single" w:color="000000" w:sz="4" w:space="0"/>
              <w:bottom w:val="nil"/>
              <w:right w:val="single" w:color="000000" w:sz="4" w:space="0"/>
            </w:tcBorders>
            <w:shd w:val="clear" w:color="auto" w:fill="auto"/>
            <w:vAlign w:val="center"/>
          </w:tcPr>
          <w:p w14:paraId="72776206">
            <w:pPr>
              <w:jc w:val="center"/>
              <w:rPr>
                <w:rFonts w:hint="eastAsia" w:ascii="仿宋_GB2312" w:hAnsi="仿宋_GB2312" w:eastAsia="仿宋_GB2312" w:cs="仿宋_GB2312"/>
                <w:i w:val="0"/>
                <w:iCs w:val="0"/>
                <w:color w:val="000000"/>
                <w:sz w:val="18"/>
                <w:szCs w:val="18"/>
                <w:u w:val="none"/>
              </w:rPr>
            </w:pPr>
          </w:p>
        </w:tc>
        <w:tc>
          <w:tcPr>
            <w:tcW w:w="2281" w:type="dxa"/>
            <w:gridSpan w:val="2"/>
            <w:tcBorders>
              <w:top w:val="single" w:color="000000" w:sz="4" w:space="0"/>
              <w:left w:val="single" w:color="000000" w:sz="4" w:space="0"/>
              <w:bottom w:val="nil"/>
              <w:right w:val="single" w:color="000000" w:sz="4" w:space="0"/>
            </w:tcBorders>
            <w:shd w:val="clear" w:color="auto" w:fill="auto"/>
            <w:vAlign w:val="center"/>
          </w:tcPr>
          <w:p w14:paraId="6C8CD110">
            <w:pPr>
              <w:jc w:val="center"/>
              <w:rPr>
                <w:rFonts w:hint="eastAsia" w:ascii="仿宋_GB2312" w:hAnsi="仿宋_GB2312" w:eastAsia="仿宋_GB2312" w:cs="仿宋_GB2312"/>
                <w:i w:val="0"/>
                <w:iCs w:val="0"/>
                <w:color w:val="000000"/>
                <w:sz w:val="18"/>
                <w:szCs w:val="18"/>
                <w:u w:val="none"/>
              </w:rPr>
            </w:pPr>
          </w:p>
        </w:tc>
        <w:tc>
          <w:tcPr>
            <w:tcW w:w="17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BEE50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13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7E7AE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6C26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12FD49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E52191">
            <w:pPr>
              <w:jc w:val="center"/>
              <w:rPr>
                <w:rFonts w:hint="eastAsia" w:ascii="仿宋_GB2312" w:hAnsi="仿宋_GB2312" w:eastAsia="仿宋_GB2312" w:cs="仿宋_GB2312"/>
                <w:i w:val="0"/>
                <w:iCs w:val="0"/>
                <w:color w:val="000000"/>
                <w:sz w:val="18"/>
                <w:szCs w:val="18"/>
                <w:u w:val="none"/>
              </w:rPr>
            </w:pPr>
          </w:p>
        </w:tc>
        <w:tc>
          <w:tcPr>
            <w:tcW w:w="22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156D78">
            <w:pPr>
              <w:jc w:val="center"/>
              <w:rPr>
                <w:rFonts w:hint="eastAsia" w:ascii="仿宋_GB2312" w:hAnsi="仿宋_GB2312" w:eastAsia="仿宋_GB2312" w:cs="仿宋_GB2312"/>
                <w:i w:val="0"/>
                <w:iCs w:val="0"/>
                <w:color w:val="000000"/>
                <w:sz w:val="18"/>
                <w:szCs w:val="18"/>
                <w:u w:val="none"/>
              </w:rPr>
            </w:pP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E94DB">
            <w:pPr>
              <w:jc w:val="center"/>
            </w:pP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301996">
            <w:pPr>
              <w:jc w:val="center"/>
            </w:pPr>
          </w:p>
        </w:tc>
        <w:tc>
          <w:tcPr>
            <w:tcW w:w="22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53E8A4">
            <w:pPr>
              <w:jc w:val="center"/>
            </w:pPr>
          </w:p>
        </w:tc>
        <w:tc>
          <w:tcPr>
            <w:tcW w:w="17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9406C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13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7BF05D">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987E1">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w:t>
            </w:r>
          </w:p>
        </w:tc>
      </w:tr>
      <w:tr w14:paraId="33D451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11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5F624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658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27C3AD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预期目标</w:t>
            </w:r>
          </w:p>
        </w:tc>
        <w:tc>
          <w:tcPr>
            <w:tcW w:w="648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87B5E7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78BFEC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1EFAEF">
            <w:pPr>
              <w:jc w:val="center"/>
              <w:rPr>
                <w:rFonts w:hint="eastAsia" w:ascii="仿宋_GB2312" w:hAnsi="仿宋_GB2312" w:eastAsia="仿宋_GB2312" w:cs="仿宋_GB2312"/>
                <w:i w:val="0"/>
                <w:iCs w:val="0"/>
                <w:color w:val="000000"/>
                <w:sz w:val="18"/>
                <w:szCs w:val="18"/>
                <w:u w:val="none"/>
                <w:lang w:val="en-US" w:eastAsia="zh-CN"/>
              </w:rPr>
            </w:pPr>
          </w:p>
        </w:tc>
        <w:tc>
          <w:tcPr>
            <w:tcW w:w="6583" w:type="dxa"/>
            <w:gridSpan w:val="6"/>
            <w:tcBorders>
              <w:top w:val="single" w:color="000000" w:sz="4" w:space="0"/>
              <w:left w:val="single" w:color="000000" w:sz="4" w:space="0"/>
              <w:bottom w:val="single" w:color="000000" w:sz="4" w:space="0"/>
              <w:right w:val="single" w:color="000000" w:sz="4" w:space="0"/>
            </w:tcBorders>
            <w:shd w:val="clear" w:color="auto" w:fill="auto"/>
            <w:vAlign w:val="top"/>
          </w:tcPr>
          <w:p w14:paraId="5731B9C3">
            <w:pPr>
              <w:keepNext w:val="0"/>
              <w:keepLines w:val="0"/>
              <w:widowControl/>
              <w:suppressLineNumbers w:val="0"/>
              <w:jc w:val="left"/>
              <w:textAlignment w:val="top"/>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发放大学生志愿者西部计划新疆专项志愿者工作生活补贴，办理志愿者基本养老保险及基本医疗保险，为志愿者更好的在疆开展志愿服务提供有力保障，大学生志愿服务西部计划服务领域不断拓展，管理服务进一步完善，社会各界广泛关注，有效服务大局、服务社会，服务青年，为新疆社会稳定和长治久安贡献青春力量。</w:t>
            </w:r>
          </w:p>
        </w:tc>
        <w:tc>
          <w:tcPr>
            <w:tcW w:w="6487" w:type="dxa"/>
            <w:gridSpan w:val="7"/>
            <w:tcBorders>
              <w:top w:val="single" w:color="000000" w:sz="4" w:space="0"/>
              <w:left w:val="single" w:color="000000" w:sz="4" w:space="0"/>
              <w:bottom w:val="single" w:color="000000" w:sz="4" w:space="0"/>
              <w:right w:val="single" w:color="000000" w:sz="4" w:space="0"/>
            </w:tcBorders>
            <w:shd w:val="clear" w:color="auto" w:fill="auto"/>
            <w:vAlign w:val="top"/>
          </w:tcPr>
          <w:p w14:paraId="1B497BEC">
            <w:pPr>
              <w:keepNext w:val="0"/>
              <w:keepLines w:val="0"/>
              <w:widowControl/>
              <w:suppressLineNumbers w:val="0"/>
              <w:jc w:val="left"/>
              <w:textAlignment w:val="top"/>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为西部计划志愿者缴纳基本养老保险和基本医疗保险，按时按要求为在岗西部计划志愿者发放工作生活补贴，进一步确保西部计划志愿者在基层工作中充满动力和干劲，组织西部计划志愿者参加各类志愿服务活动，并取得较好效果，在各项西部计划志愿者活动中，获得社会各界广泛关注。</w:t>
            </w:r>
          </w:p>
        </w:tc>
      </w:tr>
      <w:tr w14:paraId="40405E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B761A">
            <w:pPr>
              <w:jc w:val="center"/>
              <w:rPr>
                <w:rFonts w:hint="eastAsia" w:ascii="仿宋_GB2312" w:hAnsi="仿宋_GB2312" w:eastAsia="仿宋_GB2312" w:cs="仿宋_GB2312"/>
                <w:i w:val="0"/>
                <w:iCs w:val="0"/>
                <w:color w:val="000000"/>
                <w:sz w:val="18"/>
                <w:szCs w:val="18"/>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9176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一级指标</w:t>
            </w:r>
          </w:p>
        </w:tc>
        <w:tc>
          <w:tcPr>
            <w:tcW w:w="1117" w:type="dxa"/>
            <w:tcBorders>
              <w:top w:val="single" w:color="000000" w:sz="4" w:space="0"/>
              <w:left w:val="single" w:color="000000" w:sz="4" w:space="0"/>
              <w:bottom w:val="nil"/>
              <w:right w:val="single" w:color="000000" w:sz="4" w:space="0"/>
            </w:tcBorders>
            <w:shd w:val="clear" w:color="auto" w:fill="auto"/>
            <w:noWrap/>
            <w:vAlign w:val="center"/>
          </w:tcPr>
          <w:p w14:paraId="34FF4C1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二级指标</w:t>
            </w:r>
          </w:p>
        </w:tc>
        <w:tc>
          <w:tcPr>
            <w:tcW w:w="2808" w:type="dxa"/>
            <w:gridSpan w:val="3"/>
            <w:tcBorders>
              <w:top w:val="single" w:color="000000" w:sz="4" w:space="0"/>
              <w:left w:val="nil"/>
              <w:bottom w:val="single" w:color="000000" w:sz="4" w:space="0"/>
              <w:right w:val="single" w:color="000000" w:sz="4" w:space="0"/>
            </w:tcBorders>
            <w:shd w:val="clear" w:color="auto" w:fill="auto"/>
            <w:vAlign w:val="center"/>
          </w:tcPr>
          <w:p w14:paraId="737CA42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三级指标</w:t>
            </w: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DF0E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年度指标值</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BE88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实际完成值</w:t>
            </w:r>
          </w:p>
        </w:tc>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F7F0E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分值</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15F0C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得分</w:t>
            </w:r>
          </w:p>
        </w:tc>
        <w:tc>
          <w:tcPr>
            <w:tcW w:w="1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15965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偏差原因分析及改进措施</w:t>
            </w:r>
          </w:p>
        </w:tc>
      </w:tr>
      <w:tr w14:paraId="2D5F0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F5A7A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110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86F5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产出指标</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E3E1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数量指标</w:t>
            </w:r>
          </w:p>
        </w:tc>
        <w:tc>
          <w:tcPr>
            <w:tcW w:w="28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EB7915C">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发放志愿者工作生活补贴（人）</w:t>
            </w: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7D6A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&gt;=17人</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7208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=17人</w:t>
            </w:r>
          </w:p>
        </w:tc>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96777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4</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4296F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4</w:t>
            </w:r>
          </w:p>
        </w:tc>
        <w:tc>
          <w:tcPr>
            <w:tcW w:w="1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FDFD54">
            <w:pPr>
              <w:jc w:val="center"/>
              <w:rPr>
                <w:rFonts w:hint="eastAsia" w:ascii="仿宋_GB2312" w:hAnsi="仿宋_GB2312" w:eastAsia="仿宋_GB2312" w:cs="仿宋_GB2312"/>
                <w:i w:val="0"/>
                <w:iCs w:val="0"/>
                <w:color w:val="000000"/>
                <w:sz w:val="18"/>
                <w:szCs w:val="18"/>
                <w:u w:val="none"/>
              </w:rPr>
            </w:pPr>
          </w:p>
        </w:tc>
      </w:tr>
      <w:tr w14:paraId="6BC8BF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1CFB7">
            <w:pPr>
              <w:jc w:val="center"/>
              <w:rPr>
                <w:rFonts w:hint="eastAsia" w:ascii="仿宋_GB2312" w:hAnsi="仿宋_GB2312" w:eastAsia="仿宋_GB2312" w:cs="仿宋_GB2312"/>
                <w:i w:val="0"/>
                <w:iCs w:val="0"/>
                <w:color w:val="000000"/>
                <w:sz w:val="18"/>
                <w:szCs w:val="18"/>
                <w:u w:val="none"/>
              </w:rPr>
            </w:pPr>
          </w:p>
        </w:tc>
        <w:tc>
          <w:tcPr>
            <w:tcW w:w="110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1A862">
            <w:pPr>
              <w:jc w:val="center"/>
              <w:rPr>
                <w:rFonts w:hint="eastAsia" w:ascii="仿宋_GB2312" w:hAnsi="仿宋_GB2312" w:eastAsia="仿宋_GB2312" w:cs="仿宋_GB2312"/>
                <w:i w:val="0"/>
                <w:iCs w:val="0"/>
                <w:color w:val="000000"/>
                <w:sz w:val="18"/>
                <w:szCs w:val="18"/>
                <w:u w:val="none"/>
              </w:rPr>
            </w:pPr>
          </w:p>
        </w:tc>
        <w:tc>
          <w:tcPr>
            <w:tcW w:w="1117" w:type="dxa"/>
            <w:tcBorders>
              <w:top w:val="single" w:color="000000" w:sz="4" w:space="0"/>
              <w:left w:val="single" w:color="000000" w:sz="4" w:space="0"/>
              <w:bottom w:val="nil"/>
              <w:right w:val="single" w:color="000000" w:sz="4" w:space="0"/>
            </w:tcBorders>
            <w:shd w:val="clear" w:color="auto" w:fill="auto"/>
            <w:noWrap/>
            <w:vAlign w:val="center"/>
          </w:tcPr>
          <w:p w14:paraId="0530DFA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数量指标</w:t>
            </w:r>
          </w:p>
        </w:tc>
        <w:tc>
          <w:tcPr>
            <w:tcW w:w="28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046DEA8">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发放志愿者艰苦地区津贴</w:t>
            </w: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59D9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&gt;=17人</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5454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=17人</w:t>
            </w:r>
          </w:p>
        </w:tc>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F3ABB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4</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21A10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4</w:t>
            </w:r>
          </w:p>
        </w:tc>
        <w:tc>
          <w:tcPr>
            <w:tcW w:w="1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959C81">
            <w:pPr>
              <w:jc w:val="center"/>
              <w:rPr>
                <w:rFonts w:hint="eastAsia" w:ascii="仿宋_GB2312" w:hAnsi="仿宋_GB2312" w:eastAsia="仿宋_GB2312" w:cs="仿宋_GB2312"/>
                <w:b/>
                <w:bCs/>
                <w:i w:val="0"/>
                <w:iCs w:val="0"/>
                <w:color w:val="000000"/>
                <w:sz w:val="18"/>
                <w:szCs w:val="18"/>
                <w:u w:val="none"/>
              </w:rPr>
            </w:pPr>
          </w:p>
        </w:tc>
      </w:tr>
      <w:tr w14:paraId="53658F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B3FD6">
            <w:pPr>
              <w:jc w:val="center"/>
              <w:rPr>
                <w:rFonts w:hint="eastAsia" w:ascii="仿宋_GB2312" w:hAnsi="仿宋_GB2312" w:eastAsia="仿宋_GB2312" w:cs="仿宋_GB2312"/>
                <w:i w:val="0"/>
                <w:iCs w:val="0"/>
                <w:color w:val="000000"/>
                <w:sz w:val="18"/>
                <w:szCs w:val="18"/>
                <w:u w:val="none"/>
              </w:rPr>
            </w:pPr>
          </w:p>
        </w:tc>
        <w:tc>
          <w:tcPr>
            <w:tcW w:w="11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DD4F6E">
            <w:pPr>
              <w:jc w:val="center"/>
              <w:rPr>
                <w:rFonts w:hint="default" w:ascii="仿宋_GB2312" w:hAnsi="仿宋_GB2312" w:eastAsia="仿宋_GB2312" w:cs="仿宋_GB2312"/>
                <w:i w:val="0"/>
                <w:iCs w:val="0"/>
                <w:color w:val="000000"/>
                <w:sz w:val="18"/>
                <w:szCs w:val="18"/>
                <w:u w:val="none"/>
                <w:lang w:val="en-US" w:eastAsia="zh-CN"/>
              </w:rPr>
            </w:pPr>
          </w:p>
        </w:tc>
        <w:tc>
          <w:tcPr>
            <w:tcW w:w="1117" w:type="dxa"/>
            <w:tcBorders>
              <w:top w:val="single" w:color="000000" w:sz="4" w:space="0"/>
              <w:left w:val="single" w:color="000000" w:sz="4" w:space="0"/>
              <w:bottom w:val="nil"/>
              <w:right w:val="single" w:color="000000" w:sz="4" w:space="0"/>
            </w:tcBorders>
            <w:shd w:val="clear" w:color="auto" w:fill="auto"/>
            <w:noWrap/>
            <w:vAlign w:val="center"/>
          </w:tcPr>
          <w:p w14:paraId="1EAFAEC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red"/>
                <w:u w:val="none"/>
                <w:lang w:val="en-US" w:eastAsia="zh-CN" w:bidi="ar"/>
              </w:rPr>
            </w:pPr>
            <w:r>
              <w:rPr>
                <w:rFonts w:hint="eastAsia" w:ascii="宋体" w:hAnsi="宋体" w:eastAsia="宋体" w:cs="宋体"/>
                <w:i w:val="0"/>
                <w:iCs w:val="0"/>
                <w:color w:val="000000"/>
                <w:kern w:val="0"/>
                <w:sz w:val="20"/>
                <w:szCs w:val="20"/>
                <w:u w:val="none"/>
                <w:lang w:val="en-US" w:eastAsia="zh-CN" w:bidi="ar"/>
              </w:rPr>
              <w:t>数量指标</w:t>
            </w:r>
          </w:p>
        </w:tc>
        <w:tc>
          <w:tcPr>
            <w:tcW w:w="28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D1B8D0E">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发放志愿者交通补贴</w:t>
            </w:r>
          </w:p>
        </w:tc>
        <w:tc>
          <w:tcPr>
            <w:tcW w:w="1553" w:type="dxa"/>
            <w:tcBorders>
              <w:top w:val="single" w:color="000000" w:sz="4" w:space="0"/>
              <w:left w:val="single" w:color="000000" w:sz="4" w:space="0"/>
              <w:bottom w:val="nil"/>
              <w:right w:val="single" w:color="000000" w:sz="4" w:space="0"/>
            </w:tcBorders>
            <w:shd w:val="clear" w:color="auto" w:fill="auto"/>
            <w:vAlign w:val="center"/>
          </w:tcPr>
          <w:p w14:paraId="1D49BD8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&gt;=17人</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2E78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=17人</w:t>
            </w:r>
          </w:p>
        </w:tc>
        <w:tc>
          <w:tcPr>
            <w:tcW w:w="1706" w:type="dxa"/>
            <w:gridSpan w:val="2"/>
            <w:tcBorders>
              <w:top w:val="single" w:color="000000" w:sz="4" w:space="0"/>
              <w:left w:val="single" w:color="000000" w:sz="4" w:space="0"/>
              <w:bottom w:val="nil"/>
              <w:right w:val="single" w:color="000000" w:sz="4" w:space="0"/>
            </w:tcBorders>
            <w:shd w:val="clear" w:color="auto" w:fill="auto"/>
            <w:vAlign w:val="center"/>
          </w:tcPr>
          <w:p w14:paraId="35A1DE8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4</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20102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4</w:t>
            </w:r>
          </w:p>
        </w:tc>
        <w:tc>
          <w:tcPr>
            <w:tcW w:w="1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109A87">
            <w:pPr>
              <w:jc w:val="center"/>
              <w:rPr>
                <w:rFonts w:hint="eastAsia" w:ascii="仿宋_GB2312" w:hAnsi="仿宋_GB2312" w:eastAsia="仿宋_GB2312" w:cs="仿宋_GB2312"/>
                <w:i w:val="0"/>
                <w:iCs w:val="0"/>
                <w:color w:val="000000"/>
                <w:sz w:val="18"/>
                <w:szCs w:val="18"/>
                <w:u w:val="none"/>
              </w:rPr>
            </w:pPr>
          </w:p>
        </w:tc>
      </w:tr>
      <w:tr w14:paraId="0760E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9CC39">
            <w:pPr>
              <w:jc w:val="center"/>
              <w:rPr>
                <w:rFonts w:hint="eastAsia" w:ascii="仿宋_GB2312" w:hAnsi="仿宋_GB2312" w:eastAsia="仿宋_GB2312" w:cs="仿宋_GB2312"/>
                <w:i w:val="0"/>
                <w:iCs w:val="0"/>
                <w:color w:val="000000"/>
                <w:sz w:val="18"/>
                <w:szCs w:val="18"/>
                <w:u w:val="none"/>
              </w:rPr>
            </w:pPr>
          </w:p>
        </w:tc>
        <w:tc>
          <w:tcPr>
            <w:tcW w:w="11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E69AF4">
            <w:pPr>
              <w:jc w:val="center"/>
              <w:rPr>
                <w:rFonts w:hint="eastAsia" w:ascii="仿宋_GB2312" w:hAnsi="仿宋_GB2312" w:eastAsia="仿宋_GB2312" w:cs="仿宋_GB2312"/>
                <w:i w:val="0"/>
                <w:iCs w:val="0"/>
                <w:color w:val="000000"/>
                <w:sz w:val="18"/>
                <w:szCs w:val="18"/>
                <w:u w:val="none"/>
              </w:rPr>
            </w:pP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1C52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数量指标</w:t>
            </w:r>
          </w:p>
        </w:tc>
        <w:tc>
          <w:tcPr>
            <w:tcW w:w="28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7D553D5">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缴纳志愿者养老保险人数</w:t>
            </w: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7BBC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&gt;=17人</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D9C1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=17人</w:t>
            </w:r>
          </w:p>
        </w:tc>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271CC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4</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18723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4</w:t>
            </w:r>
          </w:p>
        </w:tc>
        <w:tc>
          <w:tcPr>
            <w:tcW w:w="1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20FBF4">
            <w:pPr>
              <w:jc w:val="center"/>
              <w:rPr>
                <w:rFonts w:hint="eastAsia" w:ascii="仿宋_GB2312" w:hAnsi="仿宋_GB2312" w:eastAsia="仿宋_GB2312" w:cs="仿宋_GB2312"/>
                <w:i w:val="0"/>
                <w:iCs w:val="0"/>
                <w:color w:val="000000"/>
                <w:sz w:val="18"/>
                <w:szCs w:val="18"/>
                <w:u w:val="none"/>
              </w:rPr>
            </w:pPr>
          </w:p>
        </w:tc>
      </w:tr>
      <w:tr w14:paraId="0A0E54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3E519">
            <w:pPr>
              <w:jc w:val="center"/>
              <w:rPr>
                <w:rFonts w:hint="eastAsia" w:ascii="仿宋_GB2312" w:hAnsi="仿宋_GB2312" w:eastAsia="仿宋_GB2312" w:cs="仿宋_GB2312"/>
                <w:i w:val="0"/>
                <w:iCs w:val="0"/>
                <w:color w:val="000000"/>
                <w:sz w:val="18"/>
                <w:szCs w:val="18"/>
                <w:u w:val="none"/>
              </w:rPr>
            </w:pPr>
          </w:p>
        </w:tc>
        <w:tc>
          <w:tcPr>
            <w:tcW w:w="11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8301F8">
            <w:pPr>
              <w:jc w:val="center"/>
              <w:rPr>
                <w:rFonts w:hint="eastAsia" w:ascii="仿宋_GB2312" w:hAnsi="仿宋_GB2312" w:eastAsia="仿宋_GB2312" w:cs="仿宋_GB2312"/>
                <w:i w:val="0"/>
                <w:iCs w:val="0"/>
                <w:color w:val="000000"/>
                <w:sz w:val="18"/>
                <w:szCs w:val="18"/>
                <w:u w:val="none"/>
              </w:rPr>
            </w:pP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4DDF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数量指标</w:t>
            </w:r>
          </w:p>
        </w:tc>
        <w:tc>
          <w:tcPr>
            <w:tcW w:w="28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87A4F19">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缴纳志愿者基本医疗保险人数</w:t>
            </w: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0137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&gt;=17人</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C843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=17人</w:t>
            </w:r>
          </w:p>
        </w:tc>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4776F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4</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491AF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4</w:t>
            </w:r>
          </w:p>
        </w:tc>
        <w:tc>
          <w:tcPr>
            <w:tcW w:w="1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2EC003">
            <w:pPr>
              <w:jc w:val="center"/>
              <w:rPr>
                <w:rFonts w:hint="eastAsia" w:ascii="仿宋_GB2312" w:hAnsi="仿宋_GB2312" w:eastAsia="仿宋_GB2312" w:cs="仿宋_GB2312"/>
                <w:i w:val="0"/>
                <w:iCs w:val="0"/>
                <w:color w:val="000000"/>
                <w:sz w:val="18"/>
                <w:szCs w:val="18"/>
                <w:u w:val="none"/>
              </w:rPr>
            </w:pPr>
          </w:p>
        </w:tc>
      </w:tr>
      <w:tr w14:paraId="3F453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8DF70">
            <w:pPr>
              <w:jc w:val="center"/>
              <w:rPr>
                <w:rFonts w:hint="eastAsia" w:ascii="仿宋_GB2312" w:hAnsi="仿宋_GB2312" w:eastAsia="仿宋_GB2312" w:cs="仿宋_GB2312"/>
                <w:i w:val="0"/>
                <w:iCs w:val="0"/>
                <w:color w:val="000000"/>
                <w:sz w:val="18"/>
                <w:szCs w:val="18"/>
                <w:u w:val="none"/>
              </w:rPr>
            </w:pPr>
          </w:p>
        </w:tc>
        <w:tc>
          <w:tcPr>
            <w:tcW w:w="11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368D8F">
            <w:pPr>
              <w:jc w:val="center"/>
              <w:rPr>
                <w:rFonts w:hint="eastAsia" w:ascii="仿宋_GB2312" w:hAnsi="仿宋_GB2312" w:eastAsia="仿宋_GB2312" w:cs="仿宋_GB2312"/>
                <w:i w:val="0"/>
                <w:iCs w:val="0"/>
                <w:color w:val="000000"/>
                <w:sz w:val="18"/>
                <w:szCs w:val="18"/>
                <w:u w:val="none"/>
              </w:rPr>
            </w:pP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6731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数量指标</w:t>
            </w:r>
          </w:p>
        </w:tc>
        <w:tc>
          <w:tcPr>
            <w:tcW w:w="28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3976ABF">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购买志愿者意外伤害保险(人）</w:t>
            </w: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C98F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&gt;=17人</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64E3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=17人</w:t>
            </w:r>
          </w:p>
        </w:tc>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59E12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4</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5C940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4</w:t>
            </w:r>
          </w:p>
        </w:tc>
        <w:tc>
          <w:tcPr>
            <w:tcW w:w="1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066F98">
            <w:pPr>
              <w:jc w:val="center"/>
              <w:rPr>
                <w:rFonts w:hint="eastAsia" w:ascii="仿宋_GB2312" w:hAnsi="仿宋_GB2312" w:eastAsia="仿宋_GB2312" w:cs="仿宋_GB2312"/>
                <w:i w:val="0"/>
                <w:iCs w:val="0"/>
                <w:color w:val="000000"/>
                <w:sz w:val="18"/>
                <w:szCs w:val="18"/>
                <w:u w:val="none"/>
              </w:rPr>
            </w:pPr>
          </w:p>
        </w:tc>
      </w:tr>
      <w:tr w14:paraId="384913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9AD0E">
            <w:pPr>
              <w:jc w:val="center"/>
              <w:rPr>
                <w:rFonts w:hint="eastAsia" w:ascii="仿宋_GB2312" w:hAnsi="仿宋_GB2312" w:eastAsia="仿宋_GB2312" w:cs="仿宋_GB2312"/>
                <w:i w:val="0"/>
                <w:iCs w:val="0"/>
                <w:color w:val="000000"/>
                <w:sz w:val="18"/>
                <w:szCs w:val="18"/>
                <w:u w:val="none"/>
              </w:rPr>
            </w:pPr>
          </w:p>
        </w:tc>
        <w:tc>
          <w:tcPr>
            <w:tcW w:w="11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DA61FB">
            <w:pPr>
              <w:jc w:val="center"/>
              <w:rPr>
                <w:rFonts w:hint="eastAsia" w:ascii="仿宋_GB2312" w:hAnsi="仿宋_GB2312" w:eastAsia="仿宋_GB2312" w:cs="仿宋_GB2312"/>
                <w:i w:val="0"/>
                <w:iCs w:val="0"/>
                <w:color w:val="000000"/>
                <w:sz w:val="18"/>
                <w:szCs w:val="18"/>
                <w:u w:val="none"/>
              </w:rPr>
            </w:pP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4C5F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数量指标</w:t>
            </w:r>
          </w:p>
        </w:tc>
        <w:tc>
          <w:tcPr>
            <w:tcW w:w="28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04319FD">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发放志愿者单位补贴</w:t>
            </w:r>
          </w:p>
        </w:tc>
        <w:tc>
          <w:tcPr>
            <w:tcW w:w="1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74C6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&gt;=134人</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3E2B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=134人</w:t>
            </w:r>
          </w:p>
        </w:tc>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F52F2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2</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C0184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2</w:t>
            </w:r>
          </w:p>
        </w:tc>
        <w:tc>
          <w:tcPr>
            <w:tcW w:w="1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8404CE">
            <w:pPr>
              <w:jc w:val="center"/>
              <w:rPr>
                <w:rFonts w:hint="eastAsia" w:ascii="仿宋_GB2312" w:hAnsi="仿宋_GB2312" w:eastAsia="仿宋_GB2312" w:cs="仿宋_GB2312"/>
                <w:i w:val="0"/>
                <w:iCs w:val="0"/>
                <w:color w:val="000000"/>
                <w:sz w:val="18"/>
                <w:szCs w:val="18"/>
                <w:u w:val="none"/>
              </w:rPr>
            </w:pPr>
          </w:p>
        </w:tc>
      </w:tr>
      <w:tr w14:paraId="79D9A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nil"/>
            </w:tcBorders>
            <w:shd w:val="clear" w:color="auto" w:fill="auto"/>
            <w:vAlign w:val="center"/>
          </w:tcPr>
          <w:p w14:paraId="16F746C4">
            <w:pPr>
              <w:jc w:val="center"/>
              <w:rPr>
                <w:rFonts w:hint="eastAsia" w:ascii="仿宋_GB2312" w:hAnsi="仿宋_GB2312" w:eastAsia="仿宋_GB2312" w:cs="仿宋_GB2312"/>
                <w:i w:val="0"/>
                <w:iCs w:val="0"/>
                <w:color w:val="000000"/>
                <w:sz w:val="18"/>
                <w:szCs w:val="18"/>
                <w:u w:val="none"/>
              </w:rPr>
            </w:pPr>
          </w:p>
        </w:tc>
        <w:tc>
          <w:tcPr>
            <w:tcW w:w="1105" w:type="dxa"/>
            <w:vMerge w:val="continue"/>
            <w:tcBorders>
              <w:top w:val="single" w:color="000000" w:sz="4" w:space="0"/>
              <w:left w:val="single" w:color="000000" w:sz="4" w:space="0"/>
              <w:bottom w:val="single" w:color="000000" w:sz="4" w:space="0"/>
              <w:right w:val="nil"/>
            </w:tcBorders>
            <w:shd w:val="clear" w:color="auto" w:fill="auto"/>
            <w:vAlign w:val="center"/>
          </w:tcPr>
          <w:p w14:paraId="4E9F52CF">
            <w:pPr>
              <w:jc w:val="center"/>
            </w:pPr>
          </w:p>
        </w:tc>
        <w:tc>
          <w:tcPr>
            <w:tcW w:w="1117" w:type="dxa"/>
            <w:tcBorders>
              <w:top w:val="single" w:color="000000" w:sz="4" w:space="0"/>
              <w:left w:val="single" w:color="000000" w:sz="4" w:space="0"/>
              <w:bottom w:val="single" w:color="000000" w:sz="4" w:space="0"/>
              <w:right w:val="nil"/>
            </w:tcBorders>
            <w:shd w:val="clear" w:color="auto" w:fill="auto"/>
            <w:vAlign w:val="center"/>
          </w:tcPr>
          <w:p w14:paraId="3287DBED">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数量指标</w:t>
            </w:r>
          </w:p>
        </w:tc>
        <w:tc>
          <w:tcPr>
            <w:tcW w:w="2808" w:type="dxa"/>
            <w:gridSpan w:val="3"/>
            <w:tcBorders>
              <w:top w:val="single" w:color="000000" w:sz="4" w:space="0"/>
              <w:left w:val="single" w:color="000000" w:sz="4" w:space="0"/>
              <w:bottom w:val="single" w:color="000000" w:sz="4" w:space="0"/>
              <w:right w:val="nil"/>
            </w:tcBorders>
            <w:shd w:val="clear" w:color="auto" w:fill="auto"/>
            <w:vAlign w:val="center"/>
          </w:tcPr>
          <w:p w14:paraId="7E83B546">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慰问西部计划志愿者</w:t>
            </w:r>
          </w:p>
        </w:tc>
        <w:tc>
          <w:tcPr>
            <w:tcW w:w="1553" w:type="dxa"/>
            <w:tcBorders>
              <w:top w:val="single" w:color="000000" w:sz="4" w:space="0"/>
              <w:left w:val="nil"/>
              <w:bottom w:val="single" w:color="000000" w:sz="4" w:space="0"/>
              <w:right w:val="single" w:color="000000" w:sz="4" w:space="0"/>
            </w:tcBorders>
            <w:shd w:val="clear" w:color="auto" w:fill="auto"/>
            <w:vAlign w:val="center"/>
          </w:tcPr>
          <w:p w14:paraId="052D262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&gt;=1场次</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4A62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=1场次</w:t>
            </w:r>
          </w:p>
        </w:tc>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1A2CD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2</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ACDE4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2</w:t>
            </w:r>
          </w:p>
        </w:tc>
        <w:tc>
          <w:tcPr>
            <w:tcW w:w="1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C2DD71">
            <w:pPr>
              <w:jc w:val="center"/>
              <w:rPr>
                <w:rFonts w:hint="eastAsia" w:ascii="仿宋_GB2312" w:hAnsi="仿宋_GB2312" w:eastAsia="仿宋_GB2312" w:cs="仿宋_GB2312"/>
                <w:i w:val="0"/>
                <w:iCs w:val="0"/>
                <w:color w:val="000000"/>
                <w:sz w:val="18"/>
                <w:szCs w:val="18"/>
                <w:u w:val="none"/>
              </w:rPr>
            </w:pPr>
          </w:p>
        </w:tc>
      </w:tr>
      <w:tr w14:paraId="491150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nil"/>
            </w:tcBorders>
            <w:shd w:val="clear" w:color="auto" w:fill="auto"/>
            <w:vAlign w:val="center"/>
          </w:tcPr>
          <w:p w14:paraId="73EEA21A">
            <w:pPr>
              <w:jc w:val="center"/>
              <w:rPr>
                <w:rFonts w:hint="eastAsia" w:ascii="仿宋_GB2312" w:hAnsi="仿宋_GB2312" w:eastAsia="仿宋_GB2312" w:cs="仿宋_GB2312"/>
                <w:i w:val="0"/>
                <w:iCs w:val="0"/>
                <w:color w:val="000000"/>
                <w:sz w:val="18"/>
                <w:szCs w:val="18"/>
                <w:u w:val="none"/>
              </w:rPr>
            </w:pPr>
          </w:p>
        </w:tc>
        <w:tc>
          <w:tcPr>
            <w:tcW w:w="1105" w:type="dxa"/>
            <w:vMerge w:val="continue"/>
            <w:tcBorders>
              <w:top w:val="single" w:color="000000" w:sz="4" w:space="0"/>
              <w:left w:val="single" w:color="000000" w:sz="4" w:space="0"/>
              <w:bottom w:val="single" w:color="000000" w:sz="4" w:space="0"/>
              <w:right w:val="nil"/>
            </w:tcBorders>
            <w:shd w:val="clear" w:color="auto" w:fill="auto"/>
            <w:vAlign w:val="center"/>
          </w:tcPr>
          <w:p w14:paraId="5B663C44">
            <w:pPr>
              <w:jc w:val="center"/>
            </w:pPr>
          </w:p>
        </w:tc>
        <w:tc>
          <w:tcPr>
            <w:tcW w:w="1117" w:type="dxa"/>
            <w:tcBorders>
              <w:top w:val="single" w:color="000000" w:sz="4" w:space="0"/>
              <w:left w:val="single" w:color="000000" w:sz="4" w:space="0"/>
              <w:bottom w:val="single" w:color="000000" w:sz="4" w:space="0"/>
              <w:right w:val="nil"/>
            </w:tcBorders>
            <w:shd w:val="clear" w:color="auto" w:fill="auto"/>
            <w:vAlign w:val="center"/>
          </w:tcPr>
          <w:p w14:paraId="09141B2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数量指标</w:t>
            </w:r>
          </w:p>
        </w:tc>
        <w:tc>
          <w:tcPr>
            <w:tcW w:w="2808" w:type="dxa"/>
            <w:gridSpan w:val="3"/>
            <w:tcBorders>
              <w:top w:val="single" w:color="000000" w:sz="4" w:space="0"/>
              <w:left w:val="single" w:color="000000" w:sz="4" w:space="0"/>
              <w:bottom w:val="single" w:color="000000" w:sz="4" w:space="0"/>
              <w:right w:val="nil"/>
            </w:tcBorders>
            <w:shd w:val="clear" w:color="auto" w:fill="auto"/>
            <w:vAlign w:val="center"/>
          </w:tcPr>
          <w:p w14:paraId="3B047CC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开展西部计划志愿者迎新活动</w:t>
            </w:r>
          </w:p>
        </w:tc>
        <w:tc>
          <w:tcPr>
            <w:tcW w:w="1553" w:type="dxa"/>
            <w:tcBorders>
              <w:top w:val="single" w:color="000000" w:sz="4" w:space="0"/>
              <w:left w:val="nil"/>
              <w:bottom w:val="single" w:color="000000" w:sz="4" w:space="0"/>
              <w:right w:val="single" w:color="000000" w:sz="4" w:space="0"/>
            </w:tcBorders>
            <w:shd w:val="clear" w:color="auto" w:fill="auto"/>
            <w:vAlign w:val="center"/>
          </w:tcPr>
          <w:p w14:paraId="118280D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&gt;=1场次</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C73B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=1场次</w:t>
            </w:r>
          </w:p>
        </w:tc>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7FCA4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502B7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w:t>
            </w:r>
          </w:p>
        </w:tc>
        <w:tc>
          <w:tcPr>
            <w:tcW w:w="1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251921">
            <w:pPr>
              <w:jc w:val="center"/>
              <w:rPr>
                <w:rFonts w:hint="eastAsia" w:ascii="仿宋_GB2312" w:hAnsi="仿宋_GB2312" w:eastAsia="仿宋_GB2312" w:cs="仿宋_GB2312"/>
                <w:i w:val="0"/>
                <w:iCs w:val="0"/>
                <w:color w:val="000000"/>
                <w:sz w:val="18"/>
                <w:szCs w:val="18"/>
                <w:u w:val="none"/>
              </w:rPr>
            </w:pPr>
          </w:p>
        </w:tc>
      </w:tr>
      <w:tr w14:paraId="1C30B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nil"/>
            </w:tcBorders>
            <w:shd w:val="clear" w:color="auto" w:fill="auto"/>
            <w:vAlign w:val="center"/>
          </w:tcPr>
          <w:p w14:paraId="4AEEE5D4">
            <w:pPr>
              <w:jc w:val="center"/>
              <w:rPr>
                <w:rFonts w:hint="eastAsia" w:ascii="仿宋_GB2312" w:hAnsi="仿宋_GB2312" w:eastAsia="仿宋_GB2312" w:cs="仿宋_GB2312"/>
                <w:i w:val="0"/>
                <w:iCs w:val="0"/>
                <w:color w:val="000000"/>
                <w:sz w:val="18"/>
                <w:szCs w:val="18"/>
                <w:u w:val="none"/>
              </w:rPr>
            </w:pPr>
          </w:p>
        </w:tc>
        <w:tc>
          <w:tcPr>
            <w:tcW w:w="1105" w:type="dxa"/>
            <w:vMerge w:val="continue"/>
            <w:tcBorders>
              <w:top w:val="single" w:color="000000" w:sz="4" w:space="0"/>
              <w:left w:val="single" w:color="000000" w:sz="4" w:space="0"/>
              <w:bottom w:val="single" w:color="000000" w:sz="4" w:space="0"/>
              <w:right w:val="nil"/>
            </w:tcBorders>
            <w:shd w:val="clear" w:color="auto" w:fill="auto"/>
            <w:vAlign w:val="center"/>
          </w:tcPr>
          <w:p w14:paraId="5FF5848F">
            <w:pPr>
              <w:jc w:val="center"/>
            </w:pPr>
          </w:p>
        </w:tc>
        <w:tc>
          <w:tcPr>
            <w:tcW w:w="1117" w:type="dxa"/>
            <w:tcBorders>
              <w:top w:val="single" w:color="000000" w:sz="4" w:space="0"/>
              <w:left w:val="single" w:color="000000" w:sz="4" w:space="0"/>
              <w:bottom w:val="single" w:color="000000" w:sz="4" w:space="0"/>
              <w:right w:val="nil"/>
            </w:tcBorders>
            <w:shd w:val="clear" w:color="auto" w:fill="auto"/>
            <w:vAlign w:val="center"/>
          </w:tcPr>
          <w:p w14:paraId="7ADEF92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质量指标</w:t>
            </w:r>
          </w:p>
        </w:tc>
        <w:tc>
          <w:tcPr>
            <w:tcW w:w="2808" w:type="dxa"/>
            <w:gridSpan w:val="3"/>
            <w:tcBorders>
              <w:top w:val="single" w:color="000000" w:sz="4" w:space="0"/>
              <w:left w:val="single" w:color="000000" w:sz="4" w:space="0"/>
              <w:bottom w:val="single" w:color="000000" w:sz="4" w:space="0"/>
              <w:right w:val="nil"/>
            </w:tcBorders>
            <w:shd w:val="clear" w:color="auto" w:fill="auto"/>
            <w:vAlign w:val="center"/>
          </w:tcPr>
          <w:p w14:paraId="3411631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补助资金发放率</w:t>
            </w:r>
          </w:p>
        </w:tc>
        <w:tc>
          <w:tcPr>
            <w:tcW w:w="1553" w:type="dxa"/>
            <w:tcBorders>
              <w:top w:val="single" w:color="000000" w:sz="4" w:space="0"/>
              <w:left w:val="nil"/>
              <w:bottom w:val="single" w:color="000000" w:sz="4" w:space="0"/>
              <w:right w:val="single" w:color="000000" w:sz="4" w:space="0"/>
            </w:tcBorders>
            <w:shd w:val="clear" w:color="auto" w:fill="auto"/>
            <w:vAlign w:val="center"/>
          </w:tcPr>
          <w:p w14:paraId="229FA0D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=100%</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ECAA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=96.97%</w:t>
            </w:r>
          </w:p>
        </w:tc>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30F8E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7E1CF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w:t>
            </w:r>
          </w:p>
        </w:tc>
        <w:tc>
          <w:tcPr>
            <w:tcW w:w="1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1070D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按照自治州团委要求，10月减少州级项目西部计划志愿者10人，故产生偏差；改进措施：在以后工作中，积极对接上级单位，减少偏差</w:t>
            </w:r>
          </w:p>
        </w:tc>
      </w:tr>
      <w:tr w14:paraId="715B32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nil"/>
            </w:tcBorders>
            <w:shd w:val="clear" w:color="auto" w:fill="auto"/>
            <w:vAlign w:val="center"/>
          </w:tcPr>
          <w:p w14:paraId="446E2DA1">
            <w:pPr>
              <w:jc w:val="center"/>
              <w:rPr>
                <w:rFonts w:hint="eastAsia" w:ascii="仿宋_GB2312" w:hAnsi="仿宋_GB2312" w:eastAsia="仿宋_GB2312" w:cs="仿宋_GB2312"/>
                <w:i w:val="0"/>
                <w:iCs w:val="0"/>
                <w:color w:val="000000"/>
                <w:sz w:val="18"/>
                <w:szCs w:val="18"/>
                <w:u w:val="none"/>
              </w:rPr>
            </w:pPr>
          </w:p>
        </w:tc>
        <w:tc>
          <w:tcPr>
            <w:tcW w:w="1105" w:type="dxa"/>
            <w:vMerge w:val="continue"/>
            <w:tcBorders>
              <w:top w:val="single" w:color="000000" w:sz="4" w:space="0"/>
              <w:left w:val="single" w:color="000000" w:sz="4" w:space="0"/>
              <w:bottom w:val="single" w:color="000000" w:sz="4" w:space="0"/>
              <w:right w:val="nil"/>
            </w:tcBorders>
            <w:shd w:val="clear" w:color="auto" w:fill="auto"/>
            <w:vAlign w:val="center"/>
          </w:tcPr>
          <w:p w14:paraId="0A774637">
            <w:pPr>
              <w:jc w:val="center"/>
            </w:pPr>
          </w:p>
        </w:tc>
        <w:tc>
          <w:tcPr>
            <w:tcW w:w="1117" w:type="dxa"/>
            <w:tcBorders>
              <w:top w:val="single" w:color="000000" w:sz="4" w:space="0"/>
              <w:left w:val="single" w:color="000000" w:sz="4" w:space="0"/>
              <w:bottom w:val="single" w:color="000000" w:sz="4" w:space="0"/>
              <w:right w:val="nil"/>
            </w:tcBorders>
            <w:shd w:val="clear" w:color="auto" w:fill="auto"/>
            <w:vAlign w:val="center"/>
          </w:tcPr>
          <w:p w14:paraId="35893D6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时效指标</w:t>
            </w:r>
          </w:p>
        </w:tc>
        <w:tc>
          <w:tcPr>
            <w:tcW w:w="2808" w:type="dxa"/>
            <w:gridSpan w:val="3"/>
            <w:tcBorders>
              <w:top w:val="single" w:color="000000" w:sz="4" w:space="0"/>
              <w:left w:val="single" w:color="000000" w:sz="4" w:space="0"/>
              <w:bottom w:val="single" w:color="000000" w:sz="4" w:space="0"/>
              <w:right w:val="nil"/>
            </w:tcBorders>
            <w:shd w:val="clear" w:color="auto" w:fill="auto"/>
            <w:vAlign w:val="center"/>
          </w:tcPr>
          <w:p w14:paraId="5E4A686D">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补助金发放及时率</w:t>
            </w:r>
          </w:p>
        </w:tc>
        <w:tc>
          <w:tcPr>
            <w:tcW w:w="1553" w:type="dxa"/>
            <w:tcBorders>
              <w:top w:val="single" w:color="000000" w:sz="4" w:space="0"/>
              <w:left w:val="nil"/>
              <w:bottom w:val="single" w:color="000000" w:sz="4" w:space="0"/>
              <w:right w:val="single" w:color="000000" w:sz="4" w:space="0"/>
            </w:tcBorders>
            <w:shd w:val="clear" w:color="auto" w:fill="auto"/>
            <w:vAlign w:val="center"/>
          </w:tcPr>
          <w:p w14:paraId="15E113A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=100%</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AD75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=100%</w:t>
            </w:r>
          </w:p>
        </w:tc>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4E18C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0928C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1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6917B6">
            <w:pPr>
              <w:jc w:val="center"/>
              <w:rPr>
                <w:rFonts w:hint="eastAsia" w:ascii="仿宋_GB2312" w:hAnsi="仿宋_GB2312" w:eastAsia="仿宋_GB2312" w:cs="仿宋_GB2312"/>
                <w:i w:val="0"/>
                <w:iCs w:val="0"/>
                <w:color w:val="000000"/>
                <w:sz w:val="18"/>
                <w:szCs w:val="18"/>
                <w:u w:val="none"/>
              </w:rPr>
            </w:pPr>
          </w:p>
        </w:tc>
      </w:tr>
      <w:tr w14:paraId="1A80AB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nil"/>
            </w:tcBorders>
            <w:shd w:val="clear" w:color="auto" w:fill="auto"/>
            <w:vAlign w:val="center"/>
          </w:tcPr>
          <w:p w14:paraId="4F661224">
            <w:pPr>
              <w:jc w:val="center"/>
              <w:rPr>
                <w:rFonts w:hint="eastAsia" w:ascii="仿宋_GB2312" w:hAnsi="仿宋_GB2312" w:eastAsia="仿宋_GB2312" w:cs="仿宋_GB2312"/>
                <w:i w:val="0"/>
                <w:iCs w:val="0"/>
                <w:color w:val="000000"/>
                <w:sz w:val="18"/>
                <w:szCs w:val="18"/>
                <w:u w:val="none"/>
              </w:rPr>
            </w:pPr>
          </w:p>
        </w:tc>
        <w:tc>
          <w:tcPr>
            <w:tcW w:w="1105" w:type="dxa"/>
            <w:vMerge w:val="restart"/>
            <w:tcBorders>
              <w:top w:val="single" w:color="000000" w:sz="4" w:space="0"/>
              <w:left w:val="single" w:color="000000" w:sz="4" w:space="0"/>
              <w:bottom w:val="single" w:color="000000" w:sz="4" w:space="0"/>
              <w:right w:val="nil"/>
            </w:tcBorders>
            <w:shd w:val="clear" w:color="auto" w:fill="auto"/>
            <w:vAlign w:val="center"/>
          </w:tcPr>
          <w:p w14:paraId="355D73FE">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成本指标</w:t>
            </w:r>
          </w:p>
        </w:tc>
        <w:tc>
          <w:tcPr>
            <w:tcW w:w="1117" w:type="dxa"/>
            <w:tcBorders>
              <w:top w:val="single" w:color="000000" w:sz="4" w:space="0"/>
              <w:left w:val="single" w:color="000000" w:sz="4" w:space="0"/>
              <w:bottom w:val="single" w:color="000000" w:sz="4" w:space="0"/>
              <w:right w:val="nil"/>
            </w:tcBorders>
            <w:shd w:val="clear" w:color="auto" w:fill="auto"/>
            <w:vAlign w:val="center"/>
          </w:tcPr>
          <w:p w14:paraId="6D8308B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经济成本指标</w:t>
            </w:r>
          </w:p>
        </w:tc>
        <w:tc>
          <w:tcPr>
            <w:tcW w:w="2808" w:type="dxa"/>
            <w:gridSpan w:val="3"/>
            <w:tcBorders>
              <w:top w:val="single" w:color="000000" w:sz="4" w:space="0"/>
              <w:left w:val="single" w:color="000000" w:sz="4" w:space="0"/>
              <w:bottom w:val="single" w:color="000000" w:sz="4" w:space="0"/>
              <w:right w:val="nil"/>
            </w:tcBorders>
            <w:shd w:val="clear" w:color="auto" w:fill="auto"/>
            <w:vAlign w:val="center"/>
          </w:tcPr>
          <w:p w14:paraId="38624FD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发放志愿者工作生活补贴标准</w:t>
            </w:r>
          </w:p>
        </w:tc>
        <w:tc>
          <w:tcPr>
            <w:tcW w:w="1553" w:type="dxa"/>
            <w:tcBorders>
              <w:top w:val="single" w:color="000000" w:sz="4" w:space="0"/>
              <w:left w:val="nil"/>
              <w:bottom w:val="single" w:color="000000" w:sz="4" w:space="0"/>
              <w:right w:val="single" w:color="000000" w:sz="4" w:space="0"/>
            </w:tcBorders>
            <w:shd w:val="clear" w:color="auto" w:fill="auto"/>
            <w:vAlign w:val="center"/>
          </w:tcPr>
          <w:p w14:paraId="6478775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=1000元/人/月</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4108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=1000元/人/月</w:t>
            </w:r>
          </w:p>
        </w:tc>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8B62D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0EED0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1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F68F22">
            <w:pPr>
              <w:jc w:val="center"/>
              <w:rPr>
                <w:rFonts w:hint="eastAsia" w:ascii="仿宋_GB2312" w:hAnsi="仿宋_GB2312" w:eastAsia="仿宋_GB2312" w:cs="仿宋_GB2312"/>
                <w:i w:val="0"/>
                <w:iCs w:val="0"/>
                <w:color w:val="000000"/>
                <w:sz w:val="18"/>
                <w:szCs w:val="18"/>
                <w:u w:val="none"/>
              </w:rPr>
            </w:pPr>
          </w:p>
        </w:tc>
      </w:tr>
      <w:tr w14:paraId="1A90D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nil"/>
            </w:tcBorders>
            <w:shd w:val="clear" w:color="auto" w:fill="auto"/>
            <w:vAlign w:val="center"/>
          </w:tcPr>
          <w:p w14:paraId="0C7B0C31">
            <w:pPr>
              <w:jc w:val="center"/>
              <w:rPr>
                <w:rFonts w:hint="eastAsia" w:ascii="仿宋_GB2312" w:hAnsi="仿宋_GB2312" w:eastAsia="仿宋_GB2312" w:cs="仿宋_GB2312"/>
                <w:i w:val="0"/>
                <w:iCs w:val="0"/>
                <w:color w:val="000000"/>
                <w:sz w:val="18"/>
                <w:szCs w:val="18"/>
                <w:u w:val="none"/>
              </w:rPr>
            </w:pPr>
          </w:p>
        </w:tc>
        <w:tc>
          <w:tcPr>
            <w:tcW w:w="1105" w:type="dxa"/>
            <w:vMerge w:val="continue"/>
            <w:tcBorders>
              <w:top w:val="single" w:color="000000" w:sz="4" w:space="0"/>
              <w:left w:val="single" w:color="000000" w:sz="4" w:space="0"/>
              <w:bottom w:val="single" w:color="000000" w:sz="4" w:space="0"/>
              <w:right w:val="nil"/>
            </w:tcBorders>
            <w:shd w:val="clear" w:color="auto" w:fill="auto"/>
            <w:vAlign w:val="center"/>
          </w:tcPr>
          <w:p w14:paraId="105BE48F">
            <w:pPr>
              <w:jc w:val="center"/>
            </w:pPr>
          </w:p>
        </w:tc>
        <w:tc>
          <w:tcPr>
            <w:tcW w:w="1117" w:type="dxa"/>
            <w:tcBorders>
              <w:top w:val="single" w:color="000000" w:sz="4" w:space="0"/>
              <w:left w:val="single" w:color="000000" w:sz="4" w:space="0"/>
              <w:bottom w:val="single" w:color="000000" w:sz="4" w:space="0"/>
              <w:right w:val="nil"/>
            </w:tcBorders>
            <w:shd w:val="clear" w:color="auto" w:fill="auto"/>
            <w:vAlign w:val="center"/>
          </w:tcPr>
          <w:p w14:paraId="496E7A9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经济成本指标</w:t>
            </w:r>
          </w:p>
        </w:tc>
        <w:tc>
          <w:tcPr>
            <w:tcW w:w="2808" w:type="dxa"/>
            <w:gridSpan w:val="3"/>
            <w:tcBorders>
              <w:top w:val="single" w:color="000000" w:sz="4" w:space="0"/>
              <w:left w:val="single" w:color="000000" w:sz="4" w:space="0"/>
              <w:bottom w:val="single" w:color="000000" w:sz="4" w:space="0"/>
              <w:right w:val="nil"/>
            </w:tcBorders>
            <w:shd w:val="clear" w:color="auto" w:fill="auto"/>
            <w:vAlign w:val="center"/>
          </w:tcPr>
          <w:p w14:paraId="7345E11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发放志愿者艰苦地区津贴补贴标准</w:t>
            </w:r>
          </w:p>
        </w:tc>
        <w:tc>
          <w:tcPr>
            <w:tcW w:w="1553" w:type="dxa"/>
            <w:tcBorders>
              <w:top w:val="single" w:color="000000" w:sz="4" w:space="0"/>
              <w:left w:val="nil"/>
              <w:bottom w:val="single" w:color="000000" w:sz="4" w:space="0"/>
              <w:right w:val="single" w:color="000000" w:sz="4" w:space="0"/>
            </w:tcBorders>
            <w:shd w:val="clear" w:color="auto" w:fill="auto"/>
            <w:vAlign w:val="center"/>
          </w:tcPr>
          <w:p w14:paraId="7A94CED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=545元/人/月</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5A0F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=545元/人/月</w:t>
            </w:r>
          </w:p>
        </w:tc>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38E4A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44253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1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332EAF">
            <w:pPr>
              <w:jc w:val="center"/>
              <w:rPr>
                <w:rFonts w:hint="eastAsia" w:ascii="仿宋_GB2312" w:hAnsi="仿宋_GB2312" w:eastAsia="仿宋_GB2312" w:cs="仿宋_GB2312"/>
                <w:i w:val="0"/>
                <w:iCs w:val="0"/>
                <w:color w:val="000000"/>
                <w:sz w:val="18"/>
                <w:szCs w:val="18"/>
                <w:u w:val="none"/>
              </w:rPr>
            </w:pPr>
          </w:p>
        </w:tc>
      </w:tr>
      <w:tr w14:paraId="11C6CC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nil"/>
            </w:tcBorders>
            <w:shd w:val="clear" w:color="auto" w:fill="auto"/>
            <w:vAlign w:val="center"/>
          </w:tcPr>
          <w:p w14:paraId="0BEF548A">
            <w:pPr>
              <w:jc w:val="center"/>
              <w:rPr>
                <w:rFonts w:hint="eastAsia" w:ascii="仿宋_GB2312" w:hAnsi="仿宋_GB2312" w:eastAsia="仿宋_GB2312" w:cs="仿宋_GB2312"/>
                <w:i w:val="0"/>
                <w:iCs w:val="0"/>
                <w:color w:val="000000"/>
                <w:sz w:val="18"/>
                <w:szCs w:val="18"/>
                <w:u w:val="none"/>
              </w:rPr>
            </w:pPr>
          </w:p>
        </w:tc>
        <w:tc>
          <w:tcPr>
            <w:tcW w:w="1105" w:type="dxa"/>
            <w:vMerge w:val="continue"/>
            <w:tcBorders>
              <w:top w:val="single" w:color="000000" w:sz="4" w:space="0"/>
              <w:left w:val="single" w:color="000000" w:sz="4" w:space="0"/>
              <w:bottom w:val="single" w:color="000000" w:sz="4" w:space="0"/>
              <w:right w:val="nil"/>
            </w:tcBorders>
            <w:shd w:val="clear" w:color="auto" w:fill="auto"/>
            <w:vAlign w:val="center"/>
          </w:tcPr>
          <w:p w14:paraId="6B5FCA9E">
            <w:pPr>
              <w:jc w:val="center"/>
            </w:pPr>
          </w:p>
        </w:tc>
        <w:tc>
          <w:tcPr>
            <w:tcW w:w="1117" w:type="dxa"/>
            <w:tcBorders>
              <w:top w:val="single" w:color="000000" w:sz="4" w:space="0"/>
              <w:left w:val="single" w:color="000000" w:sz="4" w:space="0"/>
              <w:bottom w:val="single" w:color="000000" w:sz="4" w:space="0"/>
              <w:right w:val="nil"/>
            </w:tcBorders>
            <w:shd w:val="clear" w:color="auto" w:fill="auto"/>
            <w:vAlign w:val="center"/>
          </w:tcPr>
          <w:p w14:paraId="7E84B52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社会成本指标</w:t>
            </w:r>
          </w:p>
        </w:tc>
        <w:tc>
          <w:tcPr>
            <w:tcW w:w="2808" w:type="dxa"/>
            <w:gridSpan w:val="3"/>
            <w:tcBorders>
              <w:top w:val="single" w:color="000000" w:sz="4" w:space="0"/>
              <w:left w:val="single" w:color="000000" w:sz="4" w:space="0"/>
              <w:bottom w:val="single" w:color="000000" w:sz="4" w:space="0"/>
              <w:right w:val="nil"/>
            </w:tcBorders>
            <w:shd w:val="clear" w:color="auto" w:fill="auto"/>
            <w:vAlign w:val="center"/>
          </w:tcPr>
          <w:p w14:paraId="03CADEEE">
            <w:pPr>
              <w:jc w:val="left"/>
              <w:rPr>
                <w:rFonts w:hint="eastAsia" w:ascii="宋体" w:hAnsi="宋体" w:eastAsia="宋体" w:cs="宋体"/>
                <w:i w:val="0"/>
                <w:iCs w:val="0"/>
                <w:color w:val="000000"/>
                <w:kern w:val="0"/>
                <w:sz w:val="20"/>
                <w:szCs w:val="20"/>
                <w:u w:val="none"/>
                <w:lang w:val="en-US" w:eastAsia="zh-CN" w:bidi="ar"/>
              </w:rPr>
            </w:pPr>
          </w:p>
        </w:tc>
        <w:tc>
          <w:tcPr>
            <w:tcW w:w="1553" w:type="dxa"/>
            <w:tcBorders>
              <w:top w:val="single" w:color="000000" w:sz="4" w:space="0"/>
              <w:left w:val="nil"/>
              <w:bottom w:val="single" w:color="000000" w:sz="4" w:space="0"/>
              <w:right w:val="single" w:color="000000" w:sz="4" w:space="0"/>
            </w:tcBorders>
            <w:shd w:val="clear" w:color="auto" w:fill="auto"/>
            <w:vAlign w:val="center"/>
          </w:tcPr>
          <w:p w14:paraId="5A3D9D05">
            <w:pPr>
              <w:jc w:val="center"/>
              <w:rPr>
                <w:rFonts w:hint="eastAsia" w:ascii="宋体" w:hAnsi="宋体" w:eastAsia="宋体" w:cs="宋体"/>
                <w:i w:val="0"/>
                <w:iCs w:val="0"/>
                <w:color w:val="000000"/>
                <w:kern w:val="0"/>
                <w:sz w:val="20"/>
                <w:szCs w:val="20"/>
                <w:u w:val="none"/>
                <w:lang w:val="en-US" w:eastAsia="zh-CN" w:bidi="ar"/>
              </w:rPr>
            </w:pP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EFED6">
            <w:pPr>
              <w:jc w:val="center"/>
              <w:rPr>
                <w:rFonts w:hint="eastAsia" w:ascii="宋体" w:hAnsi="宋体" w:eastAsia="宋体" w:cs="宋体"/>
                <w:i w:val="0"/>
                <w:iCs w:val="0"/>
                <w:color w:val="000000"/>
                <w:kern w:val="0"/>
                <w:sz w:val="20"/>
                <w:szCs w:val="20"/>
                <w:u w:val="none"/>
                <w:lang w:val="en-US" w:eastAsia="zh-CN" w:bidi="ar"/>
              </w:rPr>
            </w:pPr>
          </w:p>
        </w:tc>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B85426">
            <w:pPr>
              <w:jc w:val="center"/>
              <w:rPr>
                <w:rFonts w:hint="eastAsia" w:ascii="宋体" w:hAnsi="宋体" w:eastAsia="宋体" w:cs="宋体"/>
                <w:i w:val="0"/>
                <w:iCs w:val="0"/>
                <w:color w:val="000000"/>
                <w:kern w:val="0"/>
                <w:sz w:val="20"/>
                <w:szCs w:val="20"/>
                <w:u w:val="none"/>
                <w:lang w:val="en-US" w:eastAsia="zh-CN" w:bidi="ar"/>
              </w:rPr>
            </w:pP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091354">
            <w:pPr>
              <w:jc w:val="center"/>
              <w:rPr>
                <w:rFonts w:hint="eastAsia" w:ascii="宋体" w:hAnsi="宋体" w:eastAsia="宋体" w:cs="宋体"/>
                <w:i w:val="0"/>
                <w:iCs w:val="0"/>
                <w:color w:val="000000"/>
                <w:kern w:val="0"/>
                <w:sz w:val="20"/>
                <w:szCs w:val="20"/>
                <w:u w:val="none"/>
                <w:lang w:val="en-US" w:eastAsia="zh-CN" w:bidi="ar"/>
              </w:rPr>
            </w:pPr>
          </w:p>
        </w:tc>
        <w:tc>
          <w:tcPr>
            <w:tcW w:w="1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B37119">
            <w:pPr>
              <w:jc w:val="center"/>
              <w:rPr>
                <w:rFonts w:hint="eastAsia" w:ascii="仿宋_GB2312" w:hAnsi="仿宋_GB2312" w:eastAsia="仿宋_GB2312" w:cs="仿宋_GB2312"/>
                <w:i w:val="0"/>
                <w:iCs w:val="0"/>
                <w:color w:val="000000"/>
                <w:sz w:val="18"/>
                <w:szCs w:val="18"/>
                <w:u w:val="none"/>
              </w:rPr>
            </w:pPr>
          </w:p>
        </w:tc>
      </w:tr>
      <w:tr w14:paraId="6952D7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nil"/>
            </w:tcBorders>
            <w:shd w:val="clear" w:color="auto" w:fill="auto"/>
            <w:vAlign w:val="center"/>
          </w:tcPr>
          <w:p w14:paraId="7AE9EA13">
            <w:pPr>
              <w:jc w:val="center"/>
              <w:rPr>
                <w:rFonts w:hint="eastAsia" w:ascii="仿宋_GB2312" w:hAnsi="仿宋_GB2312" w:eastAsia="仿宋_GB2312" w:cs="仿宋_GB2312"/>
                <w:i w:val="0"/>
                <w:iCs w:val="0"/>
                <w:color w:val="000000"/>
                <w:sz w:val="18"/>
                <w:szCs w:val="18"/>
                <w:u w:val="none"/>
              </w:rPr>
            </w:pPr>
          </w:p>
        </w:tc>
        <w:tc>
          <w:tcPr>
            <w:tcW w:w="1105" w:type="dxa"/>
            <w:vMerge w:val="continue"/>
            <w:tcBorders>
              <w:top w:val="single" w:color="000000" w:sz="4" w:space="0"/>
              <w:left w:val="single" w:color="000000" w:sz="4" w:space="0"/>
              <w:bottom w:val="single" w:color="000000" w:sz="4" w:space="0"/>
              <w:right w:val="nil"/>
            </w:tcBorders>
            <w:shd w:val="clear" w:color="auto" w:fill="auto"/>
            <w:vAlign w:val="center"/>
          </w:tcPr>
          <w:p w14:paraId="163DBB56">
            <w:pPr>
              <w:jc w:val="center"/>
            </w:pPr>
          </w:p>
        </w:tc>
        <w:tc>
          <w:tcPr>
            <w:tcW w:w="1117" w:type="dxa"/>
            <w:tcBorders>
              <w:top w:val="single" w:color="000000" w:sz="4" w:space="0"/>
              <w:left w:val="single" w:color="000000" w:sz="4" w:space="0"/>
              <w:bottom w:val="single" w:color="000000" w:sz="4" w:space="0"/>
              <w:right w:val="nil"/>
            </w:tcBorders>
            <w:shd w:val="clear" w:color="auto" w:fill="auto"/>
            <w:vAlign w:val="center"/>
          </w:tcPr>
          <w:p w14:paraId="7CDEF5F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生态环境成本指标</w:t>
            </w:r>
          </w:p>
        </w:tc>
        <w:tc>
          <w:tcPr>
            <w:tcW w:w="2808" w:type="dxa"/>
            <w:gridSpan w:val="3"/>
            <w:tcBorders>
              <w:top w:val="single" w:color="000000" w:sz="4" w:space="0"/>
              <w:left w:val="single" w:color="000000" w:sz="4" w:space="0"/>
              <w:bottom w:val="single" w:color="000000" w:sz="4" w:space="0"/>
              <w:right w:val="nil"/>
            </w:tcBorders>
            <w:shd w:val="clear" w:color="auto" w:fill="auto"/>
            <w:vAlign w:val="center"/>
          </w:tcPr>
          <w:p w14:paraId="0576BC8D">
            <w:pPr>
              <w:jc w:val="left"/>
              <w:rPr>
                <w:rFonts w:hint="eastAsia" w:ascii="宋体" w:hAnsi="宋体" w:eastAsia="宋体" w:cs="宋体"/>
                <w:i w:val="0"/>
                <w:iCs w:val="0"/>
                <w:color w:val="000000"/>
                <w:kern w:val="0"/>
                <w:sz w:val="20"/>
                <w:szCs w:val="20"/>
                <w:u w:val="none"/>
                <w:lang w:val="en-US" w:eastAsia="zh-CN" w:bidi="ar"/>
              </w:rPr>
            </w:pPr>
          </w:p>
        </w:tc>
        <w:tc>
          <w:tcPr>
            <w:tcW w:w="1553" w:type="dxa"/>
            <w:tcBorders>
              <w:top w:val="single" w:color="000000" w:sz="4" w:space="0"/>
              <w:left w:val="nil"/>
              <w:bottom w:val="single" w:color="000000" w:sz="4" w:space="0"/>
              <w:right w:val="single" w:color="000000" w:sz="4" w:space="0"/>
            </w:tcBorders>
            <w:shd w:val="clear" w:color="auto" w:fill="auto"/>
            <w:vAlign w:val="center"/>
          </w:tcPr>
          <w:p w14:paraId="58F4F7B9">
            <w:pPr>
              <w:jc w:val="center"/>
              <w:rPr>
                <w:rFonts w:hint="eastAsia" w:ascii="宋体" w:hAnsi="宋体" w:eastAsia="宋体" w:cs="宋体"/>
                <w:i w:val="0"/>
                <w:iCs w:val="0"/>
                <w:color w:val="000000"/>
                <w:kern w:val="0"/>
                <w:sz w:val="20"/>
                <w:szCs w:val="20"/>
                <w:u w:val="none"/>
                <w:lang w:val="en-US" w:eastAsia="zh-CN" w:bidi="ar"/>
              </w:rPr>
            </w:pP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50A08">
            <w:pPr>
              <w:jc w:val="center"/>
              <w:rPr>
                <w:rFonts w:hint="eastAsia" w:ascii="宋体" w:hAnsi="宋体" w:eastAsia="宋体" w:cs="宋体"/>
                <w:i w:val="0"/>
                <w:iCs w:val="0"/>
                <w:color w:val="000000"/>
                <w:kern w:val="0"/>
                <w:sz w:val="20"/>
                <w:szCs w:val="20"/>
                <w:u w:val="none"/>
                <w:lang w:val="en-US" w:eastAsia="zh-CN" w:bidi="ar"/>
              </w:rPr>
            </w:pPr>
          </w:p>
        </w:tc>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038224">
            <w:pPr>
              <w:jc w:val="center"/>
              <w:rPr>
                <w:rFonts w:hint="eastAsia" w:ascii="宋体" w:hAnsi="宋体" w:eastAsia="宋体" w:cs="宋体"/>
                <w:i w:val="0"/>
                <w:iCs w:val="0"/>
                <w:color w:val="000000"/>
                <w:kern w:val="0"/>
                <w:sz w:val="20"/>
                <w:szCs w:val="20"/>
                <w:u w:val="none"/>
                <w:lang w:val="en-US" w:eastAsia="zh-CN" w:bidi="ar"/>
              </w:rPr>
            </w:pP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8D7BD4">
            <w:pPr>
              <w:jc w:val="center"/>
              <w:rPr>
                <w:rFonts w:hint="eastAsia" w:ascii="宋体" w:hAnsi="宋体" w:eastAsia="宋体" w:cs="宋体"/>
                <w:i w:val="0"/>
                <w:iCs w:val="0"/>
                <w:color w:val="000000"/>
                <w:kern w:val="0"/>
                <w:sz w:val="20"/>
                <w:szCs w:val="20"/>
                <w:u w:val="none"/>
                <w:lang w:val="en-US" w:eastAsia="zh-CN" w:bidi="ar"/>
              </w:rPr>
            </w:pPr>
          </w:p>
        </w:tc>
        <w:tc>
          <w:tcPr>
            <w:tcW w:w="1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5550A9">
            <w:pPr>
              <w:jc w:val="center"/>
              <w:rPr>
                <w:rFonts w:hint="eastAsia" w:ascii="仿宋_GB2312" w:hAnsi="仿宋_GB2312" w:eastAsia="仿宋_GB2312" w:cs="仿宋_GB2312"/>
                <w:i w:val="0"/>
                <w:iCs w:val="0"/>
                <w:color w:val="000000"/>
                <w:sz w:val="18"/>
                <w:szCs w:val="18"/>
                <w:u w:val="none"/>
              </w:rPr>
            </w:pPr>
          </w:p>
        </w:tc>
      </w:tr>
      <w:tr w14:paraId="507CCC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nil"/>
            </w:tcBorders>
            <w:shd w:val="clear" w:color="auto" w:fill="auto"/>
            <w:vAlign w:val="center"/>
          </w:tcPr>
          <w:p w14:paraId="1191DBDC">
            <w:pPr>
              <w:jc w:val="center"/>
              <w:rPr>
                <w:rFonts w:hint="eastAsia" w:ascii="仿宋_GB2312" w:hAnsi="仿宋_GB2312" w:eastAsia="仿宋_GB2312" w:cs="仿宋_GB2312"/>
                <w:i w:val="0"/>
                <w:iCs w:val="0"/>
                <w:color w:val="000000"/>
                <w:sz w:val="18"/>
                <w:szCs w:val="18"/>
                <w:u w:val="none"/>
              </w:rPr>
            </w:pPr>
          </w:p>
        </w:tc>
        <w:tc>
          <w:tcPr>
            <w:tcW w:w="1105" w:type="dxa"/>
            <w:vMerge w:val="restart"/>
            <w:tcBorders>
              <w:top w:val="single" w:color="000000" w:sz="4" w:space="0"/>
              <w:left w:val="single" w:color="000000" w:sz="4" w:space="0"/>
              <w:bottom w:val="single" w:color="000000" w:sz="4" w:space="0"/>
              <w:right w:val="nil"/>
            </w:tcBorders>
            <w:shd w:val="clear" w:color="auto" w:fill="auto"/>
            <w:vAlign w:val="center"/>
          </w:tcPr>
          <w:p w14:paraId="231DF82A">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效益指标</w:t>
            </w:r>
          </w:p>
        </w:tc>
        <w:tc>
          <w:tcPr>
            <w:tcW w:w="1117" w:type="dxa"/>
            <w:tcBorders>
              <w:top w:val="single" w:color="000000" w:sz="4" w:space="0"/>
              <w:left w:val="single" w:color="000000" w:sz="4" w:space="0"/>
              <w:bottom w:val="single" w:color="000000" w:sz="4" w:space="0"/>
              <w:right w:val="nil"/>
            </w:tcBorders>
            <w:shd w:val="clear" w:color="auto" w:fill="auto"/>
            <w:vAlign w:val="center"/>
          </w:tcPr>
          <w:p w14:paraId="4796B3E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经济效益指标</w:t>
            </w:r>
          </w:p>
        </w:tc>
        <w:tc>
          <w:tcPr>
            <w:tcW w:w="2808" w:type="dxa"/>
            <w:gridSpan w:val="3"/>
            <w:tcBorders>
              <w:top w:val="single" w:color="000000" w:sz="4" w:space="0"/>
              <w:left w:val="single" w:color="000000" w:sz="4" w:space="0"/>
              <w:bottom w:val="single" w:color="000000" w:sz="4" w:space="0"/>
              <w:right w:val="nil"/>
            </w:tcBorders>
            <w:shd w:val="clear" w:color="auto" w:fill="auto"/>
            <w:vAlign w:val="center"/>
          </w:tcPr>
          <w:p w14:paraId="3358ECE6">
            <w:pPr>
              <w:jc w:val="left"/>
              <w:rPr>
                <w:rFonts w:hint="eastAsia" w:ascii="宋体" w:hAnsi="宋体" w:eastAsia="宋体" w:cs="宋体"/>
                <w:i w:val="0"/>
                <w:iCs w:val="0"/>
                <w:color w:val="000000"/>
                <w:kern w:val="0"/>
                <w:sz w:val="20"/>
                <w:szCs w:val="20"/>
                <w:u w:val="none"/>
                <w:lang w:val="en-US" w:eastAsia="zh-CN" w:bidi="ar"/>
              </w:rPr>
            </w:pPr>
          </w:p>
        </w:tc>
        <w:tc>
          <w:tcPr>
            <w:tcW w:w="1553" w:type="dxa"/>
            <w:tcBorders>
              <w:top w:val="single" w:color="000000" w:sz="4" w:space="0"/>
              <w:left w:val="nil"/>
              <w:bottom w:val="single" w:color="000000" w:sz="4" w:space="0"/>
              <w:right w:val="single" w:color="000000" w:sz="4" w:space="0"/>
            </w:tcBorders>
            <w:shd w:val="clear" w:color="auto" w:fill="auto"/>
            <w:vAlign w:val="center"/>
          </w:tcPr>
          <w:p w14:paraId="1DC1902F">
            <w:pPr>
              <w:jc w:val="center"/>
              <w:rPr>
                <w:rFonts w:hint="eastAsia" w:ascii="宋体" w:hAnsi="宋体" w:eastAsia="宋体" w:cs="宋体"/>
                <w:i w:val="0"/>
                <w:iCs w:val="0"/>
                <w:color w:val="000000"/>
                <w:kern w:val="0"/>
                <w:sz w:val="20"/>
                <w:szCs w:val="20"/>
                <w:u w:val="none"/>
                <w:lang w:val="en-US" w:eastAsia="zh-CN" w:bidi="ar"/>
              </w:rPr>
            </w:pP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5D600">
            <w:pPr>
              <w:jc w:val="center"/>
              <w:rPr>
                <w:rFonts w:hint="eastAsia" w:ascii="宋体" w:hAnsi="宋体" w:eastAsia="宋体" w:cs="宋体"/>
                <w:i w:val="0"/>
                <w:iCs w:val="0"/>
                <w:color w:val="000000"/>
                <w:kern w:val="0"/>
                <w:sz w:val="20"/>
                <w:szCs w:val="20"/>
                <w:u w:val="none"/>
                <w:lang w:val="en-US" w:eastAsia="zh-CN" w:bidi="ar"/>
              </w:rPr>
            </w:pPr>
          </w:p>
        </w:tc>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5EE6F1">
            <w:pPr>
              <w:jc w:val="center"/>
              <w:rPr>
                <w:rFonts w:hint="eastAsia" w:ascii="宋体" w:hAnsi="宋体" w:eastAsia="宋体" w:cs="宋体"/>
                <w:i w:val="0"/>
                <w:iCs w:val="0"/>
                <w:color w:val="000000"/>
                <w:kern w:val="0"/>
                <w:sz w:val="20"/>
                <w:szCs w:val="20"/>
                <w:u w:val="none"/>
                <w:lang w:val="en-US" w:eastAsia="zh-CN" w:bidi="ar"/>
              </w:rPr>
            </w:pP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C13759">
            <w:pPr>
              <w:jc w:val="center"/>
              <w:rPr>
                <w:rFonts w:hint="eastAsia" w:ascii="宋体" w:hAnsi="宋体" w:eastAsia="宋体" w:cs="宋体"/>
                <w:i w:val="0"/>
                <w:iCs w:val="0"/>
                <w:color w:val="000000"/>
                <w:kern w:val="0"/>
                <w:sz w:val="20"/>
                <w:szCs w:val="20"/>
                <w:u w:val="none"/>
                <w:lang w:val="en-US" w:eastAsia="zh-CN" w:bidi="ar"/>
              </w:rPr>
            </w:pPr>
          </w:p>
        </w:tc>
        <w:tc>
          <w:tcPr>
            <w:tcW w:w="1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5DAC34">
            <w:pPr>
              <w:jc w:val="center"/>
              <w:rPr>
                <w:rFonts w:hint="eastAsia" w:ascii="仿宋_GB2312" w:hAnsi="仿宋_GB2312" w:eastAsia="仿宋_GB2312" w:cs="仿宋_GB2312"/>
                <w:i w:val="0"/>
                <w:iCs w:val="0"/>
                <w:color w:val="000000"/>
                <w:sz w:val="18"/>
                <w:szCs w:val="18"/>
                <w:u w:val="none"/>
              </w:rPr>
            </w:pPr>
          </w:p>
        </w:tc>
      </w:tr>
      <w:tr w14:paraId="4ABDA2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nil"/>
            </w:tcBorders>
            <w:shd w:val="clear" w:color="auto" w:fill="auto"/>
            <w:vAlign w:val="center"/>
          </w:tcPr>
          <w:p w14:paraId="64590B8F">
            <w:pPr>
              <w:jc w:val="center"/>
              <w:rPr>
                <w:rFonts w:hint="eastAsia" w:ascii="仿宋_GB2312" w:hAnsi="仿宋_GB2312" w:eastAsia="仿宋_GB2312" w:cs="仿宋_GB2312"/>
                <w:i w:val="0"/>
                <w:iCs w:val="0"/>
                <w:color w:val="000000"/>
                <w:sz w:val="18"/>
                <w:szCs w:val="18"/>
                <w:u w:val="none"/>
              </w:rPr>
            </w:pPr>
          </w:p>
        </w:tc>
        <w:tc>
          <w:tcPr>
            <w:tcW w:w="1105" w:type="dxa"/>
            <w:vMerge w:val="continue"/>
            <w:tcBorders>
              <w:top w:val="single" w:color="000000" w:sz="4" w:space="0"/>
              <w:left w:val="single" w:color="000000" w:sz="4" w:space="0"/>
              <w:bottom w:val="single" w:color="000000" w:sz="4" w:space="0"/>
              <w:right w:val="nil"/>
            </w:tcBorders>
            <w:shd w:val="clear" w:color="auto" w:fill="auto"/>
            <w:vAlign w:val="center"/>
          </w:tcPr>
          <w:p w14:paraId="66DF0853">
            <w:pPr>
              <w:jc w:val="center"/>
            </w:pPr>
          </w:p>
        </w:tc>
        <w:tc>
          <w:tcPr>
            <w:tcW w:w="1117" w:type="dxa"/>
            <w:tcBorders>
              <w:top w:val="single" w:color="000000" w:sz="4" w:space="0"/>
              <w:left w:val="single" w:color="000000" w:sz="4" w:space="0"/>
              <w:bottom w:val="single" w:color="000000" w:sz="4" w:space="0"/>
              <w:right w:val="nil"/>
            </w:tcBorders>
            <w:shd w:val="clear" w:color="auto" w:fill="auto"/>
            <w:vAlign w:val="center"/>
          </w:tcPr>
          <w:p w14:paraId="2C6B5F8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社会效益指标</w:t>
            </w:r>
          </w:p>
        </w:tc>
        <w:tc>
          <w:tcPr>
            <w:tcW w:w="2808" w:type="dxa"/>
            <w:gridSpan w:val="3"/>
            <w:tcBorders>
              <w:top w:val="single" w:color="000000" w:sz="4" w:space="0"/>
              <w:left w:val="single" w:color="000000" w:sz="4" w:space="0"/>
              <w:bottom w:val="single" w:color="000000" w:sz="4" w:space="0"/>
              <w:right w:val="nil"/>
            </w:tcBorders>
            <w:shd w:val="clear" w:color="auto" w:fill="auto"/>
            <w:vAlign w:val="center"/>
          </w:tcPr>
          <w:p w14:paraId="7D7175F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享受补贴志愿者生活得到改善</w:t>
            </w:r>
          </w:p>
        </w:tc>
        <w:tc>
          <w:tcPr>
            <w:tcW w:w="1553" w:type="dxa"/>
            <w:tcBorders>
              <w:top w:val="single" w:color="000000" w:sz="4" w:space="0"/>
              <w:left w:val="nil"/>
              <w:bottom w:val="single" w:color="000000" w:sz="4" w:space="0"/>
              <w:right w:val="single" w:color="000000" w:sz="4" w:space="0"/>
            </w:tcBorders>
            <w:shd w:val="clear" w:color="auto" w:fill="auto"/>
            <w:vAlign w:val="center"/>
          </w:tcPr>
          <w:p w14:paraId="04015CA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有效改善</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3CC1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有效改善</w:t>
            </w:r>
          </w:p>
        </w:tc>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B1582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41F2B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w:t>
            </w:r>
          </w:p>
        </w:tc>
        <w:tc>
          <w:tcPr>
            <w:tcW w:w="1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CFC843">
            <w:pPr>
              <w:jc w:val="center"/>
              <w:rPr>
                <w:rFonts w:hint="eastAsia" w:ascii="仿宋_GB2312" w:hAnsi="仿宋_GB2312" w:eastAsia="仿宋_GB2312" w:cs="仿宋_GB2312"/>
                <w:i w:val="0"/>
                <w:iCs w:val="0"/>
                <w:color w:val="000000"/>
                <w:sz w:val="18"/>
                <w:szCs w:val="18"/>
                <w:u w:val="none"/>
              </w:rPr>
            </w:pPr>
          </w:p>
        </w:tc>
      </w:tr>
      <w:tr w14:paraId="350A05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nil"/>
            </w:tcBorders>
            <w:shd w:val="clear" w:color="auto" w:fill="auto"/>
            <w:vAlign w:val="center"/>
          </w:tcPr>
          <w:p w14:paraId="5BB3D1C2">
            <w:pPr>
              <w:jc w:val="center"/>
              <w:rPr>
                <w:rFonts w:hint="eastAsia" w:ascii="仿宋_GB2312" w:hAnsi="仿宋_GB2312" w:eastAsia="仿宋_GB2312" w:cs="仿宋_GB2312"/>
                <w:i w:val="0"/>
                <w:iCs w:val="0"/>
                <w:color w:val="000000"/>
                <w:sz w:val="18"/>
                <w:szCs w:val="18"/>
                <w:u w:val="none"/>
              </w:rPr>
            </w:pPr>
          </w:p>
        </w:tc>
        <w:tc>
          <w:tcPr>
            <w:tcW w:w="1105" w:type="dxa"/>
            <w:vMerge w:val="continue"/>
            <w:tcBorders>
              <w:top w:val="single" w:color="000000" w:sz="4" w:space="0"/>
              <w:left w:val="single" w:color="000000" w:sz="4" w:space="0"/>
              <w:bottom w:val="single" w:color="000000" w:sz="4" w:space="0"/>
              <w:right w:val="nil"/>
            </w:tcBorders>
            <w:shd w:val="clear" w:color="auto" w:fill="auto"/>
            <w:vAlign w:val="center"/>
          </w:tcPr>
          <w:p w14:paraId="07EC882A">
            <w:pPr>
              <w:jc w:val="center"/>
            </w:pPr>
          </w:p>
        </w:tc>
        <w:tc>
          <w:tcPr>
            <w:tcW w:w="1117" w:type="dxa"/>
            <w:tcBorders>
              <w:top w:val="single" w:color="000000" w:sz="4" w:space="0"/>
              <w:left w:val="single" w:color="000000" w:sz="4" w:space="0"/>
              <w:bottom w:val="single" w:color="000000" w:sz="4" w:space="0"/>
              <w:right w:val="nil"/>
            </w:tcBorders>
            <w:shd w:val="clear" w:color="auto" w:fill="auto"/>
            <w:vAlign w:val="center"/>
          </w:tcPr>
          <w:p w14:paraId="7AD6F8C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生态效益指标</w:t>
            </w:r>
          </w:p>
        </w:tc>
        <w:tc>
          <w:tcPr>
            <w:tcW w:w="2808" w:type="dxa"/>
            <w:gridSpan w:val="3"/>
            <w:tcBorders>
              <w:top w:val="single" w:color="000000" w:sz="4" w:space="0"/>
              <w:left w:val="single" w:color="000000" w:sz="4" w:space="0"/>
              <w:bottom w:val="single" w:color="000000" w:sz="4" w:space="0"/>
              <w:right w:val="nil"/>
            </w:tcBorders>
            <w:shd w:val="clear" w:color="auto" w:fill="auto"/>
            <w:vAlign w:val="center"/>
          </w:tcPr>
          <w:p w14:paraId="1CD266F7">
            <w:pPr>
              <w:jc w:val="left"/>
              <w:rPr>
                <w:rFonts w:hint="eastAsia" w:ascii="宋体" w:hAnsi="宋体" w:eastAsia="宋体" w:cs="宋体"/>
                <w:i w:val="0"/>
                <w:iCs w:val="0"/>
                <w:color w:val="000000"/>
                <w:kern w:val="0"/>
                <w:sz w:val="20"/>
                <w:szCs w:val="20"/>
                <w:u w:val="none"/>
                <w:lang w:val="en-US" w:eastAsia="zh-CN" w:bidi="ar"/>
              </w:rPr>
            </w:pPr>
          </w:p>
        </w:tc>
        <w:tc>
          <w:tcPr>
            <w:tcW w:w="1553" w:type="dxa"/>
            <w:tcBorders>
              <w:top w:val="single" w:color="000000" w:sz="4" w:space="0"/>
              <w:left w:val="nil"/>
              <w:bottom w:val="single" w:color="000000" w:sz="4" w:space="0"/>
              <w:right w:val="single" w:color="000000" w:sz="4" w:space="0"/>
            </w:tcBorders>
            <w:shd w:val="clear" w:color="auto" w:fill="auto"/>
            <w:vAlign w:val="center"/>
          </w:tcPr>
          <w:p w14:paraId="413E3E61">
            <w:pPr>
              <w:jc w:val="center"/>
              <w:rPr>
                <w:rFonts w:hint="eastAsia" w:ascii="宋体" w:hAnsi="宋体" w:eastAsia="宋体" w:cs="宋体"/>
                <w:i w:val="0"/>
                <w:iCs w:val="0"/>
                <w:color w:val="000000"/>
                <w:kern w:val="0"/>
                <w:sz w:val="20"/>
                <w:szCs w:val="20"/>
                <w:u w:val="none"/>
                <w:lang w:val="en-US" w:eastAsia="zh-CN" w:bidi="ar"/>
              </w:rPr>
            </w:pP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65E3D">
            <w:pPr>
              <w:jc w:val="center"/>
              <w:rPr>
                <w:rFonts w:hint="eastAsia" w:ascii="宋体" w:hAnsi="宋体" w:eastAsia="宋体" w:cs="宋体"/>
                <w:i w:val="0"/>
                <w:iCs w:val="0"/>
                <w:color w:val="000000"/>
                <w:kern w:val="0"/>
                <w:sz w:val="20"/>
                <w:szCs w:val="20"/>
                <w:u w:val="none"/>
                <w:lang w:val="en-US" w:eastAsia="zh-CN" w:bidi="ar"/>
              </w:rPr>
            </w:pPr>
          </w:p>
        </w:tc>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9ACBE3">
            <w:pPr>
              <w:jc w:val="center"/>
              <w:rPr>
                <w:rFonts w:hint="eastAsia" w:ascii="宋体" w:hAnsi="宋体" w:eastAsia="宋体" w:cs="宋体"/>
                <w:i w:val="0"/>
                <w:iCs w:val="0"/>
                <w:color w:val="000000"/>
                <w:kern w:val="0"/>
                <w:sz w:val="20"/>
                <w:szCs w:val="20"/>
                <w:u w:val="none"/>
                <w:lang w:val="en-US" w:eastAsia="zh-CN" w:bidi="ar"/>
              </w:rPr>
            </w:pP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C4433B">
            <w:pPr>
              <w:jc w:val="center"/>
              <w:rPr>
                <w:rFonts w:hint="eastAsia" w:ascii="宋体" w:hAnsi="宋体" w:eastAsia="宋体" w:cs="宋体"/>
                <w:i w:val="0"/>
                <w:iCs w:val="0"/>
                <w:color w:val="000000"/>
                <w:kern w:val="0"/>
                <w:sz w:val="20"/>
                <w:szCs w:val="20"/>
                <w:u w:val="none"/>
                <w:lang w:val="en-US" w:eastAsia="zh-CN" w:bidi="ar"/>
              </w:rPr>
            </w:pPr>
          </w:p>
        </w:tc>
        <w:tc>
          <w:tcPr>
            <w:tcW w:w="1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DAD571">
            <w:pPr>
              <w:jc w:val="center"/>
              <w:rPr>
                <w:rFonts w:hint="eastAsia" w:ascii="仿宋_GB2312" w:hAnsi="仿宋_GB2312" w:eastAsia="仿宋_GB2312" w:cs="仿宋_GB2312"/>
                <w:i w:val="0"/>
                <w:iCs w:val="0"/>
                <w:color w:val="000000"/>
                <w:sz w:val="18"/>
                <w:szCs w:val="18"/>
                <w:u w:val="none"/>
              </w:rPr>
            </w:pPr>
          </w:p>
        </w:tc>
      </w:tr>
      <w:tr w14:paraId="432958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4" w:type="dxa"/>
            <w:tcBorders>
              <w:top w:val="single" w:color="000000" w:sz="4" w:space="0"/>
              <w:left w:val="single" w:color="000000" w:sz="4" w:space="0"/>
              <w:bottom w:val="single" w:color="000000" w:sz="4" w:space="0"/>
              <w:right w:val="nil"/>
            </w:tcBorders>
            <w:shd w:val="clear" w:color="auto" w:fill="auto"/>
            <w:vAlign w:val="center"/>
          </w:tcPr>
          <w:p w14:paraId="5C5A30D2">
            <w:pPr>
              <w:jc w:val="center"/>
              <w:rPr>
                <w:rFonts w:hint="eastAsia" w:ascii="仿宋_GB2312" w:hAnsi="仿宋_GB2312" w:eastAsia="仿宋_GB2312" w:cs="仿宋_GB2312"/>
                <w:i w:val="0"/>
                <w:iCs w:val="0"/>
                <w:color w:val="000000"/>
                <w:sz w:val="18"/>
                <w:szCs w:val="18"/>
                <w:u w:val="none"/>
              </w:rPr>
            </w:pPr>
          </w:p>
        </w:tc>
        <w:tc>
          <w:tcPr>
            <w:tcW w:w="1105" w:type="dxa"/>
            <w:tcBorders>
              <w:top w:val="single" w:color="000000" w:sz="4" w:space="0"/>
              <w:left w:val="single" w:color="000000" w:sz="4" w:space="0"/>
              <w:bottom w:val="single" w:color="000000" w:sz="4" w:space="0"/>
              <w:right w:val="nil"/>
            </w:tcBorders>
            <w:shd w:val="clear" w:color="auto" w:fill="auto"/>
            <w:vAlign w:val="center"/>
          </w:tcPr>
          <w:p w14:paraId="26E37321">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满意度指标</w:t>
            </w:r>
          </w:p>
        </w:tc>
        <w:tc>
          <w:tcPr>
            <w:tcW w:w="1117" w:type="dxa"/>
            <w:tcBorders>
              <w:top w:val="single" w:color="000000" w:sz="4" w:space="0"/>
              <w:left w:val="single" w:color="000000" w:sz="4" w:space="0"/>
              <w:bottom w:val="single" w:color="000000" w:sz="4" w:space="0"/>
              <w:right w:val="nil"/>
            </w:tcBorders>
            <w:shd w:val="clear" w:color="auto" w:fill="auto"/>
            <w:vAlign w:val="center"/>
          </w:tcPr>
          <w:p w14:paraId="3EA5171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2808" w:type="dxa"/>
            <w:gridSpan w:val="3"/>
            <w:tcBorders>
              <w:top w:val="single" w:color="000000" w:sz="4" w:space="0"/>
              <w:left w:val="single" w:color="000000" w:sz="4" w:space="0"/>
              <w:bottom w:val="single" w:color="000000" w:sz="4" w:space="0"/>
              <w:right w:val="nil"/>
            </w:tcBorders>
            <w:shd w:val="clear" w:color="auto" w:fill="auto"/>
            <w:vAlign w:val="center"/>
          </w:tcPr>
          <w:p w14:paraId="108F0AC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志愿者对发放补贴满意度</w:t>
            </w:r>
          </w:p>
        </w:tc>
        <w:tc>
          <w:tcPr>
            <w:tcW w:w="1553" w:type="dxa"/>
            <w:tcBorders>
              <w:top w:val="single" w:color="000000" w:sz="4" w:space="0"/>
              <w:left w:val="nil"/>
              <w:bottom w:val="single" w:color="000000" w:sz="4" w:space="0"/>
              <w:right w:val="single" w:color="000000" w:sz="4" w:space="0"/>
            </w:tcBorders>
            <w:shd w:val="clear" w:color="auto" w:fill="auto"/>
            <w:vAlign w:val="center"/>
          </w:tcPr>
          <w:p w14:paraId="4B2639E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&gt;=95%</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5917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0.98</w:t>
            </w:r>
          </w:p>
        </w:tc>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CE328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77800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1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530DF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上年满意度指标值设置不准确；改进措施：日后工作增强信心，更加合理的设置指标值</w:t>
            </w:r>
          </w:p>
        </w:tc>
      </w:tr>
      <w:tr w14:paraId="0367F3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06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4A0AB4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总分</w:t>
            </w:r>
          </w:p>
        </w:tc>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EBC6D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100</w:t>
            </w:r>
          </w:p>
        </w:tc>
        <w:tc>
          <w:tcPr>
            <w:tcW w:w="1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D4EA5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100分</w:t>
            </w:r>
          </w:p>
        </w:tc>
        <w:tc>
          <w:tcPr>
            <w:tcW w:w="1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993457">
            <w:pPr>
              <w:jc w:val="center"/>
              <w:rPr>
                <w:rFonts w:hint="eastAsia" w:ascii="仿宋_GB2312" w:hAnsi="仿宋_GB2312" w:eastAsia="仿宋_GB2312" w:cs="仿宋_GB2312"/>
                <w:i w:val="0"/>
                <w:iCs w:val="0"/>
                <w:color w:val="000000"/>
                <w:sz w:val="18"/>
                <w:szCs w:val="18"/>
                <w:u w:val="none"/>
              </w:rPr>
            </w:pPr>
          </w:p>
        </w:tc>
      </w:tr>
    </w:tbl>
    <w:p w14:paraId="12B9E3B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r>
        <w:rPr>
          <w:rFonts w:hint="default" w:ascii="Times New Roman" w:hAnsi="Times New Roman" w:eastAsia="仿宋_GB2312" w:cs="Times New Roman"/>
          <w:b/>
          <w:bCs/>
          <w:i w:val="0"/>
          <w:iCs w:val="0"/>
          <w:color w:val="000000"/>
          <w:kern w:val="0"/>
          <w:sz w:val="22"/>
          <w:szCs w:val="22"/>
          <w:u w:val="none"/>
          <w:lang w:val="en-US" w:eastAsia="zh-CN" w:bidi="ar"/>
        </w:rPr>
        <w:t>（ 2024年度）</w:t>
      </w:r>
    </w:p>
    <w:p w14:paraId="6DAF1D8A">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6A31BD0D">
        <w:pPr>
          <w:pStyle w:val="7"/>
          <w:jc w:val="center"/>
        </w:pPr>
        <w:r>
          <w:fldChar w:fldCharType="begin"/>
        </w:r>
        <w:r>
          <w:instrText xml:space="preserve">PAGE   \* MERGEFORMAT</w:instrText>
        </w:r>
        <w:r>
          <w:fldChar w:fldCharType="separate"/>
        </w:r>
        <w:r>
          <w:rPr>
            <w:lang w:val="zh-CN"/>
          </w:rPr>
          <w:t>13</w:t>
        </w:r>
        <w:r>
          <w:fldChar w:fldCharType="end"/>
        </w:r>
      </w:p>
    </w:sdtContent>
  </w:sdt>
  <w:p w14:paraId="6D9D27E6">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956B25"/>
    <w:multiLevelType w:val="singleLevel"/>
    <w:tmpl w:val="B6956B25"/>
    <w:lvl w:ilvl="0" w:tentative="0">
      <w:start w:val="2"/>
      <w:numFmt w:val="decimal"/>
      <w:suff w:val="nothing"/>
      <w:lvlText w:val="（%1）"/>
      <w:lvlJc w:val="left"/>
    </w:lvl>
  </w:abstractNum>
  <w:abstractNum w:abstractNumId="1">
    <w:nsid w:val="CC06C7D1"/>
    <w:multiLevelType w:val="singleLevel"/>
    <w:tmpl w:val="CC06C7D1"/>
    <w:lvl w:ilvl="0" w:tentative="0">
      <w:start w:val="1"/>
      <w:numFmt w:val="decimal"/>
      <w:lvlText w:val="%1."/>
      <w:lvlJc w:val="left"/>
      <w:pPr>
        <w:tabs>
          <w:tab w:val="left" w:pos="312"/>
        </w:tabs>
      </w:pPr>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323BAA"/>
    <w:rsid w:val="02510197"/>
    <w:rsid w:val="03EC461B"/>
    <w:rsid w:val="04471183"/>
    <w:rsid w:val="071A5591"/>
    <w:rsid w:val="07397B77"/>
    <w:rsid w:val="0AD007F3"/>
    <w:rsid w:val="0D082A6E"/>
    <w:rsid w:val="0E3C619F"/>
    <w:rsid w:val="0F6273CA"/>
    <w:rsid w:val="100F38EC"/>
    <w:rsid w:val="11170296"/>
    <w:rsid w:val="12C66037"/>
    <w:rsid w:val="12CD1ABC"/>
    <w:rsid w:val="13471461"/>
    <w:rsid w:val="13B90F01"/>
    <w:rsid w:val="155E4C4D"/>
    <w:rsid w:val="181066D2"/>
    <w:rsid w:val="1C671E73"/>
    <w:rsid w:val="1D322C47"/>
    <w:rsid w:val="22290DFD"/>
    <w:rsid w:val="23616034"/>
    <w:rsid w:val="23696C97"/>
    <w:rsid w:val="24480FA2"/>
    <w:rsid w:val="25227A45"/>
    <w:rsid w:val="26AC3A6A"/>
    <w:rsid w:val="2B9D7E25"/>
    <w:rsid w:val="2C7C7A3B"/>
    <w:rsid w:val="2F364819"/>
    <w:rsid w:val="2FD63906"/>
    <w:rsid w:val="30824FA8"/>
    <w:rsid w:val="36CF069C"/>
    <w:rsid w:val="37215DAE"/>
    <w:rsid w:val="37C42A27"/>
    <w:rsid w:val="38CA40DD"/>
    <w:rsid w:val="395F2B56"/>
    <w:rsid w:val="3B482032"/>
    <w:rsid w:val="3BBA0580"/>
    <w:rsid w:val="3BECE841"/>
    <w:rsid w:val="3CDE204C"/>
    <w:rsid w:val="3D363C36"/>
    <w:rsid w:val="3E9C3F6D"/>
    <w:rsid w:val="3FF7797D"/>
    <w:rsid w:val="42F16CBA"/>
    <w:rsid w:val="4332664E"/>
    <w:rsid w:val="46690BD8"/>
    <w:rsid w:val="49F70BF1"/>
    <w:rsid w:val="49FA3AEE"/>
    <w:rsid w:val="4B4340EE"/>
    <w:rsid w:val="4F2711ED"/>
    <w:rsid w:val="503D507A"/>
    <w:rsid w:val="51FA74D0"/>
    <w:rsid w:val="52AA4A52"/>
    <w:rsid w:val="539D3AD1"/>
    <w:rsid w:val="59943D66"/>
    <w:rsid w:val="59E051FD"/>
    <w:rsid w:val="59E6355E"/>
    <w:rsid w:val="5B821531"/>
    <w:rsid w:val="5BFF6039"/>
    <w:rsid w:val="5D76A616"/>
    <w:rsid w:val="5D7F20B9"/>
    <w:rsid w:val="5DAC7D0E"/>
    <w:rsid w:val="5F98B5AF"/>
    <w:rsid w:val="5FFE8511"/>
    <w:rsid w:val="5FFEACE2"/>
    <w:rsid w:val="609D5BF6"/>
    <w:rsid w:val="61073070"/>
    <w:rsid w:val="61B9080E"/>
    <w:rsid w:val="61DF3FED"/>
    <w:rsid w:val="62606CE8"/>
    <w:rsid w:val="642B176B"/>
    <w:rsid w:val="643EE26D"/>
    <w:rsid w:val="656019A0"/>
    <w:rsid w:val="65F242EE"/>
    <w:rsid w:val="666D7E19"/>
    <w:rsid w:val="68376930"/>
    <w:rsid w:val="68F91E38"/>
    <w:rsid w:val="6B3158B9"/>
    <w:rsid w:val="6BA02A3F"/>
    <w:rsid w:val="6C105349"/>
    <w:rsid w:val="6C1E5A53"/>
    <w:rsid w:val="6F5C41AC"/>
    <w:rsid w:val="6FAF6C78"/>
    <w:rsid w:val="716167CC"/>
    <w:rsid w:val="718A7AD1"/>
    <w:rsid w:val="72A44BC2"/>
    <w:rsid w:val="7317C656"/>
    <w:rsid w:val="734ED73F"/>
    <w:rsid w:val="73C82B32"/>
    <w:rsid w:val="73F94DAE"/>
    <w:rsid w:val="74220495"/>
    <w:rsid w:val="747D1B6F"/>
    <w:rsid w:val="749E5641"/>
    <w:rsid w:val="76271066"/>
    <w:rsid w:val="77FD8BE9"/>
    <w:rsid w:val="78000AED"/>
    <w:rsid w:val="78036054"/>
    <w:rsid w:val="79A9BD3F"/>
    <w:rsid w:val="7AC5270E"/>
    <w:rsid w:val="7B776F12"/>
    <w:rsid w:val="7BFFFDD0"/>
    <w:rsid w:val="7C336E5F"/>
    <w:rsid w:val="7C8D4919"/>
    <w:rsid w:val="7D7A5F86"/>
    <w:rsid w:val="7E424DDA"/>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26</Pages>
  <Words>77</Words>
  <Characters>89</Characters>
  <Lines>58</Lines>
  <Paragraphs>16</Paragraphs>
  <TotalTime>20</TotalTime>
  <ScaleCrop>false</ScaleCrop>
  <LinksUpToDate>false</LinksUpToDate>
  <CharactersWithSpaces>89</CharactersWithSpaces>
  <Application>WPS Office_12.8.2.20324_F1E327BC-269C-435d-A152-05C5408002CA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dcterms:modified xsi:type="dcterms:W3CDTF">2025-06-03T10:55:05Z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2052-12.8.2.20324</vt:lpwstr>
  </property>
  <property fmtid="{D5CDD505-2E9C-101B-9397-08002B2CF9AE}" pid="3" name="ICV">
    <vt:lpwstr>53F8D5E010924B9EA2A3F322CB5E1B5E_13</vt:lpwstr>
  </property>
  <property fmtid="{D5CDD505-2E9C-101B-9397-08002B2CF9AE}" pid="4" name="KSOTemplateDocerSaveRecord">
    <vt:lpwstr>eyJoZGlkIjoiYWM1ZThmNTVjNjllMTU4OTUwZjJmNmFlNDI1NDJlNDUiLCJ1c2VySWQiOiIxNzE2NjY5NyJ9</vt:lpwstr>
  </property>
</Properties>
</file>