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F9C6A">
      <w:pPr>
        <w:spacing w:after="0" w:line="240" w:lineRule="auto"/>
        <w:rPr>
          <w:rFonts w:hint="eastAsia" w:ascii="宋体" w:eastAsia="宋体"/>
          <w:sz w:val="32"/>
          <w:szCs w:val="32"/>
        </w:rPr>
      </w:pPr>
    </w:p>
    <w:p w14:paraId="04207DA1">
      <w:pPr>
        <w:spacing w:after="0" w:line="240" w:lineRule="auto"/>
        <w:rPr>
          <w:rFonts w:hint="eastAsia" w:ascii="宋体" w:eastAsia="宋体"/>
          <w:sz w:val="44"/>
          <w:szCs w:val="44"/>
        </w:rPr>
      </w:pPr>
    </w:p>
    <w:p w14:paraId="6D804B46">
      <w:pPr>
        <w:spacing w:after="0" w:line="240" w:lineRule="auto"/>
        <w:rPr>
          <w:rFonts w:hint="eastAsia" w:ascii="宋体" w:eastAsia="宋体"/>
          <w:sz w:val="44"/>
          <w:szCs w:val="44"/>
        </w:rPr>
      </w:pPr>
    </w:p>
    <w:p w14:paraId="6DD4A8B3">
      <w:pPr>
        <w:spacing w:after="0" w:line="240" w:lineRule="auto"/>
        <w:rPr>
          <w:rFonts w:hint="eastAsia" w:ascii="宋体" w:eastAsia="宋体"/>
          <w:sz w:val="44"/>
          <w:szCs w:val="44"/>
        </w:rPr>
      </w:pPr>
    </w:p>
    <w:p w14:paraId="1258C701">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中国人民政治协商会议奇台县委员会</w:t>
      </w:r>
    </w:p>
    <w:p w14:paraId="72D71B18">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1376E97">
      <w:pPr>
        <w:rPr>
          <w:rFonts w:hint="eastAsia"/>
          <w:lang w:eastAsia="zh-CN"/>
        </w:rPr>
      </w:pPr>
      <w:r>
        <w:rPr>
          <w:sz w:val="0"/>
          <w:szCs w:val="0"/>
          <w:lang w:eastAsia="zh-CN"/>
        </w:rPr>
        <w:br w:type="page"/>
      </w:r>
    </w:p>
    <w:p w14:paraId="069A6EE6">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D9D317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427E854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ACAFA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7F09D0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54C525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2A4CF62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58AFB3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1FD48C2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810A05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0E3CE9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E7A794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B8ACE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7225DD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C762B7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C6E367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B2C62F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0DCD77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34222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1B22482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0D3720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6D8EE5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1B3CD46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07AD47D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DAAB7F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396027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8DABF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3AE95D0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5A221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7F928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C963F5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B09697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320BB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9CC989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907A4CB">
      <w:pPr>
        <w:rPr>
          <w:rFonts w:hint="eastAsia"/>
          <w:lang w:eastAsia="zh-CN"/>
        </w:rPr>
      </w:pPr>
      <w:r>
        <w:rPr>
          <w:sz w:val="0"/>
          <w:szCs w:val="0"/>
          <w:lang w:eastAsia="zh-CN"/>
        </w:rPr>
        <w:br w:type="page"/>
      </w:r>
    </w:p>
    <w:p w14:paraId="0549A67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584B95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7FC8083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（一）组织政协委员认真学习宣传和贯彻党的路线、方针、政策，积极反映社情民意，发挥政协作为党和政府团结各界群众的重要渠道作用。</w:t>
      </w:r>
    </w:p>
    <w:p w14:paraId="37F0015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（二）围绕奇台县党委、奇台县政府的大政方针以及政治、经济、文化和社会生活中的重要问题开展调查研究，运用提案、调查报告、意见、建议等多种形式，为改革开放、社会主义现代化建设献计出力。</w:t>
      </w:r>
    </w:p>
    <w:p w14:paraId="0D6F6A7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（三）组织政协委员进行工作视察、专题调研、对口协商、座谈研讨、学习交流等活动，努力调动政协委员知情出力、建言献策、履行职责的积极性和创造性，充分发挥政协委员参政议政的主体作用。</w:t>
      </w:r>
    </w:p>
    <w:p w14:paraId="0653987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（四）巩固和发展广泛的爱国统一战线，维护社会稳定和民族团结，促进祖国和平统一，促进对外友好往来与合作。</w:t>
      </w:r>
    </w:p>
    <w:p w14:paraId="500BF8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（五）贯彻区州政协全体会议、常委会议、主席会议精神，完成常委会议、主席会议交办的工作任务。</w:t>
      </w:r>
    </w:p>
    <w:p w14:paraId="764ECA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（六）加强专门委员会的理论研究和工作实践，总结经验，开拓创新，不断推进专门委员会工作的制度化、规范化、程序化建设。</w:t>
      </w:r>
    </w:p>
    <w:p w14:paraId="47C413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83CE9D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中国人民政治协商会议奇台县委员会2024年度，实有人数32人，其中：在职人员18人，增加1人；离休人员0人，较上年无变化；退休人员14人，较上年无变化</w:t>
      </w:r>
      <w:r>
        <w:rPr>
          <w:rFonts w:hint="eastAsia" w:ascii="仿宋_GB2312" w:eastAsia="仿宋_GB2312"/>
          <w:sz w:val="32"/>
          <w:szCs w:val="32"/>
          <w:lang w:eastAsia="zh-CN"/>
        </w:rPr>
        <w:t>。</w:t>
      </w:r>
    </w:p>
    <w:p w14:paraId="63E31A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中国人民政治协商会议奇台县委员会无下属预算单位，下设</w:t>
      </w:r>
      <w:r>
        <w:rPr>
          <w:rFonts w:hint="eastAsia" w:ascii="仿宋_GB2312" w:eastAsia="仿宋_GB2312"/>
          <w:sz w:val="32"/>
          <w:szCs w:val="32"/>
          <w:lang w:val="en-US" w:eastAsia="zh-CN"/>
        </w:rPr>
        <w:t>5</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，分别是：政协办公室、经济法制提案委员会、教科文卫体委员会、党派社团学习文史和民族宗教侨务委员会</w:t>
      </w:r>
      <w:r>
        <w:rPr>
          <w:rFonts w:hint="eastAsia" w:ascii="仿宋_GB2312" w:eastAsia="仿宋_GB2312"/>
          <w:sz w:val="32"/>
          <w:szCs w:val="32"/>
          <w:lang w:eastAsia="zh-CN"/>
        </w:rPr>
        <w:t>、</w:t>
      </w:r>
      <w:r>
        <w:rPr>
          <w:rFonts w:ascii="仿宋_GB2312" w:eastAsia="仿宋_GB2312"/>
          <w:sz w:val="32"/>
          <w:szCs w:val="32"/>
          <w:lang w:eastAsia="zh-CN"/>
        </w:rPr>
        <w:t>委员联络中心。</w:t>
      </w:r>
    </w:p>
    <w:p w14:paraId="1A6DE244">
      <w:pPr>
        <w:rPr>
          <w:rFonts w:hint="eastAsia"/>
          <w:lang w:eastAsia="zh-CN"/>
        </w:rPr>
      </w:pPr>
      <w:r>
        <w:rPr>
          <w:sz w:val="0"/>
          <w:szCs w:val="0"/>
          <w:lang w:eastAsia="zh-CN"/>
        </w:rPr>
        <w:br w:type="page"/>
      </w:r>
    </w:p>
    <w:p w14:paraId="048E1DB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5B1725E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21738F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2024年度收入总计433.61万元，其中：本年收入合计433.61万元，使用非财政拨款结余（含专用结余）0.00万元，年初结转和结余0.00万元。</w:t>
      </w:r>
    </w:p>
    <w:p w14:paraId="6FF107D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2024年度支出总计433.61万元，其中：本年支出合计433.61万元，结余分配0.00万元，年末结转和结余0.00万元。</w:t>
      </w:r>
    </w:p>
    <w:p w14:paraId="0CC782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收入支出总体与上年相比，增加52.07万元，增长13.65%，主要原因是：</w:t>
      </w:r>
      <w:r>
        <w:rPr>
          <w:rFonts w:hint="eastAsia" w:ascii="仿宋_GB2312" w:eastAsia="仿宋_GB2312"/>
          <w:sz w:val="32"/>
          <w:szCs w:val="32"/>
          <w:lang w:eastAsia="zh-CN"/>
        </w:rPr>
        <w:t>本年增加</w:t>
      </w:r>
      <w:r>
        <w:rPr>
          <w:rFonts w:ascii="仿宋_GB2312" w:eastAsia="仿宋_GB2312"/>
          <w:sz w:val="32"/>
          <w:szCs w:val="32"/>
          <w:lang w:eastAsia="zh-CN"/>
        </w:rPr>
        <w:t>政协文史编撰工作经费</w:t>
      </w:r>
      <w:r>
        <w:rPr>
          <w:rFonts w:hint="eastAsia" w:ascii="仿宋_GB2312" w:eastAsia="仿宋_GB2312"/>
          <w:sz w:val="32"/>
          <w:szCs w:val="32"/>
          <w:lang w:eastAsia="zh-CN"/>
        </w:rPr>
        <w:t>及</w:t>
      </w:r>
      <w:r>
        <w:rPr>
          <w:rFonts w:ascii="仿宋_GB2312" w:eastAsia="仿宋_GB2312"/>
          <w:sz w:val="32"/>
          <w:szCs w:val="32"/>
          <w:lang w:eastAsia="zh-CN"/>
        </w:rPr>
        <w:t>自治区驻村工作专项经费</w:t>
      </w:r>
      <w:r>
        <w:rPr>
          <w:rFonts w:hint="eastAsia" w:ascii="仿宋_GB2312" w:eastAsia="仿宋_GB2312"/>
          <w:sz w:val="32"/>
          <w:szCs w:val="32"/>
          <w:lang w:eastAsia="zh-CN"/>
        </w:rPr>
        <w:t>等</w:t>
      </w:r>
      <w:r>
        <w:rPr>
          <w:rFonts w:ascii="仿宋_GB2312" w:eastAsia="仿宋_GB2312"/>
          <w:sz w:val="32"/>
          <w:szCs w:val="32"/>
          <w:lang w:eastAsia="zh-CN"/>
        </w:rPr>
        <w:t>。</w:t>
      </w:r>
    </w:p>
    <w:p w14:paraId="5CEA153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1B3C3BC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本年收入433.61万元，其中：财政拨款收入433.58万元,占99.99%；上级补助收入0.00万元,占0.00%；事业收入0.00万元，占0.00%；经营收入0.00万元,占0.00%；附属单位上缴收入0.00万元，占0.00%；其他收入0.03万元，占0.01%。</w:t>
      </w:r>
    </w:p>
    <w:p w14:paraId="70CD99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A9258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本年支出433.61万元，其中：基本支出411.01万元，占94.79%；项目支出22.60万元，占5.21%；上缴上级支出0.00万元，占0.00%；经营支出0.00万元，占0.00%；对附属单位补助支出0.00万元，占0.00%。</w:t>
      </w:r>
    </w:p>
    <w:p w14:paraId="7B50054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47E795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2024年度财政拨款收入总计433.58万元，其中：年初财政拨款结转和结余0.00万元，本年财政拨款收入433.58万元。财政拨款支出总计433.58万元，其中：年末财政拨款结转和结余0.00万元，本年财政拨款支出433.58万元。</w:t>
      </w:r>
    </w:p>
    <w:p w14:paraId="1A5714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财政拨款收入支出总体与上年相比，增加52.04万元，增长13.64%，主要原因是：</w:t>
      </w:r>
      <w:r>
        <w:rPr>
          <w:rFonts w:hint="eastAsia" w:ascii="仿宋_GB2312" w:eastAsia="仿宋_GB2312"/>
          <w:sz w:val="32"/>
          <w:szCs w:val="32"/>
          <w:lang w:eastAsia="zh-CN"/>
        </w:rPr>
        <w:t>本年增加</w:t>
      </w:r>
      <w:r>
        <w:rPr>
          <w:rFonts w:ascii="仿宋_GB2312" w:eastAsia="仿宋_GB2312"/>
          <w:sz w:val="32"/>
          <w:szCs w:val="32"/>
          <w:lang w:eastAsia="zh-CN"/>
        </w:rPr>
        <w:t>政协文史编撰工作经费</w:t>
      </w:r>
      <w:r>
        <w:rPr>
          <w:rFonts w:hint="eastAsia" w:ascii="仿宋_GB2312" w:eastAsia="仿宋_GB2312"/>
          <w:sz w:val="32"/>
          <w:szCs w:val="32"/>
          <w:lang w:eastAsia="zh-CN"/>
        </w:rPr>
        <w:t>及</w:t>
      </w:r>
      <w:r>
        <w:rPr>
          <w:rFonts w:ascii="仿宋_GB2312" w:eastAsia="仿宋_GB2312"/>
          <w:sz w:val="32"/>
          <w:szCs w:val="32"/>
          <w:lang w:eastAsia="zh-CN"/>
        </w:rPr>
        <w:t>自治区驻村工作专项经费</w:t>
      </w:r>
      <w:r>
        <w:rPr>
          <w:rFonts w:hint="eastAsia" w:ascii="仿宋_GB2312" w:eastAsia="仿宋_GB2312"/>
          <w:sz w:val="32"/>
          <w:szCs w:val="32"/>
          <w:lang w:eastAsia="zh-CN"/>
        </w:rPr>
        <w:t>等</w:t>
      </w:r>
      <w:r>
        <w:rPr>
          <w:rFonts w:ascii="仿宋_GB2312" w:eastAsia="仿宋_GB2312"/>
          <w:sz w:val="32"/>
          <w:szCs w:val="32"/>
          <w:lang w:eastAsia="zh-CN"/>
        </w:rPr>
        <w:t>。与年初预算相比，年初预算数420.12万元，决算数433.58万元，预决算差异率3.20%，主要原因是：</w:t>
      </w:r>
      <w:r>
        <w:rPr>
          <w:rFonts w:hint="eastAsia" w:ascii="仿宋_GB2312" w:eastAsia="仿宋_GB2312"/>
          <w:sz w:val="32"/>
          <w:szCs w:val="32"/>
          <w:lang w:eastAsia="zh-CN"/>
        </w:rPr>
        <w:t>年中追加</w:t>
      </w:r>
      <w:r>
        <w:rPr>
          <w:rFonts w:ascii="仿宋_GB2312" w:eastAsia="仿宋_GB2312"/>
          <w:sz w:val="32"/>
          <w:szCs w:val="32"/>
          <w:lang w:eastAsia="zh-CN"/>
        </w:rPr>
        <w:t>政协文史编撰工作经费</w:t>
      </w:r>
      <w:r>
        <w:rPr>
          <w:rFonts w:hint="eastAsia" w:ascii="仿宋_GB2312" w:eastAsia="仿宋_GB2312"/>
          <w:sz w:val="32"/>
          <w:szCs w:val="32"/>
          <w:lang w:eastAsia="zh-CN"/>
        </w:rPr>
        <w:t>及</w:t>
      </w:r>
      <w:r>
        <w:rPr>
          <w:rFonts w:ascii="仿宋_GB2312" w:eastAsia="仿宋_GB2312"/>
          <w:sz w:val="32"/>
          <w:szCs w:val="32"/>
          <w:lang w:eastAsia="zh-CN"/>
        </w:rPr>
        <w:t>自治区驻村工作专项经费</w:t>
      </w:r>
      <w:r>
        <w:rPr>
          <w:rFonts w:hint="eastAsia" w:ascii="仿宋_GB2312" w:eastAsia="仿宋_GB2312"/>
          <w:sz w:val="32"/>
          <w:szCs w:val="32"/>
          <w:lang w:eastAsia="zh-CN"/>
        </w:rPr>
        <w:t>等</w:t>
      </w:r>
      <w:r>
        <w:rPr>
          <w:rFonts w:ascii="仿宋_GB2312" w:eastAsia="仿宋_GB2312"/>
          <w:sz w:val="32"/>
          <w:szCs w:val="32"/>
          <w:lang w:eastAsia="zh-CN"/>
        </w:rPr>
        <w:t>。</w:t>
      </w:r>
    </w:p>
    <w:p w14:paraId="19C2B2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5D4E97C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B20A45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2024年度一般公共预算财政拨款支出433.58万元，占本年支出合计的99.99%。与上年相比，增加52.04万元，增长13.64%，主要原因是：</w:t>
      </w:r>
      <w:r>
        <w:rPr>
          <w:rFonts w:hint="eastAsia" w:ascii="仿宋_GB2312" w:eastAsia="仿宋_GB2312"/>
          <w:sz w:val="32"/>
          <w:szCs w:val="32"/>
          <w:lang w:eastAsia="zh-CN"/>
        </w:rPr>
        <w:t>本年增加</w:t>
      </w:r>
      <w:r>
        <w:rPr>
          <w:rFonts w:ascii="仿宋_GB2312" w:eastAsia="仿宋_GB2312"/>
          <w:sz w:val="32"/>
          <w:szCs w:val="32"/>
          <w:lang w:eastAsia="zh-CN"/>
        </w:rPr>
        <w:t>政协文史编撰工作经费</w:t>
      </w:r>
      <w:r>
        <w:rPr>
          <w:rFonts w:hint="eastAsia" w:ascii="仿宋_GB2312" w:eastAsia="仿宋_GB2312"/>
          <w:sz w:val="32"/>
          <w:szCs w:val="32"/>
          <w:lang w:eastAsia="zh-CN"/>
        </w:rPr>
        <w:t>及</w:t>
      </w:r>
      <w:r>
        <w:rPr>
          <w:rFonts w:ascii="仿宋_GB2312" w:eastAsia="仿宋_GB2312"/>
          <w:sz w:val="32"/>
          <w:szCs w:val="32"/>
          <w:lang w:eastAsia="zh-CN"/>
        </w:rPr>
        <w:t>自治区驻村工作专项经费</w:t>
      </w:r>
      <w:r>
        <w:rPr>
          <w:rFonts w:hint="eastAsia" w:ascii="仿宋_GB2312" w:eastAsia="仿宋_GB2312"/>
          <w:sz w:val="32"/>
          <w:szCs w:val="32"/>
          <w:lang w:eastAsia="zh-CN"/>
        </w:rPr>
        <w:t>等</w:t>
      </w:r>
      <w:r>
        <w:rPr>
          <w:rFonts w:ascii="仿宋_GB2312" w:eastAsia="仿宋_GB2312"/>
          <w:sz w:val="32"/>
          <w:szCs w:val="32"/>
          <w:lang w:eastAsia="zh-CN"/>
        </w:rPr>
        <w:t>。与年初预算相比，年初预算数420.12万元，决算数433.58万元，预决算差异率3.20%，主要原因是：</w:t>
      </w:r>
      <w:r>
        <w:rPr>
          <w:rFonts w:hint="eastAsia" w:ascii="仿宋_GB2312" w:eastAsia="仿宋_GB2312"/>
          <w:sz w:val="32"/>
          <w:szCs w:val="32"/>
          <w:lang w:eastAsia="zh-CN"/>
        </w:rPr>
        <w:t>年中追加</w:t>
      </w:r>
      <w:r>
        <w:rPr>
          <w:rFonts w:ascii="仿宋_GB2312" w:eastAsia="仿宋_GB2312"/>
          <w:sz w:val="32"/>
          <w:szCs w:val="32"/>
          <w:lang w:eastAsia="zh-CN"/>
        </w:rPr>
        <w:t>政协文史编撰工作经费</w:t>
      </w:r>
      <w:r>
        <w:rPr>
          <w:rFonts w:hint="eastAsia" w:ascii="仿宋_GB2312" w:eastAsia="仿宋_GB2312"/>
          <w:sz w:val="32"/>
          <w:szCs w:val="32"/>
          <w:lang w:eastAsia="zh-CN"/>
        </w:rPr>
        <w:t>及</w:t>
      </w:r>
      <w:r>
        <w:rPr>
          <w:rFonts w:ascii="仿宋_GB2312" w:eastAsia="仿宋_GB2312"/>
          <w:sz w:val="32"/>
          <w:szCs w:val="32"/>
          <w:lang w:eastAsia="zh-CN"/>
        </w:rPr>
        <w:t>自治区驻村工作专项经费</w:t>
      </w:r>
      <w:r>
        <w:rPr>
          <w:rFonts w:hint="eastAsia" w:ascii="仿宋_GB2312" w:eastAsia="仿宋_GB2312"/>
          <w:sz w:val="32"/>
          <w:szCs w:val="32"/>
          <w:lang w:eastAsia="zh-CN"/>
        </w:rPr>
        <w:t>等</w:t>
      </w:r>
      <w:r>
        <w:rPr>
          <w:rFonts w:ascii="仿宋_GB2312" w:eastAsia="仿宋_GB2312"/>
          <w:sz w:val="32"/>
          <w:szCs w:val="32"/>
          <w:lang w:eastAsia="zh-CN"/>
        </w:rPr>
        <w:t>。</w:t>
      </w:r>
    </w:p>
    <w:p w14:paraId="1E4CDC7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05B3AD8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一般公共服务支出（类）308.41万元，占71.13%。</w:t>
      </w:r>
    </w:p>
    <w:p w14:paraId="5915197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社会保障和就业支出（类）70.97万元，占16.37%。</w:t>
      </w:r>
    </w:p>
    <w:p w14:paraId="197FBD8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卫生健康支出（类）21.66万元，占5.00%。</w:t>
      </w:r>
    </w:p>
    <w:p w14:paraId="5495E9A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住房保障支出（类）27.55万元，占6.35%。</w:t>
      </w:r>
    </w:p>
    <w:p w14:paraId="1632C70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其他支出（类）5.00万元，占1.15%。</w:t>
      </w:r>
    </w:p>
    <w:p w14:paraId="350A12F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E8642C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1、一般公共服务支出（类）政协事务（款）行政运行（项）：支出决算数为290.81万元，比上年决算增加27.11万元，增长10.28%，主要原因是：</w:t>
      </w:r>
      <w:r>
        <w:rPr>
          <w:rFonts w:hint="eastAsia" w:ascii="仿宋_GB2312" w:eastAsia="仿宋_GB2312"/>
          <w:sz w:val="32"/>
          <w:szCs w:val="32"/>
          <w:lang w:eastAsia="zh-CN"/>
        </w:rPr>
        <w:t>单位人员增加，</w:t>
      </w:r>
      <w:bookmarkStart w:id="0" w:name="_Hlk209026749"/>
      <w:bookmarkStart w:id="1" w:name="_Hlk209002448"/>
      <w:r>
        <w:rPr>
          <w:rFonts w:hint="eastAsia" w:ascii="仿宋_GB2312" w:eastAsia="仿宋_GB2312"/>
          <w:sz w:val="32"/>
          <w:szCs w:val="32"/>
          <w:lang w:eastAsia="zh-CN"/>
        </w:rPr>
        <w:t>人员</w:t>
      </w:r>
      <w:bookmarkStart w:id="2" w:name="_Hlk209001149"/>
      <w:bookmarkStart w:id="3" w:name="_Hlk209007270"/>
      <w:r>
        <w:rPr>
          <w:rFonts w:hint="eastAsia" w:ascii="仿宋_GB2312" w:eastAsia="仿宋_GB2312"/>
          <w:sz w:val="32"/>
          <w:szCs w:val="32"/>
          <w:lang w:eastAsia="zh-CN"/>
        </w:rPr>
        <w:t>工资、津补贴等人员经费</w:t>
      </w:r>
      <w:bookmarkEnd w:id="0"/>
      <w:r>
        <w:rPr>
          <w:rFonts w:hint="eastAsia" w:ascii="仿宋_GB2312" w:eastAsia="仿宋_GB2312"/>
          <w:sz w:val="32"/>
          <w:szCs w:val="32"/>
          <w:lang w:eastAsia="zh-CN"/>
        </w:rPr>
        <w:t>较上年</w:t>
      </w:r>
      <w:bookmarkEnd w:id="2"/>
      <w:r>
        <w:rPr>
          <w:rFonts w:hint="eastAsia" w:ascii="仿宋_GB2312" w:eastAsia="仿宋_GB2312"/>
          <w:sz w:val="32"/>
          <w:szCs w:val="32"/>
          <w:lang w:eastAsia="zh-CN"/>
        </w:rPr>
        <w:t>增加</w:t>
      </w:r>
      <w:bookmarkEnd w:id="1"/>
      <w:bookmarkEnd w:id="3"/>
      <w:r>
        <w:rPr>
          <w:rFonts w:ascii="仿宋_GB2312" w:eastAsia="仿宋_GB2312"/>
          <w:sz w:val="32"/>
          <w:szCs w:val="32"/>
          <w:lang w:eastAsia="zh-CN"/>
        </w:rPr>
        <w:t>。</w:t>
      </w:r>
    </w:p>
    <w:p w14:paraId="5FBCBD3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2、一般公共服务支出（类）政协事务（款）其他政协事务支出（项）：支出决算数为17.60万元，比上年决算减少15.12万元，下降46.21%，主要原因是：</w:t>
      </w:r>
      <w:r>
        <w:rPr>
          <w:rFonts w:hint="eastAsia" w:ascii="仿宋_GB2312" w:eastAsia="仿宋_GB2312"/>
          <w:sz w:val="32"/>
          <w:szCs w:val="32"/>
          <w:lang w:eastAsia="zh-CN"/>
        </w:rPr>
        <w:t>本年单位减少自治区基层政协补助经费</w:t>
      </w:r>
      <w:r>
        <w:rPr>
          <w:rFonts w:ascii="仿宋_GB2312" w:eastAsia="仿宋_GB2312"/>
          <w:sz w:val="32"/>
          <w:szCs w:val="32"/>
          <w:lang w:eastAsia="zh-CN"/>
        </w:rPr>
        <w:t>。</w:t>
      </w:r>
    </w:p>
    <w:p w14:paraId="66B3903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3、社会保障和就业支出（类）行政事业单位养老支出（款）行政单位离退休（项）：支出决算数为10.74万元，比上年决算增加4.29万元，增长66.51%，主要原因是：退休人员绩效奖金调增，</w:t>
      </w:r>
      <w:r>
        <w:rPr>
          <w:rFonts w:hint="eastAsia" w:ascii="仿宋_GB2312" w:eastAsia="仿宋_GB2312"/>
          <w:sz w:val="32"/>
          <w:szCs w:val="32"/>
          <w:lang w:eastAsia="zh-CN"/>
        </w:rPr>
        <w:t>故本年单位退休人员退休经费较上年增加</w:t>
      </w:r>
      <w:r>
        <w:rPr>
          <w:rFonts w:ascii="仿宋_GB2312" w:eastAsia="仿宋_GB2312"/>
          <w:sz w:val="32"/>
          <w:szCs w:val="32"/>
          <w:lang w:eastAsia="zh-CN"/>
        </w:rPr>
        <w:t>。</w:t>
      </w:r>
    </w:p>
    <w:p w14:paraId="11AF7DE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4、社会保障和就业支出（类）行政事业单位养老支出（款）机关事业单位基本养老保险缴费支出（项）：支出决算数为34.30万元，比上年决算增加4.23万元，增长14.07%，主要原因是：</w:t>
      </w:r>
      <w:r>
        <w:rPr>
          <w:rFonts w:hint="eastAsia" w:ascii="仿宋_GB2312" w:eastAsia="仿宋_GB2312"/>
          <w:sz w:val="32"/>
          <w:szCs w:val="32"/>
          <w:lang w:eastAsia="zh-CN"/>
        </w:rPr>
        <w:t>单位人员增加，人员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147D88B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5、社会保障和就业支出（类）行政事业单位养老支出（款）机关事业单位职业年金缴费支出（项）：支出决算数为25.93万元，比上年决算增加20.10万元，增长344.77%，主要原因是：</w:t>
      </w:r>
      <w:r>
        <w:rPr>
          <w:rFonts w:hint="eastAsia" w:ascii="仿宋_GB2312" w:hAnsi="仿宋_GB2312" w:eastAsia="仿宋_GB2312" w:cs="仿宋_GB2312"/>
          <w:sz w:val="32"/>
          <w:szCs w:val="32"/>
          <w:lang w:val="zh-CN" w:eastAsia="zh-CN"/>
        </w:rPr>
        <w:t>2023年职业年金单位部分未做实缴纳，2024年列入预算并缴纳一次性职业年金，导致此经费增加</w:t>
      </w:r>
      <w:r>
        <w:rPr>
          <w:rFonts w:ascii="仿宋_GB2312" w:eastAsia="仿宋_GB2312"/>
          <w:sz w:val="32"/>
          <w:szCs w:val="32"/>
          <w:lang w:eastAsia="zh-CN"/>
        </w:rPr>
        <w:t>。</w:t>
      </w:r>
    </w:p>
    <w:p w14:paraId="2EF2BC1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6、卫生健康支出（类）行政事业单位医疗（款）行政单位医疗（项）：支出决算数为14.22万元，比上年决算减少0.95万元，下降6.26%，主要原因是：</w:t>
      </w:r>
      <w:bookmarkStart w:id="4" w:name="_Hlk209026471"/>
      <w:r>
        <w:rPr>
          <w:rFonts w:hint="eastAsia" w:ascii="仿宋_GB2312" w:eastAsia="仿宋_GB2312"/>
          <w:sz w:val="32"/>
          <w:szCs w:val="32"/>
          <w:lang w:eastAsia="zh-CN"/>
        </w:rPr>
        <w:t>单位科目调整，本年将事业人员职工基本医疗保险缴费调整至</w:t>
      </w:r>
      <w:r>
        <w:rPr>
          <w:rFonts w:ascii="仿宋_GB2312" w:eastAsia="仿宋_GB2312"/>
          <w:sz w:val="32"/>
          <w:szCs w:val="32"/>
          <w:lang w:eastAsia="zh-CN"/>
        </w:rPr>
        <w:t>事业单位医疗</w:t>
      </w:r>
      <w:r>
        <w:rPr>
          <w:rFonts w:hint="eastAsia" w:ascii="仿宋_GB2312" w:eastAsia="仿宋_GB2312"/>
          <w:sz w:val="32"/>
          <w:szCs w:val="32"/>
          <w:lang w:eastAsia="zh-CN"/>
        </w:rPr>
        <w:t>科目反映</w:t>
      </w:r>
      <w:bookmarkEnd w:id="4"/>
      <w:r>
        <w:rPr>
          <w:rFonts w:ascii="仿宋_GB2312" w:eastAsia="仿宋_GB2312"/>
          <w:sz w:val="32"/>
          <w:szCs w:val="32"/>
          <w:lang w:eastAsia="zh-CN"/>
        </w:rPr>
        <w:t>。</w:t>
      </w:r>
    </w:p>
    <w:p w14:paraId="312739A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7、卫生健康支出（类）行政事业单位医疗（款）事业单位医疗（项）：支出决算数为3.41万元，比上年决算增加3.41万元，增长100.00%，主要原因是：</w:t>
      </w:r>
      <w:r>
        <w:rPr>
          <w:rFonts w:hint="eastAsia" w:ascii="仿宋_GB2312" w:eastAsia="仿宋_GB2312"/>
          <w:sz w:val="32"/>
          <w:szCs w:val="32"/>
          <w:lang w:eastAsia="zh-CN"/>
        </w:rPr>
        <w:t>单位科目调整，本年将事业人员职工基本医疗保险缴费从</w:t>
      </w:r>
      <w:r>
        <w:rPr>
          <w:rFonts w:ascii="仿宋_GB2312" w:eastAsia="仿宋_GB2312"/>
          <w:sz w:val="32"/>
          <w:szCs w:val="32"/>
          <w:lang w:eastAsia="zh-CN"/>
        </w:rPr>
        <w:t>行政单位医疗</w:t>
      </w:r>
      <w:r>
        <w:rPr>
          <w:rFonts w:hint="eastAsia" w:ascii="仿宋_GB2312" w:eastAsia="仿宋_GB2312"/>
          <w:sz w:val="32"/>
          <w:szCs w:val="32"/>
          <w:lang w:eastAsia="zh-CN"/>
        </w:rPr>
        <w:t>科目调整至本科目反映</w:t>
      </w:r>
      <w:r>
        <w:rPr>
          <w:rFonts w:ascii="仿宋_GB2312" w:eastAsia="仿宋_GB2312"/>
          <w:sz w:val="32"/>
          <w:szCs w:val="32"/>
          <w:lang w:eastAsia="zh-CN"/>
        </w:rPr>
        <w:t>。</w:t>
      </w:r>
    </w:p>
    <w:p w14:paraId="48DC112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8、卫生健康支出（类）行政事业单位医疗（款）公务员医疗补助（项）：支出决算数为3.91万元，比上年决算增加0.27万元，增长7.42%，主要原因是：</w:t>
      </w:r>
      <w:r>
        <w:rPr>
          <w:rFonts w:hint="eastAsia" w:ascii="仿宋_GB2312" w:eastAsia="仿宋_GB2312"/>
          <w:sz w:val="32"/>
          <w:szCs w:val="32"/>
          <w:lang w:eastAsia="zh-CN"/>
        </w:rPr>
        <w:t>单位人员增加，人员医疗补助缴费较上年增加</w:t>
      </w:r>
      <w:r>
        <w:rPr>
          <w:rFonts w:ascii="仿宋_GB2312" w:eastAsia="仿宋_GB2312"/>
          <w:sz w:val="32"/>
          <w:szCs w:val="32"/>
          <w:lang w:eastAsia="zh-CN"/>
        </w:rPr>
        <w:t>。</w:t>
      </w:r>
    </w:p>
    <w:p w14:paraId="3D8A588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9、卫生健康支出（类）行政事业单位医疗（款）其他行政事业单位医疗支出（项）：支出决算数为0.11万元，比上年决算减少0.06万元，下降35.29%，主要原因是：</w:t>
      </w:r>
      <w:bookmarkStart w:id="5" w:name="_Hlk209002264"/>
      <w:r>
        <w:rPr>
          <w:rFonts w:hint="eastAsia" w:ascii="仿宋_GB2312" w:eastAsia="仿宋_GB2312"/>
          <w:sz w:val="32"/>
          <w:szCs w:val="32"/>
          <w:lang w:eastAsia="zh-CN"/>
        </w:rPr>
        <w:t>本年单位减少人员</w:t>
      </w:r>
      <w:bookmarkStart w:id="6" w:name="_Hlk207798382"/>
      <w:r>
        <w:rPr>
          <w:rFonts w:hint="eastAsia" w:ascii="仿宋_GB2312" w:eastAsia="仿宋_GB2312"/>
          <w:sz w:val="32"/>
          <w:szCs w:val="32"/>
          <w:lang w:eastAsia="zh-CN"/>
        </w:rPr>
        <w:t>大额医疗补助缴费</w:t>
      </w:r>
      <w:bookmarkEnd w:id="5"/>
      <w:bookmarkEnd w:id="6"/>
      <w:r>
        <w:rPr>
          <w:rFonts w:ascii="仿宋_GB2312" w:eastAsia="仿宋_GB2312"/>
          <w:sz w:val="32"/>
          <w:szCs w:val="32"/>
          <w:lang w:eastAsia="zh-CN"/>
        </w:rPr>
        <w:t>。</w:t>
      </w:r>
    </w:p>
    <w:p w14:paraId="7F72698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10、住房保障支出（类）住房改革支出（款）住房公积金（项）：支出决算数为27.55万元，比上年决算增加3.76万元，增长15.80%，主要原因是：</w:t>
      </w:r>
      <w:r>
        <w:rPr>
          <w:rFonts w:hint="eastAsia" w:ascii="仿宋_GB2312" w:eastAsia="仿宋_GB2312"/>
          <w:sz w:val="32"/>
          <w:szCs w:val="32"/>
          <w:lang w:eastAsia="zh-CN"/>
        </w:rPr>
        <w:t>单位人员增加，人员</w:t>
      </w:r>
      <w:r>
        <w:rPr>
          <w:rFonts w:ascii="仿宋_GB2312" w:eastAsia="仿宋_GB2312"/>
          <w:sz w:val="32"/>
          <w:szCs w:val="32"/>
          <w:lang w:eastAsia="zh-CN"/>
        </w:rPr>
        <w:t>住房公积金</w:t>
      </w:r>
      <w:r>
        <w:rPr>
          <w:rFonts w:hint="eastAsia" w:ascii="仿宋_GB2312" w:eastAsia="仿宋_GB2312"/>
          <w:sz w:val="32"/>
          <w:szCs w:val="32"/>
          <w:lang w:eastAsia="zh-CN"/>
        </w:rPr>
        <w:t>缴费增加</w:t>
      </w:r>
      <w:r>
        <w:rPr>
          <w:rFonts w:ascii="仿宋_GB2312" w:eastAsia="仿宋_GB2312"/>
          <w:sz w:val="32"/>
          <w:szCs w:val="32"/>
          <w:lang w:eastAsia="zh-CN"/>
        </w:rPr>
        <w:t>。</w:t>
      </w:r>
    </w:p>
    <w:p w14:paraId="6347A5B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11、其他支出（类）其他支出（款）其他支出（项）：支出决算数为5.00万元，比上年决算增加5.00万元，增长100.00%，主要原因是：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自治区驻村工作专项经费。</w:t>
      </w:r>
    </w:p>
    <w:p w14:paraId="4EACCAD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5EDD1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410.98万元，其中：人员经费381.89万元，包括：基本工资、津贴补贴、奖金、绩效工资、机关事业单位基本养老保险缴费、职业年金缴费、职工基本医疗保险缴费、公务员医疗补助缴费、其他社会保障缴费、住房公积金、其他工资福利支出、退休费和奖励金。</w:t>
      </w:r>
    </w:p>
    <w:p w14:paraId="1F93949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公用经费29.10万元，包括：办公费、差旅费、会议费、工会经费、公务用车运行维护费和其他交通费用。</w:t>
      </w:r>
    </w:p>
    <w:p w14:paraId="7BB7BA9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527E485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1A9F37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7FEE0F7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AD4565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6F02440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2024年度财政拨款“三公”经费支出6.90万元，比上年减少0.00万元，下降0.00%，主要原因是：</w:t>
      </w:r>
      <w:r>
        <w:rPr>
          <w:rFonts w:hint="eastAsia" w:ascii="仿宋_GB2312" w:eastAsia="仿宋_GB2312"/>
          <w:sz w:val="32"/>
          <w:szCs w:val="32"/>
          <w:lang w:eastAsia="zh-CN"/>
        </w:rPr>
        <w:t>本年单位</w:t>
      </w:r>
      <w:r>
        <w:rPr>
          <w:rFonts w:ascii="仿宋_GB2312" w:eastAsia="仿宋_GB2312"/>
          <w:sz w:val="32"/>
          <w:szCs w:val="32"/>
          <w:lang w:eastAsia="zh-CN"/>
        </w:rPr>
        <w:t>“三公”经费</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7" w:name="_Hlk207143847"/>
      <w:r>
        <w:rPr>
          <w:rFonts w:hint="eastAsia" w:ascii="仿宋_GB2312" w:eastAsia="仿宋_GB2312"/>
          <w:sz w:val="32"/>
          <w:szCs w:val="32"/>
          <w:lang w:eastAsia="zh-CN"/>
        </w:rPr>
        <w:t>我</w:t>
      </w:r>
      <w:bookmarkStart w:id="8" w:name="_Hlk209026967"/>
      <w:r>
        <w:rPr>
          <w:rFonts w:hint="eastAsia" w:ascii="仿宋_GB2312" w:eastAsia="仿宋_GB2312"/>
          <w:sz w:val="32"/>
          <w:szCs w:val="32"/>
          <w:lang w:eastAsia="zh-CN"/>
        </w:rPr>
        <w:t>单位上年度与本年度均无此项经费</w:t>
      </w:r>
      <w:bookmarkEnd w:id="7"/>
      <w:bookmarkEnd w:id="8"/>
      <w:r>
        <w:rPr>
          <w:rFonts w:ascii="仿宋_GB2312" w:eastAsia="仿宋_GB2312"/>
          <w:sz w:val="32"/>
          <w:szCs w:val="32"/>
          <w:lang w:eastAsia="zh-CN"/>
        </w:rPr>
        <w:t>；公务用车购置及运行维护费支出6.90万元，占100.00%，比上年减少0.00万元，下降0.00%，主要原因是：</w:t>
      </w:r>
      <w:r>
        <w:rPr>
          <w:rFonts w:hint="eastAsia" w:ascii="仿宋_GB2312" w:eastAsia="仿宋_GB2312"/>
          <w:sz w:val="32"/>
          <w:szCs w:val="32"/>
          <w:lang w:eastAsia="zh-CN"/>
        </w:rPr>
        <w:t>本年单位</w:t>
      </w:r>
      <w:r>
        <w:rPr>
          <w:rFonts w:ascii="仿宋_GB2312" w:eastAsia="仿宋_GB2312"/>
          <w:sz w:val="32"/>
          <w:szCs w:val="32"/>
          <w:lang w:eastAsia="zh-CN"/>
        </w:rPr>
        <w:t>公务用车购置及运行维护费</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44F82EA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0021ED5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w:t>
      </w:r>
      <w:r>
        <w:rPr>
          <w:rFonts w:hint="eastAsia" w:ascii="仿宋_GB2312" w:eastAsia="仿宋_GB2312"/>
          <w:sz w:val="32"/>
          <w:szCs w:val="32"/>
          <w:lang w:eastAsia="zh-CN"/>
        </w:rPr>
        <w:t>年</w:t>
      </w:r>
      <w:r>
        <w:rPr>
          <w:rFonts w:ascii="仿宋_GB2312" w:eastAsia="仿宋_GB2312"/>
          <w:sz w:val="32"/>
          <w:szCs w:val="32"/>
          <w:lang w:eastAsia="zh-CN"/>
        </w:rPr>
        <w:t>单位无因公出国（境）费支出。单位全年安排的因公出国（境）团组0个，因公出国（境）0人次。</w:t>
      </w:r>
    </w:p>
    <w:p w14:paraId="309A2EE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公务用车购置及运行维护费6.90万元，其中：公务用车购置费0.00万元，公务用车运行维护费6.90万元。公务用车运行维护费开支内容包括</w:t>
      </w:r>
      <w:bookmarkStart w:id="9" w:name="_Hlk207793066"/>
      <w:r>
        <w:rPr>
          <w:rFonts w:hint="eastAsia" w:ascii="仿宋_GB2312" w:eastAsia="仿宋_GB2312"/>
          <w:sz w:val="32"/>
          <w:szCs w:val="32"/>
          <w:lang w:eastAsia="zh-CN"/>
        </w:rPr>
        <w:t>公务用车维修维护费、燃油费、保险费、过路费等</w:t>
      </w:r>
      <w:bookmarkEnd w:id="9"/>
      <w:r>
        <w:rPr>
          <w:rFonts w:ascii="仿宋_GB2312" w:eastAsia="仿宋_GB2312"/>
          <w:sz w:val="32"/>
          <w:szCs w:val="32"/>
          <w:lang w:eastAsia="zh-CN"/>
        </w:rPr>
        <w:t>。公务用车购置数0辆，公务用车保有量4辆。国有资产占用情况中固定资产车辆4辆，与公务用车保有量差异原因是：</w:t>
      </w:r>
      <w:bookmarkStart w:id="10" w:name="_Hlk207143898"/>
      <w:r>
        <w:rPr>
          <w:rFonts w:hint="eastAsia" w:ascii="仿宋_GB2312" w:eastAsia="仿宋_GB2312"/>
          <w:sz w:val="32"/>
          <w:szCs w:val="32"/>
          <w:lang w:eastAsia="zh-CN"/>
        </w:rPr>
        <w:t>本单位固定资产车辆与公务用车保有量一致无差异</w:t>
      </w:r>
      <w:bookmarkEnd w:id="10"/>
      <w:r>
        <w:rPr>
          <w:rFonts w:ascii="仿宋_GB2312" w:eastAsia="仿宋_GB2312"/>
          <w:sz w:val="32"/>
          <w:szCs w:val="32"/>
          <w:lang w:eastAsia="zh-CN"/>
        </w:rPr>
        <w:t>。</w:t>
      </w:r>
    </w:p>
    <w:p w14:paraId="2606B5D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公务接待费0.00万元，开支内容包括本单位无公务接待费支出。单位全年安排的国内公务接待0批次，0人次。</w:t>
      </w:r>
    </w:p>
    <w:p w14:paraId="6A7A60A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与全年预算相比，财政拨款“三公”经费支出全年预算数6.90万元，决算数6.90万元，预决算差异率0.00%，主要原因是：</w:t>
      </w:r>
      <w:bookmarkStart w:id="11" w:name="_Hlk207142995"/>
      <w:r>
        <w:rPr>
          <w:rFonts w:hint="eastAsia" w:ascii="仿宋_GB2312" w:eastAsia="仿宋_GB2312"/>
          <w:sz w:val="32"/>
          <w:szCs w:val="32"/>
          <w:lang w:eastAsia="zh-CN"/>
        </w:rPr>
        <w:t>严格按照预算执行，预决算对比无差异</w:t>
      </w:r>
      <w:bookmarkEnd w:id="11"/>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；公务用车运行维护费全年预算数6.90万元，决算数6.90万元，预决算差异率0.00%，主要原因是：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3DBC4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11A0B9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6F3CA5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2024年度中国人民政治协商会议奇台县委员会单位（行政单位和参照公务员法管理事业单位）机关运行经费支出29.10万元，比上年减少9.92万元，下降25.42%，主要原因是：</w:t>
      </w:r>
      <w:r>
        <w:rPr>
          <w:rFonts w:hint="eastAsia" w:ascii="仿宋_GB2312" w:eastAsia="仿宋_GB2312"/>
          <w:sz w:val="32"/>
          <w:szCs w:val="32"/>
          <w:lang w:eastAsia="zh-CN"/>
        </w:rPr>
        <w:t>本年单位减少</w:t>
      </w:r>
      <w:r>
        <w:rPr>
          <w:rFonts w:ascii="仿宋_GB2312" w:eastAsia="仿宋_GB2312"/>
          <w:sz w:val="32"/>
          <w:szCs w:val="32"/>
          <w:lang w:eastAsia="zh-CN"/>
        </w:rPr>
        <w:t>办公费、差旅费</w:t>
      </w:r>
      <w:r>
        <w:rPr>
          <w:rFonts w:hint="eastAsia" w:ascii="仿宋_GB2312" w:eastAsia="仿宋_GB2312"/>
          <w:sz w:val="32"/>
          <w:szCs w:val="32"/>
          <w:lang w:eastAsia="zh-CN"/>
        </w:rPr>
        <w:t>、</w:t>
      </w:r>
      <w:r>
        <w:rPr>
          <w:rFonts w:ascii="仿宋_GB2312" w:eastAsia="仿宋_GB2312"/>
          <w:sz w:val="32"/>
          <w:szCs w:val="32"/>
          <w:lang w:eastAsia="zh-CN"/>
        </w:rPr>
        <w:t>工会经费</w:t>
      </w:r>
      <w:r>
        <w:rPr>
          <w:rFonts w:hint="eastAsia" w:ascii="仿宋_GB2312" w:eastAsia="仿宋_GB2312"/>
          <w:sz w:val="32"/>
          <w:szCs w:val="32"/>
          <w:lang w:eastAsia="zh-CN"/>
        </w:rPr>
        <w:t>等</w:t>
      </w:r>
      <w:r>
        <w:rPr>
          <w:rFonts w:ascii="仿宋_GB2312" w:eastAsia="仿宋_GB2312"/>
          <w:sz w:val="32"/>
          <w:szCs w:val="32"/>
          <w:lang w:eastAsia="zh-CN"/>
        </w:rPr>
        <w:t>。</w:t>
      </w:r>
    </w:p>
    <w:p w14:paraId="0496EE8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2D4A66D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2024年度政府采购支出总额22.12万元，其中：政府采购货物支出3.75万元、政府采购工程支出1.50万元、政府采购服务支出16.87万元。</w:t>
      </w:r>
    </w:p>
    <w:p w14:paraId="1A59561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授予中小企业合同金额21.10万元，占政府采购支出总额的95.39%，其中：授予小微企业合同金额17.00万元，占政府采购支出总额的76.85%。</w:t>
      </w:r>
    </w:p>
    <w:p w14:paraId="7047E14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109B55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截至2024年12月31日，房屋1,700.00平方米，价值19.70万元。</w:t>
      </w:r>
      <w:r>
        <w:rPr>
          <w:rFonts w:ascii="仿宋_GB2312" w:eastAsia="仿宋_GB2312"/>
          <w:sz w:val="32"/>
          <w:szCs w:val="32"/>
          <w:lang w:eastAsia="zh-CN"/>
        </w:rPr>
        <w:t>车辆4辆，价值99.94万元，其中：副部（省）级及以上领导用车0辆、主要负责人用车0辆、机要通信用车0辆、应急保障用车0辆、执法执勤用车0辆、特种专业技术用车0辆、离退休干部服务用车0辆、其他用车4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3225A29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68DAD58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根据预算绩效管理要求，本单位2024年度预算绩效管理形成整体支出绩效自评表1个，全年预算总额433.61万元，实际执行总额433.61万元；预算绩效评价项目2个，全年预算数</w:t>
      </w:r>
      <w:r>
        <w:rPr>
          <w:rFonts w:hint="eastAsia" w:ascii="仿宋_GB2312" w:eastAsia="仿宋_GB2312"/>
          <w:sz w:val="32"/>
          <w:szCs w:val="32"/>
          <w:lang w:eastAsia="zh-CN"/>
        </w:rPr>
        <w:t>17.60</w:t>
      </w:r>
      <w:r>
        <w:rPr>
          <w:rFonts w:ascii="仿宋_GB2312" w:eastAsia="仿宋_GB2312"/>
          <w:sz w:val="32"/>
          <w:szCs w:val="32"/>
          <w:lang w:eastAsia="zh-CN"/>
        </w:rPr>
        <w:t>万元，全年执行数</w:t>
      </w:r>
      <w:r>
        <w:rPr>
          <w:rFonts w:hint="eastAsia" w:ascii="仿宋_GB2312" w:eastAsia="仿宋_GB2312"/>
          <w:sz w:val="32"/>
          <w:szCs w:val="32"/>
          <w:lang w:eastAsia="zh-CN"/>
        </w:rPr>
        <w:t>17.60</w:t>
      </w:r>
      <w:r>
        <w:rPr>
          <w:rFonts w:ascii="仿宋_GB2312" w:eastAsia="仿宋_GB2312"/>
          <w:sz w:val="32"/>
          <w:szCs w:val="32"/>
          <w:lang w:eastAsia="zh-CN"/>
        </w:rPr>
        <w:t>万元。预算绩效管理取得的成效：一是政协奇台县委员会建立健全了预算管理规章制度，各部门严格按预算编制的原则和要求做好当年预算编制工作，在预算绩效管理工作中，做到合理安排各项资金，重点保障基本支出，按轻重缓急顺序原则，优先安排了政协奇台县委员会事业发展中关系民生与稳定的项目，切实优化资源配置，提高了资金使用的效率和效果；二是严格坚持先做事、后验收、再拨付的原则，基本杜绝了资金被挤占和挪用现象的发生，跟踪检查到位。发现的问题及原因：一是财政预算资金统筹管理使用有待加强。二是受各种客观原因限制，预算资金支出进度与计划不符，整体绩效管理不强，预算绩效管理主体责任意识有待提高，绩效管理工作还存在被动情况。三是因财政资金紧张，内部协调机制还不够完善，绩效管理人员队伍人员比较薄弱。下一步改进措施：一是增强部门绩效管理意识，强化绩效管理工作队伍建设。对部门全体人员开展预算绩效管理培训，培训内容前期绩效目标编制、过程绩效跟踪、绩效自评及结果应用方面，增强部门人员预算绩效管理意识，提高预算绩效管理工作质量，进一步推进预算绩效管理工作。二是进一步完善内部预算管理制度，严格按照编制的相关制度和要求进行预算编制和评估。三是对本单位当年度的各项工作做到心中有数，统筹安排，合理配置不断完善支出结构，提高资金使用率，进一步完善预算管理体制，加强项目开展进度的跟踪，开展项目进行评价，确保项目进行目标完成。具体附部门整体支出绩效自评表，项目支出绩效自评表和部门评价报告。</w:t>
      </w:r>
    </w:p>
    <w:p w14:paraId="328D351C">
      <w:pPr>
        <w:rPr>
          <w:rFonts w:hint="eastAsia" w:ascii="宋体" w:hAnsi="宋体" w:eastAsia="宋体" w:cs="宋体"/>
          <w:b/>
          <w:bCs/>
          <w:sz w:val="18"/>
          <w:szCs w:val="18"/>
        </w:rPr>
      </w:pPr>
      <w:bookmarkStart w:id="12" w:name="_Hlk201836110"/>
    </w:p>
    <w:p w14:paraId="6E3B3615">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7096A55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75E4E573">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E51A8AF">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DC136AF">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中国人民政治协商会议奇台县委员会</w:t>
            </w:r>
          </w:p>
        </w:tc>
        <w:tc>
          <w:tcPr>
            <w:tcW w:w="284" w:type="dxa"/>
            <w:tcBorders>
              <w:top w:val="nil"/>
              <w:left w:val="nil"/>
              <w:bottom w:val="nil"/>
              <w:right w:val="nil"/>
            </w:tcBorders>
            <w:noWrap/>
            <w:vAlign w:val="center"/>
          </w:tcPr>
          <w:p w14:paraId="785BD41A">
            <w:pPr>
              <w:rPr>
                <w:rFonts w:hint="eastAsia" w:ascii="宋体" w:hAnsi="宋体" w:eastAsia="宋体" w:cs="宋体"/>
                <w:b/>
                <w:bCs/>
                <w:sz w:val="18"/>
                <w:szCs w:val="18"/>
                <w:lang w:eastAsia="zh-CN"/>
              </w:rPr>
            </w:pPr>
          </w:p>
        </w:tc>
      </w:tr>
      <w:tr w14:paraId="0EDFCBCD">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9435E4B">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8854447">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B993A41">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05C76A7">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4640B07F">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ABFCB15">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ADEC163">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EADEE38">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198D2E7">
            <w:pPr>
              <w:jc w:val="center"/>
              <w:rPr>
                <w:rFonts w:hint="eastAsia" w:ascii="宋体" w:hAnsi="宋体" w:eastAsia="宋体" w:cs="宋体"/>
                <w:b/>
                <w:bCs/>
                <w:sz w:val="18"/>
                <w:szCs w:val="18"/>
              </w:rPr>
            </w:pPr>
          </w:p>
        </w:tc>
      </w:tr>
      <w:tr w14:paraId="3D414CC8">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A9A2FE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82C356A">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309F97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0B397B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54D0AA7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4276BC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575F342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7A614543">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00AB0DE9">
            <w:pPr>
              <w:jc w:val="center"/>
              <w:rPr>
                <w:rFonts w:hint="eastAsia" w:ascii="宋体" w:hAnsi="宋体" w:eastAsia="宋体" w:cs="宋体"/>
                <w:b/>
                <w:bCs/>
                <w:sz w:val="18"/>
                <w:szCs w:val="18"/>
              </w:rPr>
            </w:pPr>
          </w:p>
        </w:tc>
      </w:tr>
      <w:tr w14:paraId="5361CFC5">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D2B63C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49FCDC4">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1A5B771">
            <w:pPr>
              <w:jc w:val="center"/>
              <w:rPr>
                <w:rFonts w:hint="eastAsia" w:ascii="宋体" w:hAnsi="宋体" w:eastAsia="宋体" w:cs="宋体"/>
                <w:sz w:val="18"/>
                <w:szCs w:val="18"/>
              </w:rPr>
            </w:pPr>
            <w:r>
              <w:rPr>
                <w:rFonts w:hint="eastAsia" w:ascii="宋体" w:hAnsi="宋体" w:eastAsia="宋体" w:cs="宋体"/>
                <w:sz w:val="18"/>
                <w:szCs w:val="18"/>
              </w:rPr>
              <w:t>431.00</w:t>
            </w:r>
          </w:p>
        </w:tc>
        <w:tc>
          <w:tcPr>
            <w:tcW w:w="1242" w:type="dxa"/>
            <w:tcBorders>
              <w:top w:val="nil"/>
              <w:left w:val="nil"/>
              <w:bottom w:val="single" w:color="auto" w:sz="4" w:space="0"/>
              <w:right w:val="single" w:color="auto" w:sz="4" w:space="0"/>
            </w:tcBorders>
            <w:vAlign w:val="center"/>
          </w:tcPr>
          <w:p w14:paraId="1D7B185C">
            <w:pPr>
              <w:jc w:val="center"/>
              <w:rPr>
                <w:rFonts w:hint="eastAsia" w:ascii="宋体" w:hAnsi="宋体" w:eastAsia="宋体" w:cs="宋体"/>
                <w:sz w:val="18"/>
                <w:szCs w:val="18"/>
              </w:rPr>
            </w:pPr>
            <w:r>
              <w:rPr>
                <w:rFonts w:hint="eastAsia" w:ascii="宋体" w:hAnsi="宋体" w:eastAsia="宋体" w:cs="宋体"/>
                <w:sz w:val="18"/>
                <w:szCs w:val="18"/>
              </w:rPr>
              <w:t>433.61</w:t>
            </w:r>
          </w:p>
        </w:tc>
        <w:tc>
          <w:tcPr>
            <w:tcW w:w="1417" w:type="dxa"/>
            <w:tcBorders>
              <w:top w:val="nil"/>
              <w:left w:val="nil"/>
              <w:bottom w:val="single" w:color="auto" w:sz="4" w:space="0"/>
              <w:right w:val="single" w:color="auto" w:sz="4" w:space="0"/>
            </w:tcBorders>
            <w:vAlign w:val="center"/>
          </w:tcPr>
          <w:p w14:paraId="16623EA4">
            <w:pPr>
              <w:jc w:val="center"/>
              <w:rPr>
                <w:rFonts w:hint="eastAsia" w:ascii="宋体" w:hAnsi="宋体" w:eastAsia="宋体" w:cs="宋体"/>
                <w:sz w:val="18"/>
                <w:szCs w:val="18"/>
              </w:rPr>
            </w:pPr>
            <w:r>
              <w:rPr>
                <w:rFonts w:hint="eastAsia" w:ascii="宋体" w:hAnsi="宋体" w:eastAsia="宋体" w:cs="宋体"/>
                <w:sz w:val="18"/>
                <w:szCs w:val="18"/>
              </w:rPr>
              <w:t>433.61</w:t>
            </w:r>
          </w:p>
        </w:tc>
        <w:tc>
          <w:tcPr>
            <w:tcW w:w="1134" w:type="dxa"/>
            <w:tcBorders>
              <w:top w:val="nil"/>
              <w:left w:val="nil"/>
              <w:bottom w:val="single" w:color="auto" w:sz="4" w:space="0"/>
              <w:right w:val="single" w:color="auto" w:sz="4" w:space="0"/>
            </w:tcBorders>
            <w:vAlign w:val="center"/>
          </w:tcPr>
          <w:p w14:paraId="5209DC6A">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F59A93F">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DBEAE75">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67376670">
            <w:pPr>
              <w:jc w:val="center"/>
              <w:rPr>
                <w:rFonts w:hint="eastAsia" w:ascii="宋体" w:hAnsi="宋体" w:eastAsia="宋体" w:cs="宋体"/>
                <w:sz w:val="18"/>
                <w:szCs w:val="18"/>
              </w:rPr>
            </w:pPr>
          </w:p>
        </w:tc>
      </w:tr>
      <w:tr w14:paraId="6AF2BCEF">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A6CA6C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5474E46">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B92CAC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97A8EC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7DC481F8">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76BAF5D6">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D75FE90">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2B3C2D7">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5467491">
            <w:pPr>
              <w:jc w:val="center"/>
              <w:rPr>
                <w:rFonts w:hint="eastAsia" w:ascii="宋体" w:hAnsi="宋体" w:eastAsia="宋体" w:cs="宋体"/>
                <w:sz w:val="18"/>
                <w:szCs w:val="18"/>
              </w:rPr>
            </w:pPr>
          </w:p>
        </w:tc>
      </w:tr>
      <w:tr w14:paraId="75F85B22">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D4709F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9574824">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14775217">
            <w:pPr>
              <w:jc w:val="center"/>
              <w:rPr>
                <w:rFonts w:hint="eastAsia" w:ascii="宋体" w:hAnsi="宋体" w:eastAsia="宋体" w:cs="宋体"/>
                <w:sz w:val="18"/>
                <w:szCs w:val="18"/>
              </w:rPr>
            </w:pPr>
            <w:r>
              <w:rPr>
                <w:rFonts w:hint="eastAsia" w:ascii="宋体" w:hAnsi="宋体" w:eastAsia="宋体" w:cs="宋体"/>
                <w:sz w:val="18"/>
                <w:szCs w:val="18"/>
              </w:rPr>
              <w:t>431.00</w:t>
            </w:r>
          </w:p>
        </w:tc>
        <w:tc>
          <w:tcPr>
            <w:tcW w:w="1242" w:type="dxa"/>
            <w:tcBorders>
              <w:top w:val="nil"/>
              <w:left w:val="nil"/>
              <w:bottom w:val="single" w:color="auto" w:sz="4" w:space="0"/>
              <w:right w:val="single" w:color="auto" w:sz="4" w:space="0"/>
            </w:tcBorders>
            <w:vAlign w:val="center"/>
          </w:tcPr>
          <w:p w14:paraId="4094FAFF">
            <w:pPr>
              <w:jc w:val="center"/>
              <w:rPr>
                <w:rFonts w:hint="eastAsia" w:ascii="宋体" w:hAnsi="宋体" w:eastAsia="宋体" w:cs="宋体"/>
                <w:sz w:val="18"/>
                <w:szCs w:val="18"/>
              </w:rPr>
            </w:pPr>
            <w:r>
              <w:rPr>
                <w:rFonts w:hint="eastAsia" w:ascii="宋体" w:hAnsi="宋体" w:eastAsia="宋体" w:cs="宋体"/>
                <w:sz w:val="18"/>
                <w:szCs w:val="18"/>
              </w:rPr>
              <w:t>433.61</w:t>
            </w:r>
          </w:p>
        </w:tc>
        <w:tc>
          <w:tcPr>
            <w:tcW w:w="1417" w:type="dxa"/>
            <w:tcBorders>
              <w:top w:val="nil"/>
              <w:left w:val="nil"/>
              <w:bottom w:val="single" w:color="auto" w:sz="4" w:space="0"/>
              <w:right w:val="single" w:color="auto" w:sz="4" w:space="0"/>
            </w:tcBorders>
            <w:vAlign w:val="center"/>
          </w:tcPr>
          <w:p w14:paraId="2E6DDCC8">
            <w:pPr>
              <w:jc w:val="center"/>
              <w:rPr>
                <w:rFonts w:hint="eastAsia" w:ascii="宋体" w:hAnsi="宋体" w:eastAsia="宋体" w:cs="宋体"/>
                <w:sz w:val="18"/>
                <w:szCs w:val="18"/>
              </w:rPr>
            </w:pPr>
            <w:r>
              <w:rPr>
                <w:rFonts w:hint="eastAsia" w:ascii="宋体" w:hAnsi="宋体" w:eastAsia="宋体" w:cs="宋体"/>
                <w:sz w:val="18"/>
                <w:szCs w:val="18"/>
              </w:rPr>
              <w:t>433.61</w:t>
            </w:r>
          </w:p>
        </w:tc>
        <w:tc>
          <w:tcPr>
            <w:tcW w:w="1134" w:type="dxa"/>
            <w:tcBorders>
              <w:top w:val="nil"/>
              <w:left w:val="nil"/>
              <w:bottom w:val="single" w:color="auto" w:sz="4" w:space="0"/>
              <w:right w:val="single" w:color="auto" w:sz="4" w:space="0"/>
            </w:tcBorders>
            <w:vAlign w:val="center"/>
          </w:tcPr>
          <w:p w14:paraId="47BBBDD2">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086E00FA">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F282892">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42A95A42">
            <w:pPr>
              <w:jc w:val="center"/>
              <w:rPr>
                <w:rFonts w:hint="eastAsia" w:ascii="宋体" w:hAnsi="宋体" w:eastAsia="宋体" w:cs="宋体"/>
                <w:sz w:val="18"/>
                <w:szCs w:val="18"/>
              </w:rPr>
            </w:pPr>
          </w:p>
        </w:tc>
      </w:tr>
      <w:tr w14:paraId="0FE53377">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3CD1A4A">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7E767B4B">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2264FA76">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16E9516B">
            <w:pPr>
              <w:rPr>
                <w:rFonts w:hint="eastAsia" w:ascii="宋体" w:hAnsi="宋体" w:eastAsia="宋体" w:cs="宋体"/>
                <w:b/>
                <w:bCs/>
                <w:sz w:val="18"/>
                <w:szCs w:val="18"/>
              </w:rPr>
            </w:pPr>
          </w:p>
        </w:tc>
      </w:tr>
      <w:tr w14:paraId="404BE0C5">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6F41B8B">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3DD18FFE">
            <w:pPr>
              <w:rPr>
                <w:rFonts w:hint="eastAsia" w:ascii="宋体" w:hAnsi="宋体" w:eastAsia="宋体" w:cs="宋体"/>
                <w:sz w:val="18"/>
                <w:szCs w:val="18"/>
                <w:lang w:eastAsia="zh-CN"/>
              </w:rPr>
            </w:pPr>
            <w:r>
              <w:rPr>
                <w:rFonts w:hint="eastAsia" w:ascii="宋体" w:hAnsi="宋体" w:eastAsia="宋体" w:cs="宋体"/>
                <w:sz w:val="18"/>
                <w:szCs w:val="18"/>
                <w:lang w:eastAsia="zh-CN"/>
              </w:rPr>
              <w:t>召开奇台县政协十五届四次全体会议一次，落实协商建言，形成协商意见；召开四次专题议政性常委会会议，召开三次专题协商会，召开四次界别协商会，召开三次提案办理对口协调会，充分履行政协职能。</w:t>
            </w:r>
          </w:p>
        </w:tc>
        <w:tc>
          <w:tcPr>
            <w:tcW w:w="4581" w:type="dxa"/>
            <w:gridSpan w:val="4"/>
            <w:tcBorders>
              <w:top w:val="single" w:color="auto" w:sz="4" w:space="0"/>
              <w:left w:val="nil"/>
              <w:bottom w:val="single" w:color="auto" w:sz="4" w:space="0"/>
              <w:right w:val="single" w:color="auto" w:sz="4" w:space="0"/>
            </w:tcBorders>
          </w:tcPr>
          <w:p w14:paraId="2B8DDDB7">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433.58万元，全年执行数433.58万元，总预算执行率为100%。2024年我单位完成以下工作内容：1.召开政协第十五届四次全体会议1次；2.召开专题议政性常委会4次；3.召开专题协商会3次；4.召开界别协商会4次；5.召开提案办理对口协商会3次。通过以上工作的实施，发挥政协政治协商、民主监督、参政议政的职能作用，及时传达区州县党委工作部署、审议研究重大事项，形成对当前经济发展形势的全面客观了解，更好地为奇台县政府的中心工作建言献策。</w:t>
            </w:r>
          </w:p>
        </w:tc>
        <w:tc>
          <w:tcPr>
            <w:tcW w:w="284" w:type="dxa"/>
            <w:tcBorders>
              <w:top w:val="nil"/>
              <w:left w:val="nil"/>
              <w:bottom w:val="nil"/>
              <w:right w:val="nil"/>
            </w:tcBorders>
            <w:noWrap/>
            <w:vAlign w:val="center"/>
          </w:tcPr>
          <w:p w14:paraId="7C7F722B">
            <w:pPr>
              <w:rPr>
                <w:rFonts w:hint="eastAsia" w:ascii="宋体" w:hAnsi="宋体" w:eastAsia="宋体" w:cs="宋体"/>
                <w:sz w:val="18"/>
                <w:szCs w:val="18"/>
                <w:lang w:eastAsia="zh-CN"/>
              </w:rPr>
            </w:pPr>
          </w:p>
        </w:tc>
      </w:tr>
      <w:tr w14:paraId="4510E64D">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9FAB6D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2461932">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64175FF">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08588185">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466D828A">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7235BCF3">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29EA7CC">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6B97F7C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40096FC0">
            <w:pPr>
              <w:rPr>
                <w:rFonts w:hint="eastAsia" w:ascii="宋体" w:hAnsi="宋体" w:eastAsia="宋体" w:cs="宋体"/>
                <w:b/>
                <w:bCs/>
                <w:sz w:val="18"/>
                <w:szCs w:val="18"/>
              </w:rPr>
            </w:pPr>
          </w:p>
        </w:tc>
      </w:tr>
      <w:tr w14:paraId="249F1AC4">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45FF1BD">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5FC9AA5D">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6998F4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召开政协第十五届第四次会议次数</w:t>
            </w:r>
          </w:p>
        </w:tc>
        <w:tc>
          <w:tcPr>
            <w:tcW w:w="1242" w:type="dxa"/>
            <w:tcBorders>
              <w:top w:val="nil"/>
              <w:left w:val="nil"/>
              <w:bottom w:val="single" w:color="auto" w:sz="4" w:space="0"/>
              <w:right w:val="single" w:color="auto" w:sz="4" w:space="0"/>
            </w:tcBorders>
            <w:noWrap/>
            <w:vAlign w:val="center"/>
          </w:tcPr>
          <w:p w14:paraId="5C1B2475">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1417" w:type="dxa"/>
            <w:tcBorders>
              <w:top w:val="nil"/>
              <w:left w:val="nil"/>
              <w:bottom w:val="single" w:color="auto" w:sz="4" w:space="0"/>
              <w:right w:val="single" w:color="auto" w:sz="4" w:space="0"/>
            </w:tcBorders>
            <w:noWrap/>
            <w:vAlign w:val="center"/>
          </w:tcPr>
          <w:p w14:paraId="18529225">
            <w:pPr>
              <w:rPr>
                <w:rFonts w:hint="eastAsia" w:ascii="宋体" w:hAnsi="宋体" w:eastAsia="宋体" w:cs="宋体"/>
                <w:sz w:val="18"/>
                <w:szCs w:val="18"/>
                <w:lang w:eastAsia="zh-CN"/>
              </w:rPr>
            </w:pPr>
            <w:r>
              <w:rPr>
                <w:rFonts w:hint="eastAsia" w:ascii="宋体" w:hAnsi="宋体" w:eastAsia="宋体" w:cs="宋体"/>
                <w:sz w:val="18"/>
                <w:szCs w:val="18"/>
                <w:lang w:eastAsia="zh-CN"/>
              </w:rPr>
              <w:t>政协奇台县委员会2024年协商计划</w:t>
            </w:r>
          </w:p>
        </w:tc>
        <w:tc>
          <w:tcPr>
            <w:tcW w:w="1134" w:type="dxa"/>
            <w:tcBorders>
              <w:top w:val="nil"/>
              <w:left w:val="nil"/>
              <w:bottom w:val="single" w:color="auto" w:sz="4" w:space="0"/>
              <w:right w:val="single" w:color="auto" w:sz="4" w:space="0"/>
            </w:tcBorders>
            <w:noWrap/>
            <w:vAlign w:val="center"/>
          </w:tcPr>
          <w:p w14:paraId="32BD4FA9">
            <w:pPr>
              <w:jc w:val="center"/>
              <w:rPr>
                <w:rFonts w:hint="eastAsia" w:ascii="宋体" w:hAnsi="宋体" w:eastAsia="宋体" w:cs="宋体"/>
                <w:sz w:val="18"/>
                <w:szCs w:val="18"/>
              </w:rPr>
            </w:pPr>
            <w:r>
              <w:rPr>
                <w:rFonts w:hint="eastAsia" w:ascii="宋体" w:hAnsi="宋体" w:eastAsia="宋体" w:cs="宋体"/>
                <w:sz w:val="18"/>
                <w:szCs w:val="18"/>
              </w:rPr>
              <w:t>40</w:t>
            </w:r>
          </w:p>
        </w:tc>
        <w:tc>
          <w:tcPr>
            <w:tcW w:w="1310" w:type="dxa"/>
            <w:tcBorders>
              <w:top w:val="nil"/>
              <w:left w:val="nil"/>
              <w:bottom w:val="single" w:color="auto" w:sz="4" w:space="0"/>
              <w:right w:val="single" w:color="auto" w:sz="4" w:space="0"/>
            </w:tcBorders>
            <w:noWrap/>
            <w:vAlign w:val="center"/>
          </w:tcPr>
          <w:p w14:paraId="23A5E568">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720" w:type="dxa"/>
            <w:tcBorders>
              <w:top w:val="nil"/>
              <w:left w:val="nil"/>
              <w:bottom w:val="single" w:color="auto" w:sz="4" w:space="0"/>
              <w:right w:val="single" w:color="auto" w:sz="4" w:space="0"/>
            </w:tcBorders>
            <w:noWrap/>
            <w:vAlign w:val="center"/>
          </w:tcPr>
          <w:p w14:paraId="2E5E868C">
            <w:pPr>
              <w:jc w:val="center"/>
              <w:rPr>
                <w:rFonts w:hint="eastAsia" w:ascii="宋体" w:hAnsi="宋体" w:eastAsia="宋体" w:cs="宋体"/>
                <w:sz w:val="18"/>
                <w:szCs w:val="18"/>
              </w:rPr>
            </w:pPr>
            <w:r>
              <w:rPr>
                <w:rFonts w:hint="eastAsia" w:ascii="宋体" w:hAnsi="宋体" w:eastAsia="宋体" w:cs="宋体"/>
                <w:sz w:val="18"/>
                <w:szCs w:val="18"/>
              </w:rPr>
              <w:t>40</w:t>
            </w:r>
          </w:p>
        </w:tc>
        <w:tc>
          <w:tcPr>
            <w:tcW w:w="284" w:type="dxa"/>
            <w:tcBorders>
              <w:top w:val="nil"/>
              <w:left w:val="nil"/>
              <w:bottom w:val="nil"/>
              <w:right w:val="nil"/>
            </w:tcBorders>
            <w:noWrap/>
            <w:vAlign w:val="center"/>
          </w:tcPr>
          <w:p w14:paraId="7B5C7270">
            <w:pPr>
              <w:jc w:val="center"/>
              <w:rPr>
                <w:rFonts w:hint="eastAsia" w:ascii="宋体" w:hAnsi="宋体" w:eastAsia="宋体" w:cs="宋体"/>
                <w:sz w:val="18"/>
                <w:szCs w:val="18"/>
              </w:rPr>
            </w:pPr>
          </w:p>
        </w:tc>
      </w:tr>
      <w:tr w14:paraId="0E845D3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6D2903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6F384F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740E2A7">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召开专题议政性常委会会议次数</w:t>
            </w:r>
          </w:p>
        </w:tc>
        <w:tc>
          <w:tcPr>
            <w:tcW w:w="1242" w:type="dxa"/>
            <w:tcBorders>
              <w:top w:val="nil"/>
              <w:left w:val="nil"/>
              <w:bottom w:val="single" w:color="auto" w:sz="4" w:space="0"/>
              <w:right w:val="single" w:color="auto" w:sz="4" w:space="0"/>
            </w:tcBorders>
            <w:noWrap/>
            <w:vAlign w:val="center"/>
          </w:tcPr>
          <w:p w14:paraId="6F440239">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1417" w:type="dxa"/>
            <w:tcBorders>
              <w:top w:val="nil"/>
              <w:left w:val="nil"/>
              <w:bottom w:val="single" w:color="auto" w:sz="4" w:space="0"/>
              <w:right w:val="single" w:color="auto" w:sz="4" w:space="0"/>
            </w:tcBorders>
            <w:noWrap/>
            <w:vAlign w:val="center"/>
          </w:tcPr>
          <w:p w14:paraId="1F163195">
            <w:pPr>
              <w:rPr>
                <w:rFonts w:hint="eastAsia" w:ascii="宋体" w:hAnsi="宋体" w:eastAsia="宋体" w:cs="宋体"/>
                <w:sz w:val="18"/>
                <w:szCs w:val="18"/>
                <w:lang w:eastAsia="zh-CN"/>
              </w:rPr>
            </w:pPr>
            <w:r>
              <w:rPr>
                <w:rFonts w:hint="eastAsia" w:ascii="宋体" w:hAnsi="宋体" w:eastAsia="宋体" w:cs="宋体"/>
                <w:sz w:val="18"/>
                <w:szCs w:val="18"/>
                <w:lang w:eastAsia="zh-CN"/>
              </w:rPr>
              <w:t>政协奇台县委员会2024年协商计划</w:t>
            </w:r>
          </w:p>
        </w:tc>
        <w:tc>
          <w:tcPr>
            <w:tcW w:w="1134" w:type="dxa"/>
            <w:tcBorders>
              <w:top w:val="nil"/>
              <w:left w:val="nil"/>
              <w:bottom w:val="single" w:color="auto" w:sz="4" w:space="0"/>
              <w:right w:val="single" w:color="auto" w:sz="4" w:space="0"/>
            </w:tcBorders>
            <w:noWrap/>
            <w:vAlign w:val="center"/>
          </w:tcPr>
          <w:p w14:paraId="3178D1C2">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313D4E6">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2ADB31BB">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360F92ED">
            <w:pPr>
              <w:jc w:val="center"/>
              <w:rPr>
                <w:rFonts w:hint="eastAsia" w:ascii="宋体" w:hAnsi="宋体" w:eastAsia="宋体" w:cs="宋体"/>
                <w:sz w:val="18"/>
                <w:szCs w:val="18"/>
              </w:rPr>
            </w:pPr>
          </w:p>
        </w:tc>
      </w:tr>
      <w:tr w14:paraId="54F032A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6F9265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F4131F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325F64B">
            <w:pPr>
              <w:jc w:val="center"/>
              <w:rPr>
                <w:rFonts w:hint="eastAsia" w:ascii="宋体" w:hAnsi="宋体" w:eastAsia="宋体" w:cs="宋体"/>
                <w:sz w:val="18"/>
                <w:szCs w:val="18"/>
              </w:rPr>
            </w:pPr>
            <w:r>
              <w:rPr>
                <w:rFonts w:hint="eastAsia" w:ascii="宋体" w:hAnsi="宋体" w:eastAsia="宋体" w:cs="宋体"/>
                <w:sz w:val="18"/>
                <w:szCs w:val="18"/>
              </w:rPr>
              <w:t>召开专题协商会次数</w:t>
            </w:r>
          </w:p>
        </w:tc>
        <w:tc>
          <w:tcPr>
            <w:tcW w:w="1242" w:type="dxa"/>
            <w:tcBorders>
              <w:top w:val="nil"/>
              <w:left w:val="nil"/>
              <w:bottom w:val="single" w:color="auto" w:sz="4" w:space="0"/>
              <w:right w:val="single" w:color="auto" w:sz="4" w:space="0"/>
            </w:tcBorders>
            <w:noWrap/>
            <w:vAlign w:val="center"/>
          </w:tcPr>
          <w:p w14:paraId="02666BDF">
            <w:pPr>
              <w:jc w:val="center"/>
              <w:rPr>
                <w:rFonts w:hint="eastAsia" w:ascii="宋体" w:hAnsi="宋体" w:eastAsia="宋体" w:cs="宋体"/>
                <w:sz w:val="18"/>
                <w:szCs w:val="18"/>
              </w:rPr>
            </w:pPr>
            <w:r>
              <w:rPr>
                <w:rFonts w:hint="eastAsia" w:ascii="宋体" w:hAnsi="宋体" w:eastAsia="宋体" w:cs="宋体"/>
                <w:sz w:val="18"/>
                <w:szCs w:val="18"/>
              </w:rPr>
              <w:t>=3次</w:t>
            </w:r>
          </w:p>
        </w:tc>
        <w:tc>
          <w:tcPr>
            <w:tcW w:w="1417" w:type="dxa"/>
            <w:tcBorders>
              <w:top w:val="nil"/>
              <w:left w:val="nil"/>
              <w:bottom w:val="single" w:color="auto" w:sz="4" w:space="0"/>
              <w:right w:val="single" w:color="auto" w:sz="4" w:space="0"/>
            </w:tcBorders>
            <w:noWrap/>
            <w:vAlign w:val="center"/>
          </w:tcPr>
          <w:p w14:paraId="2E450E93">
            <w:pPr>
              <w:rPr>
                <w:rFonts w:hint="eastAsia" w:ascii="宋体" w:hAnsi="宋体" w:eastAsia="宋体" w:cs="宋体"/>
                <w:sz w:val="18"/>
                <w:szCs w:val="18"/>
                <w:lang w:eastAsia="zh-CN"/>
              </w:rPr>
            </w:pPr>
            <w:r>
              <w:rPr>
                <w:rFonts w:hint="eastAsia" w:ascii="宋体" w:hAnsi="宋体" w:eastAsia="宋体" w:cs="宋体"/>
                <w:sz w:val="18"/>
                <w:szCs w:val="18"/>
                <w:lang w:eastAsia="zh-CN"/>
              </w:rPr>
              <w:t>政协奇台县委员会2024年协商计划</w:t>
            </w:r>
          </w:p>
        </w:tc>
        <w:tc>
          <w:tcPr>
            <w:tcW w:w="1134" w:type="dxa"/>
            <w:tcBorders>
              <w:top w:val="nil"/>
              <w:left w:val="nil"/>
              <w:bottom w:val="single" w:color="auto" w:sz="4" w:space="0"/>
              <w:right w:val="single" w:color="auto" w:sz="4" w:space="0"/>
            </w:tcBorders>
            <w:noWrap/>
            <w:vAlign w:val="center"/>
          </w:tcPr>
          <w:p w14:paraId="2A4CD89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611E4317">
            <w:pPr>
              <w:jc w:val="center"/>
              <w:rPr>
                <w:rFonts w:hint="eastAsia" w:ascii="宋体" w:hAnsi="宋体" w:eastAsia="宋体" w:cs="宋体"/>
                <w:sz w:val="18"/>
                <w:szCs w:val="18"/>
              </w:rPr>
            </w:pPr>
            <w:r>
              <w:rPr>
                <w:rFonts w:hint="eastAsia" w:ascii="宋体" w:hAnsi="宋体" w:eastAsia="宋体" w:cs="宋体"/>
                <w:sz w:val="18"/>
                <w:szCs w:val="18"/>
              </w:rPr>
              <w:t>=3次</w:t>
            </w:r>
          </w:p>
        </w:tc>
        <w:tc>
          <w:tcPr>
            <w:tcW w:w="720" w:type="dxa"/>
            <w:tcBorders>
              <w:top w:val="nil"/>
              <w:left w:val="nil"/>
              <w:bottom w:val="single" w:color="auto" w:sz="4" w:space="0"/>
              <w:right w:val="single" w:color="auto" w:sz="4" w:space="0"/>
            </w:tcBorders>
            <w:noWrap/>
            <w:vAlign w:val="center"/>
          </w:tcPr>
          <w:p w14:paraId="6100BD9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7475594F">
            <w:pPr>
              <w:jc w:val="center"/>
              <w:rPr>
                <w:rFonts w:hint="eastAsia" w:ascii="宋体" w:hAnsi="宋体" w:eastAsia="宋体" w:cs="宋体"/>
                <w:sz w:val="18"/>
                <w:szCs w:val="18"/>
              </w:rPr>
            </w:pPr>
          </w:p>
        </w:tc>
      </w:tr>
      <w:tr w14:paraId="4AE2A89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DD3C30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FEDAA4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BAA2B41">
            <w:pPr>
              <w:jc w:val="center"/>
              <w:rPr>
                <w:rFonts w:hint="eastAsia" w:ascii="宋体" w:hAnsi="宋体" w:eastAsia="宋体" w:cs="宋体"/>
                <w:sz w:val="18"/>
                <w:szCs w:val="18"/>
              </w:rPr>
            </w:pPr>
            <w:r>
              <w:rPr>
                <w:rFonts w:hint="eastAsia" w:ascii="宋体" w:hAnsi="宋体" w:eastAsia="宋体" w:cs="宋体"/>
                <w:sz w:val="18"/>
                <w:szCs w:val="18"/>
              </w:rPr>
              <w:t>召开界别协商会次数</w:t>
            </w:r>
          </w:p>
        </w:tc>
        <w:tc>
          <w:tcPr>
            <w:tcW w:w="1242" w:type="dxa"/>
            <w:tcBorders>
              <w:top w:val="nil"/>
              <w:left w:val="nil"/>
              <w:bottom w:val="single" w:color="auto" w:sz="4" w:space="0"/>
              <w:right w:val="single" w:color="auto" w:sz="4" w:space="0"/>
            </w:tcBorders>
            <w:noWrap/>
            <w:vAlign w:val="center"/>
          </w:tcPr>
          <w:p w14:paraId="0A4A1EB4">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1417" w:type="dxa"/>
            <w:tcBorders>
              <w:top w:val="nil"/>
              <w:left w:val="nil"/>
              <w:bottom w:val="single" w:color="auto" w:sz="4" w:space="0"/>
              <w:right w:val="single" w:color="auto" w:sz="4" w:space="0"/>
            </w:tcBorders>
            <w:noWrap/>
            <w:vAlign w:val="center"/>
          </w:tcPr>
          <w:p w14:paraId="58889ACF">
            <w:pPr>
              <w:rPr>
                <w:rFonts w:hint="eastAsia" w:ascii="宋体" w:hAnsi="宋体" w:eastAsia="宋体" w:cs="宋体"/>
                <w:sz w:val="18"/>
                <w:szCs w:val="18"/>
                <w:lang w:eastAsia="zh-CN"/>
              </w:rPr>
            </w:pPr>
            <w:r>
              <w:rPr>
                <w:rFonts w:hint="eastAsia" w:ascii="宋体" w:hAnsi="宋体" w:eastAsia="宋体" w:cs="宋体"/>
                <w:sz w:val="18"/>
                <w:szCs w:val="18"/>
                <w:lang w:eastAsia="zh-CN"/>
              </w:rPr>
              <w:t>政协奇台县委员会2024年协商计划</w:t>
            </w:r>
          </w:p>
        </w:tc>
        <w:tc>
          <w:tcPr>
            <w:tcW w:w="1134" w:type="dxa"/>
            <w:tcBorders>
              <w:top w:val="nil"/>
              <w:left w:val="nil"/>
              <w:bottom w:val="single" w:color="auto" w:sz="4" w:space="0"/>
              <w:right w:val="single" w:color="auto" w:sz="4" w:space="0"/>
            </w:tcBorders>
            <w:noWrap/>
            <w:vAlign w:val="center"/>
          </w:tcPr>
          <w:p w14:paraId="0BA7D29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40479B97">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1628BF6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3444B50E">
            <w:pPr>
              <w:jc w:val="center"/>
              <w:rPr>
                <w:rFonts w:hint="eastAsia" w:ascii="宋体" w:hAnsi="宋体" w:eastAsia="宋体" w:cs="宋体"/>
                <w:sz w:val="18"/>
                <w:szCs w:val="18"/>
              </w:rPr>
            </w:pPr>
          </w:p>
        </w:tc>
      </w:tr>
      <w:tr w14:paraId="693D51D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46B504B">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3F4557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F7F98C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召开提案办理对口协商会次数</w:t>
            </w:r>
          </w:p>
        </w:tc>
        <w:tc>
          <w:tcPr>
            <w:tcW w:w="1242" w:type="dxa"/>
            <w:tcBorders>
              <w:top w:val="nil"/>
              <w:left w:val="nil"/>
              <w:bottom w:val="single" w:color="auto" w:sz="4" w:space="0"/>
              <w:right w:val="single" w:color="auto" w:sz="4" w:space="0"/>
            </w:tcBorders>
            <w:noWrap/>
            <w:vAlign w:val="center"/>
          </w:tcPr>
          <w:p w14:paraId="3D144536">
            <w:pPr>
              <w:jc w:val="center"/>
              <w:rPr>
                <w:rFonts w:hint="eastAsia" w:ascii="宋体" w:hAnsi="宋体" w:eastAsia="宋体" w:cs="宋体"/>
                <w:sz w:val="18"/>
                <w:szCs w:val="18"/>
              </w:rPr>
            </w:pPr>
            <w:r>
              <w:rPr>
                <w:rFonts w:hint="eastAsia" w:ascii="宋体" w:hAnsi="宋体" w:eastAsia="宋体" w:cs="宋体"/>
                <w:sz w:val="18"/>
                <w:szCs w:val="18"/>
              </w:rPr>
              <w:t>=3次</w:t>
            </w:r>
          </w:p>
        </w:tc>
        <w:tc>
          <w:tcPr>
            <w:tcW w:w="1417" w:type="dxa"/>
            <w:tcBorders>
              <w:top w:val="nil"/>
              <w:left w:val="nil"/>
              <w:bottom w:val="single" w:color="auto" w:sz="4" w:space="0"/>
              <w:right w:val="single" w:color="auto" w:sz="4" w:space="0"/>
            </w:tcBorders>
            <w:noWrap/>
            <w:vAlign w:val="center"/>
          </w:tcPr>
          <w:p w14:paraId="4DAFF053">
            <w:pPr>
              <w:rPr>
                <w:rFonts w:hint="eastAsia" w:ascii="宋体" w:hAnsi="宋体" w:eastAsia="宋体" w:cs="宋体"/>
                <w:sz w:val="18"/>
                <w:szCs w:val="18"/>
                <w:lang w:eastAsia="zh-CN"/>
              </w:rPr>
            </w:pPr>
            <w:r>
              <w:rPr>
                <w:rFonts w:hint="eastAsia" w:ascii="宋体" w:hAnsi="宋体" w:eastAsia="宋体" w:cs="宋体"/>
                <w:sz w:val="18"/>
                <w:szCs w:val="18"/>
                <w:lang w:eastAsia="zh-CN"/>
              </w:rPr>
              <w:t>政协奇台县委员会2024年协商计划</w:t>
            </w:r>
          </w:p>
        </w:tc>
        <w:tc>
          <w:tcPr>
            <w:tcW w:w="1134" w:type="dxa"/>
            <w:tcBorders>
              <w:top w:val="nil"/>
              <w:left w:val="nil"/>
              <w:bottom w:val="single" w:color="auto" w:sz="4" w:space="0"/>
              <w:right w:val="single" w:color="auto" w:sz="4" w:space="0"/>
            </w:tcBorders>
            <w:noWrap/>
            <w:vAlign w:val="center"/>
          </w:tcPr>
          <w:p w14:paraId="71A37378">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2691C233">
            <w:pPr>
              <w:jc w:val="center"/>
              <w:rPr>
                <w:rFonts w:hint="eastAsia" w:ascii="宋体" w:hAnsi="宋体" w:eastAsia="宋体" w:cs="宋体"/>
                <w:sz w:val="18"/>
                <w:szCs w:val="18"/>
              </w:rPr>
            </w:pPr>
            <w:r>
              <w:rPr>
                <w:rFonts w:hint="eastAsia" w:ascii="宋体" w:hAnsi="宋体" w:eastAsia="宋体" w:cs="宋体"/>
                <w:sz w:val="18"/>
                <w:szCs w:val="18"/>
              </w:rPr>
              <w:t>=3次</w:t>
            </w:r>
          </w:p>
        </w:tc>
        <w:tc>
          <w:tcPr>
            <w:tcW w:w="720" w:type="dxa"/>
            <w:tcBorders>
              <w:top w:val="nil"/>
              <w:left w:val="nil"/>
              <w:bottom w:val="single" w:color="auto" w:sz="4" w:space="0"/>
              <w:right w:val="single" w:color="auto" w:sz="4" w:space="0"/>
            </w:tcBorders>
            <w:noWrap/>
            <w:vAlign w:val="center"/>
          </w:tcPr>
          <w:p w14:paraId="40D3DEE4">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1B1AABCB">
            <w:pPr>
              <w:jc w:val="center"/>
              <w:rPr>
                <w:rFonts w:hint="eastAsia" w:ascii="宋体" w:hAnsi="宋体" w:eastAsia="宋体" w:cs="宋体"/>
                <w:sz w:val="18"/>
                <w:szCs w:val="18"/>
              </w:rPr>
            </w:pPr>
          </w:p>
        </w:tc>
      </w:tr>
    </w:tbl>
    <w:p w14:paraId="4F4E778C">
      <w:pPr>
        <w:jc w:val="center"/>
        <w:rPr>
          <w:rFonts w:ascii="宋体" w:hAnsi="宋体" w:eastAsia="宋体" w:cs="宋体"/>
          <w:b/>
          <w:bCs/>
          <w:sz w:val="18"/>
          <w:szCs w:val="18"/>
          <w:lang w:eastAsia="zh-CN"/>
        </w:rPr>
      </w:pPr>
    </w:p>
    <w:p w14:paraId="707A007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371DBF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2"/>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2"/>
        <w:gridCol w:w="697"/>
        <w:gridCol w:w="808"/>
        <w:gridCol w:w="727"/>
        <w:gridCol w:w="699"/>
        <w:gridCol w:w="695"/>
        <w:gridCol w:w="697"/>
        <w:gridCol w:w="1112"/>
      </w:tblGrid>
      <w:tr w14:paraId="0F6D4F28">
        <w:tblPrEx>
          <w:tblCellMar>
            <w:top w:w="0" w:type="dxa"/>
            <w:left w:w="108" w:type="dxa"/>
            <w:bottom w:w="0" w:type="dxa"/>
            <w:right w:w="108" w:type="dxa"/>
          </w:tblCellMar>
        </w:tblPrEx>
        <w:trPr>
          <w:trHeight w:val="614"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12110FEB">
            <w:pPr>
              <w:jc w:val="center"/>
              <w:rPr>
                <w:rFonts w:hint="eastAsia" w:ascii="宋体" w:hAnsi="宋体" w:eastAsia="宋体" w:cs="宋体"/>
                <w:b/>
                <w:bCs/>
                <w:color w:val="000000"/>
                <w:sz w:val="18"/>
                <w:szCs w:val="18"/>
              </w:rPr>
            </w:pPr>
            <w:bookmarkStart w:id="13"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339C54C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奇财预[2024]95号-2024年政协文史编撰工作经费</w:t>
            </w:r>
          </w:p>
        </w:tc>
      </w:tr>
      <w:tr w14:paraId="318FF983">
        <w:tblPrEx>
          <w:tblCellMar>
            <w:top w:w="0" w:type="dxa"/>
            <w:left w:w="108" w:type="dxa"/>
            <w:bottom w:w="0" w:type="dxa"/>
            <w:right w:w="108" w:type="dxa"/>
          </w:tblCellMar>
        </w:tblPrEx>
        <w:trPr>
          <w:trHeight w:val="380"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6F8264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7855B04D">
            <w:pPr>
              <w:jc w:val="center"/>
              <w:rPr>
                <w:rFonts w:hint="eastAsia" w:ascii="宋体" w:hAnsi="宋体" w:eastAsia="宋体" w:cs="宋体"/>
                <w:color w:val="000000"/>
                <w:sz w:val="18"/>
                <w:szCs w:val="18"/>
                <w:lang w:eastAsia="zh-CN"/>
              </w:rPr>
            </w:pPr>
            <w:bookmarkStart w:id="14" w:name="_GoBack"/>
            <w:bookmarkEnd w:id="14"/>
            <w:r>
              <w:rPr>
                <w:rFonts w:hint="eastAsia" w:ascii="宋体" w:hAnsi="宋体" w:eastAsia="宋体" w:cs="宋体"/>
                <w:color w:val="000000"/>
                <w:sz w:val="18"/>
                <w:szCs w:val="18"/>
                <w:lang w:eastAsia="zh-CN"/>
              </w:rPr>
              <w:t>中国人民政治协商会议奇台县委员会</w:t>
            </w:r>
          </w:p>
        </w:tc>
        <w:tc>
          <w:tcPr>
            <w:tcW w:w="708" w:type="pct"/>
            <w:gridSpan w:val="2"/>
            <w:tcBorders>
              <w:top w:val="single" w:color="auto" w:sz="4" w:space="0"/>
              <w:left w:val="nil"/>
              <w:bottom w:val="single" w:color="auto" w:sz="4" w:space="0"/>
              <w:right w:val="single" w:color="auto" w:sz="4" w:space="0"/>
            </w:tcBorders>
            <w:vAlign w:val="center"/>
          </w:tcPr>
          <w:p w14:paraId="0A5970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435732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中国人民政治协商会议奇台县委员会</w:t>
            </w:r>
          </w:p>
        </w:tc>
      </w:tr>
      <w:tr w14:paraId="31166DFC">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7B63D5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40066BEF">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516774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08E8B5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27AAC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734C2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E102B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D6905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F897FE7">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4861831">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75AD9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2360A5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983" w:type="pct"/>
            <w:gridSpan w:val="3"/>
            <w:tcBorders>
              <w:top w:val="single" w:color="auto" w:sz="4" w:space="0"/>
              <w:left w:val="nil"/>
              <w:bottom w:val="single" w:color="auto" w:sz="4" w:space="0"/>
              <w:right w:val="single" w:color="auto" w:sz="4" w:space="0"/>
            </w:tcBorders>
            <w:vAlign w:val="center"/>
          </w:tcPr>
          <w:p w14:paraId="4DC06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11.70</w:t>
            </w:r>
          </w:p>
        </w:tc>
        <w:tc>
          <w:tcPr>
            <w:tcW w:w="708" w:type="pct"/>
            <w:gridSpan w:val="2"/>
            <w:tcBorders>
              <w:top w:val="single" w:color="auto" w:sz="4" w:space="0"/>
              <w:left w:val="nil"/>
              <w:bottom w:val="single" w:color="auto" w:sz="4" w:space="0"/>
              <w:right w:val="single" w:color="auto" w:sz="4" w:space="0"/>
            </w:tcBorders>
            <w:vAlign w:val="center"/>
          </w:tcPr>
          <w:p w14:paraId="687580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11.70</w:t>
            </w:r>
          </w:p>
        </w:tc>
        <w:tc>
          <w:tcPr>
            <w:tcW w:w="671" w:type="pct"/>
            <w:gridSpan w:val="2"/>
            <w:tcBorders>
              <w:top w:val="nil"/>
              <w:left w:val="nil"/>
              <w:bottom w:val="single" w:color="auto" w:sz="4" w:space="0"/>
              <w:right w:val="single" w:color="auto" w:sz="4" w:space="0"/>
            </w:tcBorders>
            <w:vAlign w:val="center"/>
          </w:tcPr>
          <w:p w14:paraId="7EDBAF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CE349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68DF8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8677B6B">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8FC9B34">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DDB15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18CFC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983" w:type="pct"/>
            <w:gridSpan w:val="3"/>
            <w:tcBorders>
              <w:top w:val="single" w:color="auto" w:sz="4" w:space="0"/>
              <w:left w:val="nil"/>
              <w:bottom w:val="single" w:color="auto" w:sz="4" w:space="0"/>
              <w:right w:val="single" w:color="auto" w:sz="4" w:space="0"/>
            </w:tcBorders>
            <w:vAlign w:val="center"/>
          </w:tcPr>
          <w:p w14:paraId="75B3B2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11.70</w:t>
            </w:r>
          </w:p>
        </w:tc>
        <w:tc>
          <w:tcPr>
            <w:tcW w:w="708" w:type="pct"/>
            <w:gridSpan w:val="2"/>
            <w:tcBorders>
              <w:top w:val="single" w:color="auto" w:sz="4" w:space="0"/>
              <w:left w:val="nil"/>
              <w:bottom w:val="single" w:color="auto" w:sz="4" w:space="0"/>
              <w:right w:val="single" w:color="auto" w:sz="4" w:space="0"/>
            </w:tcBorders>
            <w:vAlign w:val="center"/>
          </w:tcPr>
          <w:p w14:paraId="09D7C1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11.70</w:t>
            </w:r>
          </w:p>
        </w:tc>
        <w:tc>
          <w:tcPr>
            <w:tcW w:w="671" w:type="pct"/>
            <w:gridSpan w:val="2"/>
            <w:tcBorders>
              <w:top w:val="nil"/>
              <w:left w:val="nil"/>
              <w:bottom w:val="single" w:color="auto" w:sz="4" w:space="0"/>
              <w:right w:val="single" w:color="auto" w:sz="4" w:space="0"/>
            </w:tcBorders>
            <w:vAlign w:val="center"/>
          </w:tcPr>
          <w:p w14:paraId="351F4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B8525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E0F3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D01DA95">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4F6B7A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7EF43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30FA7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14F334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51377F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9179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94334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231D6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AA34235">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7B2B78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4DC4F4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7D5A8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5375767">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42FF199">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1E546EA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预[2024]95号-2024年政协文史编撰工作经费，编撰《奇台文史》坚持“存史、资政、团结、育人”的原则，立足全体实际，突出地方特色，繁荣奇台文化，促进两个文明建设，编撰文史也是政协工作重要组成部分，2024年出版《奇台文史》第27辑3000册，约40万文字。</w:t>
            </w:r>
          </w:p>
        </w:tc>
        <w:tc>
          <w:tcPr>
            <w:tcW w:w="2559" w:type="pct"/>
            <w:gridSpan w:val="7"/>
            <w:tcBorders>
              <w:top w:val="single" w:color="auto" w:sz="4" w:space="0"/>
              <w:left w:val="nil"/>
              <w:bottom w:val="single" w:color="auto" w:sz="4" w:space="0"/>
              <w:right w:val="single" w:color="auto" w:sz="4" w:space="0"/>
            </w:tcBorders>
            <w:vAlign w:val="center"/>
          </w:tcPr>
          <w:p w14:paraId="282597A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预[2024]95号-2024年政协文史编撰工作经费主要用于出版2024年《奇台文史》第27辑。印刷质量合格率：100%；印刷完成及时率：100；项目预算控制率：100；印刷《奇台文史》册数：3000；繁荣奇台文化促进文明建设：80%；政协委员满意度：90%；群众满意度：90%。</w:t>
            </w:r>
          </w:p>
        </w:tc>
      </w:tr>
      <w:tr w14:paraId="730FCEB2">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7720E8AD">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48B22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8A4E6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59249C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6C9D43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82979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1A3213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E1C21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684E8B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85B66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56FA7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78566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3C94F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D0D520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6F778FA">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407976C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ECF8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A395A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5529D1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印刷《奇台文史》册数</w:t>
            </w:r>
          </w:p>
        </w:tc>
        <w:tc>
          <w:tcPr>
            <w:tcW w:w="334" w:type="pct"/>
            <w:tcBorders>
              <w:top w:val="nil"/>
              <w:left w:val="nil"/>
              <w:bottom w:val="single" w:color="auto" w:sz="4" w:space="0"/>
              <w:right w:val="single" w:color="auto" w:sz="4" w:space="0"/>
            </w:tcBorders>
            <w:vAlign w:val="center"/>
          </w:tcPr>
          <w:p w14:paraId="1D60A5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FCABF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=3000册</w:t>
            </w:r>
          </w:p>
        </w:tc>
        <w:tc>
          <w:tcPr>
            <w:tcW w:w="334" w:type="pct"/>
            <w:tcBorders>
              <w:top w:val="nil"/>
              <w:left w:val="nil"/>
              <w:bottom w:val="single" w:color="auto" w:sz="4" w:space="0"/>
              <w:right w:val="single" w:color="auto" w:sz="4" w:space="0"/>
            </w:tcBorders>
            <w:vAlign w:val="center"/>
          </w:tcPr>
          <w:p w14:paraId="401ADC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=3000册</w:t>
            </w:r>
          </w:p>
        </w:tc>
        <w:tc>
          <w:tcPr>
            <w:tcW w:w="328" w:type="pct"/>
            <w:tcBorders>
              <w:top w:val="nil"/>
              <w:left w:val="nil"/>
              <w:bottom w:val="single" w:color="auto" w:sz="4" w:space="0"/>
              <w:right w:val="single" w:color="auto" w:sz="4" w:space="0"/>
            </w:tcBorders>
            <w:vAlign w:val="center"/>
          </w:tcPr>
          <w:p w14:paraId="61982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5C236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6AF3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EF50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6FDA5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BBDEF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0A3621A">
            <w:pPr>
              <w:jc w:val="center"/>
              <w:rPr>
                <w:rFonts w:hint="eastAsia" w:ascii="宋体" w:hAnsi="宋体" w:eastAsia="宋体" w:cs="宋体"/>
                <w:color w:val="000000"/>
                <w:sz w:val="18"/>
                <w:szCs w:val="18"/>
              </w:rPr>
            </w:pPr>
          </w:p>
        </w:tc>
      </w:tr>
      <w:tr w14:paraId="4FA37EC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EE9007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BC4840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D0967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4CDAD945">
            <w:pPr>
              <w:rPr>
                <w:rFonts w:hint="eastAsia" w:ascii="宋体" w:hAnsi="宋体" w:eastAsia="宋体" w:cs="宋体"/>
                <w:color w:val="000000"/>
                <w:sz w:val="18"/>
                <w:szCs w:val="18"/>
              </w:rPr>
            </w:pPr>
            <w:r>
              <w:rPr>
                <w:rFonts w:hint="eastAsia" w:ascii="宋体" w:hAnsi="宋体" w:eastAsia="宋体" w:cs="宋体"/>
                <w:color w:val="000000"/>
                <w:sz w:val="18"/>
                <w:szCs w:val="18"/>
              </w:rPr>
              <w:t>印刷质量合格率</w:t>
            </w:r>
          </w:p>
        </w:tc>
        <w:tc>
          <w:tcPr>
            <w:tcW w:w="334" w:type="pct"/>
            <w:tcBorders>
              <w:top w:val="nil"/>
              <w:left w:val="nil"/>
              <w:bottom w:val="single" w:color="auto" w:sz="4" w:space="0"/>
              <w:right w:val="single" w:color="auto" w:sz="4" w:space="0"/>
            </w:tcBorders>
            <w:vAlign w:val="center"/>
          </w:tcPr>
          <w:p w14:paraId="02CE17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75D69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5950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0E50E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E7C47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0D528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C83A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2B09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AB5D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C68E846">
            <w:pPr>
              <w:jc w:val="center"/>
              <w:rPr>
                <w:rFonts w:hint="eastAsia" w:ascii="宋体" w:hAnsi="宋体" w:eastAsia="宋体" w:cs="宋体"/>
                <w:color w:val="000000"/>
                <w:sz w:val="18"/>
                <w:szCs w:val="18"/>
              </w:rPr>
            </w:pPr>
          </w:p>
        </w:tc>
      </w:tr>
      <w:tr w14:paraId="4F17F8AF">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E4263DD">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3FE068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34C47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4070FAE3">
            <w:pPr>
              <w:rPr>
                <w:rFonts w:hint="eastAsia" w:ascii="宋体" w:hAnsi="宋体" w:eastAsia="宋体" w:cs="宋体"/>
                <w:color w:val="000000"/>
                <w:sz w:val="18"/>
                <w:szCs w:val="18"/>
              </w:rPr>
            </w:pPr>
            <w:r>
              <w:rPr>
                <w:rFonts w:hint="eastAsia" w:ascii="宋体" w:hAnsi="宋体" w:eastAsia="宋体" w:cs="宋体"/>
                <w:color w:val="000000"/>
                <w:sz w:val="18"/>
                <w:szCs w:val="18"/>
              </w:rPr>
              <w:t>印刷完成及时率</w:t>
            </w:r>
          </w:p>
        </w:tc>
        <w:tc>
          <w:tcPr>
            <w:tcW w:w="334" w:type="pct"/>
            <w:tcBorders>
              <w:top w:val="nil"/>
              <w:left w:val="nil"/>
              <w:bottom w:val="single" w:color="auto" w:sz="4" w:space="0"/>
              <w:right w:val="single" w:color="auto" w:sz="4" w:space="0"/>
            </w:tcBorders>
            <w:vAlign w:val="center"/>
          </w:tcPr>
          <w:p w14:paraId="4955A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5E0E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F6F60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ED39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5B02A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2660C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FF6A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28BB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AA04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36F4788">
            <w:pPr>
              <w:jc w:val="center"/>
              <w:rPr>
                <w:rFonts w:hint="eastAsia" w:ascii="宋体" w:hAnsi="宋体" w:eastAsia="宋体" w:cs="宋体"/>
                <w:color w:val="000000"/>
                <w:sz w:val="18"/>
                <w:szCs w:val="18"/>
              </w:rPr>
            </w:pPr>
          </w:p>
        </w:tc>
      </w:tr>
      <w:tr w14:paraId="0B826FC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5AC27F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8861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B7ED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7D1C7B57">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48B4B3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753B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1D092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9836A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1AA36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9F316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DBC7C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2F755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587B2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1C7DD53">
            <w:pPr>
              <w:jc w:val="center"/>
              <w:rPr>
                <w:rFonts w:hint="eastAsia" w:ascii="宋体" w:hAnsi="宋体" w:eastAsia="宋体" w:cs="宋体"/>
                <w:color w:val="000000"/>
                <w:sz w:val="18"/>
                <w:szCs w:val="18"/>
              </w:rPr>
            </w:pPr>
          </w:p>
        </w:tc>
      </w:tr>
      <w:tr w14:paraId="668D9FC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606E8BB">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21B13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3CF4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12871AC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繁荣奇台文化促进文明建设</w:t>
            </w:r>
          </w:p>
        </w:tc>
        <w:tc>
          <w:tcPr>
            <w:tcW w:w="334" w:type="pct"/>
            <w:tcBorders>
              <w:top w:val="nil"/>
              <w:left w:val="nil"/>
              <w:bottom w:val="single" w:color="auto" w:sz="4" w:space="0"/>
              <w:right w:val="single" w:color="auto" w:sz="4" w:space="0"/>
            </w:tcBorders>
            <w:vAlign w:val="center"/>
          </w:tcPr>
          <w:p w14:paraId="641B7B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D6BCE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w:t>
            </w:r>
          </w:p>
        </w:tc>
        <w:tc>
          <w:tcPr>
            <w:tcW w:w="334" w:type="pct"/>
            <w:tcBorders>
              <w:top w:val="nil"/>
              <w:left w:val="nil"/>
              <w:bottom w:val="single" w:color="auto" w:sz="4" w:space="0"/>
              <w:right w:val="single" w:color="auto" w:sz="4" w:space="0"/>
            </w:tcBorders>
            <w:vAlign w:val="center"/>
          </w:tcPr>
          <w:p w14:paraId="7BD3C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w:t>
            </w:r>
          </w:p>
        </w:tc>
        <w:tc>
          <w:tcPr>
            <w:tcW w:w="328" w:type="pct"/>
            <w:tcBorders>
              <w:top w:val="nil"/>
              <w:left w:val="nil"/>
              <w:bottom w:val="single" w:color="auto" w:sz="4" w:space="0"/>
              <w:right w:val="single" w:color="auto" w:sz="4" w:space="0"/>
            </w:tcBorders>
            <w:vAlign w:val="center"/>
          </w:tcPr>
          <w:p w14:paraId="06314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CD409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D6FA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F4C0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25C7B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0EF34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3B4B4ED">
            <w:pPr>
              <w:jc w:val="center"/>
              <w:rPr>
                <w:rFonts w:hint="eastAsia" w:ascii="宋体" w:hAnsi="宋体" w:eastAsia="宋体" w:cs="宋体"/>
                <w:color w:val="000000"/>
                <w:sz w:val="18"/>
                <w:szCs w:val="18"/>
              </w:rPr>
            </w:pPr>
          </w:p>
        </w:tc>
      </w:tr>
      <w:tr w14:paraId="0398EB8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23720D5">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77F364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F56A8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4A97935F">
            <w:pPr>
              <w:rPr>
                <w:rFonts w:hint="eastAsia" w:ascii="宋体" w:hAnsi="宋体" w:eastAsia="宋体" w:cs="宋体"/>
                <w:color w:val="000000"/>
                <w:sz w:val="18"/>
                <w:szCs w:val="18"/>
              </w:rPr>
            </w:pPr>
            <w:r>
              <w:rPr>
                <w:rFonts w:hint="eastAsia" w:ascii="宋体" w:hAnsi="宋体" w:eastAsia="宋体" w:cs="宋体"/>
                <w:color w:val="000000"/>
                <w:sz w:val="18"/>
                <w:szCs w:val="18"/>
              </w:rPr>
              <w:t>政协委员满意度</w:t>
            </w:r>
          </w:p>
        </w:tc>
        <w:tc>
          <w:tcPr>
            <w:tcW w:w="334" w:type="pct"/>
            <w:tcBorders>
              <w:top w:val="nil"/>
              <w:left w:val="nil"/>
              <w:bottom w:val="single" w:color="auto" w:sz="4" w:space="0"/>
              <w:right w:val="single" w:color="auto" w:sz="4" w:space="0"/>
            </w:tcBorders>
            <w:vAlign w:val="center"/>
          </w:tcPr>
          <w:p w14:paraId="33FD9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1F7B2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367E21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1FCAE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6484E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EE81B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972D2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4FD18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4CAA2A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71A3611">
            <w:pPr>
              <w:jc w:val="center"/>
              <w:rPr>
                <w:rFonts w:hint="eastAsia" w:ascii="宋体" w:hAnsi="宋体" w:eastAsia="宋体" w:cs="宋体"/>
                <w:color w:val="000000"/>
                <w:sz w:val="18"/>
                <w:szCs w:val="18"/>
              </w:rPr>
            </w:pPr>
          </w:p>
        </w:tc>
      </w:tr>
      <w:tr w14:paraId="2E39D00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1C8FE96B">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7FA65C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C1EFD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0BEB184E">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551026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79A3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22B4D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0F642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FA17B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0FF0B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367D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16A36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2C16D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41A33BCC">
            <w:pPr>
              <w:jc w:val="center"/>
              <w:rPr>
                <w:rFonts w:hint="eastAsia" w:ascii="宋体" w:hAnsi="宋体" w:eastAsia="宋体" w:cs="宋体"/>
                <w:color w:val="000000"/>
                <w:sz w:val="18"/>
                <w:szCs w:val="18"/>
              </w:rPr>
            </w:pPr>
          </w:p>
        </w:tc>
      </w:tr>
      <w:tr w14:paraId="154F3A68">
        <w:tblPrEx>
          <w:tblCellMar>
            <w:top w:w="0" w:type="dxa"/>
            <w:left w:w="108" w:type="dxa"/>
            <w:bottom w:w="0" w:type="dxa"/>
            <w:right w:w="108" w:type="dxa"/>
          </w:tblCellMar>
        </w:tblPrEx>
        <w:trPr>
          <w:trHeight w:val="520" w:hRule="atLeast"/>
          <w:jc w:val="center"/>
        </w:trPr>
        <w:tc>
          <w:tcPr>
            <w:tcW w:w="1459" w:type="pct"/>
            <w:gridSpan w:val="4"/>
            <w:tcBorders>
              <w:top w:val="single" w:color="auto" w:sz="4" w:space="0"/>
              <w:left w:val="single" w:color="auto" w:sz="4" w:space="0"/>
              <w:bottom w:val="single" w:color="auto" w:sz="4" w:space="0"/>
              <w:right w:val="single" w:color="auto" w:sz="4" w:space="0"/>
            </w:tcBorders>
            <w:vAlign w:val="center"/>
          </w:tcPr>
          <w:p w14:paraId="7AEDC0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E0B78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91F9CD1">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7CCFE014">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DD45D85">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671493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B7338CF">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E571D90">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F15F846">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8E282E6">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4C499DB">
            <w:pPr>
              <w:rPr>
                <w:rFonts w:hint="eastAsia" w:ascii="宋体" w:hAnsi="宋体" w:eastAsia="宋体" w:cs="宋体"/>
                <w:color w:val="000000"/>
                <w:sz w:val="18"/>
                <w:szCs w:val="18"/>
              </w:rPr>
            </w:pPr>
          </w:p>
        </w:tc>
      </w:tr>
      <w:bookmarkEnd w:id="13"/>
    </w:tbl>
    <w:p w14:paraId="5C025821">
      <w:pPr>
        <w:jc w:val="center"/>
        <w:rPr>
          <w:rFonts w:ascii="宋体" w:hAnsi="宋体" w:eastAsia="宋体" w:cs="宋体"/>
          <w:b/>
          <w:bCs/>
          <w:sz w:val="18"/>
          <w:szCs w:val="18"/>
          <w:lang w:eastAsia="zh-CN"/>
        </w:rPr>
      </w:pPr>
    </w:p>
    <w:p w14:paraId="1B806513">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27B253B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566492FE">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F421D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66D9E7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昌州财行[2023]44号关于提前下达2024年度自治区基层政协补助经费</w:t>
            </w:r>
          </w:p>
        </w:tc>
      </w:tr>
      <w:tr w14:paraId="717662FA">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6B6805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10B04FD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中国人民政治协商会议奇台县委员会</w:t>
            </w:r>
          </w:p>
        </w:tc>
        <w:tc>
          <w:tcPr>
            <w:tcW w:w="708" w:type="pct"/>
            <w:gridSpan w:val="2"/>
            <w:tcBorders>
              <w:top w:val="single" w:color="auto" w:sz="4" w:space="0"/>
              <w:left w:val="nil"/>
              <w:bottom w:val="single" w:color="auto" w:sz="4" w:space="0"/>
              <w:right w:val="single" w:color="auto" w:sz="4" w:space="0"/>
            </w:tcBorders>
            <w:vAlign w:val="center"/>
          </w:tcPr>
          <w:p w14:paraId="56F2D5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CE327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中国人民政治协商会议奇台县委员会</w:t>
            </w:r>
          </w:p>
        </w:tc>
      </w:tr>
      <w:tr w14:paraId="5314E05B">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65BFFB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110FAAE6">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211BE6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66149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D3DBF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4F73A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B942A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E2B02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BA447FE">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2EFD8D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65EFC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24FE7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982" w:type="pct"/>
            <w:gridSpan w:val="3"/>
            <w:tcBorders>
              <w:top w:val="single" w:color="auto" w:sz="4" w:space="0"/>
              <w:left w:val="nil"/>
              <w:bottom w:val="single" w:color="auto" w:sz="4" w:space="0"/>
              <w:right w:val="single" w:color="auto" w:sz="4" w:space="0"/>
            </w:tcBorders>
            <w:vAlign w:val="center"/>
          </w:tcPr>
          <w:p w14:paraId="50E951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5.90</w:t>
            </w:r>
          </w:p>
        </w:tc>
        <w:tc>
          <w:tcPr>
            <w:tcW w:w="708" w:type="pct"/>
            <w:gridSpan w:val="2"/>
            <w:tcBorders>
              <w:top w:val="single" w:color="auto" w:sz="4" w:space="0"/>
              <w:left w:val="nil"/>
              <w:bottom w:val="single" w:color="auto" w:sz="4" w:space="0"/>
              <w:right w:val="single" w:color="auto" w:sz="4" w:space="0"/>
            </w:tcBorders>
            <w:vAlign w:val="center"/>
          </w:tcPr>
          <w:p w14:paraId="21DAC2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5.90</w:t>
            </w:r>
          </w:p>
        </w:tc>
        <w:tc>
          <w:tcPr>
            <w:tcW w:w="671" w:type="pct"/>
            <w:gridSpan w:val="2"/>
            <w:tcBorders>
              <w:top w:val="nil"/>
              <w:left w:val="nil"/>
              <w:bottom w:val="single" w:color="auto" w:sz="4" w:space="0"/>
              <w:right w:val="single" w:color="auto" w:sz="4" w:space="0"/>
            </w:tcBorders>
            <w:vAlign w:val="center"/>
          </w:tcPr>
          <w:p w14:paraId="606640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DD7F2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079CC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B361534">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86A9F62">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D7150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2F3235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982" w:type="pct"/>
            <w:gridSpan w:val="3"/>
            <w:tcBorders>
              <w:top w:val="single" w:color="auto" w:sz="4" w:space="0"/>
              <w:left w:val="nil"/>
              <w:bottom w:val="single" w:color="auto" w:sz="4" w:space="0"/>
              <w:right w:val="single" w:color="auto" w:sz="4" w:space="0"/>
            </w:tcBorders>
            <w:vAlign w:val="center"/>
          </w:tcPr>
          <w:p w14:paraId="343592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5.90</w:t>
            </w:r>
          </w:p>
        </w:tc>
        <w:tc>
          <w:tcPr>
            <w:tcW w:w="708" w:type="pct"/>
            <w:gridSpan w:val="2"/>
            <w:tcBorders>
              <w:top w:val="single" w:color="auto" w:sz="4" w:space="0"/>
              <w:left w:val="nil"/>
              <w:bottom w:val="single" w:color="auto" w:sz="4" w:space="0"/>
              <w:right w:val="single" w:color="auto" w:sz="4" w:space="0"/>
            </w:tcBorders>
            <w:vAlign w:val="center"/>
          </w:tcPr>
          <w:p w14:paraId="063FBD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5.90</w:t>
            </w:r>
          </w:p>
        </w:tc>
        <w:tc>
          <w:tcPr>
            <w:tcW w:w="671" w:type="pct"/>
            <w:gridSpan w:val="2"/>
            <w:tcBorders>
              <w:top w:val="nil"/>
              <w:left w:val="nil"/>
              <w:bottom w:val="single" w:color="auto" w:sz="4" w:space="0"/>
              <w:right w:val="single" w:color="auto" w:sz="4" w:space="0"/>
            </w:tcBorders>
            <w:vAlign w:val="center"/>
          </w:tcPr>
          <w:p w14:paraId="564B8B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B41E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AF3EF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D1B3B9A">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4D81A20">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16EF3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488E9F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22835A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42CB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2AE25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DE03D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EB05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14CC753">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8CA4C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3E3B8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2389F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F528FA8">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987875B">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1F607D7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用于办公用品的购置和车辆的维修，保证奇台县政协日常业务运转，确保政协会议的顺利召开。</w:t>
            </w:r>
          </w:p>
        </w:tc>
        <w:tc>
          <w:tcPr>
            <w:tcW w:w="2559" w:type="pct"/>
            <w:gridSpan w:val="7"/>
            <w:tcBorders>
              <w:top w:val="single" w:color="auto" w:sz="4" w:space="0"/>
              <w:left w:val="nil"/>
              <w:bottom w:val="single" w:color="auto" w:sz="4" w:space="0"/>
              <w:right w:val="single" w:color="auto" w:sz="4" w:space="0"/>
            </w:tcBorders>
            <w:vAlign w:val="center"/>
          </w:tcPr>
          <w:p w14:paraId="53BAC63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自治区基层政协补助经费主要用于制作基层政协制度牌1批；维护修理车辆5辆；；办公用品A3A4纸采购50件；零星办公用品购买600件；制度牌验收合格率：100%；车辆维护修理验收合格率：100%；办公用品电子耗材验收合格率：100%项目预算控制率：100；购置完成及时率：100；保障奇台政协良好的履职环境：100%。</w:t>
            </w:r>
          </w:p>
        </w:tc>
      </w:tr>
      <w:tr w14:paraId="7854C315">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5D5E06E8">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B3BDB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25458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38E4D8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E4B48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935F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5478A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489DD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80A85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6AC79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1BBA0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60138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57E496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775E50F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3023F6E">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66CCF50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FE156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2C32C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489688F">
            <w:pPr>
              <w:rPr>
                <w:rFonts w:hint="eastAsia" w:ascii="宋体" w:hAnsi="宋体" w:eastAsia="宋体" w:cs="宋体"/>
                <w:color w:val="000000"/>
                <w:sz w:val="18"/>
                <w:szCs w:val="18"/>
              </w:rPr>
            </w:pPr>
            <w:r>
              <w:rPr>
                <w:rFonts w:hint="eastAsia" w:ascii="宋体" w:hAnsi="宋体" w:eastAsia="宋体" w:cs="宋体"/>
                <w:color w:val="000000"/>
                <w:sz w:val="18"/>
                <w:szCs w:val="18"/>
              </w:rPr>
              <w:t>办公用品A3A4纸</w:t>
            </w:r>
          </w:p>
        </w:tc>
        <w:tc>
          <w:tcPr>
            <w:tcW w:w="334" w:type="pct"/>
            <w:tcBorders>
              <w:top w:val="nil"/>
              <w:left w:val="nil"/>
              <w:bottom w:val="single" w:color="auto" w:sz="4" w:space="0"/>
              <w:right w:val="single" w:color="auto" w:sz="4" w:space="0"/>
            </w:tcBorders>
            <w:vAlign w:val="center"/>
          </w:tcPr>
          <w:p w14:paraId="567D3D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DAA1B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&lt;=50件</w:t>
            </w:r>
          </w:p>
        </w:tc>
        <w:tc>
          <w:tcPr>
            <w:tcW w:w="333" w:type="pct"/>
            <w:tcBorders>
              <w:top w:val="nil"/>
              <w:left w:val="nil"/>
              <w:bottom w:val="single" w:color="auto" w:sz="4" w:space="0"/>
              <w:right w:val="single" w:color="auto" w:sz="4" w:space="0"/>
            </w:tcBorders>
            <w:vAlign w:val="center"/>
          </w:tcPr>
          <w:p w14:paraId="21E5FB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=50件</w:t>
            </w:r>
          </w:p>
        </w:tc>
        <w:tc>
          <w:tcPr>
            <w:tcW w:w="328" w:type="pct"/>
            <w:tcBorders>
              <w:top w:val="nil"/>
              <w:left w:val="nil"/>
              <w:bottom w:val="single" w:color="auto" w:sz="4" w:space="0"/>
              <w:right w:val="single" w:color="auto" w:sz="4" w:space="0"/>
            </w:tcBorders>
            <w:vAlign w:val="center"/>
          </w:tcPr>
          <w:p w14:paraId="0EFD26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0A8D0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74D15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32CD1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40件</w:t>
            </w:r>
          </w:p>
        </w:tc>
        <w:tc>
          <w:tcPr>
            <w:tcW w:w="327" w:type="pct"/>
            <w:tcBorders>
              <w:top w:val="nil"/>
              <w:left w:val="nil"/>
              <w:bottom w:val="single" w:color="auto" w:sz="4" w:space="0"/>
              <w:right w:val="single" w:color="auto" w:sz="4" w:space="0"/>
            </w:tcBorders>
            <w:vAlign w:val="center"/>
          </w:tcPr>
          <w:p w14:paraId="595C2D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03CCD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79E67D5">
            <w:pPr>
              <w:jc w:val="center"/>
              <w:rPr>
                <w:rFonts w:hint="eastAsia" w:ascii="宋体" w:hAnsi="宋体" w:eastAsia="宋体" w:cs="宋体"/>
                <w:color w:val="000000"/>
                <w:sz w:val="18"/>
                <w:szCs w:val="18"/>
              </w:rPr>
            </w:pPr>
          </w:p>
        </w:tc>
      </w:tr>
      <w:tr w14:paraId="7D0EA73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8482BE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3C9786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31C5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1A79CBB">
            <w:pPr>
              <w:rPr>
                <w:rFonts w:hint="eastAsia" w:ascii="宋体" w:hAnsi="宋体" w:eastAsia="宋体" w:cs="宋体"/>
                <w:color w:val="000000"/>
                <w:sz w:val="18"/>
                <w:szCs w:val="18"/>
              </w:rPr>
            </w:pPr>
            <w:r>
              <w:rPr>
                <w:rFonts w:hint="eastAsia" w:ascii="宋体" w:hAnsi="宋体" w:eastAsia="宋体" w:cs="宋体"/>
                <w:color w:val="000000"/>
                <w:sz w:val="18"/>
                <w:szCs w:val="18"/>
              </w:rPr>
              <w:t>零星办公用品</w:t>
            </w:r>
          </w:p>
        </w:tc>
        <w:tc>
          <w:tcPr>
            <w:tcW w:w="334" w:type="pct"/>
            <w:tcBorders>
              <w:top w:val="nil"/>
              <w:left w:val="nil"/>
              <w:bottom w:val="single" w:color="auto" w:sz="4" w:space="0"/>
              <w:right w:val="single" w:color="auto" w:sz="4" w:space="0"/>
            </w:tcBorders>
            <w:vAlign w:val="center"/>
          </w:tcPr>
          <w:p w14:paraId="063475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59022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&lt;=200个</w:t>
            </w:r>
          </w:p>
        </w:tc>
        <w:tc>
          <w:tcPr>
            <w:tcW w:w="333" w:type="pct"/>
            <w:tcBorders>
              <w:top w:val="nil"/>
              <w:left w:val="nil"/>
              <w:bottom w:val="single" w:color="auto" w:sz="4" w:space="0"/>
              <w:right w:val="single" w:color="auto" w:sz="4" w:space="0"/>
            </w:tcBorders>
            <w:vAlign w:val="center"/>
          </w:tcPr>
          <w:p w14:paraId="25970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=600个</w:t>
            </w:r>
          </w:p>
        </w:tc>
        <w:tc>
          <w:tcPr>
            <w:tcW w:w="328" w:type="pct"/>
            <w:tcBorders>
              <w:top w:val="nil"/>
              <w:left w:val="nil"/>
              <w:bottom w:val="single" w:color="auto" w:sz="4" w:space="0"/>
              <w:right w:val="single" w:color="auto" w:sz="4" w:space="0"/>
            </w:tcBorders>
            <w:vAlign w:val="center"/>
          </w:tcPr>
          <w:p w14:paraId="2E5BEA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73E1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2FD6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E656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180个</w:t>
            </w:r>
          </w:p>
        </w:tc>
        <w:tc>
          <w:tcPr>
            <w:tcW w:w="327" w:type="pct"/>
            <w:tcBorders>
              <w:top w:val="nil"/>
              <w:left w:val="nil"/>
              <w:bottom w:val="single" w:color="auto" w:sz="4" w:space="0"/>
              <w:right w:val="single" w:color="auto" w:sz="4" w:space="0"/>
            </w:tcBorders>
            <w:vAlign w:val="center"/>
          </w:tcPr>
          <w:p w14:paraId="6241C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17207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EA1B7A2">
            <w:pPr>
              <w:jc w:val="center"/>
              <w:rPr>
                <w:rFonts w:hint="eastAsia" w:ascii="宋体" w:hAnsi="宋体" w:eastAsia="宋体" w:cs="宋体"/>
                <w:color w:val="000000"/>
                <w:sz w:val="18"/>
                <w:szCs w:val="18"/>
              </w:rPr>
            </w:pPr>
          </w:p>
        </w:tc>
      </w:tr>
      <w:tr w14:paraId="5251EFF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632530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3A92B0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BE3CD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D473006">
            <w:pPr>
              <w:rPr>
                <w:rFonts w:hint="eastAsia" w:ascii="宋体" w:hAnsi="宋体" w:eastAsia="宋体" w:cs="宋体"/>
                <w:color w:val="000000"/>
                <w:sz w:val="18"/>
                <w:szCs w:val="18"/>
              </w:rPr>
            </w:pPr>
            <w:r>
              <w:rPr>
                <w:rFonts w:hint="eastAsia" w:ascii="宋体" w:hAnsi="宋体" w:eastAsia="宋体" w:cs="宋体"/>
                <w:color w:val="000000"/>
                <w:sz w:val="18"/>
                <w:szCs w:val="18"/>
              </w:rPr>
              <w:t>基层政协制度牌</w:t>
            </w:r>
          </w:p>
        </w:tc>
        <w:tc>
          <w:tcPr>
            <w:tcW w:w="334" w:type="pct"/>
            <w:tcBorders>
              <w:top w:val="nil"/>
              <w:left w:val="nil"/>
              <w:bottom w:val="single" w:color="auto" w:sz="4" w:space="0"/>
              <w:right w:val="single" w:color="auto" w:sz="4" w:space="0"/>
            </w:tcBorders>
            <w:vAlign w:val="center"/>
          </w:tcPr>
          <w:p w14:paraId="2F0A53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A30A4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&lt;=1批</w:t>
            </w:r>
          </w:p>
        </w:tc>
        <w:tc>
          <w:tcPr>
            <w:tcW w:w="333" w:type="pct"/>
            <w:tcBorders>
              <w:top w:val="nil"/>
              <w:left w:val="nil"/>
              <w:bottom w:val="single" w:color="auto" w:sz="4" w:space="0"/>
              <w:right w:val="single" w:color="auto" w:sz="4" w:space="0"/>
            </w:tcBorders>
            <w:vAlign w:val="center"/>
          </w:tcPr>
          <w:p w14:paraId="771C98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328" w:type="pct"/>
            <w:tcBorders>
              <w:top w:val="nil"/>
              <w:left w:val="nil"/>
              <w:bottom w:val="single" w:color="auto" w:sz="4" w:space="0"/>
              <w:right w:val="single" w:color="auto" w:sz="4" w:space="0"/>
            </w:tcBorders>
            <w:vAlign w:val="center"/>
          </w:tcPr>
          <w:p w14:paraId="1F0343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B4573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2689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0C3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21个</w:t>
            </w:r>
          </w:p>
        </w:tc>
        <w:tc>
          <w:tcPr>
            <w:tcW w:w="327" w:type="pct"/>
            <w:tcBorders>
              <w:top w:val="nil"/>
              <w:left w:val="nil"/>
              <w:bottom w:val="single" w:color="auto" w:sz="4" w:space="0"/>
              <w:right w:val="single" w:color="auto" w:sz="4" w:space="0"/>
            </w:tcBorders>
            <w:vAlign w:val="center"/>
          </w:tcPr>
          <w:p w14:paraId="5D5A79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2F99D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D14CEE4">
            <w:pPr>
              <w:jc w:val="center"/>
              <w:rPr>
                <w:rFonts w:hint="eastAsia" w:ascii="宋体" w:hAnsi="宋体" w:eastAsia="宋体" w:cs="宋体"/>
                <w:color w:val="000000"/>
                <w:sz w:val="18"/>
                <w:szCs w:val="18"/>
              </w:rPr>
            </w:pPr>
          </w:p>
        </w:tc>
      </w:tr>
      <w:tr w14:paraId="05BB255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C6EFF2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93ED4F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A7C7C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54BDDE4D">
            <w:pPr>
              <w:rPr>
                <w:rFonts w:hint="eastAsia" w:ascii="宋体" w:hAnsi="宋体" w:eastAsia="宋体" w:cs="宋体"/>
                <w:color w:val="000000"/>
                <w:sz w:val="18"/>
                <w:szCs w:val="18"/>
              </w:rPr>
            </w:pPr>
            <w:r>
              <w:rPr>
                <w:rFonts w:hint="eastAsia" w:ascii="宋体" w:hAnsi="宋体" w:eastAsia="宋体" w:cs="宋体"/>
                <w:color w:val="000000"/>
                <w:sz w:val="18"/>
                <w:szCs w:val="18"/>
              </w:rPr>
              <w:t>车辆维护修理数量</w:t>
            </w:r>
          </w:p>
        </w:tc>
        <w:tc>
          <w:tcPr>
            <w:tcW w:w="334" w:type="pct"/>
            <w:tcBorders>
              <w:top w:val="nil"/>
              <w:left w:val="nil"/>
              <w:bottom w:val="single" w:color="auto" w:sz="4" w:space="0"/>
              <w:right w:val="single" w:color="auto" w:sz="4" w:space="0"/>
            </w:tcBorders>
            <w:vAlign w:val="center"/>
          </w:tcPr>
          <w:p w14:paraId="13060A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9BEC1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&lt;=5辆</w:t>
            </w:r>
          </w:p>
        </w:tc>
        <w:tc>
          <w:tcPr>
            <w:tcW w:w="333" w:type="pct"/>
            <w:tcBorders>
              <w:top w:val="nil"/>
              <w:left w:val="nil"/>
              <w:bottom w:val="single" w:color="auto" w:sz="4" w:space="0"/>
              <w:right w:val="single" w:color="auto" w:sz="4" w:space="0"/>
            </w:tcBorders>
            <w:vAlign w:val="center"/>
          </w:tcPr>
          <w:p w14:paraId="561A78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=5辆</w:t>
            </w:r>
          </w:p>
        </w:tc>
        <w:tc>
          <w:tcPr>
            <w:tcW w:w="328" w:type="pct"/>
            <w:tcBorders>
              <w:top w:val="nil"/>
              <w:left w:val="nil"/>
              <w:bottom w:val="single" w:color="auto" w:sz="4" w:space="0"/>
              <w:right w:val="single" w:color="auto" w:sz="4" w:space="0"/>
            </w:tcBorders>
            <w:vAlign w:val="center"/>
          </w:tcPr>
          <w:p w14:paraId="50972D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2B85E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620D6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4C5FE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4辆</w:t>
            </w:r>
          </w:p>
        </w:tc>
        <w:tc>
          <w:tcPr>
            <w:tcW w:w="327" w:type="pct"/>
            <w:tcBorders>
              <w:top w:val="nil"/>
              <w:left w:val="nil"/>
              <w:bottom w:val="single" w:color="auto" w:sz="4" w:space="0"/>
              <w:right w:val="single" w:color="auto" w:sz="4" w:space="0"/>
            </w:tcBorders>
            <w:vAlign w:val="center"/>
          </w:tcPr>
          <w:p w14:paraId="2AB4DF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7E207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543D124">
            <w:pPr>
              <w:jc w:val="center"/>
              <w:rPr>
                <w:rFonts w:hint="eastAsia" w:ascii="宋体" w:hAnsi="宋体" w:eastAsia="宋体" w:cs="宋体"/>
                <w:color w:val="000000"/>
                <w:sz w:val="18"/>
                <w:szCs w:val="18"/>
              </w:rPr>
            </w:pPr>
          </w:p>
        </w:tc>
      </w:tr>
      <w:tr w14:paraId="61A2820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793B36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857210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19A1D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0678E0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办公用品电子耗材验收合格率</w:t>
            </w:r>
          </w:p>
        </w:tc>
        <w:tc>
          <w:tcPr>
            <w:tcW w:w="334" w:type="pct"/>
            <w:tcBorders>
              <w:top w:val="nil"/>
              <w:left w:val="nil"/>
              <w:bottom w:val="single" w:color="auto" w:sz="4" w:space="0"/>
              <w:right w:val="single" w:color="auto" w:sz="4" w:space="0"/>
            </w:tcBorders>
            <w:vAlign w:val="center"/>
          </w:tcPr>
          <w:p w14:paraId="2FC07B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14" w:type="pct"/>
            <w:tcBorders>
              <w:top w:val="nil"/>
              <w:left w:val="nil"/>
              <w:bottom w:val="single" w:color="auto" w:sz="4" w:space="0"/>
              <w:right w:val="single" w:color="auto" w:sz="4" w:space="0"/>
            </w:tcBorders>
            <w:vAlign w:val="center"/>
          </w:tcPr>
          <w:p w14:paraId="0650EE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9E203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E9AC7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2DC07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42" w:type="pct"/>
            <w:tcBorders>
              <w:top w:val="nil"/>
              <w:left w:val="nil"/>
              <w:bottom w:val="single" w:color="auto" w:sz="4" w:space="0"/>
              <w:right w:val="single" w:color="auto" w:sz="4" w:space="0"/>
            </w:tcBorders>
            <w:vAlign w:val="center"/>
          </w:tcPr>
          <w:p w14:paraId="3E1E3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7B48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547031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F1FCE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239774D">
            <w:pPr>
              <w:jc w:val="center"/>
              <w:rPr>
                <w:rFonts w:hint="eastAsia" w:ascii="宋体" w:hAnsi="宋体" w:eastAsia="宋体" w:cs="宋体"/>
                <w:color w:val="000000"/>
                <w:sz w:val="18"/>
                <w:szCs w:val="18"/>
              </w:rPr>
            </w:pPr>
          </w:p>
        </w:tc>
      </w:tr>
      <w:tr w14:paraId="21B2EF1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26394E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153F82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D6487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4BA98D2">
            <w:pPr>
              <w:rPr>
                <w:rFonts w:hint="eastAsia" w:ascii="宋体" w:hAnsi="宋体" w:eastAsia="宋体" w:cs="宋体"/>
                <w:color w:val="000000"/>
                <w:sz w:val="18"/>
                <w:szCs w:val="18"/>
              </w:rPr>
            </w:pPr>
            <w:r>
              <w:rPr>
                <w:rFonts w:hint="eastAsia" w:ascii="宋体" w:hAnsi="宋体" w:eastAsia="宋体" w:cs="宋体"/>
                <w:color w:val="000000"/>
                <w:sz w:val="18"/>
                <w:szCs w:val="18"/>
              </w:rPr>
              <w:t>制度牌验收合格率</w:t>
            </w:r>
          </w:p>
        </w:tc>
        <w:tc>
          <w:tcPr>
            <w:tcW w:w="334" w:type="pct"/>
            <w:tcBorders>
              <w:top w:val="nil"/>
              <w:left w:val="nil"/>
              <w:bottom w:val="single" w:color="auto" w:sz="4" w:space="0"/>
              <w:right w:val="single" w:color="auto" w:sz="4" w:space="0"/>
            </w:tcBorders>
            <w:vAlign w:val="center"/>
          </w:tcPr>
          <w:p w14:paraId="55855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78B02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A0C6B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993C3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4B260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2A3D0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27F4D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68DDDC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253E0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6E887EB">
            <w:pPr>
              <w:jc w:val="center"/>
              <w:rPr>
                <w:rFonts w:hint="eastAsia" w:ascii="宋体" w:hAnsi="宋体" w:eastAsia="宋体" w:cs="宋体"/>
                <w:color w:val="000000"/>
                <w:sz w:val="18"/>
                <w:szCs w:val="18"/>
              </w:rPr>
            </w:pPr>
          </w:p>
        </w:tc>
      </w:tr>
      <w:tr w14:paraId="7B72B4D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88BA32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FFE8F1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3C45E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4F6D9CA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车辆维护修理验收合格率</w:t>
            </w:r>
          </w:p>
        </w:tc>
        <w:tc>
          <w:tcPr>
            <w:tcW w:w="334" w:type="pct"/>
            <w:tcBorders>
              <w:top w:val="nil"/>
              <w:left w:val="nil"/>
              <w:bottom w:val="single" w:color="auto" w:sz="4" w:space="0"/>
              <w:right w:val="single" w:color="auto" w:sz="4" w:space="0"/>
            </w:tcBorders>
            <w:vAlign w:val="center"/>
          </w:tcPr>
          <w:p w14:paraId="3B1F65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14" w:type="pct"/>
            <w:tcBorders>
              <w:top w:val="nil"/>
              <w:left w:val="nil"/>
              <w:bottom w:val="single" w:color="auto" w:sz="4" w:space="0"/>
              <w:right w:val="single" w:color="auto" w:sz="4" w:space="0"/>
            </w:tcBorders>
            <w:vAlign w:val="center"/>
          </w:tcPr>
          <w:p w14:paraId="3E81AC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FBFEE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11B00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3E72C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42" w:type="pct"/>
            <w:tcBorders>
              <w:top w:val="nil"/>
              <w:left w:val="nil"/>
              <w:bottom w:val="single" w:color="auto" w:sz="4" w:space="0"/>
              <w:right w:val="single" w:color="auto" w:sz="4" w:space="0"/>
            </w:tcBorders>
            <w:vAlign w:val="center"/>
          </w:tcPr>
          <w:p w14:paraId="26981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34B90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74EC3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5353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6DA3011">
            <w:pPr>
              <w:jc w:val="center"/>
              <w:rPr>
                <w:rFonts w:hint="eastAsia" w:ascii="宋体" w:hAnsi="宋体" w:eastAsia="宋体" w:cs="宋体"/>
                <w:color w:val="000000"/>
                <w:sz w:val="18"/>
                <w:szCs w:val="18"/>
              </w:rPr>
            </w:pPr>
          </w:p>
        </w:tc>
      </w:tr>
      <w:tr w14:paraId="171E215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A8FC26A">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8224C8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6DE9F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5A53D56">
            <w:pPr>
              <w:rPr>
                <w:rFonts w:hint="eastAsia" w:ascii="宋体" w:hAnsi="宋体" w:eastAsia="宋体" w:cs="宋体"/>
                <w:color w:val="000000"/>
                <w:sz w:val="18"/>
                <w:szCs w:val="18"/>
              </w:rPr>
            </w:pPr>
            <w:r>
              <w:rPr>
                <w:rFonts w:hint="eastAsia" w:ascii="宋体" w:hAnsi="宋体" w:eastAsia="宋体" w:cs="宋体"/>
                <w:color w:val="000000"/>
                <w:sz w:val="18"/>
                <w:szCs w:val="18"/>
              </w:rPr>
              <w:t>购置完成及时率</w:t>
            </w:r>
          </w:p>
        </w:tc>
        <w:tc>
          <w:tcPr>
            <w:tcW w:w="334" w:type="pct"/>
            <w:tcBorders>
              <w:top w:val="nil"/>
              <w:left w:val="nil"/>
              <w:bottom w:val="single" w:color="auto" w:sz="4" w:space="0"/>
              <w:right w:val="single" w:color="auto" w:sz="4" w:space="0"/>
            </w:tcBorders>
            <w:vAlign w:val="center"/>
          </w:tcPr>
          <w:p w14:paraId="1F2ED9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634C3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E9A25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A94EE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E9F0E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76EC0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884FF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2023年12月</w:t>
            </w:r>
          </w:p>
        </w:tc>
        <w:tc>
          <w:tcPr>
            <w:tcW w:w="327" w:type="pct"/>
            <w:tcBorders>
              <w:top w:val="nil"/>
              <w:left w:val="nil"/>
              <w:bottom w:val="single" w:color="auto" w:sz="4" w:space="0"/>
              <w:right w:val="single" w:color="auto" w:sz="4" w:space="0"/>
            </w:tcBorders>
            <w:vAlign w:val="center"/>
          </w:tcPr>
          <w:p w14:paraId="01446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823C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052E4BE">
            <w:pPr>
              <w:jc w:val="center"/>
              <w:rPr>
                <w:rFonts w:hint="eastAsia" w:ascii="宋体" w:hAnsi="宋体" w:eastAsia="宋体" w:cs="宋体"/>
                <w:color w:val="000000"/>
                <w:sz w:val="18"/>
                <w:szCs w:val="18"/>
              </w:rPr>
            </w:pPr>
          </w:p>
        </w:tc>
      </w:tr>
      <w:tr w14:paraId="3F741CB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9F1078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EBA9D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83876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393992B0">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70BD4E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9762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5006B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C2C8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2B52B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B54F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548CC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5万</w:t>
            </w:r>
          </w:p>
        </w:tc>
        <w:tc>
          <w:tcPr>
            <w:tcW w:w="327" w:type="pct"/>
            <w:tcBorders>
              <w:top w:val="nil"/>
              <w:left w:val="nil"/>
              <w:bottom w:val="single" w:color="auto" w:sz="4" w:space="0"/>
              <w:right w:val="single" w:color="auto" w:sz="4" w:space="0"/>
            </w:tcBorders>
            <w:vAlign w:val="center"/>
          </w:tcPr>
          <w:p w14:paraId="54D99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9BA6C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FD73E0C">
            <w:pPr>
              <w:jc w:val="center"/>
              <w:rPr>
                <w:rFonts w:hint="eastAsia" w:ascii="宋体" w:hAnsi="宋体" w:eastAsia="宋体" w:cs="宋体"/>
                <w:color w:val="000000"/>
                <w:sz w:val="18"/>
                <w:szCs w:val="18"/>
              </w:rPr>
            </w:pPr>
          </w:p>
        </w:tc>
      </w:tr>
      <w:tr w14:paraId="7591EAB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47D6CF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ACA48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D4E16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1" w:type="pct"/>
            <w:tcBorders>
              <w:top w:val="single" w:color="auto" w:sz="4" w:space="0"/>
              <w:left w:val="nil"/>
              <w:bottom w:val="single" w:color="auto" w:sz="4" w:space="0"/>
              <w:right w:val="single" w:color="auto" w:sz="4" w:space="0"/>
            </w:tcBorders>
            <w:vAlign w:val="center"/>
          </w:tcPr>
          <w:p w14:paraId="37C6C3F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保障奇台政协良好的履职环境</w:t>
            </w:r>
          </w:p>
        </w:tc>
        <w:tc>
          <w:tcPr>
            <w:tcW w:w="334" w:type="pct"/>
            <w:tcBorders>
              <w:top w:val="nil"/>
              <w:left w:val="nil"/>
              <w:bottom w:val="single" w:color="auto" w:sz="4" w:space="0"/>
              <w:right w:val="single" w:color="auto" w:sz="4" w:space="0"/>
            </w:tcBorders>
            <w:vAlign w:val="center"/>
          </w:tcPr>
          <w:p w14:paraId="5F583A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6CC6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AEEB7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302C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CCCDB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A00DC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E174F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5F405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32C25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FA2DA00">
            <w:pPr>
              <w:jc w:val="center"/>
              <w:rPr>
                <w:rFonts w:hint="eastAsia" w:ascii="宋体" w:hAnsi="宋体" w:eastAsia="宋体" w:cs="宋体"/>
                <w:color w:val="000000"/>
                <w:sz w:val="18"/>
                <w:szCs w:val="18"/>
              </w:rPr>
            </w:pPr>
          </w:p>
        </w:tc>
      </w:tr>
      <w:tr w14:paraId="4541585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79E681F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B13C0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FB9F5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7C0280FF">
            <w:pPr>
              <w:rPr>
                <w:rFonts w:hint="eastAsia" w:ascii="宋体" w:hAnsi="宋体" w:eastAsia="宋体" w:cs="宋体"/>
                <w:color w:val="000000"/>
                <w:sz w:val="18"/>
                <w:szCs w:val="18"/>
              </w:rPr>
            </w:pPr>
            <w:r>
              <w:rPr>
                <w:rFonts w:hint="eastAsia" w:ascii="宋体" w:hAnsi="宋体" w:eastAsia="宋体" w:cs="宋体"/>
                <w:color w:val="000000"/>
                <w:sz w:val="18"/>
                <w:szCs w:val="18"/>
              </w:rPr>
              <w:t>政协干部满意度</w:t>
            </w:r>
          </w:p>
        </w:tc>
        <w:tc>
          <w:tcPr>
            <w:tcW w:w="334" w:type="pct"/>
            <w:tcBorders>
              <w:top w:val="nil"/>
              <w:left w:val="nil"/>
              <w:bottom w:val="single" w:color="auto" w:sz="4" w:space="0"/>
              <w:right w:val="single" w:color="auto" w:sz="4" w:space="0"/>
            </w:tcBorders>
            <w:vAlign w:val="center"/>
          </w:tcPr>
          <w:p w14:paraId="071BB4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CE06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58A5A6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65E88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79" w:type="pct"/>
            <w:tcBorders>
              <w:top w:val="nil"/>
              <w:left w:val="nil"/>
              <w:bottom w:val="single" w:color="auto" w:sz="4" w:space="0"/>
              <w:right w:val="single" w:color="auto" w:sz="4" w:space="0"/>
            </w:tcBorders>
            <w:vAlign w:val="center"/>
          </w:tcPr>
          <w:p w14:paraId="24D4CA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27812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6E50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7" w:type="pct"/>
            <w:tcBorders>
              <w:top w:val="nil"/>
              <w:left w:val="nil"/>
              <w:bottom w:val="single" w:color="auto" w:sz="4" w:space="0"/>
              <w:right w:val="single" w:color="auto" w:sz="4" w:space="0"/>
            </w:tcBorders>
            <w:vAlign w:val="center"/>
          </w:tcPr>
          <w:p w14:paraId="5A224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13651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4BDF014A">
            <w:pPr>
              <w:jc w:val="center"/>
              <w:rPr>
                <w:rFonts w:hint="eastAsia" w:ascii="宋体" w:hAnsi="宋体" w:eastAsia="宋体" w:cs="宋体"/>
                <w:color w:val="000000"/>
                <w:sz w:val="18"/>
                <w:szCs w:val="18"/>
              </w:rPr>
            </w:pPr>
          </w:p>
        </w:tc>
      </w:tr>
      <w:tr w14:paraId="6D4570BC">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76E7B1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191E4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4FBC515">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9C48801">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3A24BE1">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445D5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561A6708">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DEF77F8">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6DA4BAB">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F95D283">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1B9BAF1">
            <w:pPr>
              <w:rPr>
                <w:rFonts w:hint="eastAsia" w:ascii="宋体" w:hAnsi="宋体" w:eastAsia="宋体" w:cs="宋体"/>
                <w:color w:val="000000"/>
                <w:sz w:val="18"/>
                <w:szCs w:val="18"/>
              </w:rPr>
            </w:pPr>
          </w:p>
        </w:tc>
      </w:tr>
    </w:tbl>
    <w:p w14:paraId="54008222">
      <w:pPr>
        <w:spacing w:after="0" w:line="240" w:lineRule="auto"/>
        <w:ind w:firstLine="640" w:firstLineChars="200"/>
        <w:jc w:val="both"/>
        <w:rPr>
          <w:rFonts w:hint="eastAsia" w:ascii="仿宋_GB2312" w:eastAsia="仿宋_GB2312"/>
          <w:sz w:val="32"/>
          <w:szCs w:val="32"/>
          <w:lang w:eastAsia="zh-CN"/>
        </w:rPr>
      </w:pPr>
    </w:p>
    <w:p w14:paraId="2E3EFD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19B862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06774AFC">
      <w:pPr>
        <w:spacing w:after="0" w:line="240" w:lineRule="auto"/>
        <w:ind w:firstLine="640" w:firstLineChars="200"/>
        <w:rPr>
          <w:rFonts w:hint="eastAsia" w:ascii="仿宋_GB2312" w:eastAsia="仿宋_GB2312"/>
          <w:sz w:val="32"/>
          <w:szCs w:val="32"/>
          <w:lang w:eastAsia="zh-CN"/>
        </w:rPr>
      </w:pPr>
    </w:p>
    <w:p w14:paraId="298468D6">
      <w:pPr>
        <w:rPr>
          <w:rFonts w:hint="eastAsia"/>
          <w:lang w:eastAsia="zh-CN"/>
        </w:rPr>
      </w:pPr>
      <w:r>
        <w:rPr>
          <w:sz w:val="0"/>
          <w:szCs w:val="0"/>
          <w:lang w:eastAsia="zh-CN"/>
        </w:rPr>
        <w:br w:type="page"/>
      </w:r>
    </w:p>
    <w:p w14:paraId="57B6919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11FB278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B27C38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F83E97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9FEC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C52BA3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CBF8F5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BEA42D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512E3D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BC39C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0014C6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CDBEAD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BCD56D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F89E91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C040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26D7465">
      <w:pPr>
        <w:rPr>
          <w:rFonts w:hint="eastAsia"/>
          <w:lang w:eastAsia="zh-CN"/>
        </w:rPr>
      </w:pPr>
      <w:r>
        <w:rPr>
          <w:sz w:val="0"/>
          <w:szCs w:val="0"/>
          <w:lang w:eastAsia="zh-CN"/>
        </w:rPr>
        <w:br w:type="page"/>
      </w:r>
    </w:p>
    <w:p w14:paraId="4C1739C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3210877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F2AE4C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B98B29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5C08191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DB7066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17CA99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68273A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59B7BD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8EA234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FA37F7"/>
    <w:rsid w:val="00047F79"/>
    <w:rsid w:val="002B7B51"/>
    <w:rsid w:val="003964AF"/>
    <w:rsid w:val="00661BEC"/>
    <w:rsid w:val="007D38D1"/>
    <w:rsid w:val="00C871AF"/>
    <w:rsid w:val="00FA37F7"/>
    <w:rsid w:val="0AEB740E"/>
    <w:rsid w:val="483D4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6756</Words>
  <Characters>7719</Characters>
  <Lines>1923</Lines>
  <Paragraphs>1488</Paragraphs>
  <TotalTime>35</TotalTime>
  <ScaleCrop>false</ScaleCrop>
  <LinksUpToDate>false</LinksUpToDate>
  <CharactersWithSpaces>7731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2025-09-18T04:04:00Z</dcterms:created>
  <dc:creator>华为</dc:creator>
  <cp:lastModifiedBy>T</cp:lastModifiedBy>
  <dcterms:modified xsi:type="dcterms:W3CDTF">2025-09-23T04:36:32Z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B010B4F0EB26470B9E410CE2497E025B_12</vt:lpwstr>
  </property>
</Properties>
</file>