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E5415">
      <w:pPr>
        <w:spacing w:after="0" w:line="240" w:lineRule="auto"/>
        <w:rPr>
          <w:rFonts w:hint="eastAsia" w:ascii="宋体" w:eastAsia="宋体"/>
          <w:sz w:val="32"/>
          <w:szCs w:val="32"/>
        </w:rPr>
      </w:pPr>
    </w:p>
    <w:p w14:paraId="374C84BE">
      <w:pPr>
        <w:spacing w:after="0" w:line="240" w:lineRule="auto"/>
        <w:rPr>
          <w:rFonts w:hint="eastAsia" w:ascii="宋体" w:eastAsia="宋体"/>
          <w:sz w:val="44"/>
          <w:szCs w:val="44"/>
        </w:rPr>
      </w:pPr>
    </w:p>
    <w:p w14:paraId="0D8D4212">
      <w:pPr>
        <w:spacing w:after="0" w:line="240" w:lineRule="auto"/>
        <w:rPr>
          <w:rFonts w:hint="eastAsia" w:ascii="宋体" w:eastAsia="宋体"/>
          <w:sz w:val="44"/>
          <w:szCs w:val="44"/>
        </w:rPr>
      </w:pPr>
    </w:p>
    <w:p w14:paraId="7F2C663B">
      <w:pPr>
        <w:spacing w:after="0" w:line="240" w:lineRule="auto"/>
        <w:rPr>
          <w:rFonts w:hint="eastAsia" w:ascii="宋体" w:eastAsia="宋体"/>
          <w:sz w:val="44"/>
          <w:szCs w:val="44"/>
        </w:rPr>
      </w:pPr>
    </w:p>
    <w:p w14:paraId="655AE064">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中共奇台县委员会网络安全和信息化委员会办公室</w:t>
      </w:r>
    </w:p>
    <w:p w14:paraId="6A5F3903">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621B1C60">
      <w:pPr>
        <w:rPr>
          <w:rFonts w:hint="eastAsia"/>
          <w:lang w:eastAsia="zh-CN"/>
        </w:rPr>
      </w:pPr>
      <w:r>
        <w:rPr>
          <w:sz w:val="0"/>
          <w:szCs w:val="0"/>
          <w:lang w:eastAsia="zh-CN"/>
        </w:rPr>
        <w:br w:type="page"/>
      </w:r>
    </w:p>
    <w:p w14:paraId="451C8B7B">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31FCA2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59ACCD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EB09D5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1890A83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0090F8E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54A989F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071F811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5EA8D81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E7646F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A8E3BF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D9E52D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DDC9DC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39CD00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1E4769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4A5D8C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97AB31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335874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37933CF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2696432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6D9ABF8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64B1824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08DF52C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A778198">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55B3943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654AB0E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D71E92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160A8FC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2E3B977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F2DC07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93C623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C91273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79AEC4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D685F8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6824924E">
      <w:pPr>
        <w:rPr>
          <w:rFonts w:hint="eastAsia"/>
          <w:lang w:eastAsia="zh-CN"/>
        </w:rPr>
      </w:pPr>
      <w:r>
        <w:rPr>
          <w:sz w:val="0"/>
          <w:szCs w:val="0"/>
          <w:lang w:eastAsia="zh-CN"/>
        </w:rPr>
        <w:br w:type="page"/>
      </w:r>
    </w:p>
    <w:p w14:paraId="5E0DAE4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4DE2A70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38C9D188">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我单位主要职能不予公开。</w:t>
      </w:r>
    </w:p>
    <w:p w14:paraId="01084F0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7758221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中共奇台县委员会网络安全和信息化委员会办公室无下属预算单位，下设科室相关信息按照保密要求，信息完全不予公开。中共奇台县委员会网络安全和信息化委员会办公室按照保密要求，编制数、实有人数信息完全不予公开</w:t>
      </w:r>
      <w:r>
        <w:rPr>
          <w:rFonts w:ascii="仿宋_GB2312" w:eastAsia="仿宋_GB2312"/>
          <w:sz w:val="32"/>
          <w:szCs w:val="32"/>
          <w:lang w:eastAsia="zh-CN"/>
        </w:rPr>
        <w:t>。</w:t>
      </w:r>
    </w:p>
    <w:p w14:paraId="0B2151DC">
      <w:pPr>
        <w:rPr>
          <w:rFonts w:hint="eastAsia"/>
          <w:lang w:eastAsia="zh-CN"/>
        </w:rPr>
      </w:pPr>
      <w:r>
        <w:rPr>
          <w:sz w:val="0"/>
          <w:szCs w:val="0"/>
          <w:lang w:eastAsia="zh-CN"/>
        </w:rPr>
        <w:br w:type="page"/>
      </w:r>
    </w:p>
    <w:p w14:paraId="184E15B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06A3576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435C1E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2024年度收入总计349.60万元，其中：本年收入合计349.60万元，使用非财政拨款结余（含专用结余）0.00万元，年初结转和结余0.00万元。</w:t>
      </w:r>
    </w:p>
    <w:p w14:paraId="401A1E4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2024年度支出总计349.60万元，其中：本年支出合计349.60万元，结余分配0.00万元，年末结转和结余0.00万元。</w:t>
      </w:r>
    </w:p>
    <w:p w14:paraId="4508FAB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收入支出总体与上年相比，增加31.52万元，增长9.91%，主要原因是：</w:t>
      </w:r>
      <w:r>
        <w:rPr>
          <w:rFonts w:hint="eastAsia" w:ascii="仿宋_GB2312" w:eastAsia="仿宋_GB2312"/>
          <w:sz w:val="32"/>
          <w:szCs w:val="32"/>
          <w:lang w:eastAsia="zh-CN"/>
        </w:rPr>
        <w:t>本年单位人员增加，增加人员工资、社保等经费；行业软件服务费、新媒体网络宣传专项资金增加</w:t>
      </w:r>
      <w:r>
        <w:rPr>
          <w:rFonts w:ascii="仿宋_GB2312" w:eastAsia="仿宋_GB2312"/>
          <w:sz w:val="32"/>
          <w:szCs w:val="32"/>
          <w:lang w:eastAsia="zh-CN"/>
        </w:rPr>
        <w:t>。</w:t>
      </w:r>
    </w:p>
    <w:p w14:paraId="04860AC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255944A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本年收入349.60万元，其中：财政拨款收入348.18万元,占99.59%；上级补助收入0.00万元,占0.00%；事业收入0.00万元，占0.00%；经营收入0.00万元,占0.00%；附属单位上缴收入0.00万元，占0.00%；其他收入1.42万元，占0.41%。</w:t>
      </w:r>
    </w:p>
    <w:p w14:paraId="6CAB568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0423DBD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本年支出349.60万元，其中：基本支出325.63万元，占93.14%；项目支出23.97万元，占6.86%；上缴上级支出0.00万元，占0.00%；经营支出0.00万元，占0.00%；对附属单位补助支出0.00万元，占0.00%。</w:t>
      </w:r>
    </w:p>
    <w:p w14:paraId="6EB60D7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592E7A5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2024年度财政拨款收入总计348.18万元，其中：年初财政拨款结转和结余0.00万元，本年财政拨款收入348.18万元。财政拨款支出总计348.18万元，其中：年末财政拨款结转和结余0.00万元，本年财政拨款支出348.18万元。</w:t>
      </w:r>
    </w:p>
    <w:p w14:paraId="671786B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财政拨款收入支出总体与上年相比，增加30.10万元，增长9.46%，主要原因是：</w:t>
      </w:r>
      <w:r>
        <w:rPr>
          <w:rFonts w:hint="eastAsia" w:ascii="仿宋_GB2312" w:eastAsia="仿宋_GB2312"/>
          <w:sz w:val="32"/>
          <w:szCs w:val="32"/>
          <w:lang w:eastAsia="zh-CN"/>
        </w:rPr>
        <w:t>本年单位人员增加，增加人员工资、社保等经费；行业软件服务费、新媒体网络宣传专项资金增加</w:t>
      </w:r>
      <w:r>
        <w:rPr>
          <w:rFonts w:ascii="仿宋_GB2312" w:eastAsia="仿宋_GB2312"/>
          <w:sz w:val="32"/>
          <w:szCs w:val="32"/>
          <w:lang w:eastAsia="zh-CN"/>
        </w:rPr>
        <w:t>。与年初预算相比，年初预算数338.14万元，决算数348.18万元，预决算差异率2.97%，主要原因是：</w:t>
      </w:r>
      <w:r>
        <w:rPr>
          <w:rFonts w:hint="eastAsia" w:ascii="仿宋_GB2312" w:eastAsia="仿宋_GB2312"/>
          <w:sz w:val="32"/>
          <w:szCs w:val="32"/>
          <w:lang w:eastAsia="zh-CN"/>
        </w:rPr>
        <w:t>年中追加人员工资、社保等经费；追加行业软件服务费、新媒体网络宣传专项资金增加</w:t>
      </w:r>
      <w:r>
        <w:rPr>
          <w:rFonts w:ascii="仿宋_GB2312" w:eastAsia="仿宋_GB2312"/>
          <w:sz w:val="32"/>
          <w:szCs w:val="32"/>
          <w:lang w:eastAsia="zh-CN"/>
        </w:rPr>
        <w:t>。</w:t>
      </w:r>
    </w:p>
    <w:p w14:paraId="0C97D5A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37ED145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1D32BDF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2024年度一般公共预算财政拨款支出348.18万元，占本年支出合计的99.59%。与上年相比，增加30.10万元，增长9.46%，主要原因是：</w:t>
      </w:r>
      <w:r>
        <w:rPr>
          <w:rFonts w:hint="eastAsia" w:ascii="仿宋_GB2312" w:eastAsia="仿宋_GB2312"/>
          <w:sz w:val="32"/>
          <w:szCs w:val="32"/>
          <w:lang w:eastAsia="zh-CN"/>
        </w:rPr>
        <w:t>本年单位人员增加，增加人员工资、社保等经费；行业软件服务费、新媒体网络宣传专项资金增</w:t>
      </w:r>
      <w:r>
        <w:rPr>
          <w:rFonts w:ascii="仿宋_GB2312" w:eastAsia="仿宋_GB2312"/>
          <w:sz w:val="32"/>
          <w:szCs w:val="32"/>
          <w:lang w:eastAsia="zh-CN"/>
        </w:rPr>
        <w:t>加。与年初预算相比，年初预算数338.14万元，决算数348.18万元，预决算差异率2.97%，主要原因是：</w:t>
      </w:r>
      <w:r>
        <w:rPr>
          <w:rFonts w:hint="eastAsia" w:ascii="仿宋_GB2312" w:eastAsia="仿宋_GB2312"/>
          <w:sz w:val="32"/>
          <w:szCs w:val="32"/>
          <w:lang w:eastAsia="zh-CN"/>
        </w:rPr>
        <w:t>年中追加人员工资、社保等经费；追加行业软件服务费、新媒体网络宣传专项资金增加</w:t>
      </w:r>
      <w:r>
        <w:rPr>
          <w:rFonts w:ascii="仿宋_GB2312" w:eastAsia="仿宋_GB2312"/>
          <w:sz w:val="32"/>
          <w:szCs w:val="32"/>
          <w:lang w:eastAsia="zh-CN"/>
        </w:rPr>
        <w:t>。</w:t>
      </w:r>
    </w:p>
    <w:p w14:paraId="3EAEEE4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57F7ADB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一般公共服务支出（类）276.48万元，占79.41%。</w:t>
      </w:r>
    </w:p>
    <w:p w14:paraId="53D0782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社会保障和就业支出（类）37.65万元，占10.81%。</w:t>
      </w:r>
    </w:p>
    <w:p w14:paraId="7F9F851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卫生健康支出（类）13.29万元，占3.82%。</w:t>
      </w:r>
    </w:p>
    <w:p w14:paraId="25C1409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住房保障支出（类）20.76万元，占5.96%。</w:t>
      </w:r>
    </w:p>
    <w:p w14:paraId="01D778C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4240822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1、一般公共服务支出（类）网信事务（款）行政运行（项）：支出决算数为253.93万元，比上年决算增加14.46万元，增长6.04%，主要原因是：</w:t>
      </w:r>
      <w:r>
        <w:rPr>
          <w:rFonts w:hint="eastAsia" w:ascii="仿宋_GB2312" w:eastAsia="仿宋_GB2312"/>
          <w:sz w:val="32"/>
          <w:szCs w:val="32"/>
          <w:lang w:eastAsia="zh-CN"/>
        </w:rPr>
        <w:t>单位人员薪资调增，增加人员工资、津贴等</w:t>
      </w:r>
      <w:r>
        <w:rPr>
          <w:rFonts w:ascii="仿宋_GB2312" w:eastAsia="仿宋_GB2312"/>
          <w:sz w:val="32"/>
          <w:szCs w:val="32"/>
          <w:lang w:eastAsia="zh-CN"/>
        </w:rPr>
        <w:t>。</w:t>
      </w:r>
    </w:p>
    <w:p w14:paraId="3FCD8CD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2、一般公共服务支出（类）网信事务（款）其他网信事务支出（项）：支出决算数为22.55万元，比上年决算增加5.92万元，增长35.60%，主要原因是：</w:t>
      </w:r>
      <w:r>
        <w:rPr>
          <w:rFonts w:hint="eastAsia" w:ascii="仿宋_GB2312" w:eastAsia="仿宋_GB2312"/>
          <w:sz w:val="32"/>
          <w:szCs w:val="32"/>
          <w:lang w:eastAsia="zh-CN"/>
        </w:rPr>
        <w:t>增加新媒体网络宣传专项资金</w:t>
      </w:r>
      <w:r>
        <w:rPr>
          <w:rFonts w:ascii="仿宋_GB2312" w:eastAsia="仿宋_GB2312"/>
          <w:sz w:val="32"/>
          <w:szCs w:val="32"/>
          <w:lang w:eastAsia="zh-CN"/>
        </w:rPr>
        <w:t>。</w:t>
      </w:r>
    </w:p>
    <w:p w14:paraId="4BA155A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3、社会保障和就业支出（类）行政事业单位养老支出（款）机关事业单位基本养老保险缴费支出（项）：支出决算数为25.10万元，比上年决算减少1.69万元，下降6.31%，主要原因是：</w:t>
      </w:r>
      <w:r>
        <w:rPr>
          <w:rFonts w:hint="eastAsia" w:ascii="仿宋_GB2312" w:eastAsia="仿宋_GB2312"/>
          <w:sz w:val="32"/>
          <w:szCs w:val="32"/>
          <w:lang w:eastAsia="zh-CN"/>
        </w:rPr>
        <w:t>新进人员职级低，缴费基数降低，养老保险缴费减少</w:t>
      </w:r>
      <w:r>
        <w:rPr>
          <w:rFonts w:ascii="仿宋_GB2312" w:eastAsia="仿宋_GB2312"/>
          <w:sz w:val="32"/>
          <w:szCs w:val="32"/>
          <w:lang w:eastAsia="zh-CN"/>
        </w:rPr>
        <w:t>。</w:t>
      </w:r>
    </w:p>
    <w:p w14:paraId="075F7B9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12.55万元，比上年决算增加12.55万元，增长100.00%，主要原因是：2023年职业年金单位部分未做实缴纳，2024年列入预算并缴纳</w:t>
      </w:r>
      <w:r>
        <w:rPr>
          <w:rFonts w:hint="eastAsia" w:ascii="仿宋_GB2312" w:eastAsia="仿宋_GB2312"/>
          <w:sz w:val="32"/>
          <w:szCs w:val="32"/>
          <w:lang w:eastAsia="zh-CN"/>
        </w:rPr>
        <w:t>一次性职业年金，导致此经费增加</w:t>
      </w:r>
      <w:r>
        <w:rPr>
          <w:rFonts w:ascii="仿宋_GB2312" w:eastAsia="仿宋_GB2312"/>
          <w:sz w:val="32"/>
          <w:szCs w:val="32"/>
          <w:lang w:eastAsia="zh-CN"/>
        </w:rPr>
        <w:t>。</w:t>
      </w:r>
    </w:p>
    <w:p w14:paraId="7515828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卫生健康支出（类）行政事业单位医疗（款）行政单位医疗（项）：支出决算数为2.11万元，比上年决算减少11.27万元，下降84.23%，主要原因是：2023年度未将事业医疗和行政医疗区分开，本年度将行政基本医疗和事业基本医疗分开</w:t>
      </w:r>
      <w:r>
        <w:rPr>
          <w:rFonts w:hint="eastAsia" w:ascii="仿宋_GB2312" w:eastAsia="仿宋_GB2312"/>
          <w:sz w:val="32"/>
          <w:szCs w:val="32"/>
          <w:lang w:eastAsia="zh-CN"/>
        </w:rPr>
        <w:t>列支</w:t>
      </w:r>
      <w:r>
        <w:rPr>
          <w:rFonts w:ascii="仿宋_GB2312" w:eastAsia="仿宋_GB2312"/>
          <w:sz w:val="32"/>
          <w:szCs w:val="32"/>
          <w:lang w:eastAsia="zh-CN"/>
        </w:rPr>
        <w:t>，</w:t>
      </w:r>
      <w:r>
        <w:rPr>
          <w:rFonts w:hint="eastAsia" w:ascii="仿宋_GB2312" w:eastAsia="仿宋_GB2312"/>
          <w:sz w:val="32"/>
          <w:szCs w:val="32"/>
          <w:lang w:eastAsia="zh-CN"/>
        </w:rPr>
        <w:t>因此</w:t>
      </w:r>
      <w:r>
        <w:rPr>
          <w:rFonts w:ascii="仿宋_GB2312" w:eastAsia="仿宋_GB2312"/>
          <w:sz w:val="32"/>
          <w:szCs w:val="32"/>
          <w:lang w:eastAsia="zh-CN"/>
        </w:rPr>
        <w:t>本年度</w:t>
      </w:r>
      <w:r>
        <w:rPr>
          <w:rFonts w:hint="eastAsia" w:ascii="仿宋_GB2312" w:eastAsia="仿宋_GB2312"/>
          <w:sz w:val="32"/>
          <w:szCs w:val="32"/>
          <w:lang w:eastAsia="zh-CN"/>
        </w:rPr>
        <w:t>行政</w:t>
      </w:r>
      <w:r>
        <w:rPr>
          <w:rFonts w:ascii="仿宋_GB2312" w:eastAsia="仿宋_GB2312"/>
          <w:sz w:val="32"/>
          <w:szCs w:val="32"/>
          <w:lang w:eastAsia="zh-CN"/>
        </w:rPr>
        <w:t>基本医疗下降。</w:t>
      </w:r>
    </w:p>
    <w:p w14:paraId="553E89F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卫生健康支出（类）行政事业单位医疗（款）事业单位医疗（项）：支出决算数为10.44万元，比上年决算增加10.44万元，增长100.00%，主要原因是：2023年度未将事业医疗和行政医疗区分开，本年度将行政基本医疗和事业基本医疗分开</w:t>
      </w:r>
      <w:r>
        <w:rPr>
          <w:rFonts w:hint="eastAsia" w:ascii="仿宋_GB2312" w:eastAsia="仿宋_GB2312"/>
          <w:sz w:val="32"/>
          <w:szCs w:val="32"/>
          <w:lang w:eastAsia="zh-CN"/>
        </w:rPr>
        <w:t>因此</w:t>
      </w:r>
      <w:r>
        <w:rPr>
          <w:rFonts w:ascii="仿宋_GB2312" w:eastAsia="仿宋_GB2312"/>
          <w:sz w:val="32"/>
          <w:szCs w:val="32"/>
          <w:lang w:eastAsia="zh-CN"/>
        </w:rPr>
        <w:t>，</w:t>
      </w:r>
      <w:r>
        <w:rPr>
          <w:rFonts w:hint="eastAsia" w:ascii="仿宋_GB2312" w:eastAsia="仿宋_GB2312"/>
          <w:sz w:val="32"/>
          <w:szCs w:val="32"/>
          <w:lang w:eastAsia="zh-CN"/>
        </w:rPr>
        <w:t>因此</w:t>
      </w:r>
      <w:r>
        <w:rPr>
          <w:rFonts w:ascii="仿宋_GB2312" w:eastAsia="仿宋_GB2312"/>
          <w:sz w:val="32"/>
          <w:szCs w:val="32"/>
          <w:lang w:eastAsia="zh-CN"/>
        </w:rPr>
        <w:t>本年度</w:t>
      </w:r>
      <w:r>
        <w:rPr>
          <w:rFonts w:hint="eastAsia" w:ascii="仿宋_GB2312" w:eastAsia="仿宋_GB2312"/>
          <w:sz w:val="32"/>
          <w:szCs w:val="32"/>
          <w:lang w:eastAsia="zh-CN"/>
        </w:rPr>
        <w:t>事业</w:t>
      </w:r>
      <w:r>
        <w:rPr>
          <w:rFonts w:ascii="仿宋_GB2312" w:eastAsia="仿宋_GB2312"/>
          <w:sz w:val="32"/>
          <w:szCs w:val="32"/>
          <w:lang w:eastAsia="zh-CN"/>
        </w:rPr>
        <w:t>基本医疗增加。</w:t>
      </w:r>
    </w:p>
    <w:p w14:paraId="5B3F45F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7、卫生健康支出（类）行政事业单位医疗（款）公务员医疗补助（项）：支出决算数为0.63万元，比上年决算减少0.07万元，下降10.00%，主要原因是：</w:t>
      </w:r>
      <w:r>
        <w:rPr>
          <w:rFonts w:hint="eastAsia" w:ascii="仿宋_GB2312" w:eastAsia="仿宋_GB2312"/>
          <w:sz w:val="32"/>
          <w:szCs w:val="32"/>
          <w:lang w:eastAsia="zh-CN"/>
        </w:rPr>
        <w:t>本年公务员减少，减少公务员医疗补助缴费减少</w:t>
      </w:r>
      <w:r>
        <w:rPr>
          <w:rFonts w:ascii="仿宋_GB2312" w:eastAsia="仿宋_GB2312"/>
          <w:sz w:val="32"/>
          <w:szCs w:val="32"/>
          <w:lang w:eastAsia="zh-CN"/>
        </w:rPr>
        <w:t>。</w:t>
      </w:r>
    </w:p>
    <w:p w14:paraId="256BAC8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8、卫生健康支出（类）行政事业单位医疗（款）其他行政事业单位医疗支出（项）：支出决算数为0.11万元，比上年决算减少0.02万元，下降15.38%，主要原因是：</w:t>
      </w:r>
      <w:r>
        <w:rPr>
          <w:rFonts w:hint="eastAsia" w:ascii="仿宋_GB2312" w:eastAsia="仿宋_GB2312"/>
          <w:sz w:val="32"/>
          <w:szCs w:val="32"/>
          <w:lang w:eastAsia="zh-CN"/>
        </w:rPr>
        <w:t>新进人员职级低，大额医疗缴费减少</w:t>
      </w:r>
      <w:r>
        <w:rPr>
          <w:rFonts w:ascii="仿宋_GB2312" w:eastAsia="仿宋_GB2312"/>
          <w:sz w:val="32"/>
          <w:szCs w:val="32"/>
          <w:lang w:eastAsia="zh-CN"/>
        </w:rPr>
        <w:t>。</w:t>
      </w:r>
    </w:p>
    <w:p w14:paraId="2EC7BAA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9、住房保障支出（类）住房改革支出（款）住房公积金（项）：支出决算数为20.76万元，比上年决算减少0.24万元，下降1.14%，主要原因是：</w:t>
      </w:r>
      <w:r>
        <w:rPr>
          <w:rFonts w:hint="eastAsia" w:ascii="仿宋_GB2312" w:eastAsia="仿宋_GB2312"/>
          <w:sz w:val="32"/>
          <w:szCs w:val="32"/>
          <w:lang w:eastAsia="zh-CN"/>
        </w:rPr>
        <w:t>新进人员职级低，公积金缴费基数降低，公积金缴费减少</w:t>
      </w:r>
      <w:r>
        <w:rPr>
          <w:rFonts w:ascii="仿宋_GB2312" w:eastAsia="仿宋_GB2312"/>
          <w:sz w:val="32"/>
          <w:szCs w:val="32"/>
          <w:lang w:eastAsia="zh-CN"/>
        </w:rPr>
        <w:t>。</w:t>
      </w:r>
    </w:p>
    <w:p w14:paraId="3F503DD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0460F1D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325.63万元，其中：人员经费311.80万元，包括：基本工资、津贴补贴、奖金、绩效工资、机关事业单位基本养老保险缴费、职业年金缴费、职工基本医疗保险缴费、公务员医疗补助缴费、其他社会保障缴费、住房公积金和其他工资福利支出。</w:t>
      </w:r>
    </w:p>
    <w:p w14:paraId="1629A5D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公用经费13.83万元，包括：办公费、印刷费、水费、邮电费、差旅费、维修（护）费、培训费、工会经费和公务用车运行维护费。</w:t>
      </w:r>
    </w:p>
    <w:p w14:paraId="56CAC99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CA4AC6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477B42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F462A5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1D3D32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6576C4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2024年度财政拨款“三公”经费支出0.30万元，比上年减少0.01万元，下降3.23%，主要原因是：</w:t>
      </w:r>
      <w:r>
        <w:rPr>
          <w:rFonts w:hint="eastAsia" w:ascii="仿宋_GB2312" w:eastAsia="仿宋_GB2312"/>
          <w:sz w:val="32"/>
          <w:szCs w:val="32"/>
          <w:lang w:eastAsia="zh-CN"/>
        </w:rPr>
        <w:t>车辆出行次数减少，减少车辆维修维护费、燃油费等</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本年与上年度均无此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；公务用车购置及运行维护费支出0.30万元，占100.00%，比上年减少0.01万元，下降3.23%，主要原因是：</w:t>
      </w:r>
      <w:r>
        <w:rPr>
          <w:rFonts w:hint="eastAsia" w:ascii="仿宋_GB2312" w:eastAsia="仿宋_GB2312"/>
          <w:sz w:val="32"/>
          <w:szCs w:val="32"/>
          <w:lang w:eastAsia="zh-CN"/>
        </w:rPr>
        <w:t>车辆出行次数减少，减少车辆维修维护费、燃油费等</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本年与上年度均无此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w:t>
      </w:r>
    </w:p>
    <w:p w14:paraId="22E2EBF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76823CD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我单位无此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。单位全年安排的因公出国（境）团组0个，因公出国（境）0人次。</w:t>
      </w:r>
    </w:p>
    <w:p w14:paraId="7D64D81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公务用车购置及运行维护费0.30万元，其中：公务用车购置费0.00万元，公务用车运行维护费0.30万元。公务用车运行维护费开支内容包括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20C328C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val="en-US" w:eastAsia="zh-CN"/>
        </w:rPr>
        <w:t>我单位无</w:t>
      </w:r>
      <w:r>
        <w:rPr>
          <w:rFonts w:ascii="仿宋_GB2312" w:eastAsia="仿宋_GB2312"/>
          <w:sz w:val="32"/>
          <w:szCs w:val="32"/>
          <w:lang w:eastAsia="zh-CN"/>
        </w:rPr>
        <w:t>公务接待费。单位全年安排的国内公务接待0批次，0人次。</w:t>
      </w:r>
    </w:p>
    <w:p w14:paraId="79FF165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与全年预算相比，财政拨款“三公”经费支出全年预算数0.30万元，决算数0.30万元，预决算差异率0.00%，主要原因是：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；公务用车运行维护费全年预算数0.30万元，决算数0.30万元，预决算差异率0.00%，主要原因是：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w:t>
      </w:r>
    </w:p>
    <w:p w14:paraId="4A097B4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8CAFA9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4DFBEAE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2024年度中共奇台县委员会网络安全和信息化委员会办公室单位（行政单位和参照公务员法管理事业单位）机关运行经费支出13.83万元，比上年增加6.63万元，增长92.08%，主要原因是：</w:t>
      </w:r>
      <w:r>
        <w:rPr>
          <w:rFonts w:hint="eastAsia" w:ascii="仿宋_GB2312" w:eastAsia="仿宋_GB2312"/>
          <w:sz w:val="32"/>
          <w:szCs w:val="32"/>
          <w:lang w:eastAsia="zh-CN"/>
        </w:rPr>
        <w:t>本年</w:t>
      </w:r>
      <w:r>
        <w:rPr>
          <w:rFonts w:ascii="仿宋_GB2312" w:eastAsia="仿宋_GB2312"/>
          <w:sz w:val="32"/>
          <w:szCs w:val="32"/>
          <w:lang w:eastAsia="zh-CN"/>
        </w:rPr>
        <w:t>办公费、维修（护）费、培训费</w:t>
      </w:r>
      <w:r>
        <w:rPr>
          <w:rFonts w:hint="eastAsia" w:ascii="仿宋_GB2312" w:eastAsia="仿宋_GB2312"/>
          <w:sz w:val="32"/>
          <w:szCs w:val="32"/>
          <w:lang w:eastAsia="zh-CN"/>
        </w:rPr>
        <w:t>等增加</w:t>
      </w:r>
      <w:r>
        <w:rPr>
          <w:rFonts w:ascii="仿宋_GB2312" w:eastAsia="仿宋_GB2312"/>
          <w:sz w:val="32"/>
          <w:szCs w:val="32"/>
          <w:lang w:eastAsia="zh-CN"/>
        </w:rPr>
        <w:t>。</w:t>
      </w:r>
    </w:p>
    <w:p w14:paraId="546FE31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6368635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2024年度政府采购支出总额22.04万元，其中：政府采购货物支出21.39万元、政府采购工程支出0.30万元、政府采购服务支出0.35万元。</w:t>
      </w:r>
    </w:p>
    <w:p w14:paraId="36B6F27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授予中小企业合同金额21.68万元，占政府采购支出总额的98.37%，其中：授予小微企业合同金额21.68万元，占政府采购支出总额的98.37%。</w:t>
      </w:r>
    </w:p>
    <w:p w14:paraId="2380A97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19F29CE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8.83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用车;单价100万元（含）以上设备（不含车辆）0台（套）。</w:t>
      </w:r>
    </w:p>
    <w:p w14:paraId="0B799C1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5364E55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348.18万元，实际执行总额348.18万元；预算绩效评价项目2个，全年预算数23.97万元，全年执行数23.97万元。预算绩效管理取得的成效：我单位预算绩效管理的整体绩效和项目绩效不予公开。发现的问题及原因：我单位预算绩效管理的整体绩效和项目绩效不予公开。下一步改进措施：我单位预算绩效管理的整体绩效和项目绩效不予公开。</w:t>
      </w:r>
    </w:p>
    <w:p w14:paraId="60BFC23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378A1F2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本单位当年预算绩效评价项目有2个涉密项目，涉及全年预算数</w:t>
      </w:r>
      <w:r>
        <w:rPr>
          <w:rFonts w:ascii="仿宋_GB2312" w:eastAsia="仿宋_GB2312"/>
          <w:sz w:val="32"/>
          <w:szCs w:val="32"/>
          <w:lang w:eastAsia="zh-CN"/>
        </w:rPr>
        <w:t>23.97</w:t>
      </w:r>
      <w:r>
        <w:rPr>
          <w:rFonts w:hint="eastAsia" w:ascii="仿宋_GB2312" w:eastAsia="仿宋_GB2312"/>
          <w:sz w:val="32"/>
          <w:szCs w:val="32"/>
          <w:lang w:eastAsia="zh-CN"/>
        </w:rPr>
        <w:t>万元，全年执行数</w:t>
      </w:r>
      <w:r>
        <w:rPr>
          <w:rFonts w:ascii="仿宋_GB2312" w:eastAsia="仿宋_GB2312"/>
          <w:sz w:val="32"/>
          <w:szCs w:val="32"/>
          <w:lang w:eastAsia="zh-CN"/>
        </w:rPr>
        <w:t>23.97</w:t>
      </w:r>
      <w:r>
        <w:rPr>
          <w:rFonts w:hint="eastAsia" w:ascii="仿宋_GB2312" w:eastAsia="仿宋_GB2312"/>
          <w:sz w:val="32"/>
          <w:szCs w:val="32"/>
          <w:lang w:eastAsia="zh-CN"/>
        </w:rPr>
        <w:t>万元，未公开绩效自评表原因：涉密项目不公开项目绩效自评表</w:t>
      </w:r>
      <w:r>
        <w:rPr>
          <w:rFonts w:ascii="仿宋_GB2312" w:eastAsia="仿宋_GB2312"/>
          <w:sz w:val="32"/>
          <w:szCs w:val="32"/>
          <w:lang w:eastAsia="zh-CN"/>
        </w:rPr>
        <w:t>。</w:t>
      </w:r>
      <w:bookmarkStart w:id="0" w:name="_GoBack"/>
      <w:bookmarkEnd w:id="0"/>
    </w:p>
    <w:p w14:paraId="48DAFCD4">
      <w:pPr>
        <w:spacing w:after="0" w:line="240" w:lineRule="auto"/>
        <w:ind w:firstLine="640" w:firstLineChars="200"/>
        <w:rPr>
          <w:rFonts w:hint="eastAsia" w:ascii="仿宋_GB2312" w:eastAsia="仿宋_GB2312"/>
          <w:sz w:val="32"/>
          <w:szCs w:val="32"/>
          <w:lang w:eastAsia="zh-CN"/>
        </w:rPr>
      </w:pPr>
    </w:p>
    <w:p w14:paraId="1422380C">
      <w:pPr>
        <w:rPr>
          <w:rFonts w:hint="eastAsia"/>
          <w:lang w:eastAsia="zh-CN"/>
        </w:rPr>
      </w:pPr>
      <w:r>
        <w:rPr>
          <w:sz w:val="0"/>
          <w:szCs w:val="0"/>
          <w:lang w:eastAsia="zh-CN"/>
        </w:rPr>
        <w:br w:type="page"/>
      </w:r>
    </w:p>
    <w:p w14:paraId="7FCCCE7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6F19AE9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74B4DA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EEE596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8E7BF0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D98FCE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12B506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5B896D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57FE05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CE5DD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8F210A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97524C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E104E1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290AED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90F3F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AECB7A7">
      <w:pPr>
        <w:rPr>
          <w:rFonts w:hint="eastAsia"/>
          <w:lang w:eastAsia="zh-CN"/>
        </w:rPr>
      </w:pPr>
      <w:r>
        <w:rPr>
          <w:sz w:val="0"/>
          <w:szCs w:val="0"/>
          <w:lang w:eastAsia="zh-CN"/>
        </w:rPr>
        <w:br w:type="page"/>
      </w:r>
    </w:p>
    <w:p w14:paraId="664E68D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691904F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FDFE05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AAEC31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2D8061C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13460F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177E03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EE219B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3024D7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A63887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943DF1"/>
    <w:rsid w:val="000D6CF1"/>
    <w:rsid w:val="0013067E"/>
    <w:rsid w:val="001B6208"/>
    <w:rsid w:val="001D165F"/>
    <w:rsid w:val="001F0A34"/>
    <w:rsid w:val="006109CD"/>
    <w:rsid w:val="00753F97"/>
    <w:rsid w:val="008523FB"/>
    <w:rsid w:val="00943DF1"/>
    <w:rsid w:val="009A1723"/>
    <w:rsid w:val="00A73101"/>
    <w:rsid w:val="00CF709E"/>
    <w:rsid w:val="00E93623"/>
    <w:rsid w:val="232F437E"/>
    <w:rsid w:val="3AE10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5344</Words>
  <Characters>5953</Characters>
  <Lines>199</Lines>
  <Paragraphs>164</Paragraphs>
  <TotalTime>3</TotalTime>
  <ScaleCrop>false</ScaleCrop>
  <LinksUpToDate>false</LinksUpToDate>
  <CharactersWithSpaces>5963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2025-09-17T08:23:00Z</dcterms:created>
  <dc:creator>ldan</dc:creator>
  <cp:lastModifiedBy>W.w</cp:lastModifiedBy>
  <dcterms:modified xsi:type="dcterms:W3CDTF">2025-09-23T04:53:45Z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9A8C7ACF28A64039B01E447C8FCC8C3A_12</vt:lpwstr>
  </property>
</Properties>
</file>