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BC98D8">
      <w:pPr>
        <w:spacing w:after="0" w:line="240" w:lineRule="auto"/>
        <w:rPr>
          <w:rFonts w:hint="eastAsia" w:ascii="宋体" w:eastAsia="宋体"/>
          <w:sz w:val="32"/>
          <w:szCs w:val="32"/>
        </w:rPr>
      </w:pPr>
    </w:p>
    <w:p w14:paraId="77409B77">
      <w:pPr>
        <w:spacing w:after="0" w:line="240" w:lineRule="auto"/>
        <w:rPr>
          <w:rFonts w:hint="eastAsia" w:ascii="宋体" w:eastAsia="宋体"/>
          <w:sz w:val="44"/>
          <w:szCs w:val="44"/>
        </w:rPr>
      </w:pPr>
    </w:p>
    <w:p w14:paraId="04990DF5">
      <w:pPr>
        <w:spacing w:after="0" w:line="240" w:lineRule="auto"/>
        <w:rPr>
          <w:rFonts w:hint="eastAsia" w:ascii="宋体" w:eastAsia="宋体"/>
          <w:sz w:val="44"/>
          <w:szCs w:val="44"/>
        </w:rPr>
      </w:pPr>
    </w:p>
    <w:p w14:paraId="7EB92EDE">
      <w:pPr>
        <w:spacing w:after="0" w:line="240" w:lineRule="auto"/>
        <w:rPr>
          <w:rFonts w:hint="eastAsia" w:ascii="宋体" w:eastAsia="宋体"/>
          <w:sz w:val="44"/>
          <w:szCs w:val="44"/>
        </w:rPr>
      </w:pPr>
    </w:p>
    <w:p w14:paraId="2147E3B3">
      <w:pPr>
        <w:spacing w:after="0" w:line="240" w:lineRule="auto"/>
        <w:jc w:val="center"/>
        <w:outlineLvl w:val="0"/>
        <w:rPr>
          <w:rFonts w:hint="eastAsia" w:ascii="宋体" w:eastAsia="黑体"/>
          <w:sz w:val="44"/>
          <w:szCs w:val="44"/>
          <w:lang w:eastAsia="zh-CN"/>
        </w:rPr>
      </w:pPr>
      <w:r>
        <w:rPr>
          <w:rFonts w:ascii="宋体" w:eastAsia="黑体"/>
          <w:sz w:val="44"/>
          <w:szCs w:val="44"/>
          <w:lang w:eastAsia="zh-CN"/>
        </w:rPr>
        <w:t>中共奇台县委员会机构编制委员会办公室</w:t>
      </w:r>
    </w:p>
    <w:p w14:paraId="5DF716FA">
      <w:pPr>
        <w:spacing w:after="0" w:line="240" w:lineRule="auto"/>
        <w:jc w:val="center"/>
        <w:outlineLvl w:val="0"/>
        <w:rPr>
          <w:rFonts w:hint="eastAsia" w:ascii="黑体" w:eastAsia="黑体"/>
          <w:sz w:val="44"/>
          <w:szCs w:val="44"/>
        </w:rPr>
      </w:pPr>
      <w:r>
        <w:rPr>
          <w:rFonts w:ascii="黑体" w:eastAsia="黑体"/>
          <w:sz w:val="44"/>
          <w:szCs w:val="44"/>
        </w:rPr>
        <w:t>2024年度部门决算公开说明</w:t>
      </w:r>
    </w:p>
    <w:p w14:paraId="6B396390">
      <w:pPr>
        <w:rPr>
          <w:rFonts w:hint="eastAsia"/>
        </w:rPr>
      </w:pPr>
      <w:r>
        <w:rPr>
          <w:sz w:val="0"/>
          <w:szCs w:val="0"/>
        </w:rPr>
        <w:br w:type="page"/>
      </w:r>
    </w:p>
    <w:p w14:paraId="13AD76FD">
      <w:pPr>
        <w:spacing w:after="0" w:line="240" w:lineRule="auto"/>
        <w:jc w:val="center"/>
        <w:rPr>
          <w:rFonts w:hint="eastAsia" w:ascii="黑体" w:eastAsia="黑体"/>
          <w:sz w:val="32"/>
          <w:szCs w:val="32"/>
          <w:lang w:eastAsia="zh-CN"/>
        </w:rPr>
      </w:pPr>
      <w:r>
        <w:rPr>
          <w:rFonts w:ascii="黑体" w:eastAsia="黑体"/>
          <w:b/>
          <w:sz w:val="32"/>
          <w:szCs w:val="32"/>
          <w:lang w:eastAsia="zh-CN"/>
        </w:rPr>
        <w:t>目  录</w:t>
      </w:r>
    </w:p>
    <w:p w14:paraId="00BA7C24">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0D391559">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61F4A783">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01CB2A11">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6A198552">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701C8F01">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12A6FFA5">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2BAA0E2C">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35EE6E6C">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170F072B">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3692BF9C">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36CD85FC">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0599E4E0">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7BEE0E0F">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769E477D">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312971EF">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九、财政拨款“三公”经费支出决算情况说明</w:t>
      </w:r>
    </w:p>
    <w:p w14:paraId="1E04AA7A">
      <w:pPr>
        <w:spacing w:after="0" w:line="240" w:lineRule="auto"/>
        <w:rPr>
          <w:rFonts w:ascii="仿宋_GB2312" w:eastAsia="仿宋_GB2312"/>
          <w:sz w:val="32"/>
          <w:szCs w:val="32"/>
          <w:lang w:eastAsia="zh-CN"/>
        </w:rPr>
      </w:pPr>
      <w:r>
        <w:rPr>
          <w:rFonts w:ascii="仿宋_GB2312" w:eastAsia="仿宋_GB2312"/>
          <w:sz w:val="32"/>
          <w:szCs w:val="32"/>
          <w:lang w:eastAsia="zh-CN"/>
        </w:rPr>
        <w:t>​十、其他重要事项的情况说明</w:t>
      </w:r>
    </w:p>
    <w:p w14:paraId="340CDD31">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6C8E7697">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30687E3C">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33BF958B">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57D8D5DA">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3490FCAA">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3939D1E3">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7A35B9EB">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7A2A5F02">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468BCCA2">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7C3634E5">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4698316C">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57ACDC5E">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1D8EDDB7">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0CDC679C">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7E7F93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九、《财政拨款“三公”经费支出决算表》</w:t>
      </w:r>
    </w:p>
    <w:p w14:paraId="7F376434">
      <w:pPr>
        <w:rPr>
          <w:rFonts w:hint="eastAsia"/>
          <w:lang w:eastAsia="zh-CN"/>
        </w:rPr>
      </w:pPr>
      <w:r>
        <w:rPr>
          <w:sz w:val="0"/>
          <w:szCs w:val="0"/>
          <w:lang w:eastAsia="zh-CN"/>
        </w:rPr>
        <w:br w:type="page"/>
      </w:r>
    </w:p>
    <w:p w14:paraId="0B0C0CD0">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第一部分 单位概况</w:t>
      </w:r>
    </w:p>
    <w:p w14:paraId="68544D05">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 一、主要职能</w:t>
      </w:r>
    </w:p>
    <w:p w14:paraId="051BA145">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中共奇台县委员会机构编制委员会办公室贯彻落实党中央关于机构编制工作的方针政策和决策部署，在履行职责过程中坚持和加强党对机构编制工作的集中统一领导。主要职责是:贯彻执行党和国家及自治区、州关于行政管理体制改革、机构改革、事业单位分类改革和机构编制管理的方针、政策和法律、法规、规章、制度，研究全县行政管理体制改革、机构改革、事业单位分类改革和机构编制管理有关问题，提出意见和建议。研究拟订县、乡镇（街道）机构改革方案、事业单位改革方案并组织实施。审核县党政机构、人大和政协机关、法院和检察院机关、人民团体和群众团体机关、开发区（园区）管理机构以及县党委、政府直属事业单位“三定”规定，负责各部门“三定”规定的具体解释工作；审核各部门所属事业单位机构改革方案。统一管理县党政机构、人大和政协机关、法院和检察院机关、人民团体和群众团体机关、开发区（园区）管理机构、各类事业单位及乡镇内设机构、事业站所职能职责配置、机构设置、人员编制和领导职数核定工作。审核并提出各部门、各单位职能配置和职责调整意见，协调各部门之间以及各部门与乡镇之间的职责分工；审核并提出各部门、各单位机构设置、人员编制和领导职数调整意见；审核并提出有关人民团体和群众团体机关以及事业单位的机构设置意见。监督检查县党政机构改革方案和事业单位改革方案执行情况；监督检查各乡镇（街道）、各部门各单位贯彻执行机构编制法律法规和有关机构编制政策、规定情况以及“三定”规定执行情况；监督检查各级各类事业单位机构编制事项的执行情况；受理违反机构编制法规、纪律的检举和投诉，进行调查核实并提出处理意见。负责事业单位登记管理工作。依法对全县及授权登记的事业单位进行法人登记，组织实施年度报告公开工作，管</w:t>
      </w:r>
      <w:r>
        <w:rPr>
          <w:rFonts w:hint="eastAsia" w:ascii="仿宋_GB2312" w:eastAsia="仿宋_GB2312"/>
          <w:sz w:val="32"/>
          <w:szCs w:val="32"/>
          <w:lang w:eastAsia="zh-CN"/>
        </w:rPr>
        <w:t>理和</w:t>
      </w:r>
      <w:r>
        <w:rPr>
          <w:rFonts w:ascii="仿宋_GB2312" w:eastAsia="仿宋_GB2312"/>
          <w:sz w:val="32"/>
          <w:szCs w:val="32"/>
          <w:lang w:eastAsia="zh-CN"/>
        </w:rPr>
        <w:t>维护网上登记管理信息系统，依法保护事业单位有关登记事项的合法权益，依法处理违反《事业单位登记管理暂行条例》和《事业单位登记管理暂行条例实施细则》的行为。负责奇台县党政机构、人大和政协机关、法院和检察院机关以及纳入机构编制管理的人民团体、群众团体机关统一社会信用代码赋码发证工作。负责机构编制统计工作。负责奇台县各级各类机构编制统计、汇总、分析和上报工作，负责奇台县机构编制实名制管理工作。完成县党委和县党委机构编制委员会交办的其他任务。</w:t>
      </w:r>
    </w:p>
    <w:p w14:paraId="10068F7D">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二、机构设置及人员情况</w:t>
      </w:r>
    </w:p>
    <w:p w14:paraId="66BB6375">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中共奇台县委员会机构编制委员会办公室2024年度，实有人数17人，其中：在职人员14人，较上年无变化；离休人员0人，较上年无变化；退休人员3人，较上年无变化</w:t>
      </w:r>
      <w:r>
        <w:rPr>
          <w:rFonts w:hint="eastAsia" w:ascii="仿宋_GB2312" w:eastAsia="仿宋_GB2312"/>
          <w:sz w:val="32"/>
          <w:szCs w:val="32"/>
          <w:lang w:eastAsia="zh-CN"/>
        </w:rPr>
        <w:t>。</w:t>
      </w:r>
    </w:p>
    <w:p w14:paraId="3DE3706C">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中共奇台县委员会机构编制委员会办公室无下属预算单位，下设2个科室，分别是：综合科、实名制科。</w:t>
      </w:r>
    </w:p>
    <w:p w14:paraId="595CAECF">
      <w:pPr>
        <w:rPr>
          <w:rFonts w:hint="eastAsia"/>
          <w:lang w:eastAsia="zh-CN"/>
        </w:rPr>
      </w:pPr>
      <w:r>
        <w:rPr>
          <w:sz w:val="0"/>
          <w:szCs w:val="0"/>
          <w:lang w:eastAsia="zh-CN"/>
        </w:rPr>
        <w:br w:type="page"/>
      </w:r>
    </w:p>
    <w:p w14:paraId="53AB114A">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第二部分 部门决算情况说明</w:t>
      </w:r>
    </w:p>
    <w:p w14:paraId="64C338C5">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一、收入支出决算总体情况说明</w:t>
      </w:r>
    </w:p>
    <w:p w14:paraId="3065C532">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2024年度收入总计243.74万元，其中：本年收入合计243.74万元，使用非财政拨款结余（含专用结余）0.00万元，年初结转和结余0.00万元。</w:t>
      </w:r>
    </w:p>
    <w:p w14:paraId="4B4ACAA8">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2024年度支出总计243.74万元，其中：本年支出合计243.74万元，结余分配0.00万元，年末结转和结余0.00万元。</w:t>
      </w:r>
    </w:p>
    <w:p w14:paraId="0F4D716A">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收入支出总体与上年相比，增加25.53万元，增长11.70%，主要原因是：</w:t>
      </w:r>
      <w:r>
        <w:rPr>
          <w:rFonts w:hint="eastAsia" w:ascii="仿宋_GB2312" w:eastAsia="仿宋_GB2312"/>
          <w:sz w:val="32"/>
          <w:szCs w:val="32"/>
          <w:lang w:eastAsia="zh-CN"/>
        </w:rPr>
        <w:t>本年人员薪资调增，增加人员工资、津贴、社保等</w:t>
      </w:r>
      <w:r>
        <w:rPr>
          <w:rFonts w:ascii="仿宋_GB2312" w:eastAsia="仿宋_GB2312"/>
          <w:sz w:val="32"/>
          <w:szCs w:val="32"/>
          <w:lang w:eastAsia="zh-CN"/>
        </w:rPr>
        <w:t>。</w:t>
      </w:r>
    </w:p>
    <w:p w14:paraId="2904B5F1">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二、收入决算情况说明</w:t>
      </w:r>
    </w:p>
    <w:p w14:paraId="34C4AE80">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本年收入243.74万元，其中：财政拨款收入243.74万元,占100.00%；上级补助收入0.00万元,占0.00%；事业收入0.00万元，占0.00%；经营收入0.00万元,占0.00%；附属单位上缴收入0.00万元，占0.00%；其他收入0.00万元，占0.00%。</w:t>
      </w:r>
    </w:p>
    <w:p w14:paraId="78673711">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三、支出决算情况说明</w:t>
      </w:r>
    </w:p>
    <w:p w14:paraId="2AB88DD3">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本年支出243.74万元，其中：基本支出243.74万元，占100.00%；项目支出0.00万元，占0.00%；上缴上级支出0.00万元，占0.00%；经营支出0.00万元，占0.00%；对附属单位补助支出0.00万元，占0.00%。</w:t>
      </w:r>
    </w:p>
    <w:p w14:paraId="05259ADE">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四、财政拨款收入支出决算总体情况说明</w:t>
      </w:r>
    </w:p>
    <w:p w14:paraId="0EB2E781">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2024年度财政拨款收入总计243.74万元，其中：年初财政拨款结转和结余0.00万元，本年财政拨款收入243.74万元。财政拨款支出总计243.74万元，其中：年末财政拨款结转和结余0.00万元，本年财政拨款支出243.74万元。</w:t>
      </w:r>
    </w:p>
    <w:p w14:paraId="006803D4">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财政拨款收入支出总体与上年相比，增加25.72万元，增长11.80%，主要原因是：</w:t>
      </w:r>
      <w:r>
        <w:rPr>
          <w:rFonts w:hint="eastAsia" w:ascii="仿宋_GB2312" w:eastAsia="仿宋_GB2312"/>
          <w:sz w:val="32"/>
          <w:szCs w:val="32"/>
          <w:lang w:eastAsia="zh-CN"/>
        </w:rPr>
        <w:t>本年人员薪资调增，增加人员工资、津贴、社保等</w:t>
      </w:r>
      <w:r>
        <w:rPr>
          <w:rFonts w:ascii="仿宋_GB2312" w:eastAsia="仿宋_GB2312"/>
          <w:sz w:val="32"/>
          <w:szCs w:val="32"/>
          <w:lang w:eastAsia="zh-CN"/>
        </w:rPr>
        <w:t>。与年初预算相比，年初预算数267.87万元，决算数243.74万元，预决算差异率-9.01%，主要原因是：</w:t>
      </w:r>
      <w:r>
        <w:rPr>
          <w:rFonts w:hint="eastAsia" w:ascii="仿宋_GB2312" w:eastAsia="仿宋_GB2312"/>
          <w:sz w:val="32"/>
          <w:szCs w:val="32"/>
          <w:lang w:eastAsia="zh-CN"/>
        </w:rPr>
        <w:t>较预算减少人员工资、绩效等经费</w:t>
      </w:r>
      <w:r>
        <w:rPr>
          <w:rFonts w:ascii="仿宋_GB2312" w:eastAsia="仿宋_GB2312"/>
          <w:sz w:val="32"/>
          <w:szCs w:val="32"/>
          <w:lang w:eastAsia="zh-CN"/>
        </w:rPr>
        <w:t>。</w:t>
      </w:r>
    </w:p>
    <w:p w14:paraId="316785D4">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五、一般公共预算财政拨款支出决算情况说明</w:t>
      </w:r>
    </w:p>
    <w:p w14:paraId="6B85D721">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（一）一般公共预算财政拨款支出决算总体情况</w:t>
      </w:r>
    </w:p>
    <w:p w14:paraId="089AEF4C">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2024年度一般公共预算财政拨款支出243.74万元，占本年支出合计的100.00%。与上年相比，增加25.72万元，增长11.80%，主要原因是：</w:t>
      </w:r>
      <w:r>
        <w:rPr>
          <w:rFonts w:hint="eastAsia" w:ascii="仿宋_GB2312" w:eastAsia="仿宋_GB2312"/>
          <w:sz w:val="32"/>
          <w:szCs w:val="32"/>
          <w:lang w:eastAsia="zh-CN"/>
        </w:rPr>
        <w:t>本年人员薪资调增，增加人员工资、津贴、社保等</w:t>
      </w:r>
      <w:r>
        <w:rPr>
          <w:rFonts w:ascii="仿宋_GB2312" w:eastAsia="仿宋_GB2312"/>
          <w:sz w:val="32"/>
          <w:szCs w:val="32"/>
          <w:lang w:eastAsia="zh-CN"/>
        </w:rPr>
        <w:t>。与年初预算相比，年初预算数267.87万元，决算数243.74万元，预决算差异率-9.01%，主要原因是：</w:t>
      </w:r>
      <w:r>
        <w:rPr>
          <w:rFonts w:hint="eastAsia" w:ascii="仿宋_GB2312" w:eastAsia="仿宋_GB2312"/>
          <w:sz w:val="32"/>
          <w:szCs w:val="32"/>
          <w:lang w:eastAsia="zh-CN"/>
        </w:rPr>
        <w:t>较预算减少人员工资、绩效等经费</w:t>
      </w:r>
      <w:r>
        <w:rPr>
          <w:rFonts w:ascii="仿宋_GB2312" w:eastAsia="仿宋_GB2312"/>
          <w:sz w:val="32"/>
          <w:szCs w:val="32"/>
          <w:lang w:eastAsia="zh-CN"/>
        </w:rPr>
        <w:t>。</w:t>
      </w:r>
    </w:p>
    <w:p w14:paraId="3ADAF613">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（二）一般公共预算财政拨款支出决算结构情况</w:t>
      </w:r>
    </w:p>
    <w:p w14:paraId="7D1F0AF8">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1.</w:t>
      </w:r>
      <w:r>
        <w:rPr>
          <w:rFonts w:ascii="仿宋_GB2312" w:eastAsia="仿宋_GB2312"/>
          <w:sz w:val="32"/>
          <w:szCs w:val="32"/>
          <w:lang w:eastAsia="zh-CN"/>
        </w:rPr>
        <w:t>一般公共服务支出（类）173.96万元，占71.37%。</w:t>
      </w:r>
    </w:p>
    <w:p w14:paraId="2AF4C4A8">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2.</w:t>
      </w:r>
      <w:r>
        <w:rPr>
          <w:rFonts w:ascii="仿宋_GB2312" w:eastAsia="仿宋_GB2312"/>
          <w:sz w:val="32"/>
          <w:szCs w:val="32"/>
          <w:lang w:eastAsia="zh-CN"/>
        </w:rPr>
        <w:t>社会保障和就业支出（类）38.21万元，占15.68%。</w:t>
      </w:r>
    </w:p>
    <w:p w14:paraId="0B291E8D">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3.</w:t>
      </w:r>
      <w:r>
        <w:rPr>
          <w:rFonts w:ascii="仿宋_GB2312" w:eastAsia="仿宋_GB2312"/>
          <w:sz w:val="32"/>
          <w:szCs w:val="32"/>
          <w:lang w:eastAsia="zh-CN"/>
        </w:rPr>
        <w:t>卫生健康支出（类）13.34万元，占5.47%。</w:t>
      </w:r>
    </w:p>
    <w:p w14:paraId="4385BF92">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4.</w:t>
      </w:r>
      <w:r>
        <w:rPr>
          <w:rFonts w:ascii="仿宋_GB2312" w:eastAsia="仿宋_GB2312"/>
          <w:sz w:val="32"/>
          <w:szCs w:val="32"/>
          <w:lang w:eastAsia="zh-CN"/>
        </w:rPr>
        <w:t>住房保障支出（类）18.23万元，占7.48%。</w:t>
      </w:r>
    </w:p>
    <w:p w14:paraId="7D130E4A">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（三）一般公共预算财政拨款支出决算具体情况</w:t>
      </w:r>
    </w:p>
    <w:p w14:paraId="5F182D4F">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1、一般公共服务支出（类）组织事务（款）行政运行（项）：支出决算数为173.96万元，比上年决算增加6.99万元，增长4.19%，主要原因是：</w:t>
      </w:r>
      <w:r>
        <w:rPr>
          <w:rFonts w:hint="eastAsia" w:ascii="仿宋_GB2312" w:eastAsia="仿宋_GB2312"/>
          <w:sz w:val="32"/>
          <w:szCs w:val="32"/>
          <w:lang w:eastAsia="zh-CN"/>
        </w:rPr>
        <w:t>在职人员工资调增，人员工资，津贴等增加</w:t>
      </w:r>
      <w:r>
        <w:rPr>
          <w:rFonts w:ascii="仿宋_GB2312" w:eastAsia="仿宋_GB2312"/>
          <w:sz w:val="32"/>
          <w:szCs w:val="32"/>
          <w:lang w:eastAsia="zh-CN"/>
        </w:rPr>
        <w:t>。</w:t>
      </w:r>
    </w:p>
    <w:p w14:paraId="3D8F166D">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2、社会保障和就业支出（类）行政事业单位养老支出（款）行政单位离退休（项）：支出决算数为2.31万元，比上年决算增加0.70万元，增长43.48%，主要原因是：</w:t>
      </w:r>
      <w:r>
        <w:rPr>
          <w:rFonts w:hint="eastAsia" w:ascii="仿宋_GB2312" w:eastAsia="仿宋_GB2312"/>
          <w:sz w:val="32"/>
          <w:szCs w:val="32"/>
          <w:lang w:eastAsia="zh-CN"/>
        </w:rPr>
        <w:t>本年退休人员绩效工资增加</w:t>
      </w:r>
      <w:r>
        <w:rPr>
          <w:rFonts w:ascii="仿宋_GB2312" w:eastAsia="仿宋_GB2312"/>
          <w:sz w:val="32"/>
          <w:szCs w:val="32"/>
          <w:lang w:eastAsia="zh-CN"/>
        </w:rPr>
        <w:t>。</w:t>
      </w:r>
    </w:p>
    <w:p w14:paraId="355C2E90">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3、社会保障和就业支出（类）行政事业单位养老支出（款）机关事业单位基本养老保险缴费支出（项）：支出决算数为22.64万元，比上年决算增加2.17万元，增长10.60%，主要原因是：</w:t>
      </w:r>
      <w:r>
        <w:rPr>
          <w:rFonts w:hint="eastAsia" w:ascii="仿宋_GB2312" w:eastAsia="仿宋_GB2312"/>
          <w:sz w:val="32"/>
          <w:szCs w:val="32"/>
          <w:lang w:eastAsia="zh-CN"/>
        </w:rPr>
        <w:t>人员工资调增，养老保险缴费</w:t>
      </w:r>
      <w:r>
        <w:rPr>
          <w:rFonts w:ascii="仿宋_GB2312" w:eastAsia="仿宋_GB2312"/>
          <w:sz w:val="32"/>
          <w:szCs w:val="32"/>
          <w:lang w:eastAsia="zh-CN"/>
        </w:rPr>
        <w:t>支出</w:t>
      </w:r>
      <w:r>
        <w:rPr>
          <w:rFonts w:hint="eastAsia" w:ascii="仿宋_GB2312" w:eastAsia="仿宋_GB2312"/>
          <w:sz w:val="32"/>
          <w:szCs w:val="32"/>
          <w:lang w:eastAsia="zh-CN"/>
        </w:rPr>
        <w:t>增加</w:t>
      </w:r>
      <w:r>
        <w:rPr>
          <w:rFonts w:ascii="仿宋_GB2312" w:eastAsia="仿宋_GB2312"/>
          <w:sz w:val="32"/>
          <w:szCs w:val="32"/>
          <w:lang w:eastAsia="zh-CN"/>
        </w:rPr>
        <w:t>。</w:t>
      </w:r>
    </w:p>
    <w:p w14:paraId="2C73116C">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4、社会保障和就业支出（类）行政事业单位养老支出（款）机关事业单位职业年金缴费支出（项）：支出决算数为13.26万元，比上年决算增加13.26万元，增长100.00%，主要原因是：</w:t>
      </w:r>
      <w:r>
        <w:rPr>
          <w:rFonts w:hint="eastAsia" w:ascii="仿宋_GB2312" w:eastAsia="仿宋_GB2312"/>
          <w:sz w:val="32"/>
          <w:szCs w:val="32"/>
          <w:lang w:eastAsia="zh-CN"/>
        </w:rPr>
        <w:t>本年增加一次性职业年金缴费支出</w:t>
      </w:r>
      <w:r>
        <w:rPr>
          <w:rFonts w:ascii="仿宋_GB2312" w:eastAsia="仿宋_GB2312"/>
          <w:sz w:val="32"/>
          <w:szCs w:val="32"/>
          <w:lang w:eastAsia="zh-CN"/>
        </w:rPr>
        <w:t>。</w:t>
      </w:r>
    </w:p>
    <w:p w14:paraId="55701E2C">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5、卫生健康支出（类）行政事业单位医疗（款）行政单位医疗（项）：支出决算数为9.36万元，比上年决算减少0.87万元，下降8.50%，主要原因是：</w:t>
      </w:r>
      <w:r>
        <w:rPr>
          <w:rFonts w:hint="eastAsia" w:ascii="仿宋_GB2312" w:eastAsia="仿宋_GB2312"/>
          <w:sz w:val="32"/>
          <w:szCs w:val="32"/>
          <w:lang w:eastAsia="zh-CN"/>
        </w:rPr>
        <w:t>本年行政人员减少，行政医疗缴费减少</w:t>
      </w:r>
      <w:r>
        <w:rPr>
          <w:rFonts w:ascii="仿宋_GB2312" w:eastAsia="仿宋_GB2312"/>
          <w:sz w:val="32"/>
          <w:szCs w:val="32"/>
          <w:lang w:eastAsia="zh-CN"/>
        </w:rPr>
        <w:t>。</w:t>
      </w:r>
    </w:p>
    <w:p w14:paraId="494251D4">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6、卫生健康支出（类）行政事业单位医疗（款）事业单位医疗（项）：支出决算数为1.96万元，比上年决算增加1.96万元，增长100.00%，主要原因是：</w:t>
      </w:r>
      <w:r>
        <w:rPr>
          <w:rFonts w:hint="eastAsia" w:ascii="仿宋_GB2312" w:eastAsia="仿宋_GB2312"/>
          <w:sz w:val="32"/>
          <w:szCs w:val="32"/>
          <w:lang w:eastAsia="zh-CN"/>
        </w:rPr>
        <w:t>本年事业人员增加，增加事业单位医疗缴费，此科目从主款分离</w:t>
      </w:r>
      <w:r>
        <w:rPr>
          <w:rFonts w:ascii="仿宋_GB2312" w:eastAsia="仿宋_GB2312"/>
          <w:sz w:val="32"/>
          <w:szCs w:val="32"/>
          <w:lang w:eastAsia="zh-CN"/>
        </w:rPr>
        <w:t>。</w:t>
      </w:r>
    </w:p>
    <w:p w14:paraId="104A15AC">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7、卫生健康支出（类）行政事业单位医疗（款）公务员医疗补助（项）：支出决算数为1.94万元，比上年决算增加0.20万元，增长11.49%，主要原因是：</w:t>
      </w:r>
      <w:r>
        <w:rPr>
          <w:rFonts w:hint="eastAsia" w:ascii="仿宋_GB2312" w:eastAsia="仿宋_GB2312"/>
          <w:sz w:val="32"/>
          <w:szCs w:val="32"/>
          <w:lang w:eastAsia="zh-CN"/>
        </w:rPr>
        <w:t>在职人员工资调增，公务员医疗补助缴费增加</w:t>
      </w:r>
      <w:r>
        <w:rPr>
          <w:rFonts w:ascii="仿宋_GB2312" w:eastAsia="仿宋_GB2312"/>
          <w:sz w:val="32"/>
          <w:szCs w:val="32"/>
          <w:lang w:eastAsia="zh-CN"/>
        </w:rPr>
        <w:t>。</w:t>
      </w:r>
    </w:p>
    <w:p w14:paraId="052E314B">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8、卫生健康支出（类）行政事业单位医疗（款）其他行政事业单位医疗支出（项）：支出决算数为0.08万元，比上年决算减少0.02万元，下降20.00%，主要原因是：</w:t>
      </w:r>
      <w:r>
        <w:rPr>
          <w:rFonts w:hint="eastAsia" w:ascii="仿宋_GB2312" w:eastAsia="仿宋_GB2312"/>
          <w:sz w:val="32"/>
          <w:szCs w:val="32"/>
          <w:lang w:eastAsia="zh-CN"/>
        </w:rPr>
        <w:t>本年新进人员职级低，大额医疗缴费减少</w:t>
      </w:r>
      <w:r>
        <w:rPr>
          <w:rFonts w:ascii="仿宋_GB2312" w:eastAsia="仿宋_GB2312"/>
          <w:sz w:val="32"/>
          <w:szCs w:val="32"/>
          <w:lang w:eastAsia="zh-CN"/>
        </w:rPr>
        <w:t>。</w:t>
      </w:r>
    </w:p>
    <w:p w14:paraId="5825BA80">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9、住房保障支出（类）住房改革支出（款）住房公积金（项）：支出决算数为18.23万元，比上年决算增加1.33万元，增长7.87%，主要原因是：</w:t>
      </w:r>
      <w:r>
        <w:rPr>
          <w:rFonts w:hint="eastAsia" w:ascii="仿宋_GB2312" w:eastAsia="仿宋_GB2312"/>
          <w:sz w:val="32"/>
          <w:szCs w:val="32"/>
          <w:lang w:eastAsia="zh-CN"/>
        </w:rPr>
        <w:t>本年在职人员工资调增，增加住房公积金缴费</w:t>
      </w:r>
      <w:r>
        <w:rPr>
          <w:rFonts w:ascii="仿宋_GB2312" w:eastAsia="仿宋_GB2312"/>
          <w:sz w:val="32"/>
          <w:szCs w:val="32"/>
          <w:lang w:eastAsia="zh-CN"/>
        </w:rPr>
        <w:t>。</w:t>
      </w:r>
    </w:p>
    <w:p w14:paraId="3A709971">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六、一般公共预算财政拨款基本支出决算情况说明</w:t>
      </w:r>
    </w:p>
    <w:p w14:paraId="0CBB4ED5">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243.74万元，其中：人员经费232.93万元，包括：基本工资、津贴补贴、奖金、绩效工资、机关事业单位基本养老保险缴费、职业年金缴费、职工基本医疗保险缴费、公务员医疗补助缴费、其他社会保障缴费、住房公积金、退休费和奖励金。</w:t>
      </w:r>
    </w:p>
    <w:p w14:paraId="08CBFF80">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公用经费10.81万元，包括：办公费、印刷费、邮电费、差旅费、工会经费、公务用车运行维护费、其他交通费用和其他商品和服务支出。</w:t>
      </w:r>
    </w:p>
    <w:p w14:paraId="151574DE">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七、政府性基金预算财政拨款收入支出决算情况说明</w:t>
      </w:r>
    </w:p>
    <w:p w14:paraId="7331384B">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424998AC">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八、国有资本经营预算财政拨款收入支出决算情况说明</w:t>
      </w:r>
    </w:p>
    <w:p w14:paraId="1C72C90A">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7A975434">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九、财政拨款“三公”经费支出决算情况说明</w:t>
      </w:r>
    </w:p>
    <w:p w14:paraId="1A864B59">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2024年度财政拨款“三公”经费支出0.40万元，与上年相比无变化，主要原因是：</w:t>
      </w:r>
      <w:r>
        <w:rPr>
          <w:rFonts w:hint="eastAsia" w:ascii="仿宋_GB2312" w:eastAsia="仿宋_GB2312"/>
          <w:sz w:val="32"/>
          <w:szCs w:val="32"/>
          <w:lang w:eastAsia="zh-CN"/>
        </w:rPr>
        <w:t>与上年对比无差异</w:t>
      </w:r>
      <w:r>
        <w:rPr>
          <w:rFonts w:ascii="仿宋_GB2312" w:eastAsia="仿宋_GB2312"/>
          <w:sz w:val="32"/>
          <w:szCs w:val="32"/>
          <w:lang w:eastAsia="zh-CN"/>
        </w:rPr>
        <w:t>。其中：因公出国（境）费支出0.00万元,占0.00%，与上年相比无变化，主要原因是：</w:t>
      </w:r>
      <w:r>
        <w:rPr>
          <w:rFonts w:hint="eastAsia" w:ascii="仿宋_GB2312" w:eastAsia="仿宋_GB2312"/>
          <w:sz w:val="32"/>
          <w:szCs w:val="32"/>
          <w:lang w:eastAsia="zh-CN"/>
        </w:rPr>
        <w:t>本年</w:t>
      </w:r>
      <w:r>
        <w:rPr>
          <w:rFonts w:hint="eastAsia" w:ascii="仿宋_GB2312" w:eastAsia="仿宋_GB2312"/>
          <w:sz w:val="32"/>
          <w:szCs w:val="32"/>
          <w:lang w:val="en-US" w:eastAsia="zh-CN"/>
        </w:rPr>
        <w:t>度</w:t>
      </w:r>
      <w:r>
        <w:rPr>
          <w:rFonts w:hint="eastAsia" w:ascii="仿宋_GB2312" w:eastAsia="仿宋_GB2312"/>
          <w:sz w:val="32"/>
          <w:szCs w:val="32"/>
          <w:lang w:eastAsia="zh-CN"/>
        </w:rPr>
        <w:t>与上年度均无此</w:t>
      </w:r>
      <w:r>
        <w:rPr>
          <w:rFonts w:hint="eastAsia" w:ascii="仿宋_GB2312" w:eastAsia="仿宋_GB2312"/>
          <w:sz w:val="32"/>
          <w:szCs w:val="32"/>
          <w:lang w:val="en-US" w:eastAsia="zh-CN"/>
        </w:rPr>
        <w:t>项</w:t>
      </w:r>
      <w:r>
        <w:rPr>
          <w:rFonts w:hint="eastAsia" w:ascii="仿宋_GB2312" w:eastAsia="仿宋_GB2312"/>
          <w:sz w:val="32"/>
          <w:szCs w:val="32"/>
          <w:lang w:eastAsia="zh-CN"/>
        </w:rPr>
        <w:t>经费</w:t>
      </w:r>
      <w:r>
        <w:rPr>
          <w:rFonts w:ascii="仿宋_GB2312" w:eastAsia="仿宋_GB2312"/>
          <w:sz w:val="32"/>
          <w:szCs w:val="32"/>
          <w:lang w:eastAsia="zh-CN"/>
        </w:rPr>
        <w:t>；公务用车购置及运行维护费支出0.40万元，占100.00%，与上年相比无变化，主要原因是：</w:t>
      </w:r>
      <w:r>
        <w:rPr>
          <w:rFonts w:hint="eastAsia" w:ascii="仿宋_GB2312" w:eastAsia="仿宋_GB2312"/>
          <w:sz w:val="32"/>
          <w:szCs w:val="32"/>
          <w:lang w:eastAsia="zh-CN"/>
        </w:rPr>
        <w:t>与上年对比无差异</w:t>
      </w:r>
      <w:r>
        <w:rPr>
          <w:rFonts w:ascii="仿宋_GB2312" w:eastAsia="仿宋_GB2312"/>
          <w:sz w:val="32"/>
          <w:szCs w:val="32"/>
          <w:lang w:eastAsia="zh-CN"/>
        </w:rPr>
        <w:t>；公务接待费支出0.00万元，占0.00%，与上年相比无变化，主要原因是：</w:t>
      </w:r>
      <w:r>
        <w:rPr>
          <w:rFonts w:hint="eastAsia" w:ascii="仿宋_GB2312" w:eastAsia="仿宋_GB2312"/>
          <w:sz w:val="32"/>
          <w:szCs w:val="32"/>
          <w:lang w:eastAsia="zh-CN"/>
        </w:rPr>
        <w:t>本年</w:t>
      </w:r>
      <w:r>
        <w:rPr>
          <w:rFonts w:hint="eastAsia" w:ascii="仿宋_GB2312" w:eastAsia="仿宋_GB2312"/>
          <w:sz w:val="32"/>
          <w:szCs w:val="32"/>
          <w:lang w:val="en-US" w:eastAsia="zh-CN"/>
        </w:rPr>
        <w:t>度</w:t>
      </w:r>
      <w:r>
        <w:rPr>
          <w:rFonts w:hint="eastAsia" w:ascii="仿宋_GB2312" w:eastAsia="仿宋_GB2312"/>
          <w:sz w:val="32"/>
          <w:szCs w:val="32"/>
          <w:lang w:eastAsia="zh-CN"/>
        </w:rPr>
        <w:t>与上年度均无此</w:t>
      </w:r>
      <w:r>
        <w:rPr>
          <w:rFonts w:hint="eastAsia" w:ascii="仿宋_GB2312" w:eastAsia="仿宋_GB2312"/>
          <w:sz w:val="32"/>
          <w:szCs w:val="32"/>
          <w:lang w:val="en-US" w:eastAsia="zh-CN"/>
        </w:rPr>
        <w:t>项</w:t>
      </w:r>
      <w:r>
        <w:rPr>
          <w:rFonts w:hint="eastAsia" w:ascii="仿宋_GB2312" w:eastAsia="仿宋_GB2312"/>
          <w:sz w:val="32"/>
          <w:szCs w:val="32"/>
          <w:lang w:eastAsia="zh-CN"/>
        </w:rPr>
        <w:t>经费</w:t>
      </w:r>
      <w:r>
        <w:rPr>
          <w:rFonts w:ascii="仿宋_GB2312" w:eastAsia="仿宋_GB2312"/>
          <w:sz w:val="32"/>
          <w:szCs w:val="32"/>
          <w:lang w:eastAsia="zh-CN"/>
        </w:rPr>
        <w:t>。</w:t>
      </w:r>
    </w:p>
    <w:p w14:paraId="2D0563EF">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具体情况如下：</w:t>
      </w:r>
    </w:p>
    <w:p w14:paraId="42D7900E">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w:t>
      </w:r>
      <w:r>
        <w:rPr>
          <w:rFonts w:hint="eastAsia" w:ascii="仿宋_GB2312" w:eastAsia="仿宋_GB2312"/>
          <w:sz w:val="32"/>
          <w:szCs w:val="32"/>
          <w:lang w:eastAsia="zh-CN"/>
        </w:rPr>
        <w:t>本年</w:t>
      </w:r>
      <w:r>
        <w:rPr>
          <w:rFonts w:ascii="仿宋_GB2312" w:eastAsia="仿宋_GB2312"/>
          <w:sz w:val="32"/>
          <w:szCs w:val="32"/>
          <w:lang w:eastAsia="zh-CN"/>
        </w:rPr>
        <w:t>无因公出国（境）费。单位全年安排的因公出国（境）团组0个，因公出国（境）0人次。</w:t>
      </w:r>
    </w:p>
    <w:p w14:paraId="62BE46D2">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公务用车购置及运行维护费0.40万元，其中：公务用车购置费0.00万元，公务用车运行维护费0.40万元。公务用车运行维护费开支内容包括</w:t>
      </w:r>
      <w:r>
        <w:rPr>
          <w:rFonts w:hint="eastAsia" w:ascii="仿宋_GB2312" w:eastAsia="仿宋_GB2312"/>
          <w:sz w:val="32"/>
          <w:szCs w:val="32"/>
          <w:lang w:eastAsia="zh-CN"/>
        </w:rPr>
        <w:t>公务用车维修维护费、燃油费、保险费、过路费等</w:t>
      </w:r>
      <w:r>
        <w:rPr>
          <w:rFonts w:ascii="仿宋_GB2312" w:eastAsia="仿宋_GB2312"/>
          <w:sz w:val="32"/>
          <w:szCs w:val="32"/>
          <w:lang w:eastAsia="zh-CN"/>
        </w:rPr>
        <w:t>。公务用车购置数0辆，公务用车保有量1辆。国有资产占用情况中固定资产车辆1辆，与公务用车保有量差异原因是：</w:t>
      </w:r>
      <w:r>
        <w:rPr>
          <w:rFonts w:hint="eastAsia" w:ascii="仿宋_GB2312" w:eastAsia="仿宋_GB2312"/>
          <w:sz w:val="32"/>
          <w:szCs w:val="32"/>
          <w:lang w:eastAsia="zh-CN"/>
        </w:rPr>
        <w:t>本单位固定资产车辆与公务用车保有量一致无差异</w:t>
      </w:r>
      <w:r>
        <w:rPr>
          <w:rFonts w:ascii="仿宋_GB2312" w:eastAsia="仿宋_GB2312"/>
          <w:sz w:val="32"/>
          <w:szCs w:val="32"/>
          <w:lang w:eastAsia="zh-CN"/>
        </w:rPr>
        <w:t>。</w:t>
      </w:r>
    </w:p>
    <w:p w14:paraId="38AFC90C">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公务接待费0.00万元，开支内容包括</w:t>
      </w:r>
      <w:r>
        <w:rPr>
          <w:rFonts w:hint="eastAsia" w:ascii="仿宋_GB2312" w:eastAsia="仿宋_GB2312"/>
          <w:sz w:val="32"/>
          <w:szCs w:val="32"/>
          <w:lang w:eastAsia="zh-CN"/>
        </w:rPr>
        <w:t>本年</w:t>
      </w:r>
      <w:r>
        <w:rPr>
          <w:rFonts w:ascii="仿宋_GB2312" w:eastAsia="仿宋_GB2312"/>
          <w:sz w:val="32"/>
          <w:szCs w:val="32"/>
          <w:lang w:eastAsia="zh-CN"/>
        </w:rPr>
        <w:t>无公务接待费。单位全年安排的国内公务接待0批次，0人次。</w:t>
      </w:r>
    </w:p>
    <w:p w14:paraId="4AC09445">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与全年预算相比，财政拨款“三公”经费支出全年预算数0.40万元，决算数0.40万元，预决算差异率0.00%，主要原因是：</w:t>
      </w:r>
      <w:r>
        <w:rPr>
          <w:rFonts w:hint="eastAsia" w:ascii="仿宋_GB2312" w:eastAsia="仿宋_GB2312"/>
          <w:sz w:val="32"/>
          <w:szCs w:val="32"/>
          <w:lang w:eastAsia="zh-CN"/>
        </w:rPr>
        <w:t>严格按预算执行，预决算对比无差异</w:t>
      </w:r>
      <w:r>
        <w:rPr>
          <w:rFonts w:ascii="仿宋_GB2312" w:eastAsia="仿宋_GB2312"/>
          <w:sz w:val="32"/>
          <w:szCs w:val="32"/>
          <w:lang w:eastAsia="zh-CN"/>
        </w:rPr>
        <w:t>。其中：因公出国（境）费全年预算数0.00万元，决算数0.00万元，预决算差异率0.00%，主要原因是：</w:t>
      </w:r>
      <w:r>
        <w:rPr>
          <w:rFonts w:hint="eastAsia" w:ascii="仿宋_GB2312" w:eastAsia="仿宋_GB2312"/>
          <w:sz w:val="32"/>
          <w:szCs w:val="32"/>
          <w:lang w:eastAsia="zh-CN"/>
        </w:rPr>
        <w:t>严格按预算执行，预决算对比无差异</w:t>
      </w:r>
      <w:r>
        <w:rPr>
          <w:rFonts w:ascii="仿宋_GB2312" w:eastAsia="仿宋_GB2312"/>
          <w:sz w:val="32"/>
          <w:szCs w:val="32"/>
          <w:lang w:eastAsia="zh-CN"/>
        </w:rPr>
        <w:t>；公务用车购置费全年预算数0.00万元，决算数0.00万元，预决算差异率0.00%，主要原因是：</w:t>
      </w:r>
      <w:r>
        <w:rPr>
          <w:rFonts w:hint="eastAsia" w:ascii="仿宋_GB2312" w:eastAsia="仿宋_GB2312"/>
          <w:sz w:val="32"/>
          <w:szCs w:val="32"/>
          <w:lang w:eastAsia="zh-CN"/>
        </w:rPr>
        <w:t>严格按预算执行，预决算对比无差异</w:t>
      </w:r>
      <w:r>
        <w:rPr>
          <w:rFonts w:ascii="仿宋_GB2312" w:eastAsia="仿宋_GB2312"/>
          <w:sz w:val="32"/>
          <w:szCs w:val="32"/>
          <w:lang w:eastAsia="zh-CN"/>
        </w:rPr>
        <w:t>；公务用车运行维护费全年预算数0.40万元，决算数0.40万元，预决算差异率0.00%，主要原因是：</w:t>
      </w:r>
      <w:r>
        <w:rPr>
          <w:rFonts w:hint="eastAsia" w:ascii="仿宋_GB2312" w:eastAsia="仿宋_GB2312"/>
          <w:sz w:val="32"/>
          <w:szCs w:val="32"/>
          <w:lang w:eastAsia="zh-CN"/>
        </w:rPr>
        <w:t>严格按预算执行，预决算对比无差异</w:t>
      </w:r>
      <w:r>
        <w:rPr>
          <w:rFonts w:ascii="仿宋_GB2312" w:eastAsia="仿宋_GB2312"/>
          <w:sz w:val="32"/>
          <w:szCs w:val="32"/>
          <w:lang w:eastAsia="zh-CN"/>
        </w:rPr>
        <w:t>；公务接待费全年预算数0.00万元，决算数0.00万元，预决算差异率0.00%，主要原因是：</w:t>
      </w:r>
      <w:r>
        <w:rPr>
          <w:rFonts w:hint="eastAsia" w:ascii="仿宋_GB2312" w:eastAsia="仿宋_GB2312"/>
          <w:sz w:val="32"/>
          <w:szCs w:val="32"/>
          <w:lang w:eastAsia="zh-CN"/>
        </w:rPr>
        <w:t>严格按预算执行，预决算对比无差异</w:t>
      </w:r>
      <w:r>
        <w:rPr>
          <w:rFonts w:ascii="仿宋_GB2312" w:eastAsia="仿宋_GB2312"/>
          <w:sz w:val="32"/>
          <w:szCs w:val="32"/>
          <w:lang w:eastAsia="zh-CN"/>
        </w:rPr>
        <w:t>。</w:t>
      </w:r>
    </w:p>
    <w:p w14:paraId="5904FCC6">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十、其他重要事项的情况说明</w:t>
      </w:r>
    </w:p>
    <w:p w14:paraId="2F620C60">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（一）机关运行经费及公用经费支出情况</w:t>
      </w:r>
    </w:p>
    <w:p w14:paraId="5F818D8C">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2024年度中共奇台县委员会机构编制委员会办公室单位（行政单位和参照公务员法管理事业单位）机关运行经费支出10.81万元，比上年增加5.21万元，增长93.04%，主要原因是：</w:t>
      </w:r>
      <w:r>
        <w:rPr>
          <w:rFonts w:hint="eastAsia" w:ascii="仿宋_GB2312" w:eastAsia="仿宋_GB2312"/>
          <w:sz w:val="32"/>
          <w:szCs w:val="32"/>
          <w:lang w:eastAsia="zh-CN"/>
        </w:rPr>
        <w:t>本年</w:t>
      </w:r>
      <w:r>
        <w:rPr>
          <w:rFonts w:ascii="仿宋_GB2312" w:eastAsia="仿宋_GB2312"/>
          <w:sz w:val="32"/>
          <w:szCs w:val="32"/>
          <w:lang w:eastAsia="zh-CN"/>
        </w:rPr>
        <w:t>办公费、邮电费、工会经费</w:t>
      </w:r>
      <w:r>
        <w:rPr>
          <w:rFonts w:hint="eastAsia" w:ascii="仿宋_GB2312" w:eastAsia="仿宋_GB2312"/>
          <w:sz w:val="32"/>
          <w:szCs w:val="32"/>
          <w:lang w:eastAsia="zh-CN"/>
        </w:rPr>
        <w:t>等增加</w:t>
      </w:r>
      <w:r>
        <w:rPr>
          <w:rFonts w:ascii="仿宋_GB2312" w:eastAsia="仿宋_GB2312"/>
          <w:sz w:val="32"/>
          <w:szCs w:val="32"/>
          <w:lang w:eastAsia="zh-CN"/>
        </w:rPr>
        <w:t>。</w:t>
      </w:r>
    </w:p>
    <w:p w14:paraId="0820296D">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（二）政府采购情况</w:t>
      </w:r>
    </w:p>
    <w:p w14:paraId="54E1EDD9">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2024年度政府采购支出总额1.50万元，其中：政府采购货物支出1.13万元、政府采购工程支出0.05万元、政府采购服务支出0.32万元。</w:t>
      </w:r>
    </w:p>
    <w:p w14:paraId="7A6E80F5">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授予中小企业合同金额1.42万元，占政府采购支出总额的94.67%，其中：授予小微企业合同金额1.20万元，占政府采购支出总额的80.00%。</w:t>
      </w:r>
    </w:p>
    <w:p w14:paraId="7C56431E">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（三）国有资产占用情况说明</w:t>
      </w:r>
    </w:p>
    <w:p w14:paraId="1459C984">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rPr>
        <w:t>截至2024年12月31日，房屋0.00平方米，价值0.00万元。</w:t>
      </w:r>
      <w:r>
        <w:rPr>
          <w:rFonts w:ascii="仿宋_GB2312" w:eastAsia="仿宋_GB2312"/>
          <w:sz w:val="32"/>
          <w:szCs w:val="32"/>
          <w:lang w:eastAsia="zh-CN"/>
        </w:rPr>
        <w:t>车辆1辆，价值12.83万元，其中：副部（省）级及以上领导用车0辆、主要负责人用车0辆、机要通信用车0辆、应急保障用车0辆、执法执勤用车0辆、特种专业技术用车0辆、离退休干部服务用车0辆、其他用车1辆，其他用车主要是：</w:t>
      </w:r>
      <w:r>
        <w:rPr>
          <w:rFonts w:hint="eastAsia" w:ascii="仿宋_GB2312" w:eastAsia="仿宋_GB2312"/>
          <w:sz w:val="32"/>
          <w:szCs w:val="32"/>
          <w:lang w:eastAsia="zh-CN"/>
        </w:rPr>
        <w:t>业务</w:t>
      </w:r>
      <w:r>
        <w:rPr>
          <w:rFonts w:ascii="仿宋_GB2312" w:eastAsia="仿宋_GB2312"/>
          <w:sz w:val="32"/>
          <w:szCs w:val="32"/>
          <w:lang w:eastAsia="zh-CN"/>
        </w:rPr>
        <w:t>用车;</w:t>
      </w:r>
      <w:bookmarkStart w:id="2" w:name="_GoBack"/>
      <w:bookmarkEnd w:id="2"/>
      <w:r>
        <w:rPr>
          <w:rFonts w:ascii="仿宋_GB2312" w:eastAsia="仿宋_GB2312"/>
          <w:sz w:val="32"/>
          <w:szCs w:val="32"/>
          <w:lang w:eastAsia="zh-CN"/>
        </w:rPr>
        <w:t>单价100万元（含）以上设备（不含车辆）0台（套）。</w:t>
      </w:r>
    </w:p>
    <w:p w14:paraId="53948AEB">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十一、预算绩效的情况说明</w:t>
      </w:r>
    </w:p>
    <w:p w14:paraId="04A23B88">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hint="eastAsia" w:ascii="仿宋_GB2312" w:eastAsia="仿宋_GB2312"/>
          <w:sz w:val="32"/>
          <w:szCs w:val="32"/>
          <w:lang w:eastAsia="zh-CN"/>
        </w:rPr>
        <w:t>267.87</w:t>
      </w:r>
      <w:r>
        <w:rPr>
          <w:rFonts w:ascii="仿宋_GB2312" w:eastAsia="仿宋_GB2312"/>
          <w:sz w:val="32"/>
          <w:szCs w:val="32"/>
          <w:lang w:eastAsia="zh-CN"/>
        </w:rPr>
        <w:t>万元，实际执行总额</w:t>
      </w:r>
      <w:r>
        <w:rPr>
          <w:rFonts w:hint="eastAsia" w:ascii="仿宋_GB2312" w:eastAsia="仿宋_GB2312"/>
          <w:sz w:val="32"/>
          <w:szCs w:val="32"/>
          <w:lang w:eastAsia="zh-CN"/>
        </w:rPr>
        <w:t>243.74</w:t>
      </w:r>
      <w:r>
        <w:rPr>
          <w:rFonts w:ascii="仿宋_GB2312" w:eastAsia="仿宋_GB2312"/>
          <w:sz w:val="32"/>
          <w:szCs w:val="32"/>
          <w:lang w:eastAsia="zh-CN"/>
        </w:rPr>
        <w:t>万元；预算绩效评价项目0个，全年预算数0</w:t>
      </w:r>
      <w:r>
        <w:rPr>
          <w:rFonts w:hint="eastAsia" w:ascii="仿宋_GB2312" w:eastAsia="仿宋_GB2312"/>
          <w:sz w:val="32"/>
          <w:szCs w:val="32"/>
          <w:lang w:eastAsia="zh-CN"/>
        </w:rPr>
        <w:t>.00</w:t>
      </w:r>
      <w:r>
        <w:rPr>
          <w:rFonts w:ascii="仿宋_GB2312" w:eastAsia="仿宋_GB2312"/>
          <w:sz w:val="32"/>
          <w:szCs w:val="32"/>
          <w:lang w:eastAsia="zh-CN"/>
        </w:rPr>
        <w:t>万元，全年执行数0</w:t>
      </w:r>
      <w:r>
        <w:rPr>
          <w:rFonts w:hint="eastAsia" w:ascii="仿宋_GB2312" w:eastAsia="仿宋_GB2312"/>
          <w:sz w:val="32"/>
          <w:szCs w:val="32"/>
          <w:lang w:eastAsia="zh-CN"/>
        </w:rPr>
        <w:t>.00</w:t>
      </w:r>
      <w:r>
        <w:rPr>
          <w:rFonts w:ascii="仿宋_GB2312" w:eastAsia="仿宋_GB2312"/>
          <w:sz w:val="32"/>
          <w:szCs w:val="32"/>
          <w:lang w:eastAsia="zh-CN"/>
        </w:rPr>
        <w:t>万元。</w:t>
      </w:r>
      <w:r>
        <w:rPr>
          <w:rFonts w:hint="eastAsia" w:ascii="仿宋_GB2312" w:eastAsia="仿宋_GB2312"/>
          <w:sz w:val="32"/>
          <w:szCs w:val="32"/>
          <w:lang w:eastAsia="zh-CN"/>
        </w:rPr>
        <w:t>预算绩效管理取得的成效：一是绩效目标编制全覆盖，年初预算、追加预算、重点项目等都进行了绩效目标编制；二是预算绩效动态监控成为常态，从资金支付进度、使用方向和具体用途等方面进行定期监控，对预算执行绩效加强监控跟踪，确保预算资金高效安全；三是通过绩效评价的实施，积极反馈科室整改，补齐短板，增强部门绩效责任意识，统一思想认识，有效促进部门履职尽责。发现的问题及原因：一是通过近两年绩效评价工作，我单位的绩效工作水平和工作质量有了进步，但与上级部门的绩效评价工作相适应的政策水平、业务能力和文字综合能力的要求还有很大差距，有待进一步提高；二是绩效标准不健全，绩效目标的设置还不科学，预算资金与绩效目标之间的匹配程度还不够高，目标审核基本上还是形式性审核，实质性审核程度不高。下一步改进措施：一是加强业务人员的培训，提高业务能力；二是探索设定项目个性化指标，科学合理地设置评价标准，修订完善评价指标体系，逐步提高评价工作质量。</w:t>
      </w:r>
      <w:r>
        <w:rPr>
          <w:rFonts w:ascii="仿宋_GB2312" w:eastAsia="仿宋_GB2312"/>
          <w:sz w:val="32"/>
          <w:szCs w:val="32"/>
          <w:lang w:eastAsia="zh-CN"/>
        </w:rPr>
        <w:t>具体附部门整体支出绩效自评表。</w:t>
      </w:r>
    </w:p>
    <w:p w14:paraId="36B4524D">
      <w:pPr>
        <w:spacing w:after="0" w:line="240" w:lineRule="auto"/>
        <w:ind w:firstLine="640" w:firstLineChars="200"/>
        <w:jc w:val="both"/>
        <w:rPr>
          <w:rFonts w:hint="eastAsia" w:ascii="仿宋_GB2312" w:eastAsia="仿宋_GB2312"/>
          <w:sz w:val="32"/>
          <w:szCs w:val="32"/>
          <w:lang w:eastAsia="zh-CN"/>
        </w:rPr>
      </w:pPr>
    </w:p>
    <w:p w14:paraId="522649C3">
      <w:pPr>
        <w:rPr>
          <w:rFonts w:hint="eastAsia" w:ascii="宋体" w:hAnsi="宋体" w:eastAsia="宋体" w:cs="宋体"/>
          <w:b/>
          <w:bCs/>
          <w:sz w:val="28"/>
          <w:szCs w:val="28"/>
          <w:lang w:eastAsia="zh-CN"/>
        </w:rPr>
      </w:pPr>
      <w:bookmarkStart w:id="0" w:name="_Hlk174962300"/>
      <w:r>
        <w:rPr>
          <w:rFonts w:hint="eastAsia" w:ascii="宋体" w:hAnsi="宋体" w:eastAsia="宋体" w:cs="宋体"/>
          <w:b/>
          <w:bCs/>
          <w:sz w:val="28"/>
          <w:szCs w:val="28"/>
          <w:lang w:eastAsia="zh-CN"/>
        </w:rPr>
        <w:br w:type="page"/>
      </w:r>
    </w:p>
    <w:p w14:paraId="5DB3A79D">
      <w:pPr>
        <w:jc w:val="center"/>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部门（单位）整体支出绩效目标自评表</w:t>
      </w:r>
    </w:p>
    <w:p w14:paraId="5032091A">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1"/>
        <w:tblW w:w="9935" w:type="dxa"/>
        <w:tblInd w:w="-601" w:type="dxa"/>
        <w:tblLayout w:type="fixed"/>
        <w:tblCellMar>
          <w:top w:w="0" w:type="dxa"/>
          <w:left w:w="108" w:type="dxa"/>
          <w:bottom w:w="0" w:type="dxa"/>
          <w:right w:w="108" w:type="dxa"/>
        </w:tblCellMar>
      </w:tblPr>
      <w:tblGrid>
        <w:gridCol w:w="993"/>
        <w:gridCol w:w="1417"/>
        <w:gridCol w:w="1418"/>
        <w:gridCol w:w="1276"/>
        <w:gridCol w:w="1842"/>
        <w:gridCol w:w="993"/>
        <w:gridCol w:w="992"/>
        <w:gridCol w:w="720"/>
        <w:gridCol w:w="284"/>
      </w:tblGrid>
      <w:tr w14:paraId="32B7FFEC">
        <w:tblPrEx>
          <w:tblCellMar>
            <w:top w:w="0" w:type="dxa"/>
            <w:left w:w="108" w:type="dxa"/>
            <w:bottom w:w="0" w:type="dxa"/>
            <w:right w:w="108" w:type="dxa"/>
          </w:tblCellMar>
        </w:tblPrEx>
        <w:trPr>
          <w:cantSplit/>
          <w:trHeight w:val="660" w:hRule="atLeast"/>
        </w:trPr>
        <w:tc>
          <w:tcPr>
            <w:tcW w:w="993" w:type="dxa"/>
            <w:tcBorders>
              <w:top w:val="single" w:color="auto" w:sz="4" w:space="0"/>
              <w:left w:val="single" w:color="auto" w:sz="4" w:space="0"/>
              <w:bottom w:val="single" w:color="auto" w:sz="4" w:space="0"/>
              <w:right w:val="single" w:color="auto" w:sz="4" w:space="0"/>
            </w:tcBorders>
            <w:noWrap/>
            <w:vAlign w:val="center"/>
          </w:tcPr>
          <w:p w14:paraId="2A9406D5">
            <w:pPr>
              <w:jc w:val="center"/>
              <w:rPr>
                <w:rFonts w:hint="eastAsia" w:ascii="宋体" w:hAnsi="宋体" w:eastAsia="宋体" w:cs="宋体"/>
                <w:b/>
                <w:bCs/>
                <w:sz w:val="18"/>
                <w:szCs w:val="18"/>
              </w:rPr>
            </w:pPr>
            <w:r>
              <w:rPr>
                <w:rFonts w:hint="eastAsia" w:ascii="宋体" w:hAnsi="宋体" w:eastAsia="宋体" w:cs="宋体"/>
                <w:b/>
                <w:bCs/>
                <w:sz w:val="18"/>
                <w:szCs w:val="18"/>
              </w:rPr>
              <w:t>部门（单位）名称</w:t>
            </w:r>
          </w:p>
        </w:tc>
        <w:tc>
          <w:tcPr>
            <w:tcW w:w="8658" w:type="dxa"/>
            <w:gridSpan w:val="7"/>
            <w:tcBorders>
              <w:top w:val="single" w:color="auto" w:sz="4" w:space="0"/>
              <w:left w:val="nil"/>
              <w:bottom w:val="single" w:color="auto" w:sz="4" w:space="0"/>
              <w:right w:val="single" w:color="auto" w:sz="4" w:space="0"/>
            </w:tcBorders>
            <w:noWrap/>
            <w:vAlign w:val="center"/>
          </w:tcPr>
          <w:p w14:paraId="0BD6F1CC">
            <w:pPr>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中共奇台县委员会机构编制委员会办公室</w:t>
            </w:r>
          </w:p>
        </w:tc>
        <w:tc>
          <w:tcPr>
            <w:tcW w:w="284" w:type="dxa"/>
            <w:tcBorders>
              <w:top w:val="nil"/>
              <w:left w:val="nil"/>
              <w:bottom w:val="nil"/>
              <w:right w:val="nil"/>
            </w:tcBorders>
            <w:noWrap/>
            <w:vAlign w:val="center"/>
          </w:tcPr>
          <w:p w14:paraId="5006DF79">
            <w:pPr>
              <w:rPr>
                <w:rFonts w:hint="eastAsia" w:ascii="宋体" w:hAnsi="宋体" w:eastAsia="宋体" w:cs="宋体"/>
                <w:b/>
                <w:bCs/>
                <w:sz w:val="18"/>
                <w:szCs w:val="18"/>
                <w:lang w:eastAsia="zh-CN"/>
              </w:rPr>
            </w:pPr>
          </w:p>
        </w:tc>
      </w:tr>
      <w:tr w14:paraId="3A18A79A">
        <w:tblPrEx>
          <w:tblCellMar>
            <w:top w:w="0" w:type="dxa"/>
            <w:left w:w="108" w:type="dxa"/>
            <w:bottom w:w="0" w:type="dxa"/>
            <w:right w:w="108" w:type="dxa"/>
          </w:tblCellMar>
        </w:tblPrEx>
        <w:trPr>
          <w:cantSplit/>
          <w:trHeight w:val="570"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57E1C7D7">
            <w:pPr>
              <w:jc w:val="center"/>
              <w:rPr>
                <w:rFonts w:hint="eastAsia" w:ascii="宋体" w:hAnsi="宋体" w:eastAsia="宋体" w:cs="宋体"/>
                <w:b/>
                <w:bCs/>
                <w:sz w:val="18"/>
                <w:szCs w:val="18"/>
              </w:rPr>
            </w:pPr>
            <w:r>
              <w:rPr>
                <w:rFonts w:hint="eastAsia" w:ascii="宋体" w:hAnsi="宋体" w:eastAsia="宋体" w:cs="宋体"/>
                <w:b/>
                <w:bCs/>
                <w:sz w:val="18"/>
                <w:szCs w:val="18"/>
              </w:rPr>
              <w:t>部门资金（万元）</w:t>
            </w:r>
          </w:p>
        </w:tc>
        <w:tc>
          <w:tcPr>
            <w:tcW w:w="1417" w:type="dxa"/>
            <w:tcBorders>
              <w:top w:val="nil"/>
              <w:left w:val="nil"/>
              <w:bottom w:val="single" w:color="auto" w:sz="4" w:space="0"/>
              <w:right w:val="single" w:color="auto" w:sz="4" w:space="0"/>
            </w:tcBorders>
            <w:vAlign w:val="center"/>
          </w:tcPr>
          <w:p w14:paraId="0BBC6B69">
            <w:pPr>
              <w:jc w:val="center"/>
              <w:rPr>
                <w:rFonts w:hint="eastAsia" w:ascii="宋体" w:hAnsi="宋体" w:eastAsia="宋体" w:cs="宋体"/>
                <w:b/>
                <w:bCs/>
                <w:sz w:val="18"/>
                <w:szCs w:val="18"/>
              </w:rPr>
            </w:pPr>
            <w:r>
              <w:rPr>
                <w:rFonts w:hint="eastAsia" w:ascii="宋体" w:hAnsi="宋体" w:eastAsia="宋体" w:cs="宋体"/>
                <w:b/>
                <w:bCs/>
                <w:sz w:val="18"/>
                <w:szCs w:val="18"/>
              </w:rPr>
              <w:t>资金来源</w:t>
            </w:r>
          </w:p>
        </w:tc>
        <w:tc>
          <w:tcPr>
            <w:tcW w:w="1418" w:type="dxa"/>
            <w:tcBorders>
              <w:top w:val="nil"/>
              <w:left w:val="nil"/>
              <w:bottom w:val="single" w:color="auto" w:sz="4" w:space="0"/>
              <w:right w:val="single" w:color="auto" w:sz="4" w:space="0"/>
            </w:tcBorders>
            <w:vAlign w:val="center"/>
          </w:tcPr>
          <w:p w14:paraId="567148A0">
            <w:pPr>
              <w:jc w:val="center"/>
              <w:rPr>
                <w:rFonts w:hint="eastAsia" w:ascii="宋体" w:hAnsi="宋体" w:eastAsia="宋体" w:cs="宋体"/>
                <w:b/>
                <w:bCs/>
                <w:sz w:val="18"/>
                <w:szCs w:val="18"/>
              </w:rPr>
            </w:pPr>
            <w:r>
              <w:rPr>
                <w:rFonts w:hint="eastAsia" w:ascii="宋体" w:hAnsi="宋体" w:eastAsia="宋体" w:cs="宋体"/>
                <w:b/>
                <w:bCs/>
                <w:sz w:val="18"/>
                <w:szCs w:val="18"/>
              </w:rPr>
              <w:t>年初预算数</w:t>
            </w:r>
          </w:p>
        </w:tc>
        <w:tc>
          <w:tcPr>
            <w:tcW w:w="1276" w:type="dxa"/>
            <w:tcBorders>
              <w:top w:val="nil"/>
              <w:left w:val="nil"/>
              <w:bottom w:val="single" w:color="auto" w:sz="4" w:space="0"/>
              <w:right w:val="single" w:color="auto" w:sz="4" w:space="0"/>
            </w:tcBorders>
            <w:vAlign w:val="center"/>
          </w:tcPr>
          <w:p w14:paraId="52FC05C7">
            <w:pPr>
              <w:jc w:val="center"/>
              <w:rPr>
                <w:rFonts w:hint="eastAsia" w:ascii="宋体" w:hAnsi="宋体" w:eastAsia="宋体" w:cs="宋体"/>
                <w:b/>
                <w:bCs/>
                <w:sz w:val="18"/>
                <w:szCs w:val="18"/>
              </w:rPr>
            </w:pPr>
            <w:r>
              <w:rPr>
                <w:rFonts w:hint="eastAsia" w:ascii="宋体" w:hAnsi="宋体" w:eastAsia="宋体" w:cs="宋体"/>
                <w:b/>
                <w:bCs/>
                <w:sz w:val="18"/>
                <w:szCs w:val="18"/>
              </w:rPr>
              <w:t>全年预算数</w:t>
            </w:r>
          </w:p>
        </w:tc>
        <w:tc>
          <w:tcPr>
            <w:tcW w:w="1842" w:type="dxa"/>
            <w:tcBorders>
              <w:top w:val="nil"/>
              <w:left w:val="nil"/>
              <w:bottom w:val="single" w:color="auto" w:sz="4" w:space="0"/>
              <w:right w:val="single" w:color="auto" w:sz="4" w:space="0"/>
            </w:tcBorders>
            <w:vAlign w:val="center"/>
          </w:tcPr>
          <w:p w14:paraId="29769376">
            <w:pPr>
              <w:jc w:val="center"/>
              <w:rPr>
                <w:rFonts w:hint="eastAsia" w:ascii="宋体" w:hAnsi="宋体" w:eastAsia="宋体" w:cs="宋体"/>
                <w:b/>
                <w:bCs/>
                <w:sz w:val="18"/>
                <w:szCs w:val="18"/>
              </w:rPr>
            </w:pPr>
            <w:r>
              <w:rPr>
                <w:rFonts w:hint="eastAsia" w:ascii="宋体" w:hAnsi="宋体" w:eastAsia="宋体" w:cs="宋体"/>
                <w:b/>
                <w:bCs/>
                <w:sz w:val="18"/>
                <w:szCs w:val="18"/>
              </w:rPr>
              <w:t>全年执行数</w:t>
            </w:r>
          </w:p>
        </w:tc>
        <w:tc>
          <w:tcPr>
            <w:tcW w:w="993" w:type="dxa"/>
            <w:tcBorders>
              <w:top w:val="nil"/>
              <w:left w:val="nil"/>
              <w:bottom w:val="single" w:color="auto" w:sz="4" w:space="0"/>
              <w:right w:val="single" w:color="auto" w:sz="4" w:space="0"/>
            </w:tcBorders>
            <w:vAlign w:val="center"/>
          </w:tcPr>
          <w:p w14:paraId="4503EC7C">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992" w:type="dxa"/>
            <w:tcBorders>
              <w:top w:val="nil"/>
              <w:left w:val="nil"/>
              <w:bottom w:val="single" w:color="auto" w:sz="4" w:space="0"/>
              <w:right w:val="single" w:color="auto" w:sz="4" w:space="0"/>
            </w:tcBorders>
            <w:vAlign w:val="center"/>
          </w:tcPr>
          <w:p w14:paraId="429429FD">
            <w:pPr>
              <w:jc w:val="center"/>
              <w:rPr>
                <w:rFonts w:hint="eastAsia" w:ascii="宋体" w:hAnsi="宋体" w:eastAsia="宋体" w:cs="宋体"/>
                <w:b/>
                <w:bCs/>
                <w:sz w:val="18"/>
                <w:szCs w:val="18"/>
              </w:rPr>
            </w:pPr>
            <w:r>
              <w:rPr>
                <w:rFonts w:hint="eastAsia" w:ascii="宋体" w:hAnsi="宋体" w:eastAsia="宋体" w:cs="宋体"/>
                <w:b/>
                <w:bCs/>
                <w:sz w:val="18"/>
                <w:szCs w:val="18"/>
              </w:rPr>
              <w:t>执行率</w:t>
            </w:r>
          </w:p>
        </w:tc>
        <w:tc>
          <w:tcPr>
            <w:tcW w:w="720" w:type="dxa"/>
            <w:tcBorders>
              <w:top w:val="nil"/>
              <w:left w:val="nil"/>
              <w:bottom w:val="single" w:color="auto" w:sz="4" w:space="0"/>
              <w:right w:val="single" w:color="auto" w:sz="4" w:space="0"/>
            </w:tcBorders>
            <w:vAlign w:val="center"/>
          </w:tcPr>
          <w:p w14:paraId="491B99B0">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c>
          <w:tcPr>
            <w:tcW w:w="284" w:type="dxa"/>
            <w:tcBorders>
              <w:top w:val="nil"/>
              <w:left w:val="nil"/>
              <w:bottom w:val="nil"/>
              <w:right w:val="nil"/>
            </w:tcBorders>
            <w:noWrap/>
            <w:vAlign w:val="center"/>
          </w:tcPr>
          <w:p w14:paraId="42E3D96B">
            <w:pPr>
              <w:jc w:val="center"/>
              <w:rPr>
                <w:rFonts w:hint="eastAsia" w:ascii="宋体" w:hAnsi="宋体" w:eastAsia="宋体" w:cs="宋体"/>
                <w:b/>
                <w:bCs/>
                <w:sz w:val="18"/>
                <w:szCs w:val="18"/>
              </w:rPr>
            </w:pPr>
          </w:p>
        </w:tc>
      </w:tr>
      <w:tr w14:paraId="6918A62A">
        <w:tblPrEx>
          <w:tblCellMar>
            <w:top w:w="0" w:type="dxa"/>
            <w:left w:w="108" w:type="dxa"/>
            <w:bottom w:w="0" w:type="dxa"/>
            <w:right w:w="108" w:type="dxa"/>
          </w:tblCellMar>
        </w:tblPrEx>
        <w:trPr>
          <w:cantSplit/>
          <w:trHeight w:val="48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5EE28E98">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noWrap/>
            <w:vAlign w:val="center"/>
          </w:tcPr>
          <w:p w14:paraId="34853A48">
            <w:pPr>
              <w:jc w:val="center"/>
              <w:rPr>
                <w:rFonts w:hint="eastAsia" w:ascii="宋体" w:hAnsi="宋体" w:eastAsia="宋体" w:cs="宋体"/>
                <w:b/>
                <w:bCs/>
                <w:sz w:val="18"/>
                <w:szCs w:val="18"/>
              </w:rPr>
            </w:pPr>
            <w:r>
              <w:rPr>
                <w:rFonts w:hint="eastAsia" w:ascii="宋体" w:hAnsi="宋体" w:eastAsia="宋体" w:cs="宋体"/>
                <w:b/>
                <w:bCs/>
                <w:sz w:val="18"/>
                <w:szCs w:val="18"/>
              </w:rPr>
              <w:t>上级资金</w:t>
            </w:r>
          </w:p>
        </w:tc>
        <w:tc>
          <w:tcPr>
            <w:tcW w:w="1418" w:type="dxa"/>
            <w:tcBorders>
              <w:top w:val="nil"/>
              <w:left w:val="nil"/>
              <w:bottom w:val="single" w:color="auto" w:sz="4" w:space="0"/>
              <w:right w:val="single" w:color="auto" w:sz="4" w:space="0"/>
            </w:tcBorders>
            <w:vAlign w:val="center"/>
          </w:tcPr>
          <w:p w14:paraId="7619A68F">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276" w:type="dxa"/>
            <w:tcBorders>
              <w:top w:val="nil"/>
              <w:left w:val="nil"/>
              <w:bottom w:val="single" w:color="auto" w:sz="4" w:space="0"/>
              <w:right w:val="single" w:color="auto" w:sz="4" w:space="0"/>
            </w:tcBorders>
            <w:vAlign w:val="center"/>
          </w:tcPr>
          <w:p w14:paraId="5117A3F3">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842" w:type="dxa"/>
            <w:tcBorders>
              <w:top w:val="nil"/>
              <w:left w:val="nil"/>
              <w:bottom w:val="single" w:color="auto" w:sz="4" w:space="0"/>
              <w:right w:val="single" w:color="auto" w:sz="4" w:space="0"/>
            </w:tcBorders>
            <w:vAlign w:val="center"/>
          </w:tcPr>
          <w:p w14:paraId="12F97F9D">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993" w:type="dxa"/>
            <w:tcBorders>
              <w:top w:val="nil"/>
              <w:left w:val="nil"/>
              <w:bottom w:val="single" w:color="auto" w:sz="4" w:space="0"/>
              <w:right w:val="single" w:color="auto" w:sz="4" w:space="0"/>
            </w:tcBorders>
            <w:vAlign w:val="center"/>
          </w:tcPr>
          <w:p w14:paraId="08A177D0">
            <w:pPr>
              <w:jc w:val="center"/>
              <w:rPr>
                <w:rFonts w:hint="eastAsia" w:ascii="宋体" w:hAnsi="宋体" w:eastAsia="宋体" w:cs="宋体"/>
                <w:sz w:val="18"/>
                <w:szCs w:val="18"/>
              </w:rPr>
            </w:pPr>
            <w:r>
              <w:rPr>
                <w:rFonts w:hint="eastAsia" w:ascii="宋体" w:hAnsi="宋体" w:eastAsia="宋体" w:cs="宋体"/>
                <w:sz w:val="18"/>
                <w:szCs w:val="18"/>
              </w:rPr>
              <w:t>10</w:t>
            </w:r>
          </w:p>
        </w:tc>
        <w:tc>
          <w:tcPr>
            <w:tcW w:w="992" w:type="dxa"/>
            <w:tcBorders>
              <w:top w:val="nil"/>
              <w:left w:val="nil"/>
              <w:bottom w:val="single" w:color="auto" w:sz="4" w:space="0"/>
              <w:right w:val="single" w:color="auto" w:sz="4" w:space="0"/>
            </w:tcBorders>
            <w:vAlign w:val="center"/>
          </w:tcPr>
          <w:p w14:paraId="357E2EDF">
            <w:pPr>
              <w:jc w:val="center"/>
              <w:rPr>
                <w:rFonts w:hint="eastAsia" w:ascii="宋体" w:hAnsi="宋体" w:eastAsia="宋体" w:cs="宋体"/>
                <w:sz w:val="18"/>
                <w:szCs w:val="18"/>
              </w:rPr>
            </w:pPr>
            <w:r>
              <w:rPr>
                <w:rFonts w:hint="eastAsia" w:ascii="宋体" w:hAnsi="宋体" w:eastAsia="宋体" w:cs="宋体"/>
                <w:sz w:val="18"/>
                <w:szCs w:val="18"/>
              </w:rPr>
              <w:t>90.99%</w:t>
            </w:r>
          </w:p>
        </w:tc>
        <w:tc>
          <w:tcPr>
            <w:tcW w:w="720" w:type="dxa"/>
            <w:tcBorders>
              <w:top w:val="nil"/>
              <w:left w:val="nil"/>
              <w:bottom w:val="single" w:color="auto" w:sz="4" w:space="0"/>
              <w:right w:val="single" w:color="auto" w:sz="4" w:space="0"/>
            </w:tcBorders>
            <w:vAlign w:val="center"/>
          </w:tcPr>
          <w:p w14:paraId="44D8DF5A">
            <w:pPr>
              <w:jc w:val="center"/>
              <w:rPr>
                <w:rFonts w:hint="eastAsia" w:ascii="宋体" w:hAnsi="宋体" w:eastAsia="宋体" w:cs="宋体"/>
                <w:sz w:val="18"/>
                <w:szCs w:val="18"/>
              </w:rPr>
            </w:pPr>
            <w:r>
              <w:rPr>
                <w:rFonts w:hint="eastAsia" w:ascii="宋体" w:hAnsi="宋体" w:eastAsia="宋体" w:cs="宋体"/>
                <w:sz w:val="18"/>
                <w:szCs w:val="18"/>
              </w:rPr>
              <w:t>10</w:t>
            </w:r>
          </w:p>
        </w:tc>
        <w:tc>
          <w:tcPr>
            <w:tcW w:w="284" w:type="dxa"/>
            <w:tcBorders>
              <w:top w:val="nil"/>
              <w:left w:val="nil"/>
              <w:bottom w:val="nil"/>
              <w:right w:val="nil"/>
            </w:tcBorders>
            <w:noWrap/>
            <w:vAlign w:val="center"/>
          </w:tcPr>
          <w:p w14:paraId="4EFD5E54">
            <w:pPr>
              <w:jc w:val="center"/>
              <w:rPr>
                <w:rFonts w:hint="eastAsia" w:ascii="宋体" w:hAnsi="宋体" w:eastAsia="宋体" w:cs="宋体"/>
                <w:b/>
                <w:bCs/>
                <w:sz w:val="18"/>
                <w:szCs w:val="18"/>
              </w:rPr>
            </w:pPr>
          </w:p>
        </w:tc>
      </w:tr>
      <w:tr w14:paraId="403ACD85">
        <w:tblPrEx>
          <w:tblCellMar>
            <w:top w:w="0" w:type="dxa"/>
            <w:left w:w="108" w:type="dxa"/>
            <w:bottom w:w="0" w:type="dxa"/>
            <w:right w:w="108" w:type="dxa"/>
          </w:tblCellMar>
        </w:tblPrEx>
        <w:trPr>
          <w:cantSplit/>
          <w:trHeight w:val="42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71AB7771">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5A121040">
            <w:pPr>
              <w:jc w:val="center"/>
              <w:rPr>
                <w:rFonts w:hint="eastAsia" w:ascii="宋体" w:hAnsi="宋体" w:eastAsia="宋体" w:cs="宋体"/>
                <w:b/>
                <w:bCs/>
                <w:sz w:val="18"/>
                <w:szCs w:val="18"/>
              </w:rPr>
            </w:pPr>
            <w:r>
              <w:rPr>
                <w:rFonts w:hint="eastAsia" w:ascii="宋体" w:hAnsi="宋体" w:eastAsia="宋体" w:cs="宋体"/>
                <w:b/>
                <w:bCs/>
                <w:sz w:val="18"/>
                <w:szCs w:val="18"/>
              </w:rPr>
              <w:t>本级资金</w:t>
            </w:r>
          </w:p>
        </w:tc>
        <w:tc>
          <w:tcPr>
            <w:tcW w:w="1418" w:type="dxa"/>
            <w:tcBorders>
              <w:top w:val="nil"/>
              <w:left w:val="nil"/>
              <w:bottom w:val="single" w:color="auto" w:sz="4" w:space="0"/>
              <w:right w:val="single" w:color="auto" w:sz="4" w:space="0"/>
            </w:tcBorders>
            <w:vAlign w:val="center"/>
          </w:tcPr>
          <w:p w14:paraId="02065E2A">
            <w:pPr>
              <w:jc w:val="center"/>
              <w:rPr>
                <w:rFonts w:hint="eastAsia" w:ascii="宋体" w:hAnsi="宋体" w:eastAsia="宋体" w:cs="宋体"/>
                <w:sz w:val="18"/>
                <w:szCs w:val="18"/>
              </w:rPr>
            </w:pPr>
            <w:r>
              <w:rPr>
                <w:rFonts w:hint="eastAsia" w:ascii="宋体" w:hAnsi="宋体" w:eastAsia="宋体" w:cs="宋体"/>
                <w:sz w:val="18"/>
                <w:szCs w:val="18"/>
              </w:rPr>
              <w:t>267.87</w:t>
            </w:r>
          </w:p>
        </w:tc>
        <w:tc>
          <w:tcPr>
            <w:tcW w:w="1276" w:type="dxa"/>
            <w:tcBorders>
              <w:top w:val="nil"/>
              <w:left w:val="nil"/>
              <w:bottom w:val="single" w:color="auto" w:sz="4" w:space="0"/>
              <w:right w:val="single" w:color="auto" w:sz="4" w:space="0"/>
            </w:tcBorders>
            <w:vAlign w:val="center"/>
          </w:tcPr>
          <w:p w14:paraId="49572ED9">
            <w:pPr>
              <w:jc w:val="center"/>
              <w:rPr>
                <w:rFonts w:hint="eastAsia" w:ascii="宋体" w:hAnsi="宋体" w:eastAsia="宋体" w:cs="宋体"/>
                <w:sz w:val="18"/>
                <w:szCs w:val="18"/>
              </w:rPr>
            </w:pPr>
            <w:r>
              <w:rPr>
                <w:rFonts w:hint="eastAsia" w:ascii="宋体" w:hAnsi="宋体" w:eastAsia="宋体" w:cs="宋体"/>
                <w:sz w:val="18"/>
                <w:szCs w:val="18"/>
              </w:rPr>
              <w:t>267.87</w:t>
            </w:r>
          </w:p>
        </w:tc>
        <w:tc>
          <w:tcPr>
            <w:tcW w:w="1842" w:type="dxa"/>
            <w:tcBorders>
              <w:top w:val="nil"/>
              <w:left w:val="nil"/>
              <w:bottom w:val="single" w:color="auto" w:sz="4" w:space="0"/>
              <w:right w:val="single" w:color="auto" w:sz="4" w:space="0"/>
            </w:tcBorders>
            <w:vAlign w:val="center"/>
          </w:tcPr>
          <w:p w14:paraId="30AD2083">
            <w:pPr>
              <w:jc w:val="center"/>
              <w:rPr>
                <w:rFonts w:hint="eastAsia" w:ascii="宋体" w:hAnsi="宋体" w:eastAsia="宋体" w:cs="宋体"/>
                <w:sz w:val="18"/>
                <w:szCs w:val="18"/>
              </w:rPr>
            </w:pPr>
            <w:r>
              <w:rPr>
                <w:rFonts w:hint="eastAsia" w:ascii="宋体" w:hAnsi="宋体" w:eastAsia="宋体" w:cs="宋体"/>
                <w:sz w:val="18"/>
                <w:szCs w:val="18"/>
              </w:rPr>
              <w:t>243.74</w:t>
            </w:r>
          </w:p>
        </w:tc>
        <w:tc>
          <w:tcPr>
            <w:tcW w:w="993" w:type="dxa"/>
            <w:tcBorders>
              <w:top w:val="nil"/>
              <w:left w:val="nil"/>
              <w:bottom w:val="single" w:color="auto" w:sz="4" w:space="0"/>
              <w:right w:val="single" w:color="auto" w:sz="4" w:space="0"/>
            </w:tcBorders>
            <w:vAlign w:val="center"/>
          </w:tcPr>
          <w:p w14:paraId="7CC51EB9">
            <w:pPr>
              <w:jc w:val="center"/>
              <w:rPr>
                <w:rFonts w:hint="eastAsia" w:ascii="宋体" w:hAnsi="宋体" w:eastAsia="宋体" w:cs="宋体"/>
                <w:sz w:val="18"/>
                <w:szCs w:val="18"/>
              </w:rPr>
            </w:pPr>
            <w:r>
              <w:rPr>
                <w:rFonts w:hint="eastAsia" w:ascii="宋体" w:hAnsi="宋体" w:eastAsia="宋体"/>
                <w:sz w:val="18"/>
                <w:szCs w:val="18"/>
              </w:rPr>
              <w:t>-</w:t>
            </w:r>
          </w:p>
        </w:tc>
        <w:tc>
          <w:tcPr>
            <w:tcW w:w="992" w:type="dxa"/>
            <w:tcBorders>
              <w:top w:val="nil"/>
              <w:left w:val="nil"/>
              <w:bottom w:val="single" w:color="auto" w:sz="4" w:space="0"/>
              <w:right w:val="single" w:color="auto" w:sz="4" w:space="0"/>
            </w:tcBorders>
            <w:vAlign w:val="center"/>
          </w:tcPr>
          <w:p w14:paraId="313896F2">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63037F94">
            <w:pPr>
              <w:jc w:val="center"/>
              <w:rPr>
                <w:rFonts w:hint="eastAsia" w:ascii="宋体" w:hAnsi="宋体" w:eastAsia="宋体" w:cs="宋体"/>
                <w:sz w:val="18"/>
                <w:szCs w:val="18"/>
              </w:rPr>
            </w:pPr>
            <w:r>
              <w:rPr>
                <w:rFonts w:hint="eastAsia" w:ascii="宋体" w:hAnsi="宋体" w:eastAsia="宋体"/>
                <w:sz w:val="18"/>
                <w:szCs w:val="18"/>
              </w:rPr>
              <w:t>-</w:t>
            </w:r>
          </w:p>
        </w:tc>
        <w:tc>
          <w:tcPr>
            <w:tcW w:w="284" w:type="dxa"/>
            <w:tcBorders>
              <w:top w:val="nil"/>
              <w:left w:val="nil"/>
              <w:bottom w:val="nil"/>
              <w:right w:val="nil"/>
            </w:tcBorders>
            <w:noWrap/>
            <w:vAlign w:val="center"/>
          </w:tcPr>
          <w:p w14:paraId="18423D6A">
            <w:pPr>
              <w:jc w:val="center"/>
              <w:rPr>
                <w:rFonts w:hint="eastAsia" w:ascii="宋体" w:hAnsi="宋体" w:eastAsia="宋体" w:cs="宋体"/>
                <w:sz w:val="18"/>
                <w:szCs w:val="18"/>
              </w:rPr>
            </w:pPr>
          </w:p>
        </w:tc>
      </w:tr>
      <w:tr w14:paraId="131DFB0B">
        <w:tblPrEx>
          <w:tblCellMar>
            <w:top w:w="0" w:type="dxa"/>
            <w:left w:w="108" w:type="dxa"/>
            <w:bottom w:w="0" w:type="dxa"/>
            <w:right w:w="108" w:type="dxa"/>
          </w:tblCellMar>
        </w:tblPrEx>
        <w:trPr>
          <w:cantSplit/>
          <w:trHeight w:val="416"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2AEB4222">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1E54CB86">
            <w:pPr>
              <w:jc w:val="center"/>
              <w:rPr>
                <w:rFonts w:hint="eastAsia" w:ascii="宋体" w:hAnsi="宋体" w:eastAsia="宋体" w:cs="宋体"/>
                <w:b/>
                <w:bCs/>
                <w:sz w:val="18"/>
                <w:szCs w:val="18"/>
              </w:rPr>
            </w:pPr>
            <w:r>
              <w:rPr>
                <w:rFonts w:hint="eastAsia" w:ascii="宋体" w:hAnsi="宋体" w:eastAsia="宋体" w:cs="宋体"/>
                <w:b/>
                <w:bCs/>
                <w:sz w:val="18"/>
                <w:szCs w:val="18"/>
              </w:rPr>
              <w:t>其他资金</w:t>
            </w:r>
          </w:p>
        </w:tc>
        <w:tc>
          <w:tcPr>
            <w:tcW w:w="1418" w:type="dxa"/>
            <w:tcBorders>
              <w:top w:val="nil"/>
              <w:left w:val="nil"/>
              <w:bottom w:val="single" w:color="auto" w:sz="4" w:space="0"/>
              <w:right w:val="single" w:color="auto" w:sz="4" w:space="0"/>
            </w:tcBorders>
            <w:vAlign w:val="center"/>
          </w:tcPr>
          <w:p w14:paraId="36109DDC">
            <w:pPr>
              <w:jc w:val="center"/>
              <w:rPr>
                <w:rFonts w:hint="eastAsia" w:ascii="宋体" w:hAnsi="宋体" w:eastAsia="宋体" w:cs="宋体"/>
                <w:sz w:val="18"/>
                <w:szCs w:val="18"/>
              </w:rPr>
            </w:pPr>
            <w:r>
              <w:rPr>
                <w:rFonts w:hint="eastAsia" w:ascii="宋体" w:hAnsi="宋体" w:eastAsia="宋体" w:cs="宋体"/>
                <w:sz w:val="18"/>
                <w:szCs w:val="18"/>
              </w:rPr>
              <w:t>0.07</w:t>
            </w:r>
          </w:p>
        </w:tc>
        <w:tc>
          <w:tcPr>
            <w:tcW w:w="1276" w:type="dxa"/>
            <w:tcBorders>
              <w:top w:val="nil"/>
              <w:left w:val="nil"/>
              <w:bottom w:val="single" w:color="auto" w:sz="4" w:space="0"/>
              <w:right w:val="single" w:color="auto" w:sz="4" w:space="0"/>
            </w:tcBorders>
            <w:vAlign w:val="center"/>
          </w:tcPr>
          <w:p w14:paraId="3684D405">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842" w:type="dxa"/>
            <w:tcBorders>
              <w:top w:val="nil"/>
              <w:left w:val="nil"/>
              <w:bottom w:val="single" w:color="auto" w:sz="4" w:space="0"/>
              <w:right w:val="single" w:color="auto" w:sz="4" w:space="0"/>
            </w:tcBorders>
            <w:vAlign w:val="center"/>
          </w:tcPr>
          <w:p w14:paraId="20C68827">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993" w:type="dxa"/>
            <w:tcBorders>
              <w:top w:val="nil"/>
              <w:left w:val="nil"/>
              <w:bottom w:val="single" w:color="auto" w:sz="4" w:space="0"/>
              <w:right w:val="single" w:color="auto" w:sz="4" w:space="0"/>
            </w:tcBorders>
            <w:vAlign w:val="center"/>
          </w:tcPr>
          <w:p w14:paraId="7B620CD1">
            <w:pPr>
              <w:jc w:val="center"/>
              <w:rPr>
                <w:rFonts w:hint="eastAsia" w:ascii="宋体" w:hAnsi="宋体" w:eastAsia="宋体" w:cs="宋体"/>
                <w:sz w:val="18"/>
                <w:szCs w:val="18"/>
              </w:rPr>
            </w:pPr>
            <w:r>
              <w:rPr>
                <w:rFonts w:hint="eastAsia" w:ascii="宋体" w:hAnsi="宋体" w:eastAsia="宋体"/>
                <w:sz w:val="18"/>
                <w:szCs w:val="18"/>
              </w:rPr>
              <w:t>-</w:t>
            </w:r>
          </w:p>
        </w:tc>
        <w:tc>
          <w:tcPr>
            <w:tcW w:w="992" w:type="dxa"/>
            <w:tcBorders>
              <w:top w:val="nil"/>
              <w:left w:val="nil"/>
              <w:bottom w:val="single" w:color="auto" w:sz="4" w:space="0"/>
              <w:right w:val="single" w:color="auto" w:sz="4" w:space="0"/>
            </w:tcBorders>
            <w:vAlign w:val="center"/>
          </w:tcPr>
          <w:p w14:paraId="7B92A728">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4423A5D6">
            <w:pPr>
              <w:jc w:val="center"/>
              <w:rPr>
                <w:rFonts w:hint="eastAsia" w:ascii="宋体" w:hAnsi="宋体" w:eastAsia="宋体" w:cs="宋体"/>
                <w:sz w:val="18"/>
                <w:szCs w:val="18"/>
              </w:rPr>
            </w:pPr>
            <w:r>
              <w:rPr>
                <w:rFonts w:hint="eastAsia" w:ascii="宋体" w:hAnsi="宋体" w:eastAsia="宋体"/>
                <w:sz w:val="18"/>
                <w:szCs w:val="18"/>
              </w:rPr>
              <w:t>-</w:t>
            </w:r>
          </w:p>
        </w:tc>
        <w:tc>
          <w:tcPr>
            <w:tcW w:w="284" w:type="dxa"/>
            <w:tcBorders>
              <w:top w:val="nil"/>
              <w:left w:val="nil"/>
              <w:bottom w:val="nil"/>
              <w:right w:val="nil"/>
            </w:tcBorders>
            <w:noWrap/>
            <w:vAlign w:val="center"/>
          </w:tcPr>
          <w:p w14:paraId="269DE9C5">
            <w:pPr>
              <w:jc w:val="center"/>
              <w:rPr>
                <w:rFonts w:hint="eastAsia" w:ascii="宋体" w:hAnsi="宋体" w:eastAsia="宋体" w:cs="宋体"/>
                <w:sz w:val="18"/>
                <w:szCs w:val="18"/>
              </w:rPr>
            </w:pPr>
          </w:p>
        </w:tc>
      </w:tr>
      <w:tr w14:paraId="4E743989">
        <w:tblPrEx>
          <w:tblCellMar>
            <w:top w:w="0" w:type="dxa"/>
            <w:left w:w="108" w:type="dxa"/>
            <w:bottom w:w="0" w:type="dxa"/>
            <w:right w:w="108" w:type="dxa"/>
          </w:tblCellMar>
        </w:tblPrEx>
        <w:trPr>
          <w:cantSplit/>
          <w:trHeight w:val="41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00348B9F">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7ADD1632">
            <w:pPr>
              <w:jc w:val="center"/>
              <w:rPr>
                <w:rFonts w:hint="eastAsia" w:ascii="宋体" w:hAnsi="宋体" w:eastAsia="宋体" w:cs="宋体"/>
                <w:b/>
                <w:bCs/>
                <w:sz w:val="18"/>
                <w:szCs w:val="18"/>
              </w:rPr>
            </w:pPr>
            <w:r>
              <w:rPr>
                <w:rFonts w:hint="eastAsia" w:ascii="宋体" w:hAnsi="宋体" w:eastAsia="宋体" w:cs="宋体"/>
                <w:b/>
                <w:bCs/>
                <w:sz w:val="18"/>
                <w:szCs w:val="18"/>
              </w:rPr>
              <w:t>合计</w:t>
            </w:r>
          </w:p>
        </w:tc>
        <w:tc>
          <w:tcPr>
            <w:tcW w:w="1418" w:type="dxa"/>
            <w:tcBorders>
              <w:top w:val="nil"/>
              <w:left w:val="nil"/>
              <w:bottom w:val="single" w:color="auto" w:sz="4" w:space="0"/>
              <w:right w:val="single" w:color="auto" w:sz="4" w:space="0"/>
            </w:tcBorders>
            <w:vAlign w:val="center"/>
          </w:tcPr>
          <w:p w14:paraId="0EA9684A">
            <w:pPr>
              <w:jc w:val="center"/>
              <w:rPr>
                <w:rFonts w:hint="eastAsia" w:ascii="宋体" w:hAnsi="宋体" w:eastAsia="宋体" w:cs="宋体"/>
                <w:sz w:val="18"/>
                <w:szCs w:val="18"/>
              </w:rPr>
            </w:pPr>
            <w:r>
              <w:rPr>
                <w:rFonts w:hint="eastAsia" w:ascii="宋体" w:hAnsi="宋体" w:eastAsia="宋体" w:cs="宋体"/>
                <w:sz w:val="18"/>
                <w:szCs w:val="18"/>
              </w:rPr>
              <w:t>267.94</w:t>
            </w:r>
          </w:p>
        </w:tc>
        <w:tc>
          <w:tcPr>
            <w:tcW w:w="1276" w:type="dxa"/>
            <w:tcBorders>
              <w:top w:val="nil"/>
              <w:left w:val="nil"/>
              <w:bottom w:val="single" w:color="auto" w:sz="4" w:space="0"/>
              <w:right w:val="single" w:color="auto" w:sz="4" w:space="0"/>
            </w:tcBorders>
            <w:vAlign w:val="center"/>
          </w:tcPr>
          <w:p w14:paraId="1412A4F2">
            <w:pPr>
              <w:jc w:val="center"/>
              <w:rPr>
                <w:rFonts w:hint="eastAsia" w:ascii="宋体" w:hAnsi="宋体" w:eastAsia="宋体" w:cs="宋体"/>
                <w:sz w:val="18"/>
                <w:szCs w:val="18"/>
              </w:rPr>
            </w:pPr>
            <w:r>
              <w:rPr>
                <w:rFonts w:hint="eastAsia" w:ascii="宋体" w:hAnsi="宋体" w:eastAsia="宋体" w:cs="宋体"/>
                <w:sz w:val="18"/>
                <w:szCs w:val="18"/>
              </w:rPr>
              <w:t>267.87</w:t>
            </w:r>
          </w:p>
        </w:tc>
        <w:tc>
          <w:tcPr>
            <w:tcW w:w="1842" w:type="dxa"/>
            <w:tcBorders>
              <w:top w:val="nil"/>
              <w:left w:val="nil"/>
              <w:bottom w:val="single" w:color="auto" w:sz="4" w:space="0"/>
              <w:right w:val="single" w:color="auto" w:sz="4" w:space="0"/>
            </w:tcBorders>
            <w:vAlign w:val="center"/>
          </w:tcPr>
          <w:p w14:paraId="2A4E8506">
            <w:pPr>
              <w:jc w:val="center"/>
              <w:rPr>
                <w:rFonts w:hint="eastAsia" w:ascii="宋体" w:hAnsi="宋体" w:eastAsia="宋体" w:cs="宋体"/>
                <w:sz w:val="18"/>
                <w:szCs w:val="18"/>
              </w:rPr>
            </w:pPr>
            <w:bookmarkStart w:id="1" w:name="_Hlk209017946"/>
            <w:r>
              <w:rPr>
                <w:rFonts w:hint="eastAsia" w:ascii="宋体" w:hAnsi="宋体" w:eastAsia="宋体" w:cs="宋体"/>
                <w:sz w:val="18"/>
                <w:szCs w:val="18"/>
              </w:rPr>
              <w:t>243.74</w:t>
            </w:r>
            <w:bookmarkEnd w:id="1"/>
          </w:p>
        </w:tc>
        <w:tc>
          <w:tcPr>
            <w:tcW w:w="993" w:type="dxa"/>
            <w:tcBorders>
              <w:top w:val="nil"/>
              <w:left w:val="nil"/>
              <w:bottom w:val="single" w:color="auto" w:sz="4" w:space="0"/>
              <w:right w:val="single" w:color="auto" w:sz="4" w:space="0"/>
            </w:tcBorders>
            <w:vAlign w:val="center"/>
          </w:tcPr>
          <w:p w14:paraId="2151F7FF">
            <w:pPr>
              <w:jc w:val="center"/>
              <w:rPr>
                <w:rFonts w:hint="eastAsia" w:ascii="宋体" w:hAnsi="宋体" w:eastAsia="宋体" w:cs="宋体"/>
                <w:sz w:val="18"/>
                <w:szCs w:val="18"/>
              </w:rPr>
            </w:pPr>
            <w:r>
              <w:rPr>
                <w:rFonts w:hint="eastAsia" w:ascii="宋体" w:hAnsi="宋体" w:eastAsia="宋体" w:cs="宋体"/>
                <w:sz w:val="18"/>
                <w:szCs w:val="18"/>
              </w:rPr>
              <w:t>-</w:t>
            </w:r>
          </w:p>
        </w:tc>
        <w:tc>
          <w:tcPr>
            <w:tcW w:w="992" w:type="dxa"/>
            <w:tcBorders>
              <w:top w:val="nil"/>
              <w:left w:val="nil"/>
              <w:bottom w:val="single" w:color="auto" w:sz="4" w:space="0"/>
              <w:right w:val="single" w:color="auto" w:sz="4" w:space="0"/>
            </w:tcBorders>
            <w:vAlign w:val="center"/>
          </w:tcPr>
          <w:p w14:paraId="60A3A9AE">
            <w:pPr>
              <w:jc w:val="center"/>
              <w:rPr>
                <w:rFonts w:hint="eastAsia" w:ascii="宋体" w:hAnsi="宋体" w:eastAsia="宋体" w:cs="宋体"/>
                <w:sz w:val="18"/>
                <w:szCs w:val="18"/>
              </w:rPr>
            </w:pPr>
            <w:r>
              <w:rPr>
                <w:rFonts w:hint="eastAsia" w:ascii="宋体" w:hAnsi="宋体" w:eastAsia="宋体" w:cs="宋体"/>
                <w:sz w:val="18"/>
                <w:szCs w:val="18"/>
              </w:rPr>
              <w:t>-</w:t>
            </w:r>
          </w:p>
        </w:tc>
        <w:tc>
          <w:tcPr>
            <w:tcW w:w="720" w:type="dxa"/>
            <w:tcBorders>
              <w:top w:val="nil"/>
              <w:left w:val="nil"/>
              <w:bottom w:val="single" w:color="auto" w:sz="4" w:space="0"/>
              <w:right w:val="single" w:color="auto" w:sz="4" w:space="0"/>
            </w:tcBorders>
            <w:vAlign w:val="center"/>
          </w:tcPr>
          <w:p w14:paraId="01B17352">
            <w:pPr>
              <w:jc w:val="center"/>
              <w:rPr>
                <w:rFonts w:hint="eastAsia" w:ascii="宋体" w:hAnsi="宋体" w:eastAsia="宋体" w:cs="宋体"/>
                <w:sz w:val="18"/>
                <w:szCs w:val="18"/>
              </w:rPr>
            </w:pPr>
            <w:r>
              <w:rPr>
                <w:rFonts w:hint="eastAsia" w:ascii="宋体" w:hAnsi="宋体" w:eastAsia="宋体" w:cs="宋体"/>
                <w:sz w:val="18"/>
                <w:szCs w:val="18"/>
              </w:rPr>
              <w:t>-</w:t>
            </w:r>
          </w:p>
        </w:tc>
        <w:tc>
          <w:tcPr>
            <w:tcW w:w="284" w:type="dxa"/>
            <w:tcBorders>
              <w:top w:val="nil"/>
              <w:left w:val="nil"/>
              <w:bottom w:val="nil"/>
              <w:right w:val="nil"/>
            </w:tcBorders>
            <w:noWrap/>
            <w:vAlign w:val="center"/>
          </w:tcPr>
          <w:p w14:paraId="0FA1D4FA">
            <w:pPr>
              <w:jc w:val="center"/>
              <w:rPr>
                <w:rFonts w:hint="eastAsia" w:ascii="宋体" w:hAnsi="宋体" w:eastAsia="宋体" w:cs="宋体"/>
                <w:sz w:val="18"/>
                <w:szCs w:val="18"/>
              </w:rPr>
            </w:pPr>
          </w:p>
        </w:tc>
      </w:tr>
      <w:tr w14:paraId="73601B9C">
        <w:tblPrEx>
          <w:tblCellMar>
            <w:top w:w="0" w:type="dxa"/>
            <w:left w:w="108" w:type="dxa"/>
            <w:bottom w:w="0" w:type="dxa"/>
            <w:right w:w="108" w:type="dxa"/>
          </w:tblCellMar>
        </w:tblPrEx>
        <w:trPr>
          <w:cantSplit/>
          <w:trHeight w:val="341"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5BD02EE2">
            <w:pPr>
              <w:jc w:val="center"/>
              <w:rPr>
                <w:rFonts w:hint="eastAsia" w:ascii="宋体" w:hAnsi="宋体" w:eastAsia="宋体" w:cs="宋体"/>
                <w:b/>
                <w:bCs/>
                <w:sz w:val="18"/>
                <w:szCs w:val="18"/>
              </w:rPr>
            </w:pPr>
            <w:r>
              <w:rPr>
                <w:rFonts w:hint="eastAsia" w:ascii="宋体" w:hAnsi="宋体" w:eastAsia="宋体" w:cs="宋体"/>
                <w:b/>
                <w:bCs/>
                <w:sz w:val="18"/>
                <w:szCs w:val="18"/>
              </w:rPr>
              <w:t>年度总体目标</w:t>
            </w:r>
          </w:p>
        </w:tc>
        <w:tc>
          <w:tcPr>
            <w:tcW w:w="4111" w:type="dxa"/>
            <w:gridSpan w:val="3"/>
            <w:tcBorders>
              <w:top w:val="single" w:color="auto" w:sz="4" w:space="0"/>
              <w:left w:val="nil"/>
              <w:bottom w:val="single" w:color="auto" w:sz="4" w:space="0"/>
              <w:right w:val="single" w:color="auto" w:sz="4" w:space="0"/>
            </w:tcBorders>
            <w:noWrap/>
            <w:vAlign w:val="center"/>
          </w:tcPr>
          <w:p w14:paraId="5CA38671">
            <w:pPr>
              <w:jc w:val="center"/>
              <w:rPr>
                <w:rFonts w:hint="eastAsia" w:ascii="宋体" w:hAnsi="宋体" w:eastAsia="宋体" w:cs="宋体"/>
                <w:b/>
                <w:bCs/>
                <w:sz w:val="18"/>
                <w:szCs w:val="18"/>
              </w:rPr>
            </w:pPr>
            <w:r>
              <w:rPr>
                <w:rFonts w:hint="eastAsia" w:ascii="宋体" w:hAnsi="宋体" w:eastAsia="宋体" w:cs="宋体"/>
                <w:b/>
                <w:bCs/>
                <w:sz w:val="18"/>
                <w:szCs w:val="18"/>
              </w:rPr>
              <w:t>预期目标</w:t>
            </w:r>
          </w:p>
        </w:tc>
        <w:tc>
          <w:tcPr>
            <w:tcW w:w="4547" w:type="dxa"/>
            <w:gridSpan w:val="4"/>
            <w:tcBorders>
              <w:top w:val="single" w:color="auto" w:sz="4" w:space="0"/>
              <w:left w:val="nil"/>
              <w:bottom w:val="single" w:color="auto" w:sz="4" w:space="0"/>
              <w:right w:val="single" w:color="auto" w:sz="4" w:space="0"/>
            </w:tcBorders>
            <w:noWrap/>
            <w:vAlign w:val="center"/>
          </w:tcPr>
          <w:p w14:paraId="08697DF0">
            <w:pPr>
              <w:jc w:val="center"/>
              <w:rPr>
                <w:rFonts w:hint="eastAsia" w:ascii="宋体" w:hAnsi="宋体" w:eastAsia="宋体" w:cs="宋体"/>
                <w:b/>
                <w:bCs/>
                <w:sz w:val="18"/>
                <w:szCs w:val="18"/>
              </w:rPr>
            </w:pPr>
            <w:r>
              <w:rPr>
                <w:rFonts w:hint="eastAsia" w:ascii="宋体" w:hAnsi="宋体" w:eastAsia="宋体" w:cs="宋体"/>
                <w:b/>
                <w:bCs/>
                <w:sz w:val="18"/>
                <w:szCs w:val="18"/>
              </w:rPr>
              <w:t>实际完成情况</w:t>
            </w:r>
          </w:p>
        </w:tc>
        <w:tc>
          <w:tcPr>
            <w:tcW w:w="284" w:type="dxa"/>
            <w:tcBorders>
              <w:top w:val="nil"/>
              <w:left w:val="nil"/>
              <w:bottom w:val="nil"/>
              <w:right w:val="nil"/>
            </w:tcBorders>
            <w:noWrap/>
            <w:vAlign w:val="center"/>
          </w:tcPr>
          <w:p w14:paraId="52110E58">
            <w:pPr>
              <w:rPr>
                <w:rFonts w:hint="eastAsia" w:ascii="宋体" w:hAnsi="宋体" w:eastAsia="宋体" w:cs="宋体"/>
                <w:b/>
                <w:bCs/>
                <w:sz w:val="18"/>
                <w:szCs w:val="18"/>
              </w:rPr>
            </w:pPr>
          </w:p>
        </w:tc>
      </w:tr>
      <w:tr w14:paraId="22A1694A">
        <w:tblPrEx>
          <w:tblCellMar>
            <w:top w:w="0" w:type="dxa"/>
            <w:left w:w="108" w:type="dxa"/>
            <w:bottom w:w="0" w:type="dxa"/>
            <w:right w:w="108" w:type="dxa"/>
          </w:tblCellMar>
        </w:tblPrEx>
        <w:trPr>
          <w:cantSplit/>
          <w:trHeight w:val="70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4910211D">
            <w:pPr>
              <w:rPr>
                <w:rFonts w:hint="eastAsia" w:ascii="宋体" w:hAnsi="宋体" w:eastAsia="宋体" w:cs="宋体"/>
                <w:b/>
                <w:bCs/>
                <w:sz w:val="18"/>
                <w:szCs w:val="18"/>
              </w:rPr>
            </w:pPr>
          </w:p>
        </w:tc>
        <w:tc>
          <w:tcPr>
            <w:tcW w:w="4111" w:type="dxa"/>
            <w:gridSpan w:val="3"/>
            <w:tcBorders>
              <w:top w:val="single" w:color="auto" w:sz="4" w:space="0"/>
              <w:left w:val="nil"/>
              <w:bottom w:val="single" w:color="auto" w:sz="4" w:space="0"/>
              <w:right w:val="single" w:color="auto" w:sz="4" w:space="0"/>
            </w:tcBorders>
          </w:tcPr>
          <w:p w14:paraId="0AD32FAD">
            <w:pPr>
              <w:rPr>
                <w:rFonts w:hint="eastAsia" w:ascii="宋体" w:hAnsi="宋体" w:eastAsia="宋体" w:cs="宋体"/>
                <w:sz w:val="18"/>
                <w:szCs w:val="18"/>
                <w:lang w:eastAsia="zh-CN"/>
              </w:rPr>
            </w:pPr>
            <w:r>
              <w:rPr>
                <w:rFonts w:hint="eastAsia" w:ascii="宋体" w:hAnsi="宋体" w:eastAsia="宋体" w:cs="宋体"/>
                <w:sz w:val="18"/>
                <w:szCs w:val="18"/>
                <w:lang w:eastAsia="zh-CN"/>
              </w:rPr>
              <w:t>加强机构编制管理，持续深化党政机构改革，乡镇机构改革、深化行政执法领域体制机制改革，完善权责清单动态调整机制，事业单位法人年检工作如期完成，为奇台县经济高质量发展提供坚强保障。</w:t>
            </w:r>
          </w:p>
        </w:tc>
        <w:tc>
          <w:tcPr>
            <w:tcW w:w="4547" w:type="dxa"/>
            <w:gridSpan w:val="4"/>
            <w:tcBorders>
              <w:top w:val="single" w:color="auto" w:sz="4" w:space="0"/>
              <w:left w:val="nil"/>
              <w:bottom w:val="single" w:color="auto" w:sz="4" w:space="0"/>
              <w:right w:val="single" w:color="auto" w:sz="4" w:space="0"/>
            </w:tcBorders>
          </w:tcPr>
          <w:p w14:paraId="62D8C707">
            <w:pPr>
              <w:rPr>
                <w:rFonts w:hint="eastAsia" w:ascii="宋体" w:hAnsi="宋体" w:eastAsia="宋体" w:cs="宋体"/>
                <w:sz w:val="18"/>
                <w:szCs w:val="18"/>
                <w:lang w:eastAsia="zh-CN"/>
              </w:rPr>
            </w:pPr>
            <w:r>
              <w:rPr>
                <w:rFonts w:hint="eastAsia" w:ascii="宋体" w:hAnsi="宋体" w:eastAsia="宋体" w:cs="宋体"/>
                <w:sz w:val="18"/>
                <w:szCs w:val="18"/>
                <w:lang w:eastAsia="zh-CN"/>
              </w:rPr>
              <w:t>2024年我单位全年预算数243.74万元，全年执行数243.74万元，总预算执行率为100%。2024年我单位完成以下工作内容：一是完成党政机构改革数量36个。二是持续深化乡镇机构改革16个；三是深化综合行政执法改革数量21个；四是全县各部门权责清单动态调整29个部门；五是审核各部门法人年检报告158家。通过以上工作的实施，完善了各部门职责，优化机构编制资源，推动机构编制工作向纵深发展。</w:t>
            </w:r>
          </w:p>
        </w:tc>
        <w:tc>
          <w:tcPr>
            <w:tcW w:w="284" w:type="dxa"/>
            <w:tcBorders>
              <w:top w:val="nil"/>
              <w:left w:val="nil"/>
              <w:bottom w:val="nil"/>
              <w:right w:val="nil"/>
            </w:tcBorders>
            <w:noWrap/>
            <w:vAlign w:val="center"/>
          </w:tcPr>
          <w:p w14:paraId="315846D0">
            <w:pPr>
              <w:rPr>
                <w:rFonts w:hint="eastAsia" w:ascii="宋体" w:hAnsi="宋体" w:eastAsia="宋体" w:cs="宋体"/>
                <w:sz w:val="18"/>
                <w:szCs w:val="18"/>
                <w:lang w:eastAsia="zh-CN"/>
              </w:rPr>
            </w:pPr>
          </w:p>
        </w:tc>
      </w:tr>
      <w:tr w14:paraId="4B7A7541">
        <w:tblPrEx>
          <w:tblCellMar>
            <w:top w:w="0" w:type="dxa"/>
            <w:left w:w="108" w:type="dxa"/>
            <w:bottom w:w="0" w:type="dxa"/>
            <w:right w:w="108" w:type="dxa"/>
          </w:tblCellMar>
        </w:tblPrEx>
        <w:trPr>
          <w:cantSplit/>
          <w:trHeight w:val="716" w:hRule="atLeast"/>
        </w:trPr>
        <w:tc>
          <w:tcPr>
            <w:tcW w:w="993" w:type="dxa"/>
            <w:tcBorders>
              <w:top w:val="single" w:color="auto" w:sz="4" w:space="0"/>
              <w:left w:val="single" w:color="auto" w:sz="4" w:space="0"/>
              <w:bottom w:val="single" w:color="auto" w:sz="4" w:space="0"/>
              <w:right w:val="single" w:color="auto" w:sz="4" w:space="0"/>
            </w:tcBorders>
            <w:vAlign w:val="center"/>
          </w:tcPr>
          <w:p w14:paraId="2550F98D">
            <w:pPr>
              <w:jc w:val="center"/>
              <w:rPr>
                <w:rFonts w:hint="eastAsia" w:ascii="宋体" w:hAnsi="宋体" w:eastAsia="宋体" w:cs="宋体"/>
                <w:b/>
                <w:bCs/>
                <w:sz w:val="18"/>
                <w:szCs w:val="18"/>
              </w:rPr>
            </w:pPr>
            <w:r>
              <w:rPr>
                <w:rFonts w:hint="eastAsia" w:ascii="宋体" w:hAnsi="宋体" w:eastAsia="宋体" w:cs="宋体"/>
                <w:b/>
                <w:bCs/>
                <w:sz w:val="18"/>
                <w:szCs w:val="18"/>
              </w:rPr>
              <w:t>一级指标</w:t>
            </w:r>
          </w:p>
        </w:tc>
        <w:tc>
          <w:tcPr>
            <w:tcW w:w="1417" w:type="dxa"/>
            <w:tcBorders>
              <w:top w:val="nil"/>
              <w:left w:val="nil"/>
              <w:bottom w:val="single" w:color="auto" w:sz="4" w:space="0"/>
              <w:right w:val="single" w:color="auto" w:sz="4" w:space="0"/>
            </w:tcBorders>
            <w:vAlign w:val="center"/>
          </w:tcPr>
          <w:p w14:paraId="2E825C82">
            <w:pPr>
              <w:jc w:val="center"/>
              <w:rPr>
                <w:rFonts w:hint="eastAsia" w:ascii="宋体" w:hAnsi="宋体" w:eastAsia="宋体" w:cs="宋体"/>
                <w:b/>
                <w:bCs/>
                <w:sz w:val="18"/>
                <w:szCs w:val="18"/>
              </w:rPr>
            </w:pPr>
            <w:r>
              <w:rPr>
                <w:rFonts w:hint="eastAsia" w:ascii="宋体" w:hAnsi="宋体" w:eastAsia="宋体" w:cs="宋体"/>
                <w:b/>
                <w:bCs/>
                <w:sz w:val="18"/>
                <w:szCs w:val="18"/>
              </w:rPr>
              <w:t>二级指标</w:t>
            </w:r>
          </w:p>
        </w:tc>
        <w:tc>
          <w:tcPr>
            <w:tcW w:w="1418" w:type="dxa"/>
            <w:tcBorders>
              <w:top w:val="nil"/>
              <w:left w:val="nil"/>
              <w:bottom w:val="single" w:color="auto" w:sz="4" w:space="0"/>
              <w:right w:val="single" w:color="auto" w:sz="4" w:space="0"/>
            </w:tcBorders>
            <w:vAlign w:val="center"/>
          </w:tcPr>
          <w:p w14:paraId="5A23A93D">
            <w:pPr>
              <w:jc w:val="center"/>
              <w:rPr>
                <w:rFonts w:hint="eastAsia" w:ascii="宋体" w:hAnsi="宋体" w:eastAsia="宋体" w:cs="宋体"/>
                <w:b/>
                <w:bCs/>
                <w:sz w:val="18"/>
                <w:szCs w:val="18"/>
              </w:rPr>
            </w:pPr>
            <w:r>
              <w:rPr>
                <w:rFonts w:hint="eastAsia" w:ascii="宋体" w:hAnsi="宋体" w:eastAsia="宋体" w:cs="宋体"/>
                <w:b/>
                <w:bCs/>
                <w:sz w:val="18"/>
                <w:szCs w:val="18"/>
              </w:rPr>
              <w:t>三级指标</w:t>
            </w:r>
          </w:p>
        </w:tc>
        <w:tc>
          <w:tcPr>
            <w:tcW w:w="1276" w:type="dxa"/>
            <w:tcBorders>
              <w:top w:val="nil"/>
              <w:left w:val="nil"/>
              <w:bottom w:val="single" w:color="auto" w:sz="4" w:space="0"/>
              <w:right w:val="single" w:color="auto" w:sz="4" w:space="0"/>
            </w:tcBorders>
            <w:vAlign w:val="center"/>
          </w:tcPr>
          <w:p w14:paraId="252063FA">
            <w:pPr>
              <w:jc w:val="center"/>
              <w:rPr>
                <w:rFonts w:hint="eastAsia" w:ascii="宋体" w:hAnsi="宋体" w:eastAsia="宋体" w:cs="宋体"/>
                <w:b/>
                <w:bCs/>
                <w:sz w:val="18"/>
                <w:szCs w:val="18"/>
              </w:rPr>
            </w:pPr>
            <w:r>
              <w:rPr>
                <w:rFonts w:hint="eastAsia" w:ascii="宋体" w:hAnsi="宋体" w:eastAsia="宋体" w:cs="宋体"/>
                <w:b/>
                <w:bCs/>
                <w:sz w:val="18"/>
                <w:szCs w:val="18"/>
              </w:rPr>
              <w:t>预期指标值</w:t>
            </w:r>
          </w:p>
        </w:tc>
        <w:tc>
          <w:tcPr>
            <w:tcW w:w="1842" w:type="dxa"/>
            <w:tcBorders>
              <w:top w:val="nil"/>
              <w:left w:val="nil"/>
              <w:bottom w:val="single" w:color="auto" w:sz="4" w:space="0"/>
              <w:right w:val="single" w:color="auto" w:sz="4" w:space="0"/>
            </w:tcBorders>
            <w:vAlign w:val="center"/>
          </w:tcPr>
          <w:p w14:paraId="66A826FD">
            <w:pPr>
              <w:jc w:val="center"/>
              <w:rPr>
                <w:rFonts w:hint="eastAsia" w:ascii="宋体" w:hAnsi="宋体" w:eastAsia="宋体" w:cs="宋体"/>
                <w:b/>
                <w:bCs/>
                <w:sz w:val="18"/>
                <w:szCs w:val="18"/>
              </w:rPr>
            </w:pPr>
            <w:r>
              <w:rPr>
                <w:rFonts w:hint="eastAsia" w:ascii="宋体" w:hAnsi="宋体" w:eastAsia="宋体" w:cs="宋体"/>
                <w:b/>
                <w:bCs/>
                <w:sz w:val="18"/>
                <w:szCs w:val="18"/>
              </w:rPr>
              <w:t>指标值设定依据</w:t>
            </w:r>
          </w:p>
        </w:tc>
        <w:tc>
          <w:tcPr>
            <w:tcW w:w="993" w:type="dxa"/>
            <w:tcBorders>
              <w:top w:val="nil"/>
              <w:left w:val="nil"/>
              <w:bottom w:val="single" w:color="auto" w:sz="4" w:space="0"/>
              <w:right w:val="single" w:color="auto" w:sz="4" w:space="0"/>
            </w:tcBorders>
            <w:vAlign w:val="center"/>
          </w:tcPr>
          <w:p w14:paraId="5BECA873">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992" w:type="dxa"/>
            <w:tcBorders>
              <w:top w:val="nil"/>
              <w:left w:val="nil"/>
              <w:bottom w:val="single" w:color="auto" w:sz="4" w:space="0"/>
              <w:right w:val="single" w:color="auto" w:sz="4" w:space="0"/>
            </w:tcBorders>
            <w:vAlign w:val="center"/>
          </w:tcPr>
          <w:p w14:paraId="21073D3D">
            <w:pPr>
              <w:jc w:val="center"/>
              <w:rPr>
                <w:rFonts w:hint="eastAsia" w:ascii="宋体" w:hAnsi="宋体" w:eastAsia="宋体" w:cs="宋体"/>
                <w:b/>
                <w:bCs/>
                <w:sz w:val="18"/>
                <w:szCs w:val="18"/>
              </w:rPr>
            </w:pPr>
            <w:r>
              <w:rPr>
                <w:rFonts w:hint="eastAsia" w:ascii="宋体" w:hAnsi="宋体" w:eastAsia="宋体" w:cs="宋体"/>
                <w:b/>
                <w:bCs/>
                <w:sz w:val="18"/>
                <w:szCs w:val="18"/>
              </w:rPr>
              <w:t>实际完成指标值</w:t>
            </w:r>
          </w:p>
        </w:tc>
        <w:tc>
          <w:tcPr>
            <w:tcW w:w="720" w:type="dxa"/>
            <w:tcBorders>
              <w:top w:val="nil"/>
              <w:left w:val="nil"/>
              <w:bottom w:val="single" w:color="auto" w:sz="4" w:space="0"/>
              <w:right w:val="single" w:color="auto" w:sz="4" w:space="0"/>
            </w:tcBorders>
            <w:vAlign w:val="center"/>
          </w:tcPr>
          <w:p w14:paraId="2DC5117F">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c>
          <w:tcPr>
            <w:tcW w:w="284" w:type="dxa"/>
            <w:tcBorders>
              <w:top w:val="nil"/>
              <w:left w:val="nil"/>
              <w:bottom w:val="nil"/>
              <w:right w:val="nil"/>
            </w:tcBorders>
            <w:noWrap/>
            <w:vAlign w:val="center"/>
          </w:tcPr>
          <w:p w14:paraId="7C3D01C9">
            <w:pPr>
              <w:rPr>
                <w:rFonts w:hint="eastAsia" w:ascii="宋体" w:hAnsi="宋体" w:eastAsia="宋体" w:cs="宋体"/>
                <w:b/>
                <w:bCs/>
                <w:sz w:val="18"/>
                <w:szCs w:val="18"/>
              </w:rPr>
            </w:pPr>
          </w:p>
        </w:tc>
      </w:tr>
      <w:tr w14:paraId="20B29C99">
        <w:tblPrEx>
          <w:tblCellMar>
            <w:top w:w="0" w:type="dxa"/>
            <w:left w:w="108" w:type="dxa"/>
            <w:bottom w:w="0" w:type="dxa"/>
            <w:right w:w="108" w:type="dxa"/>
          </w:tblCellMar>
        </w:tblPrEx>
        <w:trPr>
          <w:cantSplit/>
          <w:trHeight w:val="740" w:hRule="atLeast"/>
        </w:trPr>
        <w:tc>
          <w:tcPr>
            <w:tcW w:w="993" w:type="dxa"/>
            <w:vMerge w:val="restart"/>
            <w:tcBorders>
              <w:top w:val="single" w:color="auto" w:sz="4" w:space="0"/>
              <w:left w:val="single" w:color="auto" w:sz="4" w:space="0"/>
              <w:right w:val="single" w:color="auto" w:sz="4" w:space="0"/>
            </w:tcBorders>
            <w:noWrap/>
            <w:vAlign w:val="center"/>
          </w:tcPr>
          <w:p w14:paraId="33F1148F">
            <w:pPr>
              <w:jc w:val="center"/>
              <w:rPr>
                <w:rFonts w:hint="eastAsia" w:ascii="宋体" w:hAnsi="宋体" w:eastAsia="宋体" w:cs="宋体"/>
                <w:sz w:val="18"/>
                <w:szCs w:val="18"/>
              </w:rPr>
            </w:pPr>
            <w:r>
              <w:rPr>
                <w:rFonts w:hint="eastAsia" w:ascii="宋体" w:hAnsi="宋体" w:eastAsia="宋体" w:cs="宋体"/>
                <w:sz w:val="18"/>
                <w:szCs w:val="18"/>
              </w:rPr>
              <w:t>履职效能</w:t>
            </w:r>
          </w:p>
        </w:tc>
        <w:tc>
          <w:tcPr>
            <w:tcW w:w="1417" w:type="dxa"/>
            <w:vMerge w:val="restart"/>
            <w:tcBorders>
              <w:top w:val="nil"/>
              <w:left w:val="nil"/>
              <w:right w:val="single" w:color="auto" w:sz="4" w:space="0"/>
            </w:tcBorders>
            <w:noWrap/>
            <w:vAlign w:val="center"/>
          </w:tcPr>
          <w:p w14:paraId="42AE728A">
            <w:pPr>
              <w:jc w:val="center"/>
              <w:rPr>
                <w:rFonts w:hint="eastAsia" w:ascii="宋体" w:hAnsi="宋体" w:eastAsia="宋体" w:cs="宋体"/>
                <w:sz w:val="18"/>
                <w:szCs w:val="18"/>
              </w:rPr>
            </w:pPr>
            <w:r>
              <w:rPr>
                <w:rFonts w:hint="eastAsia" w:ascii="宋体" w:hAnsi="宋体" w:eastAsia="宋体" w:cs="宋体"/>
                <w:sz w:val="18"/>
                <w:szCs w:val="18"/>
              </w:rPr>
              <w:t>数量指标</w:t>
            </w:r>
          </w:p>
        </w:tc>
        <w:tc>
          <w:tcPr>
            <w:tcW w:w="1418" w:type="dxa"/>
            <w:tcBorders>
              <w:top w:val="nil"/>
              <w:left w:val="nil"/>
              <w:bottom w:val="single" w:color="auto" w:sz="4" w:space="0"/>
              <w:right w:val="single" w:color="auto" w:sz="4" w:space="0"/>
            </w:tcBorders>
            <w:noWrap/>
            <w:vAlign w:val="center"/>
          </w:tcPr>
          <w:p w14:paraId="396CE1A3">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深化党政机构改革数量</w:t>
            </w:r>
          </w:p>
        </w:tc>
        <w:tc>
          <w:tcPr>
            <w:tcW w:w="1276" w:type="dxa"/>
            <w:tcBorders>
              <w:top w:val="nil"/>
              <w:left w:val="nil"/>
              <w:bottom w:val="single" w:color="auto" w:sz="4" w:space="0"/>
              <w:right w:val="single" w:color="auto" w:sz="4" w:space="0"/>
            </w:tcBorders>
            <w:noWrap/>
            <w:vAlign w:val="center"/>
          </w:tcPr>
          <w:p w14:paraId="21190B53">
            <w:pPr>
              <w:jc w:val="center"/>
              <w:rPr>
                <w:rFonts w:hint="eastAsia" w:ascii="宋体" w:hAnsi="宋体" w:eastAsia="宋体" w:cs="宋体"/>
                <w:sz w:val="18"/>
                <w:szCs w:val="18"/>
              </w:rPr>
            </w:pPr>
            <w:r>
              <w:rPr>
                <w:rFonts w:hint="eastAsia" w:ascii="宋体" w:hAnsi="宋体" w:eastAsia="宋体" w:cs="宋体"/>
                <w:sz w:val="18"/>
                <w:szCs w:val="18"/>
              </w:rPr>
              <w:t>&lt;=36个</w:t>
            </w:r>
          </w:p>
        </w:tc>
        <w:tc>
          <w:tcPr>
            <w:tcW w:w="1842" w:type="dxa"/>
            <w:tcBorders>
              <w:top w:val="nil"/>
              <w:left w:val="nil"/>
              <w:bottom w:val="single" w:color="auto" w:sz="4" w:space="0"/>
              <w:right w:val="single" w:color="auto" w:sz="4" w:space="0"/>
            </w:tcBorders>
            <w:noWrap/>
            <w:vAlign w:val="center"/>
          </w:tcPr>
          <w:p w14:paraId="58D43236">
            <w:pPr>
              <w:rPr>
                <w:rFonts w:hint="eastAsia" w:ascii="宋体" w:hAnsi="宋体" w:eastAsia="宋体" w:cs="宋体"/>
                <w:sz w:val="18"/>
                <w:szCs w:val="18"/>
              </w:rPr>
            </w:pPr>
            <w:r>
              <w:rPr>
                <w:rFonts w:hint="eastAsia" w:ascii="宋体" w:hAnsi="宋体" w:eastAsia="宋体" w:cs="宋体"/>
                <w:sz w:val="18"/>
                <w:szCs w:val="18"/>
              </w:rPr>
              <w:t>县委编办工作要点</w:t>
            </w:r>
          </w:p>
        </w:tc>
        <w:tc>
          <w:tcPr>
            <w:tcW w:w="993" w:type="dxa"/>
            <w:tcBorders>
              <w:top w:val="nil"/>
              <w:left w:val="nil"/>
              <w:bottom w:val="single" w:color="auto" w:sz="4" w:space="0"/>
              <w:right w:val="single" w:color="auto" w:sz="4" w:space="0"/>
            </w:tcBorders>
            <w:noWrap/>
            <w:vAlign w:val="center"/>
          </w:tcPr>
          <w:p w14:paraId="5F973142">
            <w:pPr>
              <w:jc w:val="center"/>
              <w:rPr>
                <w:rFonts w:hint="eastAsia" w:ascii="宋体" w:hAnsi="宋体" w:eastAsia="宋体" w:cs="宋体"/>
                <w:sz w:val="18"/>
                <w:szCs w:val="18"/>
              </w:rPr>
            </w:pPr>
            <w:r>
              <w:rPr>
                <w:rFonts w:hint="eastAsia" w:ascii="宋体" w:hAnsi="宋体" w:eastAsia="宋体" w:cs="宋体"/>
                <w:sz w:val="18"/>
                <w:szCs w:val="18"/>
              </w:rPr>
              <w:t>18</w:t>
            </w:r>
          </w:p>
        </w:tc>
        <w:tc>
          <w:tcPr>
            <w:tcW w:w="992" w:type="dxa"/>
            <w:tcBorders>
              <w:top w:val="nil"/>
              <w:left w:val="nil"/>
              <w:bottom w:val="single" w:color="auto" w:sz="4" w:space="0"/>
              <w:right w:val="single" w:color="auto" w:sz="4" w:space="0"/>
            </w:tcBorders>
            <w:noWrap/>
            <w:vAlign w:val="center"/>
          </w:tcPr>
          <w:p w14:paraId="4649A38B">
            <w:pPr>
              <w:jc w:val="center"/>
              <w:rPr>
                <w:rFonts w:hint="eastAsia" w:ascii="宋体" w:hAnsi="宋体" w:eastAsia="宋体" w:cs="宋体"/>
                <w:sz w:val="18"/>
                <w:szCs w:val="18"/>
              </w:rPr>
            </w:pPr>
            <w:r>
              <w:rPr>
                <w:rFonts w:hint="eastAsia" w:ascii="宋体" w:hAnsi="宋体" w:eastAsia="宋体" w:cs="宋体"/>
                <w:sz w:val="18"/>
                <w:szCs w:val="18"/>
              </w:rPr>
              <w:t>=36个</w:t>
            </w:r>
          </w:p>
        </w:tc>
        <w:tc>
          <w:tcPr>
            <w:tcW w:w="720" w:type="dxa"/>
            <w:tcBorders>
              <w:top w:val="nil"/>
              <w:left w:val="nil"/>
              <w:bottom w:val="single" w:color="auto" w:sz="4" w:space="0"/>
              <w:right w:val="single" w:color="auto" w:sz="4" w:space="0"/>
            </w:tcBorders>
            <w:noWrap/>
            <w:vAlign w:val="center"/>
          </w:tcPr>
          <w:p w14:paraId="1213DAEC">
            <w:pPr>
              <w:jc w:val="center"/>
              <w:rPr>
                <w:rFonts w:hint="eastAsia" w:ascii="宋体" w:hAnsi="宋体" w:eastAsia="宋体" w:cs="宋体"/>
                <w:sz w:val="18"/>
                <w:szCs w:val="18"/>
              </w:rPr>
            </w:pPr>
            <w:r>
              <w:rPr>
                <w:rFonts w:hint="eastAsia" w:ascii="宋体" w:hAnsi="宋体" w:eastAsia="宋体" w:cs="宋体"/>
                <w:sz w:val="18"/>
                <w:szCs w:val="18"/>
              </w:rPr>
              <w:t>18</w:t>
            </w:r>
          </w:p>
        </w:tc>
        <w:tc>
          <w:tcPr>
            <w:tcW w:w="284" w:type="dxa"/>
            <w:tcBorders>
              <w:top w:val="nil"/>
              <w:left w:val="nil"/>
              <w:bottom w:val="nil"/>
              <w:right w:val="nil"/>
            </w:tcBorders>
            <w:noWrap/>
            <w:vAlign w:val="center"/>
          </w:tcPr>
          <w:p w14:paraId="1EC257E5">
            <w:pPr>
              <w:jc w:val="center"/>
              <w:rPr>
                <w:rFonts w:hint="eastAsia" w:ascii="宋体" w:hAnsi="宋体" w:eastAsia="宋体" w:cs="宋体"/>
                <w:sz w:val="18"/>
                <w:szCs w:val="18"/>
              </w:rPr>
            </w:pPr>
          </w:p>
        </w:tc>
      </w:tr>
      <w:tr w14:paraId="1F1D7B61">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7F2E5A17">
            <w:pPr>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3043339F">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1D2019A1">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深化乡镇机构改革数量</w:t>
            </w:r>
          </w:p>
        </w:tc>
        <w:tc>
          <w:tcPr>
            <w:tcW w:w="1276" w:type="dxa"/>
            <w:tcBorders>
              <w:top w:val="nil"/>
              <w:left w:val="nil"/>
              <w:bottom w:val="single" w:color="auto" w:sz="4" w:space="0"/>
              <w:right w:val="single" w:color="auto" w:sz="4" w:space="0"/>
            </w:tcBorders>
            <w:noWrap/>
            <w:vAlign w:val="center"/>
          </w:tcPr>
          <w:p w14:paraId="7383F82C">
            <w:pPr>
              <w:jc w:val="center"/>
              <w:rPr>
                <w:rFonts w:hint="eastAsia" w:ascii="宋体" w:hAnsi="宋体" w:eastAsia="宋体" w:cs="宋体"/>
                <w:sz w:val="18"/>
                <w:szCs w:val="18"/>
              </w:rPr>
            </w:pPr>
            <w:r>
              <w:rPr>
                <w:rFonts w:hint="eastAsia" w:ascii="宋体" w:hAnsi="宋体" w:eastAsia="宋体" w:cs="宋体"/>
                <w:sz w:val="18"/>
                <w:szCs w:val="18"/>
              </w:rPr>
              <w:t>&lt;=16个</w:t>
            </w:r>
          </w:p>
        </w:tc>
        <w:tc>
          <w:tcPr>
            <w:tcW w:w="1842" w:type="dxa"/>
            <w:tcBorders>
              <w:top w:val="nil"/>
              <w:left w:val="nil"/>
              <w:bottom w:val="single" w:color="auto" w:sz="4" w:space="0"/>
              <w:right w:val="single" w:color="auto" w:sz="4" w:space="0"/>
            </w:tcBorders>
            <w:noWrap/>
            <w:vAlign w:val="center"/>
          </w:tcPr>
          <w:p w14:paraId="28D4A327">
            <w:pPr>
              <w:rPr>
                <w:rFonts w:hint="eastAsia" w:ascii="宋体" w:hAnsi="宋体" w:eastAsia="宋体" w:cs="宋体"/>
                <w:sz w:val="18"/>
                <w:szCs w:val="18"/>
              </w:rPr>
            </w:pPr>
            <w:r>
              <w:rPr>
                <w:rFonts w:hint="eastAsia" w:ascii="宋体" w:hAnsi="宋体" w:eastAsia="宋体" w:cs="宋体"/>
                <w:sz w:val="18"/>
                <w:szCs w:val="18"/>
              </w:rPr>
              <w:t>县委编办2024年工作要点</w:t>
            </w:r>
          </w:p>
        </w:tc>
        <w:tc>
          <w:tcPr>
            <w:tcW w:w="993" w:type="dxa"/>
            <w:tcBorders>
              <w:top w:val="nil"/>
              <w:left w:val="nil"/>
              <w:bottom w:val="single" w:color="auto" w:sz="4" w:space="0"/>
              <w:right w:val="single" w:color="auto" w:sz="4" w:space="0"/>
            </w:tcBorders>
            <w:noWrap/>
            <w:vAlign w:val="center"/>
          </w:tcPr>
          <w:p w14:paraId="0083C9B1">
            <w:pPr>
              <w:jc w:val="center"/>
              <w:rPr>
                <w:rFonts w:hint="eastAsia" w:ascii="宋体" w:hAnsi="宋体" w:eastAsia="宋体" w:cs="宋体"/>
                <w:sz w:val="18"/>
                <w:szCs w:val="18"/>
              </w:rPr>
            </w:pPr>
            <w:r>
              <w:rPr>
                <w:rFonts w:hint="eastAsia" w:ascii="宋体" w:hAnsi="宋体" w:eastAsia="宋体" w:cs="宋体"/>
                <w:sz w:val="18"/>
                <w:szCs w:val="18"/>
              </w:rPr>
              <w:t>18</w:t>
            </w:r>
          </w:p>
        </w:tc>
        <w:tc>
          <w:tcPr>
            <w:tcW w:w="992" w:type="dxa"/>
            <w:tcBorders>
              <w:top w:val="nil"/>
              <w:left w:val="nil"/>
              <w:bottom w:val="single" w:color="auto" w:sz="4" w:space="0"/>
              <w:right w:val="single" w:color="auto" w:sz="4" w:space="0"/>
            </w:tcBorders>
            <w:noWrap/>
            <w:vAlign w:val="center"/>
          </w:tcPr>
          <w:p w14:paraId="5ADD3975">
            <w:pPr>
              <w:jc w:val="center"/>
              <w:rPr>
                <w:rFonts w:hint="eastAsia" w:ascii="宋体" w:hAnsi="宋体" w:eastAsia="宋体" w:cs="宋体"/>
                <w:sz w:val="18"/>
                <w:szCs w:val="18"/>
              </w:rPr>
            </w:pPr>
            <w:r>
              <w:rPr>
                <w:rFonts w:hint="eastAsia" w:ascii="宋体" w:hAnsi="宋体" w:eastAsia="宋体" w:cs="宋体"/>
                <w:sz w:val="18"/>
                <w:szCs w:val="18"/>
              </w:rPr>
              <w:t>=16个</w:t>
            </w:r>
          </w:p>
        </w:tc>
        <w:tc>
          <w:tcPr>
            <w:tcW w:w="720" w:type="dxa"/>
            <w:tcBorders>
              <w:top w:val="nil"/>
              <w:left w:val="nil"/>
              <w:bottom w:val="single" w:color="auto" w:sz="4" w:space="0"/>
              <w:right w:val="single" w:color="auto" w:sz="4" w:space="0"/>
            </w:tcBorders>
            <w:noWrap/>
            <w:vAlign w:val="center"/>
          </w:tcPr>
          <w:p w14:paraId="73F21325">
            <w:pPr>
              <w:jc w:val="center"/>
              <w:rPr>
                <w:rFonts w:hint="eastAsia" w:ascii="宋体" w:hAnsi="宋体" w:eastAsia="宋体" w:cs="宋体"/>
                <w:sz w:val="18"/>
                <w:szCs w:val="18"/>
              </w:rPr>
            </w:pPr>
            <w:r>
              <w:rPr>
                <w:rFonts w:hint="eastAsia" w:ascii="宋体" w:hAnsi="宋体" w:eastAsia="宋体" w:cs="宋体"/>
                <w:sz w:val="18"/>
                <w:szCs w:val="18"/>
              </w:rPr>
              <w:t>18</w:t>
            </w:r>
          </w:p>
        </w:tc>
        <w:tc>
          <w:tcPr>
            <w:tcW w:w="284" w:type="dxa"/>
            <w:tcBorders>
              <w:top w:val="nil"/>
              <w:left w:val="nil"/>
              <w:bottom w:val="nil"/>
              <w:right w:val="nil"/>
            </w:tcBorders>
            <w:noWrap/>
            <w:vAlign w:val="center"/>
          </w:tcPr>
          <w:p w14:paraId="28D56F59">
            <w:pPr>
              <w:jc w:val="center"/>
              <w:rPr>
                <w:rFonts w:hint="eastAsia" w:ascii="宋体" w:hAnsi="宋体" w:eastAsia="宋体" w:cs="宋体"/>
                <w:sz w:val="18"/>
                <w:szCs w:val="18"/>
              </w:rPr>
            </w:pPr>
          </w:p>
        </w:tc>
      </w:tr>
      <w:tr w14:paraId="0C84B366">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49130E1B">
            <w:pPr>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7B1101CA">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567E965F">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持续深化综合行政执法改革数量</w:t>
            </w:r>
          </w:p>
        </w:tc>
        <w:tc>
          <w:tcPr>
            <w:tcW w:w="1276" w:type="dxa"/>
            <w:tcBorders>
              <w:top w:val="nil"/>
              <w:left w:val="nil"/>
              <w:bottom w:val="single" w:color="auto" w:sz="4" w:space="0"/>
              <w:right w:val="single" w:color="auto" w:sz="4" w:space="0"/>
            </w:tcBorders>
            <w:noWrap/>
            <w:vAlign w:val="center"/>
          </w:tcPr>
          <w:p w14:paraId="515B9B3E">
            <w:pPr>
              <w:jc w:val="center"/>
              <w:rPr>
                <w:rFonts w:hint="eastAsia" w:ascii="宋体" w:hAnsi="宋体" w:eastAsia="宋体" w:cs="宋体"/>
                <w:sz w:val="18"/>
                <w:szCs w:val="18"/>
              </w:rPr>
            </w:pPr>
            <w:r>
              <w:rPr>
                <w:rFonts w:hint="eastAsia" w:ascii="宋体" w:hAnsi="宋体" w:eastAsia="宋体" w:cs="宋体"/>
                <w:sz w:val="18"/>
                <w:szCs w:val="18"/>
              </w:rPr>
              <w:t>&gt;=10个</w:t>
            </w:r>
          </w:p>
        </w:tc>
        <w:tc>
          <w:tcPr>
            <w:tcW w:w="1842" w:type="dxa"/>
            <w:tcBorders>
              <w:top w:val="nil"/>
              <w:left w:val="nil"/>
              <w:bottom w:val="single" w:color="auto" w:sz="4" w:space="0"/>
              <w:right w:val="single" w:color="auto" w:sz="4" w:space="0"/>
            </w:tcBorders>
            <w:noWrap/>
            <w:vAlign w:val="center"/>
          </w:tcPr>
          <w:p w14:paraId="425F8678">
            <w:pPr>
              <w:rPr>
                <w:rFonts w:hint="eastAsia" w:ascii="宋体" w:hAnsi="宋体" w:eastAsia="宋体" w:cs="宋体"/>
                <w:sz w:val="18"/>
                <w:szCs w:val="18"/>
              </w:rPr>
            </w:pPr>
            <w:r>
              <w:rPr>
                <w:rFonts w:hint="eastAsia" w:ascii="宋体" w:hAnsi="宋体" w:eastAsia="宋体" w:cs="宋体"/>
                <w:sz w:val="18"/>
                <w:szCs w:val="18"/>
              </w:rPr>
              <w:t>县委编办2024年工作要点</w:t>
            </w:r>
          </w:p>
        </w:tc>
        <w:tc>
          <w:tcPr>
            <w:tcW w:w="993" w:type="dxa"/>
            <w:tcBorders>
              <w:top w:val="nil"/>
              <w:left w:val="nil"/>
              <w:bottom w:val="single" w:color="auto" w:sz="4" w:space="0"/>
              <w:right w:val="single" w:color="auto" w:sz="4" w:space="0"/>
            </w:tcBorders>
            <w:noWrap/>
            <w:vAlign w:val="center"/>
          </w:tcPr>
          <w:p w14:paraId="65B6877A">
            <w:pPr>
              <w:jc w:val="center"/>
              <w:rPr>
                <w:rFonts w:hint="eastAsia" w:ascii="宋体" w:hAnsi="宋体" w:eastAsia="宋体" w:cs="宋体"/>
                <w:sz w:val="18"/>
                <w:szCs w:val="18"/>
              </w:rPr>
            </w:pPr>
            <w:r>
              <w:rPr>
                <w:rFonts w:hint="eastAsia" w:ascii="宋体" w:hAnsi="宋体" w:eastAsia="宋体" w:cs="宋体"/>
                <w:sz w:val="18"/>
                <w:szCs w:val="18"/>
              </w:rPr>
              <w:t>18</w:t>
            </w:r>
          </w:p>
        </w:tc>
        <w:tc>
          <w:tcPr>
            <w:tcW w:w="992" w:type="dxa"/>
            <w:tcBorders>
              <w:top w:val="nil"/>
              <w:left w:val="nil"/>
              <w:bottom w:val="single" w:color="auto" w:sz="4" w:space="0"/>
              <w:right w:val="single" w:color="auto" w:sz="4" w:space="0"/>
            </w:tcBorders>
            <w:noWrap/>
            <w:vAlign w:val="center"/>
          </w:tcPr>
          <w:p w14:paraId="26784404">
            <w:pPr>
              <w:jc w:val="center"/>
              <w:rPr>
                <w:rFonts w:hint="eastAsia" w:ascii="宋体" w:hAnsi="宋体" w:eastAsia="宋体" w:cs="宋体"/>
                <w:sz w:val="18"/>
                <w:szCs w:val="18"/>
              </w:rPr>
            </w:pPr>
            <w:r>
              <w:rPr>
                <w:rFonts w:hint="eastAsia" w:ascii="宋体" w:hAnsi="宋体" w:eastAsia="宋体" w:cs="宋体"/>
                <w:sz w:val="18"/>
                <w:szCs w:val="18"/>
              </w:rPr>
              <w:t>=21个</w:t>
            </w:r>
          </w:p>
        </w:tc>
        <w:tc>
          <w:tcPr>
            <w:tcW w:w="720" w:type="dxa"/>
            <w:tcBorders>
              <w:top w:val="nil"/>
              <w:left w:val="nil"/>
              <w:bottom w:val="single" w:color="auto" w:sz="4" w:space="0"/>
              <w:right w:val="single" w:color="auto" w:sz="4" w:space="0"/>
            </w:tcBorders>
            <w:noWrap/>
            <w:vAlign w:val="center"/>
          </w:tcPr>
          <w:p w14:paraId="6ED6081F">
            <w:pPr>
              <w:jc w:val="center"/>
              <w:rPr>
                <w:rFonts w:hint="eastAsia" w:ascii="宋体" w:hAnsi="宋体" w:eastAsia="宋体" w:cs="宋体"/>
                <w:sz w:val="18"/>
                <w:szCs w:val="18"/>
              </w:rPr>
            </w:pPr>
            <w:r>
              <w:rPr>
                <w:rFonts w:hint="eastAsia" w:ascii="宋体" w:hAnsi="宋体" w:eastAsia="宋体" w:cs="宋体"/>
                <w:sz w:val="18"/>
                <w:szCs w:val="18"/>
              </w:rPr>
              <w:t>18</w:t>
            </w:r>
          </w:p>
        </w:tc>
        <w:tc>
          <w:tcPr>
            <w:tcW w:w="284" w:type="dxa"/>
            <w:tcBorders>
              <w:top w:val="nil"/>
              <w:left w:val="nil"/>
              <w:bottom w:val="nil"/>
              <w:right w:val="nil"/>
            </w:tcBorders>
            <w:noWrap/>
            <w:vAlign w:val="center"/>
          </w:tcPr>
          <w:p w14:paraId="24026FB8">
            <w:pPr>
              <w:jc w:val="center"/>
              <w:rPr>
                <w:rFonts w:hint="eastAsia" w:ascii="宋体" w:hAnsi="宋体" w:eastAsia="宋体" w:cs="宋体"/>
                <w:sz w:val="18"/>
                <w:szCs w:val="18"/>
              </w:rPr>
            </w:pPr>
          </w:p>
        </w:tc>
      </w:tr>
      <w:tr w14:paraId="4D0C019B">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59E30374">
            <w:pPr>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75086A34">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5EDF50C3">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完善全县各部门权责清单动态调整数量</w:t>
            </w:r>
          </w:p>
        </w:tc>
        <w:tc>
          <w:tcPr>
            <w:tcW w:w="1276" w:type="dxa"/>
            <w:tcBorders>
              <w:top w:val="nil"/>
              <w:left w:val="nil"/>
              <w:bottom w:val="single" w:color="auto" w:sz="4" w:space="0"/>
              <w:right w:val="single" w:color="auto" w:sz="4" w:space="0"/>
            </w:tcBorders>
            <w:noWrap/>
            <w:vAlign w:val="center"/>
          </w:tcPr>
          <w:p w14:paraId="382A3D0E">
            <w:pPr>
              <w:jc w:val="center"/>
              <w:rPr>
                <w:rFonts w:hint="eastAsia" w:ascii="宋体" w:hAnsi="宋体" w:eastAsia="宋体" w:cs="宋体"/>
                <w:sz w:val="18"/>
                <w:szCs w:val="18"/>
              </w:rPr>
            </w:pPr>
            <w:r>
              <w:rPr>
                <w:rFonts w:hint="eastAsia" w:ascii="宋体" w:hAnsi="宋体" w:eastAsia="宋体" w:cs="宋体"/>
                <w:sz w:val="18"/>
                <w:szCs w:val="18"/>
              </w:rPr>
              <w:t>&lt;=29个</w:t>
            </w:r>
          </w:p>
        </w:tc>
        <w:tc>
          <w:tcPr>
            <w:tcW w:w="1842" w:type="dxa"/>
            <w:tcBorders>
              <w:top w:val="nil"/>
              <w:left w:val="nil"/>
              <w:bottom w:val="single" w:color="auto" w:sz="4" w:space="0"/>
              <w:right w:val="single" w:color="auto" w:sz="4" w:space="0"/>
            </w:tcBorders>
            <w:noWrap/>
            <w:vAlign w:val="center"/>
          </w:tcPr>
          <w:p w14:paraId="4775115C">
            <w:pPr>
              <w:rPr>
                <w:rFonts w:hint="eastAsia" w:ascii="宋体" w:hAnsi="宋体" w:eastAsia="宋体" w:cs="宋体"/>
                <w:sz w:val="18"/>
                <w:szCs w:val="18"/>
              </w:rPr>
            </w:pPr>
            <w:r>
              <w:rPr>
                <w:rFonts w:hint="eastAsia" w:ascii="宋体" w:hAnsi="宋体" w:eastAsia="宋体" w:cs="宋体"/>
                <w:sz w:val="18"/>
                <w:szCs w:val="18"/>
              </w:rPr>
              <w:t>县委编办2024年工作要点</w:t>
            </w:r>
          </w:p>
        </w:tc>
        <w:tc>
          <w:tcPr>
            <w:tcW w:w="993" w:type="dxa"/>
            <w:tcBorders>
              <w:top w:val="nil"/>
              <w:left w:val="nil"/>
              <w:bottom w:val="single" w:color="auto" w:sz="4" w:space="0"/>
              <w:right w:val="single" w:color="auto" w:sz="4" w:space="0"/>
            </w:tcBorders>
            <w:noWrap/>
            <w:vAlign w:val="center"/>
          </w:tcPr>
          <w:p w14:paraId="7127D700">
            <w:pPr>
              <w:jc w:val="center"/>
              <w:rPr>
                <w:rFonts w:hint="eastAsia" w:ascii="宋体" w:hAnsi="宋体" w:eastAsia="宋体" w:cs="宋体"/>
                <w:sz w:val="18"/>
                <w:szCs w:val="18"/>
              </w:rPr>
            </w:pPr>
            <w:r>
              <w:rPr>
                <w:rFonts w:hint="eastAsia" w:ascii="宋体" w:hAnsi="宋体" w:eastAsia="宋体" w:cs="宋体"/>
                <w:sz w:val="18"/>
                <w:szCs w:val="18"/>
              </w:rPr>
              <w:t>18</w:t>
            </w:r>
          </w:p>
        </w:tc>
        <w:tc>
          <w:tcPr>
            <w:tcW w:w="992" w:type="dxa"/>
            <w:tcBorders>
              <w:top w:val="nil"/>
              <w:left w:val="nil"/>
              <w:bottom w:val="single" w:color="auto" w:sz="4" w:space="0"/>
              <w:right w:val="single" w:color="auto" w:sz="4" w:space="0"/>
            </w:tcBorders>
            <w:noWrap/>
            <w:vAlign w:val="center"/>
          </w:tcPr>
          <w:p w14:paraId="20702060">
            <w:pPr>
              <w:jc w:val="center"/>
              <w:rPr>
                <w:rFonts w:hint="eastAsia" w:ascii="宋体" w:hAnsi="宋体" w:eastAsia="宋体" w:cs="宋体"/>
                <w:sz w:val="18"/>
                <w:szCs w:val="18"/>
              </w:rPr>
            </w:pPr>
            <w:r>
              <w:rPr>
                <w:rFonts w:hint="eastAsia" w:ascii="宋体" w:hAnsi="宋体" w:eastAsia="宋体" w:cs="宋体"/>
                <w:sz w:val="18"/>
                <w:szCs w:val="18"/>
              </w:rPr>
              <w:t>=29个</w:t>
            </w:r>
          </w:p>
        </w:tc>
        <w:tc>
          <w:tcPr>
            <w:tcW w:w="720" w:type="dxa"/>
            <w:tcBorders>
              <w:top w:val="nil"/>
              <w:left w:val="nil"/>
              <w:bottom w:val="single" w:color="auto" w:sz="4" w:space="0"/>
              <w:right w:val="single" w:color="auto" w:sz="4" w:space="0"/>
            </w:tcBorders>
            <w:noWrap/>
            <w:vAlign w:val="center"/>
          </w:tcPr>
          <w:p w14:paraId="0896C2A5">
            <w:pPr>
              <w:jc w:val="center"/>
              <w:rPr>
                <w:rFonts w:hint="eastAsia" w:ascii="宋体" w:hAnsi="宋体" w:eastAsia="宋体" w:cs="宋体"/>
                <w:sz w:val="18"/>
                <w:szCs w:val="18"/>
              </w:rPr>
            </w:pPr>
            <w:r>
              <w:rPr>
                <w:rFonts w:hint="eastAsia" w:ascii="宋体" w:hAnsi="宋体" w:eastAsia="宋体" w:cs="宋体"/>
                <w:sz w:val="18"/>
                <w:szCs w:val="18"/>
              </w:rPr>
              <w:t>18</w:t>
            </w:r>
          </w:p>
        </w:tc>
        <w:tc>
          <w:tcPr>
            <w:tcW w:w="284" w:type="dxa"/>
            <w:tcBorders>
              <w:top w:val="nil"/>
              <w:left w:val="nil"/>
              <w:bottom w:val="nil"/>
              <w:right w:val="nil"/>
            </w:tcBorders>
            <w:noWrap/>
            <w:vAlign w:val="center"/>
          </w:tcPr>
          <w:p w14:paraId="1AB5D729">
            <w:pPr>
              <w:jc w:val="center"/>
              <w:rPr>
                <w:rFonts w:hint="eastAsia" w:ascii="宋体" w:hAnsi="宋体" w:eastAsia="宋体" w:cs="宋体"/>
                <w:sz w:val="18"/>
                <w:szCs w:val="18"/>
              </w:rPr>
            </w:pPr>
          </w:p>
        </w:tc>
      </w:tr>
      <w:tr w14:paraId="463DB926">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bottom w:val="single" w:color="auto" w:sz="4" w:space="0"/>
              <w:right w:val="single" w:color="auto" w:sz="4" w:space="0"/>
            </w:tcBorders>
            <w:noWrap/>
            <w:vAlign w:val="center"/>
          </w:tcPr>
          <w:p w14:paraId="60A67C9C">
            <w:pPr>
              <w:jc w:val="center"/>
              <w:rPr>
                <w:rFonts w:hint="eastAsia" w:ascii="宋体" w:hAnsi="宋体" w:eastAsia="宋体" w:cs="宋体"/>
                <w:sz w:val="18"/>
                <w:szCs w:val="18"/>
              </w:rPr>
            </w:pPr>
          </w:p>
        </w:tc>
        <w:tc>
          <w:tcPr>
            <w:tcW w:w="1417" w:type="dxa"/>
            <w:vMerge w:val="continue"/>
            <w:tcBorders>
              <w:left w:val="nil"/>
              <w:bottom w:val="single" w:color="auto" w:sz="4" w:space="0"/>
              <w:right w:val="single" w:color="auto" w:sz="4" w:space="0"/>
            </w:tcBorders>
            <w:noWrap/>
            <w:vAlign w:val="center"/>
          </w:tcPr>
          <w:p w14:paraId="6E075CB0">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2B7BBAFC">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审核各部门法人年检报告数量</w:t>
            </w:r>
          </w:p>
        </w:tc>
        <w:tc>
          <w:tcPr>
            <w:tcW w:w="1276" w:type="dxa"/>
            <w:tcBorders>
              <w:top w:val="nil"/>
              <w:left w:val="nil"/>
              <w:bottom w:val="single" w:color="auto" w:sz="4" w:space="0"/>
              <w:right w:val="single" w:color="auto" w:sz="4" w:space="0"/>
            </w:tcBorders>
            <w:noWrap/>
            <w:vAlign w:val="center"/>
          </w:tcPr>
          <w:p w14:paraId="44C11084">
            <w:pPr>
              <w:jc w:val="center"/>
              <w:rPr>
                <w:rFonts w:hint="eastAsia" w:ascii="宋体" w:hAnsi="宋体" w:eastAsia="宋体" w:cs="宋体"/>
                <w:sz w:val="18"/>
                <w:szCs w:val="18"/>
              </w:rPr>
            </w:pPr>
            <w:r>
              <w:rPr>
                <w:rFonts w:hint="eastAsia" w:ascii="宋体" w:hAnsi="宋体" w:eastAsia="宋体" w:cs="宋体"/>
                <w:sz w:val="18"/>
                <w:szCs w:val="18"/>
              </w:rPr>
              <w:t>=158家</w:t>
            </w:r>
          </w:p>
        </w:tc>
        <w:tc>
          <w:tcPr>
            <w:tcW w:w="1842" w:type="dxa"/>
            <w:tcBorders>
              <w:top w:val="nil"/>
              <w:left w:val="nil"/>
              <w:bottom w:val="single" w:color="auto" w:sz="4" w:space="0"/>
              <w:right w:val="single" w:color="auto" w:sz="4" w:space="0"/>
            </w:tcBorders>
            <w:noWrap/>
            <w:vAlign w:val="center"/>
          </w:tcPr>
          <w:p w14:paraId="3DA36FEB">
            <w:pPr>
              <w:rPr>
                <w:rFonts w:hint="eastAsia" w:ascii="宋体" w:hAnsi="宋体" w:eastAsia="宋体" w:cs="宋体"/>
                <w:sz w:val="18"/>
                <w:szCs w:val="18"/>
              </w:rPr>
            </w:pPr>
            <w:r>
              <w:rPr>
                <w:rFonts w:hint="eastAsia" w:ascii="宋体" w:hAnsi="宋体" w:eastAsia="宋体" w:cs="宋体"/>
                <w:sz w:val="18"/>
                <w:szCs w:val="18"/>
              </w:rPr>
              <w:t>县委编办2024年工作要点</w:t>
            </w:r>
          </w:p>
        </w:tc>
        <w:tc>
          <w:tcPr>
            <w:tcW w:w="993" w:type="dxa"/>
            <w:tcBorders>
              <w:top w:val="nil"/>
              <w:left w:val="nil"/>
              <w:bottom w:val="single" w:color="auto" w:sz="4" w:space="0"/>
              <w:right w:val="single" w:color="auto" w:sz="4" w:space="0"/>
            </w:tcBorders>
            <w:noWrap/>
            <w:vAlign w:val="center"/>
          </w:tcPr>
          <w:p w14:paraId="42096DA7">
            <w:pPr>
              <w:jc w:val="center"/>
              <w:rPr>
                <w:rFonts w:hint="eastAsia" w:ascii="宋体" w:hAnsi="宋体" w:eastAsia="宋体" w:cs="宋体"/>
                <w:sz w:val="18"/>
                <w:szCs w:val="18"/>
              </w:rPr>
            </w:pPr>
            <w:r>
              <w:rPr>
                <w:rFonts w:hint="eastAsia" w:ascii="宋体" w:hAnsi="宋体" w:eastAsia="宋体" w:cs="宋体"/>
                <w:sz w:val="18"/>
                <w:szCs w:val="18"/>
              </w:rPr>
              <w:t>18</w:t>
            </w:r>
          </w:p>
        </w:tc>
        <w:tc>
          <w:tcPr>
            <w:tcW w:w="992" w:type="dxa"/>
            <w:tcBorders>
              <w:top w:val="nil"/>
              <w:left w:val="nil"/>
              <w:bottom w:val="single" w:color="auto" w:sz="4" w:space="0"/>
              <w:right w:val="single" w:color="auto" w:sz="4" w:space="0"/>
            </w:tcBorders>
            <w:noWrap/>
            <w:vAlign w:val="center"/>
          </w:tcPr>
          <w:p w14:paraId="7EC06CFE">
            <w:pPr>
              <w:jc w:val="center"/>
              <w:rPr>
                <w:rFonts w:hint="eastAsia" w:ascii="宋体" w:hAnsi="宋体" w:eastAsia="宋体" w:cs="宋体"/>
                <w:sz w:val="18"/>
                <w:szCs w:val="18"/>
              </w:rPr>
            </w:pPr>
            <w:r>
              <w:rPr>
                <w:rFonts w:hint="eastAsia" w:ascii="宋体" w:hAnsi="宋体" w:eastAsia="宋体" w:cs="宋体"/>
                <w:sz w:val="18"/>
                <w:szCs w:val="18"/>
              </w:rPr>
              <w:t>=158家</w:t>
            </w:r>
          </w:p>
        </w:tc>
        <w:tc>
          <w:tcPr>
            <w:tcW w:w="720" w:type="dxa"/>
            <w:tcBorders>
              <w:top w:val="nil"/>
              <w:left w:val="nil"/>
              <w:bottom w:val="single" w:color="auto" w:sz="4" w:space="0"/>
              <w:right w:val="single" w:color="auto" w:sz="4" w:space="0"/>
            </w:tcBorders>
            <w:noWrap/>
            <w:vAlign w:val="center"/>
          </w:tcPr>
          <w:p w14:paraId="3722377F">
            <w:pPr>
              <w:jc w:val="center"/>
              <w:rPr>
                <w:rFonts w:hint="eastAsia" w:ascii="宋体" w:hAnsi="宋体" w:eastAsia="宋体" w:cs="宋体"/>
                <w:sz w:val="18"/>
                <w:szCs w:val="18"/>
              </w:rPr>
            </w:pPr>
            <w:r>
              <w:rPr>
                <w:rFonts w:hint="eastAsia" w:ascii="宋体" w:hAnsi="宋体" w:eastAsia="宋体" w:cs="宋体"/>
                <w:sz w:val="18"/>
                <w:szCs w:val="18"/>
              </w:rPr>
              <w:t>18</w:t>
            </w:r>
          </w:p>
        </w:tc>
        <w:tc>
          <w:tcPr>
            <w:tcW w:w="284" w:type="dxa"/>
            <w:tcBorders>
              <w:top w:val="nil"/>
              <w:left w:val="nil"/>
              <w:bottom w:val="nil"/>
              <w:right w:val="nil"/>
            </w:tcBorders>
            <w:noWrap/>
            <w:vAlign w:val="center"/>
          </w:tcPr>
          <w:p w14:paraId="36B7DA47">
            <w:pPr>
              <w:jc w:val="center"/>
              <w:rPr>
                <w:rFonts w:hint="eastAsia" w:ascii="宋体" w:hAnsi="宋体" w:eastAsia="宋体" w:cs="宋体"/>
                <w:sz w:val="18"/>
                <w:szCs w:val="18"/>
              </w:rPr>
            </w:pPr>
          </w:p>
        </w:tc>
      </w:tr>
    </w:tbl>
    <w:p w14:paraId="48F4BB19">
      <w:pPr>
        <w:jc w:val="center"/>
        <w:rPr>
          <w:rFonts w:hint="eastAsia" w:ascii="宋体" w:hAnsi="宋体" w:eastAsia="宋体" w:cs="宋体"/>
          <w:b/>
          <w:bCs/>
          <w:sz w:val="18"/>
          <w:szCs w:val="18"/>
        </w:rPr>
      </w:pPr>
      <w:r>
        <w:rPr>
          <w:rFonts w:hint="eastAsia" w:ascii="宋体" w:hAnsi="宋体" w:eastAsia="宋体" w:cs="宋体"/>
          <w:b/>
          <w:bCs/>
          <w:sz w:val="18"/>
          <w:szCs w:val="18"/>
        </w:rPr>
        <w:br w:type="page"/>
      </w:r>
      <w:bookmarkEnd w:id="0"/>
    </w:p>
    <w:p w14:paraId="5ED281EF">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十二、其他需说明的事项</w:t>
      </w:r>
    </w:p>
    <w:p w14:paraId="4CCF8A23">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1CD839BF">
      <w:pPr>
        <w:rPr>
          <w:rFonts w:hint="eastAsia"/>
          <w:lang w:eastAsia="zh-CN"/>
        </w:rPr>
      </w:pPr>
      <w:r>
        <w:rPr>
          <w:sz w:val="0"/>
          <w:szCs w:val="0"/>
          <w:lang w:eastAsia="zh-CN"/>
        </w:rPr>
        <w:br w:type="page"/>
      </w:r>
    </w:p>
    <w:p w14:paraId="2E2C089D">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第三部分 专业名词解释</w:t>
      </w:r>
    </w:p>
    <w:p w14:paraId="6A5339A9">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15D8054E">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1B502CF2">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6DD90ED0">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3B1A25AB">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7523DE5F">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指除上述“财政拨款收入”、“事业收入”、“经营收入”、“附属单位上缴收入”等之外取得的收入。</w:t>
      </w:r>
    </w:p>
    <w:p w14:paraId="7C16C6C3">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10D4288B">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6242028">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22F27932">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4B2044C3">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2FFABF43">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41883FB0">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十三、“三公”经费：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3000E51">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543208EC">
      <w:pPr>
        <w:rPr>
          <w:rFonts w:hint="eastAsia"/>
          <w:lang w:eastAsia="zh-CN"/>
        </w:rPr>
      </w:pPr>
      <w:r>
        <w:rPr>
          <w:sz w:val="0"/>
          <w:szCs w:val="0"/>
          <w:lang w:eastAsia="zh-CN"/>
        </w:rPr>
        <w:br w:type="page"/>
      </w:r>
    </w:p>
    <w:p w14:paraId="1E8D3B39">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第四部分 部门决算报表（见附表）</w:t>
      </w:r>
    </w:p>
    <w:p w14:paraId="2B25CC5B">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641D7FF2">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二、《收入决算表》</w:t>
      </w:r>
    </w:p>
    <w:p w14:paraId="5AC24C4A">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三、《支出决算表》</w:t>
      </w:r>
    </w:p>
    <w:p w14:paraId="6AF5A9DE">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6D829492">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458A86AC">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6E5D4208">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0ABB2D0A">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49BB7D1F">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docVars>
    <w:docVar w:name="commondata" w:val="eyJoZGlkIjoiODViY2JkMjU3NGYzZTEwMzZmMGFkZWViYmNkYWU3NDIifQ=="/>
  </w:docVars>
  <w:rsids>
    <w:rsidRoot w:val="000A0CF9"/>
    <w:rsid w:val="000A0CF9"/>
    <w:rsid w:val="000D11C7"/>
    <w:rsid w:val="002A31B0"/>
    <w:rsid w:val="002F3005"/>
    <w:rsid w:val="00753F97"/>
    <w:rsid w:val="00C27650"/>
    <w:rsid w:val="00DB6898"/>
    <w:rsid w:val="1F68067D"/>
    <w:rsid w:val="39647C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semiHidden="0" w:name="Normal Indent"/>
    <w:lsdException w:uiPriority="99" w:name="footnote text"/>
    <w:lsdException w:uiPriority="99" w:name="annotation text"/>
    <w:lsdException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2F5496"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472C4" w:themeColor="accent1"/>
      <w:sz w:val="26"/>
      <w:szCs w:val="26"/>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472C4" w:themeColor="accent1"/>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472C4" w:themeColor="accent1"/>
    </w:rPr>
  </w:style>
  <w:style w:type="character" w:default="1" w:styleId="13">
    <w:name w:val="Default Paragraph Font"/>
    <w:semiHidden/>
    <w:unhideWhenUsed/>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6">
    <w:name w:val="Normal Indent"/>
    <w:basedOn w:val="1"/>
    <w:unhideWhenUsed/>
    <w:uiPriority w:val="99"/>
    <w:pPr>
      <w:ind w:left="720"/>
    </w:pPr>
  </w:style>
  <w:style w:type="paragraph" w:styleId="7">
    <w:name w:val="caption"/>
    <w:basedOn w:val="1"/>
    <w:next w:val="1"/>
    <w:semiHidden/>
    <w:unhideWhenUsed/>
    <w:qFormat/>
    <w:uiPriority w:val="35"/>
    <w:pPr>
      <w:spacing w:line="240" w:lineRule="auto"/>
    </w:pPr>
    <w:rPr>
      <w:b/>
      <w:bCs/>
      <w:color w:val="4472C4" w:themeColor="accent1"/>
      <w:sz w:val="18"/>
      <w:szCs w:val="18"/>
    </w:rPr>
  </w:style>
  <w:style w:type="paragraph" w:styleId="8">
    <w:name w:val="header"/>
    <w:basedOn w:val="1"/>
    <w:link w:val="16"/>
    <w:unhideWhenUsed/>
    <w:uiPriority w:val="99"/>
    <w:pPr>
      <w:tabs>
        <w:tab w:val="center" w:pos="4680"/>
        <w:tab w:val="right" w:pos="9360"/>
      </w:tabs>
    </w:pPr>
  </w:style>
  <w:style w:type="paragraph" w:styleId="9">
    <w:name w:val="Subtitle"/>
    <w:basedOn w:val="1"/>
    <w:next w:val="1"/>
    <w:link w:val="21"/>
    <w:qFormat/>
    <w:uiPriority w:val="11"/>
    <w:pPr>
      <w:ind w:left="86"/>
    </w:pPr>
    <w:rPr>
      <w:rFonts w:asciiTheme="majorHAnsi" w:hAnsiTheme="majorHAnsi" w:eastAsiaTheme="majorEastAsia" w:cstheme="majorBidi"/>
      <w:i/>
      <w:iCs/>
      <w:color w:val="4472C4" w:themeColor="accent1"/>
      <w:spacing w:val="15"/>
      <w:sz w:val="24"/>
      <w:szCs w:val="24"/>
    </w:rPr>
  </w:style>
  <w:style w:type="paragraph" w:styleId="10">
    <w:name w:val="Title"/>
    <w:basedOn w:val="1"/>
    <w:next w:val="1"/>
    <w:link w:val="22"/>
    <w:qFormat/>
    <w:uiPriority w:val="10"/>
    <w:pPr>
      <w:pBdr>
        <w:bottom w:val="single" w:color="4472C4" w:themeColor="accent1" w:sz="8" w:space="4"/>
      </w:pBdr>
      <w:spacing w:after="300"/>
      <w:contextualSpacing/>
    </w:pPr>
    <w:rPr>
      <w:rFonts w:asciiTheme="majorHAnsi" w:hAnsiTheme="majorHAnsi" w:eastAsiaTheme="majorEastAsia" w:cstheme="majorBidi"/>
      <w:color w:val="323E4F" w:themeColor="text2" w:themeShade="BF"/>
      <w:spacing w:val="5"/>
      <w:kern w:val="28"/>
      <w:sz w:val="52"/>
      <w:szCs w:val="52"/>
    </w:rPr>
  </w:style>
  <w:style w:type="table" w:styleId="12">
    <w:name w:val="Table Grid"/>
    <w:basedOn w:val="11"/>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4">
    <w:name w:val="Emphasis"/>
    <w:basedOn w:val="13"/>
    <w:qFormat/>
    <w:uiPriority w:val="20"/>
    <w:rPr>
      <w:i/>
      <w:iCs/>
    </w:rPr>
  </w:style>
  <w:style w:type="character" w:styleId="15">
    <w:name w:val="Hyperlink"/>
    <w:basedOn w:val="13"/>
    <w:unhideWhenUsed/>
    <w:uiPriority w:val="99"/>
    <w:rPr>
      <w:color w:val="0563C1" w:themeColor="hyperlink"/>
      <w:u w:val="single"/>
    </w:rPr>
  </w:style>
  <w:style w:type="character" w:customStyle="1" w:styleId="16">
    <w:name w:val="页眉 字符"/>
    <w:basedOn w:val="13"/>
    <w:link w:val="8"/>
    <w:uiPriority w:val="99"/>
  </w:style>
  <w:style w:type="character" w:customStyle="1" w:styleId="17">
    <w:name w:val="标题 1 字符"/>
    <w:basedOn w:val="13"/>
    <w:link w:val="2"/>
    <w:uiPriority w:val="9"/>
    <w:rPr>
      <w:rFonts w:asciiTheme="majorHAnsi" w:hAnsiTheme="majorHAnsi" w:eastAsiaTheme="majorEastAsia" w:cstheme="majorBidi"/>
      <w:b/>
      <w:bCs/>
      <w:color w:val="2F5496" w:themeColor="accent1" w:themeShade="BF"/>
      <w:sz w:val="28"/>
      <w:szCs w:val="28"/>
    </w:rPr>
  </w:style>
  <w:style w:type="character" w:customStyle="1" w:styleId="18">
    <w:name w:val="标题 2 字符"/>
    <w:basedOn w:val="13"/>
    <w:link w:val="3"/>
    <w:uiPriority w:val="9"/>
    <w:rPr>
      <w:rFonts w:asciiTheme="majorHAnsi" w:hAnsiTheme="majorHAnsi" w:eastAsiaTheme="majorEastAsia" w:cstheme="majorBidi"/>
      <w:b/>
      <w:bCs/>
      <w:color w:val="4472C4" w:themeColor="accent1"/>
      <w:sz w:val="26"/>
      <w:szCs w:val="26"/>
    </w:rPr>
  </w:style>
  <w:style w:type="character" w:customStyle="1" w:styleId="19">
    <w:name w:val="标题 3 字符"/>
    <w:basedOn w:val="13"/>
    <w:link w:val="4"/>
    <w:uiPriority w:val="9"/>
    <w:rPr>
      <w:rFonts w:asciiTheme="majorHAnsi" w:hAnsiTheme="majorHAnsi" w:eastAsiaTheme="majorEastAsia" w:cstheme="majorBidi"/>
      <w:b/>
      <w:bCs/>
      <w:color w:val="4472C4" w:themeColor="accent1"/>
    </w:rPr>
  </w:style>
  <w:style w:type="character" w:customStyle="1" w:styleId="20">
    <w:name w:val="标题 4 字符"/>
    <w:basedOn w:val="13"/>
    <w:link w:val="5"/>
    <w:uiPriority w:val="9"/>
    <w:rPr>
      <w:rFonts w:asciiTheme="majorHAnsi" w:hAnsiTheme="majorHAnsi" w:eastAsiaTheme="majorEastAsia" w:cstheme="majorBidi"/>
      <w:b/>
      <w:bCs/>
      <w:i/>
      <w:iCs/>
      <w:color w:val="4472C4" w:themeColor="accent1"/>
    </w:rPr>
  </w:style>
  <w:style w:type="character" w:customStyle="1" w:styleId="21">
    <w:name w:val="副标题 字符"/>
    <w:basedOn w:val="13"/>
    <w:link w:val="9"/>
    <w:uiPriority w:val="11"/>
    <w:rPr>
      <w:rFonts w:asciiTheme="majorHAnsi" w:hAnsiTheme="majorHAnsi" w:eastAsiaTheme="majorEastAsia" w:cstheme="majorBidi"/>
      <w:i/>
      <w:iCs/>
      <w:color w:val="4472C4" w:themeColor="accent1"/>
      <w:spacing w:val="15"/>
      <w:sz w:val="24"/>
      <w:szCs w:val="24"/>
    </w:rPr>
  </w:style>
  <w:style w:type="character" w:customStyle="1" w:styleId="22">
    <w:name w:val="标题 字符"/>
    <w:basedOn w:val="13"/>
    <w:link w:val="10"/>
    <w:uiPriority w:val="10"/>
    <w:rPr>
      <w:rFonts w:asciiTheme="majorHAnsi" w:hAnsiTheme="majorHAnsi" w:eastAsiaTheme="majorEastAsia" w:cstheme="majorBidi"/>
      <w:color w:val="323E4F" w:themeColor="text2" w:themeShade="BF"/>
      <w:spacing w:val="5"/>
      <w:kern w:val="28"/>
      <w:sz w:val="52"/>
      <w:szCs w:val="5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6909</Words>
  <Characters>7617</Characters>
  <Lines>868</Lines>
  <Paragraphs>877</Paragraphs>
  <TotalTime>6</TotalTime>
  <ScaleCrop>false</ScaleCrop>
  <LinksUpToDate>false</LinksUpToDate>
  <CharactersWithSpaces>7627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2025-09-17T07:46:00Z</dcterms:created>
  <dc:creator>ldan</dc:creator>
  <cp:lastModifiedBy>W.w</cp:lastModifiedBy>
  <dcterms:modified xsi:type="dcterms:W3CDTF">2025-09-23T04:46:48Z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723DC188CF8644C89AA8CF6C10ECCB60_12</vt:lpwstr>
  </property>
</Properties>
</file>