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left"/>
        <w:spacing w:lineRule="exact" w:line="540" w:before="0" w:after="0"/>
        <w:ind w:right="0" w:firstLine="0"/>
        <w:rPr>
          <w:color w:val="auto"/>
          <w:position w:val="0"/>
          <w:sz w:val="32"/>
          <w:szCs w:val="32"/>
          <w:rFonts w:ascii="??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宋体" w:eastAsia="Times New Roman" w:hAnsi="Times New Roman" w:hint="default"/>
        </w:rPr>
        <w:t>附件</w:t>
      </w:r>
      <w:r>
        <w:rPr>
          <w:color w:val="auto"/>
          <w:position w:val="0"/>
          <w:sz w:val="32"/>
          <w:szCs w:val="32"/>
          <w:rFonts w:ascii="??" w:eastAsia="宋体" w:hAnsi="宋体" w:hint="default"/>
        </w:rPr>
        <w:t>1</w:t>
      </w:r>
      <w:r>
        <w:rPr>
          <w:color w:val="auto"/>
          <w:position w:val="0"/>
          <w:sz w:val="32"/>
          <w:szCs w:val="32"/>
          <w:rFonts w:ascii="宋体" w:eastAsia="Times New Roman" w:hAnsi="Times New Roman" w:hint="default"/>
        </w:rPr>
        <w:t>：</w:t>
      </w: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48"/>
          <w:szCs w:val="48"/>
          <w:rFonts w:ascii="方正小标宋_GBK" w:eastAsia="宋体" w:hAnsi="宋体" w:hint="default"/>
        </w:rPr>
        <w:autoSpaceDE w:val="1"/>
        <w:autoSpaceDN w:val="1"/>
      </w:pPr>
      <w:r>
        <w:rPr>
          <w:b w:val="1"/>
          <w:color w:val="auto"/>
          <w:position w:val="0"/>
          <w:sz w:val="48"/>
          <w:szCs w:val="48"/>
          <w:rFonts w:ascii="方正小标宋_GBK" w:eastAsia="方正小标宋_GBK" w:hAnsi="方正小标宋_GBK" w:hint="default"/>
        </w:rPr>
        <w:t>奇台县财政项目支出绩效自评报告</w:t>
      </w: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b w:val="1"/>
          <w:color w:val="auto"/>
          <w:position w:val="0"/>
          <w:sz w:val="52"/>
          <w:szCs w:val="52"/>
          <w:rFonts w:ascii="华文中宋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color w:val="auto"/>
          <w:position w:val="0"/>
          <w:sz w:val="36"/>
          <w:szCs w:val="36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（</w:t>
      </w: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>2018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年度）</w:t>
      </w: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exact" w:line="54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exact" w:line="700" w:before="0" w:after="0"/>
        <w:ind w:right="0" w:firstLine="0"/>
        <w:rPr>
          <w:color w:val="auto"/>
          <w:position w:val="0"/>
          <w:sz w:val="36"/>
          <w:szCs w:val="36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 xml:space="preserve">     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项目名称：乡镇文化站免费开放活动</w:t>
      </w:r>
    </w:p>
    <w:p>
      <w:pPr>
        <w:numPr>
          <w:ilvl w:val="0"/>
          <w:numId w:val="0"/>
        </w:numPr>
        <w:jc w:val="left"/>
        <w:spacing w:lineRule="exact" w:line="700" w:before="0" w:after="0"/>
        <w:ind w:right="0" w:firstLine="0"/>
        <w:rPr>
          <w:color w:val="auto"/>
          <w:position w:val="0"/>
          <w:sz w:val="36"/>
          <w:szCs w:val="36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 xml:space="preserve">     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实施单位（公章）：奇台县文化体育广播影视局</w:t>
      </w:r>
    </w:p>
    <w:p>
      <w:pPr>
        <w:numPr>
          <w:ilvl w:val="0"/>
          <w:numId w:val="0"/>
        </w:numPr>
        <w:jc w:val="left"/>
        <w:spacing w:lineRule="exact" w:line="700" w:before="0" w:after="0"/>
        <w:ind w:right="0" w:firstLine="0"/>
        <w:rPr>
          <w:color w:val="auto"/>
          <w:position w:val="0"/>
          <w:sz w:val="36"/>
          <w:szCs w:val="36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主管部门（公章）：奇台县人民政府</w:t>
      </w: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 xml:space="preserve"> </w:t>
      </w:r>
    </w:p>
    <w:p>
      <w:pPr>
        <w:numPr>
          <w:ilvl w:val="0"/>
          <w:numId w:val="0"/>
        </w:numPr>
        <w:jc w:val="left"/>
        <w:spacing w:lineRule="exact" w:line="700" w:before="0" w:after="0"/>
        <w:ind w:right="0" w:firstLine="0"/>
        <w:rPr>
          <w:color w:val="auto"/>
          <w:position w:val="0"/>
          <w:sz w:val="36"/>
          <w:szCs w:val="36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项目负责人（签章）：王晓文</w:t>
      </w:r>
    </w:p>
    <w:p>
      <w:pPr>
        <w:numPr>
          <w:ilvl w:val="0"/>
          <w:numId w:val="0"/>
        </w:numPr>
        <w:jc w:val="left"/>
        <w:spacing w:lineRule="exact" w:line="700" w:before="0" w:after="0"/>
        <w:ind w:right="0" w:firstLine="0"/>
        <w:rPr>
          <w:color w:val="auto"/>
          <w:position w:val="0"/>
          <w:sz w:val="30"/>
          <w:szCs w:val="30"/>
          <w:rFonts w:ascii="Times New Roman" w:eastAsia="宋体" w:hAnsi="宋体" w:hint="default"/>
        </w:rPr>
        <w:autoSpaceDE w:val="1"/>
        <w:autoSpaceDN w:val="1"/>
      </w:pP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填报时间：</w:t>
      </w: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 xml:space="preserve"> 2019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年</w:t>
      </w: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>1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月</w:t>
      </w:r>
      <w:r>
        <w:rPr>
          <w:color w:val="auto"/>
          <w:position w:val="0"/>
          <w:sz w:val="36"/>
          <w:szCs w:val="36"/>
          <w:rFonts w:ascii="Times New Roman" w:eastAsia="宋体" w:hAnsi="宋体" w:hint="default"/>
        </w:rPr>
        <w:t>25</w:t>
      </w:r>
      <w:r>
        <w:rPr>
          <w:color w:val="auto"/>
          <w:position w:val="0"/>
          <w:sz w:val="36"/>
          <w:szCs w:val="36"/>
          <w:rFonts w:ascii="Times New Roman" w:eastAsia="仿宋_GB2312" w:hAnsi="仿宋_GB2312" w:hint="default"/>
        </w:rPr>
        <w:t>日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黑体" w:eastAsia="黑体" w:hAnsi="黑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0"/>
          <w:color w:val="auto"/>
          <w:position w:val="0"/>
          <w:sz w:val="32"/>
          <w:szCs w:val="32"/>
          <w:rFonts w:ascii="黑体" w:eastAsia="黑体" w:hAnsi="黑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0"/>
          <w:color w:val="auto"/>
          <w:position w:val="0"/>
          <w:sz w:val="32"/>
          <w:szCs w:val="32"/>
          <w:rFonts w:ascii="黑体" w:eastAsia="黑体" w:hAnsi="黑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0"/>
          <w:color w:val="auto"/>
          <w:position w:val="0"/>
          <w:sz w:val="32"/>
          <w:szCs w:val="32"/>
          <w:rFonts w:ascii="黑体" w:eastAsia="黑体" w:hAnsi="黑体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一、项目概况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（一）项目单位基本情况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贯彻执行党和国家及自治区、自治州关于文化、体育、广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播影视、新闻出版（版权）工作的路线、方针、政策和法律、法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规、规章；研究制定并组织实施奇台县文化、体育、广播影视、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新闻出版（版权）事业发展规划和年度计划。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（二）项目预算绩效目标设定情况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预期目标：在全县范围内发展文化活动，不断满足人民群众日益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增长的文化需求。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项目性质：文化活动。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用途和主要内容：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年，乡镇文化站免费开放经费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70.4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万元，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每乡镇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4.69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万元，主要用于发展农村各项文化活动，丰富农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牧民文化生活。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涉及范围：全县各乡镇农牧民群众。</w:t>
      </w: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二、项目资金使用及管理情况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（一）项目资金安排落实、总投入等情况分析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乡镇文化站免费开放活动共投入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70.4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万元，全部为上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级财政拨款。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（二）项目资金实际使用情况分析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乡镇文化站免费开放活动共投入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70.4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万元，全部为上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级财政拨款，主要用于发展各乡镇及各村文化活动。</w:t>
      </w:r>
      <w:r>
        <w:rPr>
          <w:color w:val="auto"/>
          <w:position w:val="0"/>
          <w:sz w:val="32"/>
          <w:szCs w:val="32"/>
          <w:rFonts w:ascii="Times New Roman" w:eastAsia="仿宋_GB2312" w:hAnsi="仿宋_GB2312" w:hint="default"/>
        </w:rPr>
        <w:t>乡镇文化站</w:t>
      </w:r>
      <w:r>
        <w:rPr>
          <w:color w:val="auto"/>
          <w:position w:val="0"/>
          <w:sz w:val="32"/>
          <w:szCs w:val="32"/>
          <w:rFonts w:ascii="Times New Roman" w:eastAsia="仿宋_GB2312" w:hAnsi="仿宋_GB2312" w:hint="default"/>
        </w:rPr>
        <w:t>免费开放活动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资金，根据红头文件下拨到我单位，文件中对资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金的使用用途和范围作了明确规定，且我单位收到这笔资金后，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直接拨付到各乡镇，在我单位并不进行消费支付。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（三）项目资金管理情况分析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年，我局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严格按程序审批，及时将乡镇文化站免费开放资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金拨付到位，不存在虚报、冒领、挤占、挪用资金的问题。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三、项目组织实施情况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（一）项目组织情况分析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</w:t>
      </w:r>
      <w:r>
        <w:rPr>
          <w:color w:val="auto"/>
          <w:position w:val="0"/>
          <w:sz w:val="32"/>
          <w:szCs w:val="32"/>
          <w:rFonts w:ascii="Times New Roman" w:eastAsia="仿宋_GB2312" w:hAnsi="仿宋_GB2312" w:hint="default"/>
        </w:rPr>
        <w:t>乡镇文化站免费开放活动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由各乡镇组织实施，无需进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行招投标。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（二）项目管理情况分析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宋体" w:hAnsi="宋体" w:hint="default"/>
        </w:rPr>
        <w:t>2018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年，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乡镇文化站免费开放活动由各乡镇组织实施，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由奇台</w:t>
      </w: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县文化体育广播影视局负责日常检查、监督和管理。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四、项目绩效情况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（一）项目绩效目标完成情况分析</w:t>
      </w:r>
    </w:p>
    <w:p>
      <w:pPr>
        <w:numPr>
          <w:ilvl w:val="0"/>
          <w:numId w:val="0"/>
        </w:numPr>
        <w:jc w:val="both"/>
        <w:spacing w:lineRule="exact" w:line="640" w:before="0" w:after="0"/>
        <w:ind w:right="0" w:firstLine="660"/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2018年，各乡镇经常利用节庆日开展文化活动，例如在元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宵节、三八妇女节、七一建党节，十一国庆节等开展各类文化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娱乐活动，惠及全县各乡镇各村农牧民群众。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（二）项目绩效目标未完成原因分析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spacing w:val="-4"/>
          <w:color w:val="auto"/>
          <w:position w:val="0"/>
          <w:sz w:val="32"/>
          <w:szCs w:val="32"/>
          <w:rFonts w:ascii="仿宋_GB2312" w:eastAsia="宋体" w:hAnsi="宋体" w:hint="default"/>
        </w:rPr>
        <w:autoSpaceDE w:val="1"/>
        <w:autoSpaceDN w:val="1"/>
      </w:pPr>
      <w:r>
        <w:rPr>
          <w:spacing w:val="-4"/>
          <w:color w:val="auto"/>
          <w:position w:val="0"/>
          <w:sz w:val="32"/>
          <w:szCs w:val="32"/>
          <w:rFonts w:ascii="仿宋_GB2312" w:eastAsia="仿宋_GB2312" w:hAnsi="仿宋_GB2312" w:hint="default"/>
        </w:rPr>
        <w:t>无。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五、其他需要说明的问题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0"/>
        <w:rPr>
          <w:spacing w:val="-4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spacing w:val="-4"/>
          <w:color w:val="auto"/>
          <w:position w:val="0"/>
          <w:sz w:val="32"/>
          <w:szCs w:val="32"/>
          <w:rFonts w:ascii="仿宋_GB2312" w:eastAsia="仿宋_GB2312" w:hAnsi="仿宋_GB2312" w:hint="default"/>
        </w:rPr>
        <w:t>无。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六、项目评价工作情况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乡镇文化站免费补助资金的拨付使用，为农村文化的发展</w:t>
      </w:r>
      <w:r>
        <w:rPr>
          <w:color w:val="auto"/>
          <w:position w:val="0"/>
          <w:sz w:val="32"/>
          <w:szCs w:val="32"/>
          <w:rFonts w:ascii="仿宋_GB2312" w:eastAsia="仿宋_GB2312" w:hAnsi="仿宋_GB2312" w:hint="default"/>
        </w:rPr>
        <w:t>提供了资金保障，极大地丰富了农村文化生活。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640"/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1"/>
          <w:color w:val="auto"/>
          <w:position w:val="0"/>
          <w:sz w:val="32"/>
          <w:szCs w:val="32"/>
          <w:rFonts w:ascii="仿宋_GB2312" w:eastAsia="仿宋_GB2312" w:hAnsi="仿宋_GB2312" w:hint="default"/>
        </w:rPr>
        <w:t>七、附表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autoSpaceDE w:val="1"/>
        <w:autoSpaceDN w:val="1"/>
      </w:pPr>
      <w:r>
        <w:rPr>
          <w:rStyle w:val="PO20"/>
          <w:spacing w:val="-4"/>
          <w:b w:val="0"/>
          <w:color w:val="auto"/>
          <w:position w:val="0"/>
          <w:sz w:val="32"/>
          <w:szCs w:val="32"/>
          <w:rFonts w:ascii="仿宋_GB2312" w:eastAsia="仿宋_GB2312" w:hAnsi="仿宋_GB2312" w:hint="default"/>
        </w:rPr>
        <w:t>《自治州财政项目支出绩效自评表》</w:t>
      </w: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0"/>
          <w:color w:val="auto"/>
          <w:position w:val="0"/>
          <w:sz w:val="32"/>
          <w:szCs w:val="32"/>
          <w:rFonts w:ascii="??" w:eastAsia="??" w:hAnsi="??" w:hint="default"/>
        </w:rPr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0"/>
          <w:color w:val="auto"/>
          <w:position w:val="0"/>
          <w:sz w:val="32"/>
          <w:szCs w:val="32"/>
          <w:rFonts w:ascii="??" w:eastAsia="??" w:hAnsi="??" w:hint="default"/>
        </w:rPr>
        <w:autoSpaceDE w:val="1"/>
        <w:autoSpaceDN w:val="1"/>
      </w:pPr>
    </w:p>
    <w:tbl>
      <w:tblID w:val="0"/>
      <w:tblPr>
        <w:tblCellMar>
          <w:left w:w="108" w:type="dxa"/>
          <w:top w:w="0" w:type="dxa"/>
          <w:right w:w="108" w:type="dxa"/>
          <w:bottom w:w="0" w:type="dxa"/>
        </w:tblCellMar>
        <w:tblW w:w="9020" w:type="dxa"/>
        <w:tblInd w:w="93" w:type="dxa"/>
        <w:tblLook w:val="0000A0" w:firstRow="1" w:lastRow="0" w:firstColumn="1" w:lastColumn="0" w:noHBand="0" w:noVBand="0"/>
        <w:tblLayout w:type="fixed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atleast" w:val="405"/>
          <w:hidden w:val="0"/>
        </w:trPr>
        <w:tc>
          <w:tcPr>
            <w:tcW w:type="dxa" w:w="9020"/>
            <w:cnfStyle w:val="101000001000" w:firstRow="1" w:lastRow="0" w:firstColumn="1" w:lastColumn="0" w:oddVBand="0" w:evenVBand="0" w:oddHBand="0" w:evenHBand="0" w:firstRowFirstColumn="1" w:firstRowLastColumn="0" w:lastRowFirstColumn="0" w:lastRowLastColumn="0"/>
            <w:vAlign w:val="center"/>
            <w:gridSpan w:val="7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b w:val="1"/>
                <w:color w:val="auto"/>
                <w:position w:val="0"/>
                <w:sz w:val="32"/>
                <w:szCs w:val="32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32"/>
                <w:szCs w:val="32"/>
                <w:rFonts w:ascii="宋体" w:eastAsia="Times New Roman" w:hAnsi="Times New Roman" w:hint="default"/>
              </w:rPr>
              <w:t>奇台县财政项目支出绩效自评表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285"/>
          <w:hidden w:val="0"/>
        </w:trPr>
        <w:tc>
          <w:tcPr>
            <w:tcW w:type="dxa" w:w="902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gridSpan w:val="7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4"/>
                <w:szCs w:val="24"/>
                <w:rFonts w:ascii="宋体" w:eastAsia="Times New Roman" w:hAnsi="Times New Roman" w:hint="default"/>
              </w:rPr>
              <w:t>（</w:t>
            </w:r>
            <w:r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t>2018</w:t>
            </w:r>
            <w:r>
              <w:rPr>
                <w:color w:val="auto"/>
                <w:position w:val="0"/>
                <w:sz w:val="24"/>
                <w:szCs w:val="24"/>
                <w:rFonts w:ascii="宋体" w:eastAsia="Times New Roman" w:hAnsi="Times New Roman" w:hint="default"/>
              </w:rPr>
              <w:t>年度）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285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14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0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8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nil" w:color="auto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4"/>
                <w:szCs w:val="24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20"/>
          <w:hidden w:val="0"/>
        </w:trPr>
        <w:tc>
          <w:tcPr>
            <w:tcW w:type="dxa" w:w="322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项目名称</w:t>
            </w:r>
          </w:p>
        </w:tc>
        <w:tc>
          <w:tcPr>
            <w:tcW w:type="dxa" w:w="580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4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乡镇文化站免费开放活动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35"/>
          <w:hidden w:val="0"/>
        </w:trPr>
        <w:tc>
          <w:tcPr>
            <w:tcW w:type="dxa" w:w="32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gridSpan w:val="3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预算单位</w:t>
            </w:r>
          </w:p>
        </w:tc>
        <w:tc>
          <w:tcPr>
            <w:tcW w:type="dxa" w:w="580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4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奇台县文化体育广播影视局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65"/>
          <w:hidden w:val="0"/>
        </w:trPr>
        <w:tc>
          <w:tcPr>
            <w:tcW w:type="dxa" w:w="72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预算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执行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情况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（万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元）</w:t>
            </w:r>
          </w:p>
        </w:tc>
        <w:tc>
          <w:tcPr>
            <w:tcW w:type="dxa" w:w="250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预算数：</w:t>
            </w:r>
          </w:p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70.4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执行数：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70.4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09"/>
          <w:hidden w:val="0"/>
        </w:trPr>
        <w:tc>
          <w:tcPr>
            <w:tcW w:type="dxa" w:w="72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250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其中：财政拨款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70.4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其中：财政拨款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70.4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33"/>
          <w:hidden w:val="0"/>
        </w:trPr>
        <w:tc>
          <w:tcPr>
            <w:tcW w:type="dxa" w:w="720"/>
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250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其他资金</w:t>
            </w:r>
          </w:p>
        </w:tc>
        <w:tc>
          <w:tcPr>
            <w:tcW w:type="dxa" w:w="19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20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其他资金</w:t>
            </w:r>
          </w:p>
        </w:tc>
        <w:tc>
          <w:tcPr>
            <w:tcW w:type="dxa" w:w="178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righ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5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年度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目标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完成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情况</w:t>
            </w:r>
          </w:p>
        </w:tc>
        <w:tc>
          <w:tcPr>
            <w:tcW w:type="dxa" w:w="44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4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预期目标</w:t>
            </w:r>
          </w:p>
        </w:tc>
        <w:tc>
          <w:tcPr>
            <w:tcW w:type="dxa" w:w="384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实际完成目标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425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44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top"/>
            <w:gridSpan w:val="4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both"/>
              <w:spacing w:lineRule="exact" w:line="5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rStyle w:val="PO20"/>
                <w:spacing w:val="-4"/>
                <w:b w:val="0"/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在全县范围内发展文化活动，不断满足人民群众</w:t>
            </w:r>
            <w:r>
              <w:rPr>
                <w:rStyle w:val="PO20"/>
                <w:spacing w:val="-4"/>
                <w:b w:val="0"/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日益增长的文化需求。</w:t>
            </w:r>
          </w:p>
        </w:tc>
        <w:tc>
          <w:tcPr>
            <w:tcW w:type="dxa" w:w="384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top"/>
            <w:gridSpan w:val="2"/>
            <w:tcBorders>
              <w:bottom w:val="single" w:color="auto" w:sz="4"/>
              <w:left w:val="nil" w:color="auto"/>
              <w:right w:val="single" w:color="000000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1"/>
                <w:szCs w:val="21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农村文化建设资金和乡镇文化站免费补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助资金的拨付使用，为农村文化的发展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提供了资金保障，极大地丰富了农村文</w:t>
            </w:r>
            <w:r>
              <w:rPr>
                <w:color w:val="auto"/>
                <w:position w:val="0"/>
                <w:sz w:val="21"/>
                <w:szCs w:val="21"/>
                <w:rFonts w:ascii="仿宋_GB2312" w:eastAsia="仿宋_GB2312" w:hAnsi="仿宋_GB2312" w:hint="default"/>
              </w:rPr>
              <w:t>化生活。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72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年度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绩效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完成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情况</w:t>
            </w:r>
          </w:p>
        </w:tc>
        <w:tc>
          <w:tcPr>
            <w:tcW w:type="dxa" w:w="114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nil" w:color="auto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一级指标</w:t>
            </w:r>
          </w:p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二级指标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三级指标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预期指标值（包含数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字及文字描述）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实际完成指标值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（包含数字及文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字描述）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项目完成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数量指标</w:t>
            </w:r>
          </w:p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：惠及乡镇数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预计拨付到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15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个乡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镇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≥实际拨款到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15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个乡镇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3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：惠及人数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预计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15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万人次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≥实际惠及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万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人次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3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质量指标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时效指标</w:t>
            </w:r>
          </w:p>
        </w:tc>
        <w:tc>
          <w:tcPr>
            <w:tcW w:type="dxa" w:w="19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成本指标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：资金总投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入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预算总投入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70.4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万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元　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≥实际投入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70.4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万元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single" w:color="auto" w:sz="4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项目效果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经济效益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社会效益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生态效益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9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可持续影响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auto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满意度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br/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</w:p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 w:val="restart"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满意度指标</w:t>
            </w:r>
          </w:p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1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指标</w:t>
            </w: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>2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：</w:t>
            </w:r>
          </w:p>
        </w:tc>
        <w:tc>
          <w:tcPr>
            <w:tcW w:type="dxa" w:w="20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96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t xml:space="preserve"> </w:t>
            </w: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2060"/>
            <w:cnfStyle w:val="000010100000" w:firstRow="0" w:lastRow="0" w:firstColumn="0" w:lastColumn="0" w:oddVBand="1" w:evenVBand="0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480"/>
          <w:hidden w:val="0"/>
        </w:trPr>
        <w:tc>
          <w:tcPr>
            <w:tcW w:type="dxa" w:w="720"/>
            <w:cnfStyle w:val="001000010000" w:firstRow="0" w:lastRow="0" w:firstColumn="1" w:lastColumn="0" w:oddVBand="0" w:evenVBand="0" w:oddHBand="0" w:evenHBand="1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140"/>
            <w:cnfStyle w:val="000001100000" w:firstRow="0" w:lastRow="0" w:firstColumn="0" w:lastColumn="0" w:oddVBand="0" w:evenVBand="1" w:oddHBand="1" w:evenHBand="0" w:firstRowFirstColumn="0" w:firstRowLastColumn="0" w:lastRowFirstColumn="0" w:lastRowLastColumn="0"/>
            <w:vAlign w:val="center"/>
            <w:vMerge/>
            <w:tcBorders>
              <w:bottom w:val="single" w:color="000000" w:sz="4"/>
              <w:left w:val="single" w:color="auto" w:sz="4"/>
              <w:right w:val="single" w:color="auto" w:sz="4"/>
              <w:top w:val="nil" w:color="auto"/>
            </w:tcBorders>
          </w:tcPr>
          <w:p/>
        </w:tc>
        <w:tc>
          <w:tcPr>
            <w:tcW w:type="dxa" w:w="13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……</w:t>
            </w:r>
          </w:p>
        </w:tc>
        <w:tc>
          <w:tcPr>
            <w:tcW w:type="dxa" w:w="196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gridSpan w:val="2"/>
            <w:tcBorders>
              <w:bottom w:val="single" w:color="auto" w:sz="4"/>
              <w:left w:val="nil" w:color="auto"/>
              <w:right w:val="single" w:color="auto" w:sz="4"/>
              <w:top w:val="single" w:color="auto" w:sz="4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2060"/>
            <w:cnfStyle w:val="000001010000" w:firstRow="0" w:lastRow="0" w:firstColumn="0" w:lastColumn="0" w:oddVBand="0" w:evenVBand="1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  <w:tc>
          <w:tcPr>
            <w:tcW w:type="dxa" w:w="1780"/>
            <w:cnfStyle w:val="000010010000" w:firstRow="0" w:lastRow="0" w:firstColumn="0" w:lastColumn="0" w:oddVBand="1" w:evenVBand="0" w:oddHBand="0" w:evenHBand="1" w:firstRowFirstColumn="0" w:firstRowLastColumn="0" w:lastRowFirstColumn="0" w:lastRowLastColumn="0"/>
            <w:vAlign w:val="center"/>
            <w:tcBorders>
              <w:bottom w:val="single" w:color="auto" w:sz="4"/>
              <w:left w:val="nil" w:color="auto"/>
              <w:right w:val="single" w:color="auto" w:sz="4"/>
              <w:top w:val="nil" w:color="auto"/>
            </w:tcBorders>
          </w:tcPr>
          <w:p>
            <w:pPr>
              <w:numPr>
                <w:ilvl w:val="0"/>
                <w:numId w:val="0"/>
              </w:numPr>
              <w:jc w:val="left"/>
              <w:spacing w:lineRule="auto" w:line="240" w:before="0" w:after="0"/>
              <w:ind w:right="0" w:firstLine="0"/>
              <w:rPr>
                <w:color w:val="auto"/>
                <w:position w:val="0"/>
                <w:sz w:val="20"/>
                <w:szCs w:val="20"/>
                <w:rFonts w:ascii="宋体" w:eastAsia="宋体" w:hAnsi="宋体" w:hint="default"/>
              </w:rPr>
              <w:autoSpaceDE w:val="1"/>
              <w:autoSpaceDN w:val="1"/>
            </w:pPr>
            <w:r>
              <w:rPr>
                <w:color w:val="auto"/>
                <w:position w:val="0"/>
                <w:sz w:val="20"/>
                <w:szCs w:val="20"/>
                <w:rFonts w:ascii="宋体" w:eastAsia="Times New Roman" w:hAnsi="Times New Roman" w:hint="default"/>
              </w:rPr>
              <w:t>　</w:t>
            </w:r>
          </w:p>
        </w:tc>
      </w:tr>
    </w:tbl>
    <w:p>
      <w:pPr>
        <w:numPr>
          <w:ilvl w:val="0"/>
          <w:numId w:val="0"/>
        </w:numPr>
        <w:jc w:val="both"/>
        <w:spacing w:lineRule="exact" w:line="540" w:before="0" w:after="0"/>
        <w:ind w:right="0" w:firstLine="567"/>
        <w:rPr>
          <w:rStyle w:val="PO20"/>
          <w:spacing w:val="-4"/>
          <w:b w:val="0"/>
          <w:color w:val="auto"/>
          <w:position w:val="0"/>
          <w:sz w:val="32"/>
          <w:szCs w:val="32"/>
          <w:rFonts w:ascii="??" w:eastAsia="??" w:hAnsi="??" w:hint="default"/>
        </w:rPr>
        <w:autoSpaceDE w:val="1"/>
        <w:autoSpaceDN w:val="1"/>
      </w:pP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left="1800" w:bottom="1440" w:right="1558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mbria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??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华文中宋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_GBK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3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3"/>
      <w:numPr>
        <w:ilvl w:val="0"/>
        <w:numId w:val="0"/>
      </w:numPr>
      <w:jc w:val="center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  <w:r>
      <w:rPr>
        <w:color w:val="auto"/>
        <w:position w:val="0"/>
        <w:sz w:val="18"/>
        <w:szCs w:val="18"/>
        <w:rFonts w:ascii="Calibri" w:eastAsia="Calibri" w:hAnsi="Calibri" w:hint="default"/>
      </w:rPr>
      <w:fldChar w:fldCharType="begin"/>
    </w:r>
    <w:r>
      <w:instrText>PAGE  \* MERGEFORMAT</w:instrText>
    </w:r>
    <w:r>
      <w:fldChar w:fldCharType="separate"/>
    </w:r>
    <w:r>
      <w:rPr>
        <w:color w:val="auto"/>
        <w:position w:val="0"/>
        <w:sz w:val="18"/>
        <w:szCs w:val="18"/>
        <w:rFonts w:ascii="Calibri" w:eastAsia="Calibri" w:hAnsi="Calibri" w:hint="default"/>
      </w:rPr>
      <w:t>5</w:t>
    </w:r>
    <w:r>
      <w:rPr>
        <w:color w:val="auto"/>
        <w:position w:val="0"/>
        <w:sz w:val="18"/>
        <w:szCs w:val="18"/>
        <w:rFonts w:ascii="Calibri" w:eastAsia="Calibri" w:hAnsi="Calibri" w:hint="default"/>
      </w:rPr>
      <w:fldChar w:fldCharType="end"/>
    </w:r>
  </w:p>
  <w:p>
    <w:pPr>
      <w:pStyle w:val="PO163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3"/>
      <w:numPr>
        <w:ilvl w:val="0"/>
        <w:numId w:val="0"/>
      </w:numPr>
      <w:jc w:val="left"/>
      <w:spacing w:lineRule="auto" w:line="240" w:before="0" w:after="0"/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ft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5"/>
      <w:numPr>
        <w:ilvl w:val="0"/>
        <w:numId w:val="0"/>
      </w:numPr>
      <w:jc w:val="center"/>
      <w:spacing w:lineRule="auto" w:line="240" w:before="0" w:after="0"/>
      <w:pBdr>
        <w:bottom w:val="single" w:sz="6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5"/>
      <w:numPr>
        <w:ilvl w:val="0"/>
        <w:numId w:val="0"/>
      </w:numPr>
      <w:jc w:val="center"/>
      <w:spacing w:lineRule="auto" w:line="240" w:before="0" w:after="0"/>
      <w:pBdr>
        <w:bottom w:val="nil" w:sz="0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p>
    <w:pPr>
      <w:pStyle w:val="PO165"/>
      <w:numPr>
        <w:ilvl w:val="0"/>
        <w:numId w:val="0"/>
      </w:numPr>
      <w:jc w:val="center"/>
      <w:spacing w:lineRule="auto" w:line="240" w:before="0" w:after="0"/>
      <w:pBdr>
        <w:bottom w:val="single" w:sz="6" w:space="0" w:color="000000"/>
      </w:pBdr>
      <w:ind w:right="0" w:firstLine="0"/>
      <w:tabs>
        <w:tab w:val="center" w:pos="4153"/>
        <w:tab w:val="right" w:pos="8306"/>
      </w:tabs>
      <w:rPr>
        <w:color w:val="auto"/>
        <w:position w:val="0"/>
        <w:sz w:val="18"/>
        <w:szCs w:val="18"/>
        <w:rFonts w:ascii="Calibri" w:eastAsia="Calibri" w:hAnsi="Calibri" w:hint="default"/>
      </w:rPr>
      <w:snapToGrid w:val="off"/>
      <w:autoSpaceDE w:val="1"/>
      <w:autoSpaceDN w:val="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noLineBreaksAfter w:lang="ko-KR" w:val="$([{£¥·‘“〈《「『【〔〖〝﹙﹛﹝＄（．［｛￡￥"/>
  <w:noLineBreaksBefore w:lang="ko-KR" w:val="$([{£¥·‘“〈《「『【〔〖〝﹙﹛﹝＄（．［｛￡￥"/>
  <w:hdrShapeDefaults>
    <o:shapedefaults v:ext="edit" spidmax="2050"/>
    <o:shapelayout v:ext="edit">
      <o:idmap v:ext="edit" data="1"/>
    </o:shapelayout>
  </w:hdrShapeDefaults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widowControl/>
        <w:wordWrap/>
      </w:pPr>
    </w:pPrDefault>
    <w:rPrDefault>
      <w:rPr>
        <w:rFonts w:ascii="Calibri" w:eastAsia="Times New Roman" w:hAnsi="Calibri"/>
        <w:shd w:val="clear"/>
        <w:sz w:val="21"/>
        <w:szCs w:val="21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Times New Roman" w:eastAsia="Times New Roman" w:hAnsi="Times New Roman"/>
      <w:shd w:val="clear"/>
      <w:sz w:val="20"/>
      <w:szCs w:val="20"/>
      <w:w w:val="100"/>
    </w:rPr>
  </w:style>
  <w:style w:default="1" w:styleId="PO2" w:type="character">
    <w:name w:val="Default Paragraph Font"/>
    <w:uiPriority w:val="2"/>
    <w:semiHidden/>
  </w:style>
  <w:style w:default="1" w:styleId="PO3" w:type="table">
    <w:name w:val="Normal Table"/>
    <w:qFormat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basedOn w:val="PO1"/>
    <w:next w:val="PO1"/>
    <w:link w:val="PO168"/>
    <w:qFormat/>
    <w:uiPriority w:val="6"/>
    <w:pPr>
      <w:autoSpaceDE w:val="1"/>
      <w:autoSpaceDN w:val="1"/>
      <w:jc w:val="center"/>
      <w:widowControl/>
      <w:wordWrap/>
    </w:pPr>
    <w:rPr>
      <w:rFonts w:ascii="Cambria" w:eastAsia="Cambria" w:hAnsi="Cambria"/>
      <w:b/>
      <w:shd w:val="clear"/>
      <w:sz w:val="32"/>
      <w:szCs w:val="32"/>
      <w:w w:val="100"/>
    </w:rPr>
  </w:style>
  <w:style w:styleId="PO7" w:type="paragraph">
    <w:name w:val="heading 1"/>
    <w:basedOn w:val="PO1"/>
    <w:next w:val="PO1"/>
    <w:link w:val="PO152"/>
    <w:qFormat/>
    <w:uiPriority w:val="7"/>
    <w:pPr>
      <w:autoSpaceDE w:val="1"/>
      <w:autoSpaceDN w:val="1"/>
      <w:keepNext/>
      <w:widowControl/>
      <w:wordWrap/>
    </w:pPr>
    <w:rPr>
      <w:rFonts w:ascii="Cambria" w:eastAsia="Cambria" w:hAnsi="Cambria"/>
      <w:b/>
      <w:shd w:val="clear"/>
      <w:sz w:val="32"/>
      <w:szCs w:val="32"/>
      <w:w w:val="100"/>
    </w:rPr>
  </w:style>
  <w:style w:styleId="PO8" w:type="paragraph">
    <w:name w:val="heading 2"/>
    <w:basedOn w:val="PO1"/>
    <w:next w:val="PO1"/>
    <w:link w:val="PO153"/>
    <w:qFormat/>
    <w:uiPriority w:val="8"/>
    <w:pPr>
      <w:autoSpaceDE w:val="1"/>
      <w:autoSpaceDN w:val="1"/>
      <w:keepNext/>
      <w:widowControl/>
      <w:wordWrap/>
    </w:pPr>
    <w:rPr>
      <w:i/>
      <w:rFonts w:ascii="Cambria" w:eastAsia="Cambria" w:hAnsi="Cambria"/>
      <w:b/>
      <w:shd w:val="clear"/>
      <w:sz w:val="28"/>
      <w:szCs w:val="28"/>
      <w:w w:val="100"/>
    </w:rPr>
  </w:style>
  <w:style w:styleId="PO9" w:type="paragraph">
    <w:name w:val="heading 3"/>
    <w:basedOn w:val="PO1"/>
    <w:next w:val="PO1"/>
    <w:link w:val="PO154"/>
    <w:qFormat/>
    <w:uiPriority w:val="9"/>
    <w:pPr>
      <w:autoSpaceDE w:val="1"/>
      <w:autoSpaceDN w:val="1"/>
      <w:keepNext/>
      <w:widowControl/>
      <w:wordWrap/>
    </w:pPr>
    <w:rPr>
      <w:rFonts w:ascii="Cambria" w:eastAsia="Cambria" w:hAnsi="Cambria"/>
      <w:b/>
      <w:shd w:val="clear"/>
      <w:sz w:val="26"/>
      <w:szCs w:val="26"/>
      <w:w w:val="100"/>
    </w:rPr>
  </w:style>
  <w:style w:styleId="PO10" w:type="paragraph">
    <w:name w:val="heading 4"/>
    <w:basedOn w:val="PO1"/>
    <w:next w:val="PO1"/>
    <w:link w:val="PO155"/>
    <w:qFormat/>
    <w:uiPriority w:val="10"/>
    <w:pPr>
      <w:autoSpaceDE w:val="1"/>
      <w:autoSpaceDN w:val="1"/>
      <w:keepNext/>
      <w:widowControl/>
      <w:wordWrap/>
    </w:pPr>
    <w:rPr>
      <w:rFonts w:ascii="Calibri" w:eastAsia="Calibri" w:hAnsi="Calibri"/>
      <w:b/>
      <w:shd w:val="clear"/>
      <w:sz w:val="28"/>
      <w:szCs w:val="28"/>
      <w:w w:val="100"/>
    </w:rPr>
  </w:style>
  <w:style w:styleId="PO11" w:type="paragraph">
    <w:name w:val="heading 5"/>
    <w:basedOn w:val="PO1"/>
    <w:next w:val="PO1"/>
    <w:link w:val="PO156"/>
    <w:qFormat/>
    <w:uiPriority w:val="11"/>
    <w:pPr>
      <w:autoSpaceDE w:val="1"/>
      <w:autoSpaceDN w:val="1"/>
      <w:widowControl/>
      <w:wordWrap/>
    </w:pPr>
    <w:rPr>
      <w:i/>
      <w:rFonts w:ascii="Calibri" w:eastAsia="Calibri" w:hAnsi="Calibri"/>
      <w:b/>
      <w:shd w:val="clear"/>
      <w:sz w:val="26"/>
      <w:szCs w:val="26"/>
      <w:w w:val="100"/>
    </w:rPr>
  </w:style>
  <w:style w:styleId="PO12" w:type="paragraph">
    <w:name w:val="heading 6"/>
    <w:basedOn w:val="PO1"/>
    <w:next w:val="PO1"/>
    <w:link w:val="PO157"/>
    <w:qFormat/>
    <w:uiPriority w:val="12"/>
    <w:pPr>
      <w:autoSpaceDE w:val="1"/>
      <w:autoSpaceDN w:val="1"/>
      <w:widowControl/>
      <w:wordWrap/>
    </w:pPr>
    <w:rPr>
      <w:rFonts w:ascii="Calibri" w:eastAsia="Calibri" w:hAnsi="Calibri"/>
      <w:b/>
      <w:shd w:val="clear"/>
      <w:sz w:val="22"/>
      <w:szCs w:val="22"/>
      <w:w w:val="100"/>
    </w:rPr>
  </w:style>
  <w:style w:styleId="PO13" w:type="paragraph">
    <w:name w:val="heading 7"/>
    <w:basedOn w:val="PO1"/>
    <w:next w:val="PO1"/>
    <w:link w:val="PO158"/>
    <w:qFormat/>
    <w:uiPriority w:val="13"/>
    <w:pPr>
      <w:autoSpaceDE w:val="1"/>
      <w:autoSpaceDN w:val="1"/>
      <w:widowControl/>
      <w:wordWrap/>
    </w:pPr>
    <w:rPr>
      <w:rFonts w:ascii="Calibri" w:eastAsia="Calibri" w:hAnsi="Calibri"/>
      <w:shd w:val="clear"/>
      <w:sz w:val="24"/>
      <w:szCs w:val="24"/>
      <w:w w:val="100"/>
    </w:rPr>
  </w:style>
  <w:style w:styleId="PO14" w:type="paragraph">
    <w:name w:val="heading 8"/>
    <w:basedOn w:val="PO1"/>
    <w:next w:val="PO1"/>
    <w:link w:val="PO159"/>
    <w:qFormat/>
    <w:uiPriority w:val="14"/>
    <w:pPr>
      <w:autoSpaceDE w:val="1"/>
      <w:autoSpaceDN w:val="1"/>
      <w:widowControl/>
      <w:wordWrap/>
    </w:pPr>
    <w:rPr>
      <w:i/>
      <w:rFonts w:ascii="Calibri" w:eastAsia="Calibri" w:hAnsi="Calibri"/>
      <w:shd w:val="clear"/>
      <w:sz w:val="24"/>
      <w:szCs w:val="24"/>
      <w:w w:val="100"/>
    </w:rPr>
  </w:style>
  <w:style w:styleId="PO15" w:type="paragraph">
    <w:name w:val="heading 9"/>
    <w:basedOn w:val="PO1"/>
    <w:next w:val="PO1"/>
    <w:link w:val="PO160"/>
    <w:qFormat/>
    <w:uiPriority w:val="15"/>
    <w:pPr>
      <w:autoSpaceDE w:val="1"/>
      <w:autoSpaceDN w:val="1"/>
      <w:widowControl/>
      <w:wordWrap/>
    </w:pPr>
    <w:rPr>
      <w:rFonts w:ascii="Cambria" w:eastAsia="Cambria" w:hAnsi="Cambria"/>
      <w:shd w:val="clear"/>
      <w:sz w:val="22"/>
      <w:szCs w:val="22"/>
      <w:w w:val="100"/>
    </w:rPr>
  </w:style>
  <w:style w:styleId="PO16" w:type="paragraph">
    <w:name w:val="Subtitle"/>
    <w:basedOn w:val="PO1"/>
    <w:next w:val="PO1"/>
    <w:link w:val="PO167"/>
    <w:qFormat/>
    <w:uiPriority w:val="16"/>
    <w:pPr>
      <w:autoSpaceDE w:val="1"/>
      <w:autoSpaceDN w:val="1"/>
      <w:jc w:val="center"/>
      <w:widowControl/>
      <w:wordWrap/>
    </w:pPr>
    <w:rPr>
      <w:rFonts w:ascii="Cambria" w:eastAsia="Cambria" w:hAnsi="Cambria"/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basedOn w:val="PO2"/>
    <w:qFormat/>
    <w:uiPriority w:val="18"/>
    <w:rPr>
      <w:i/>
      <w:rFonts w:ascii="Calibri" w:eastAsia="Times New Roman" w:hAnsi="Calibri"/>
      <w:b/>
      <w:shd w:val="clear"/>
      <w:sz w:val="20"/>
      <w:szCs w:val="20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basedOn w:val="PO2"/>
    <w:qFormat/>
    <w:uiPriority w:val="20"/>
    <w:rPr>
      <w:rFonts w:ascii="宋体" w:eastAsia="Times New Roman" w:hAnsi="宋体"/>
      <w:b/>
      <w:shd w:val="clear"/>
      <w:sz w:val="20"/>
      <w:szCs w:val="20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52" w:type="character">
    <w:name w:val="Heading 1 Char"/>
    <w:basedOn w:val="PO2"/>
    <w:link w:val="PO7"/>
    <w:uiPriority w:val="152"/>
    <w:rPr>
      <w:rFonts w:ascii="Cambria" w:eastAsia="Times New Roman" w:hAnsi="Cambria"/>
      <w:b/>
      <w:shd w:val="clear"/>
      <w:sz w:val="32"/>
      <w:szCs w:val="32"/>
      <w:w w:val="100"/>
    </w:rPr>
  </w:style>
  <w:style w:customStyle="1" w:styleId="PO153" w:type="character">
    <w:name w:val="Heading 2 Char"/>
    <w:basedOn w:val="PO2"/>
    <w:link w:val="PO8"/>
    <w:uiPriority w:val="153"/>
    <w:semiHidden/>
    <w:rPr>
      <w:i/>
      <w:rFonts w:ascii="Cambria" w:eastAsia="Times New Roman" w:hAnsi="Cambria"/>
      <w:b/>
      <w:shd w:val="clear"/>
      <w:sz w:val="28"/>
      <w:szCs w:val="28"/>
      <w:w w:val="100"/>
    </w:rPr>
  </w:style>
  <w:style w:customStyle="1" w:styleId="PO154" w:type="character">
    <w:name w:val="Heading 3 Char"/>
    <w:basedOn w:val="PO2"/>
    <w:link w:val="PO9"/>
    <w:uiPriority w:val="154"/>
    <w:semiHidden/>
    <w:rPr>
      <w:rFonts w:ascii="Cambria" w:eastAsia="Times New Roman" w:hAnsi="Cambria"/>
      <w:b/>
      <w:shd w:val="clear"/>
      <w:sz w:val="26"/>
      <w:szCs w:val="26"/>
      <w:w w:val="100"/>
    </w:rPr>
  </w:style>
  <w:style w:customStyle="1" w:styleId="PO155" w:type="character">
    <w:name w:val="Heading 4 Char"/>
    <w:basedOn w:val="PO2"/>
    <w:link w:val="PO10"/>
    <w:uiPriority w:val="155"/>
    <w:semiHidden/>
    <w:rPr>
      <w:rFonts w:ascii="宋体" w:eastAsia="Times New Roman" w:hAnsi="宋体"/>
      <w:b/>
      <w:shd w:val="clear"/>
      <w:sz w:val="28"/>
      <w:szCs w:val="28"/>
      <w:w w:val="100"/>
    </w:rPr>
  </w:style>
  <w:style w:customStyle="1" w:styleId="PO156" w:type="character">
    <w:name w:val="Heading 5 Char"/>
    <w:basedOn w:val="PO2"/>
    <w:link w:val="PO11"/>
    <w:uiPriority w:val="156"/>
    <w:semiHidden/>
    <w:rPr>
      <w:i/>
      <w:rFonts w:ascii="宋体" w:eastAsia="Times New Roman" w:hAnsi="宋体"/>
      <w:b/>
      <w:shd w:val="clear"/>
      <w:sz w:val="26"/>
      <w:szCs w:val="26"/>
      <w:w w:val="100"/>
    </w:rPr>
  </w:style>
  <w:style w:customStyle="1" w:styleId="PO157" w:type="character">
    <w:name w:val="Heading 6 Char"/>
    <w:basedOn w:val="PO2"/>
    <w:link w:val="PO12"/>
    <w:uiPriority w:val="157"/>
    <w:semiHidden/>
    <w:rPr>
      <w:rFonts w:ascii="宋体" w:eastAsia="Times New Roman" w:hAnsi="宋体"/>
      <w:b/>
      <w:shd w:val="clear"/>
      <w:sz w:val="20"/>
      <w:szCs w:val="20"/>
      <w:w w:val="100"/>
    </w:rPr>
  </w:style>
  <w:style w:customStyle="1" w:styleId="PO158" w:type="character">
    <w:name w:val="Heading 7 Char"/>
    <w:basedOn w:val="PO2"/>
    <w:link w:val="PO13"/>
    <w:uiPriority w:val="158"/>
    <w:semiHidden/>
    <w:rPr>
      <w:rFonts w:ascii="宋体" w:eastAsia="Times New Roman" w:hAnsi="宋体"/>
      <w:shd w:val="clear"/>
      <w:sz w:val="24"/>
      <w:szCs w:val="24"/>
      <w:w w:val="100"/>
    </w:rPr>
  </w:style>
  <w:style w:customStyle="1" w:styleId="PO159" w:type="character">
    <w:name w:val="Heading 8 Char"/>
    <w:basedOn w:val="PO2"/>
    <w:link w:val="PO14"/>
    <w:uiPriority w:val="159"/>
    <w:semiHidden/>
    <w:rPr>
      <w:i/>
      <w:rFonts w:ascii="宋体" w:eastAsia="Times New Roman" w:hAnsi="宋体"/>
      <w:shd w:val="clear"/>
      <w:sz w:val="24"/>
      <w:szCs w:val="24"/>
      <w:w w:val="100"/>
    </w:rPr>
  </w:style>
  <w:style w:customStyle="1" w:styleId="PO160" w:type="character">
    <w:name w:val="Heading 9 Char"/>
    <w:basedOn w:val="PO2"/>
    <w:link w:val="PO15"/>
    <w:uiPriority w:val="160"/>
    <w:semiHidden/>
    <w:rPr>
      <w:rFonts w:ascii="Cambria" w:eastAsia="Times New Roman" w:hAnsi="Cambria"/>
      <w:shd w:val="clear"/>
      <w:sz w:val="20"/>
      <w:szCs w:val="20"/>
      <w:w w:val="100"/>
    </w:rPr>
  </w:style>
  <w:style w:styleId="PO161" w:type="paragraph">
    <w:name w:val="Balloon Text"/>
    <w:basedOn w:val="PO1"/>
    <w:link w:val="PO162"/>
    <w:uiPriority w:val="161"/>
    <w:rPr>
      <w:shd w:val="clear"/>
      <w:sz w:val="18"/>
      <w:szCs w:val="18"/>
      <w:w w:val="100"/>
    </w:rPr>
  </w:style>
  <w:style w:customStyle="1" w:styleId="PO162" w:type="character">
    <w:name w:val="Balloon Text Char"/>
    <w:basedOn w:val="PO2"/>
    <w:link w:val="PO161"/>
    <w:uiPriority w:val="162"/>
    <w:semiHidden/>
    <w:rPr>
      <w:rFonts w:ascii="Times New Roman" w:eastAsia="Times New Roman" w:hAnsi="Times New Roman"/>
      <w:shd w:val="clear"/>
      <w:sz w:val="18"/>
      <w:szCs w:val="18"/>
      <w:w w:val="100"/>
    </w:rPr>
  </w:style>
  <w:style w:styleId="PO163" w:type="paragraph">
    <w:name w:val="footer"/>
    <w:basedOn w:val="PO1"/>
    <w:link w:val="PO164"/>
    <w:uiPriority w:val="163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rFonts w:ascii="Calibri" w:eastAsia="Calibri" w:hAnsi="Calibri"/>
      <w:shd w:val="clear"/>
      <w:sz w:val="18"/>
      <w:szCs w:val="18"/>
      <w:w w:val="100"/>
    </w:rPr>
  </w:style>
  <w:style w:customStyle="1" w:styleId="PO164" w:type="character">
    <w:name w:val="Footer Char"/>
    <w:basedOn w:val="PO2"/>
    <w:link w:val="PO163"/>
    <w:uiPriority w:val="164"/>
    <w:rPr>
      <w:rFonts w:ascii="Calibri" w:eastAsia="Times New Roman" w:hAnsi="Calibri"/>
      <w:shd w:val="clear"/>
      <w:sz w:val="18"/>
      <w:szCs w:val="18"/>
      <w:w w:val="100"/>
    </w:rPr>
  </w:style>
  <w:style w:styleId="PO165" w:type="paragraph">
    <w:name w:val="header"/>
    <w:basedOn w:val="PO1"/>
    <w:link w:val="PO166"/>
    <w:uiPriority w:val="165"/>
    <w:pPr>
      <w:autoSpaceDE w:val="1"/>
      <w:autoSpaceDN w:val="1"/>
      <w:jc w:val="center"/>
      <w:tabs>
        <w:tab w:val="center" w:pos="4153"/>
        <w:tab w:val="right" w:pos="8306"/>
      </w:tabs>
      <w:widowControl/>
      <w:wordWrap/>
    </w:pPr>
    <w:rPr>
      <w:rFonts w:ascii="Calibri" w:eastAsia="Calibri" w:hAnsi="Calibri"/>
      <w:shd w:val="clear"/>
      <w:sz w:val="18"/>
      <w:szCs w:val="18"/>
      <w:w w:val="100"/>
    </w:rPr>
  </w:style>
  <w:style w:customStyle="1" w:styleId="PO166" w:type="character">
    <w:name w:val="Header Char"/>
    <w:basedOn w:val="PO2"/>
    <w:link w:val="PO165"/>
    <w:uiPriority w:val="166"/>
    <w:rPr>
      <w:rFonts w:ascii="Calibri" w:eastAsia="Times New Roman" w:hAnsi="Calibri"/>
      <w:shd w:val="clear"/>
      <w:sz w:val="18"/>
      <w:szCs w:val="18"/>
      <w:w w:val="100"/>
    </w:rPr>
  </w:style>
  <w:style w:customStyle="1" w:styleId="PO167" w:type="character">
    <w:name w:val="Subtitle Char"/>
    <w:basedOn w:val="PO2"/>
    <w:link w:val="PO16"/>
    <w:uiPriority w:val="167"/>
    <w:rPr>
      <w:rFonts w:ascii="Cambria" w:eastAsia="Times New Roman" w:hAnsi="Cambria"/>
      <w:shd w:val="clear"/>
      <w:sz w:val="24"/>
      <w:szCs w:val="24"/>
      <w:w w:val="100"/>
    </w:rPr>
  </w:style>
  <w:style w:customStyle="1" w:styleId="PO168" w:type="character">
    <w:name w:val="Title Char"/>
    <w:basedOn w:val="PO2"/>
    <w:link w:val="PO6"/>
    <w:uiPriority w:val="168"/>
    <w:rPr>
      <w:rFonts w:ascii="Cambria" w:eastAsia="Times New Roman" w:hAnsi="Cambria"/>
      <w:b/>
      <w:shd w:val="clear"/>
      <w:sz w:val="32"/>
      <w:szCs w:val="32"/>
      <w:w w:val="100"/>
    </w:rPr>
  </w:style>
  <w:style w:customStyle="1" w:styleId="PO169" w:type="paragraph">
    <w:name w:val="No Spacing1"/>
    <w:basedOn w:val="PO1"/>
    <w:uiPriority w:val="169"/>
    <w:pPr>
      <w:autoSpaceDE w:val="1"/>
      <w:autoSpaceDN w:val="1"/>
      <w:widowControl/>
      <w:wordWrap/>
    </w:pPr>
    <w:rPr>
      <w:rFonts w:ascii="Calibri" w:eastAsia="Calibri" w:hAnsi="Calibri"/>
      <w:shd w:val="clear"/>
      <w:sz w:val="24"/>
      <w:szCs w:val="24"/>
      <w:w w:val="100"/>
    </w:rPr>
  </w:style>
  <w:style w:customStyle="1" w:styleId="PO170" w:type="paragraph">
    <w:name w:val="List Paragraph1"/>
    <w:basedOn w:val="PO1"/>
    <w:uiPriority w:val="170"/>
    <w:pPr>
      <w:autoSpaceDE w:val="1"/>
      <w:autoSpaceDN w:val="1"/>
      <w:spacing/>
      <w:ind w:left="720" w:firstLine="0"/>
      <w:widowControl/>
      <w:wordWrap/>
    </w:pPr>
    <w:rPr>
      <w:rFonts w:ascii="Calibri" w:eastAsia="Calibri" w:hAnsi="Calibri"/>
      <w:shd w:val="clear"/>
      <w:sz w:val="24"/>
      <w:szCs w:val="24"/>
      <w:w w:val="100"/>
    </w:rPr>
  </w:style>
  <w:style w:customStyle="1" w:styleId="PO171" w:type="paragraph">
    <w:name w:val="Quote1"/>
    <w:basedOn w:val="PO1"/>
    <w:next w:val="PO1"/>
    <w:link w:val="PO172"/>
    <w:uiPriority w:val="171"/>
    <w:pPr>
      <w:autoSpaceDE w:val="1"/>
      <w:autoSpaceDN w:val="1"/>
      <w:widowControl/>
      <w:wordWrap/>
    </w:pPr>
    <w:rPr>
      <w:i/>
      <w:rFonts w:ascii="Calibri" w:eastAsia="Calibri" w:hAnsi="Calibri"/>
      <w:shd w:val="clear"/>
      <w:sz w:val="24"/>
      <w:szCs w:val="24"/>
      <w:w w:val="100"/>
    </w:rPr>
  </w:style>
  <w:style w:customStyle="1" w:styleId="PO172" w:type="character">
    <w:name w:val="引用 Char"/>
    <w:basedOn w:val="PO2"/>
    <w:link w:val="PO171"/>
    <w:uiPriority w:val="172"/>
    <w:rPr>
      <w:i/>
      <w:rFonts w:ascii="宋体" w:eastAsia="Times New Roman" w:hAnsi="宋体"/>
      <w:shd w:val="clear"/>
      <w:sz w:val="24"/>
      <w:szCs w:val="24"/>
      <w:w w:val="100"/>
    </w:rPr>
  </w:style>
  <w:style w:customStyle="1" w:styleId="PO173" w:type="paragraph">
    <w:name w:val="Intense Quote1"/>
    <w:basedOn w:val="PO1"/>
    <w:next w:val="PO1"/>
    <w:link w:val="PO174"/>
    <w:uiPriority w:val="173"/>
    <w:pPr>
      <w:autoSpaceDE w:val="1"/>
      <w:autoSpaceDN w:val="1"/>
      <w:ind w:left="720" w:right="720" w:firstLine="0"/>
      <w:widowControl/>
      <w:wordWrap/>
    </w:pPr>
    <w:rPr>
      <w:i/>
      <w:rFonts w:ascii="Calibri" w:eastAsia="Calibri" w:hAnsi="Calibri"/>
      <w:b/>
      <w:shd w:val="clear"/>
      <w:sz w:val="24"/>
      <w:szCs w:val="24"/>
      <w:w w:val="100"/>
    </w:rPr>
  </w:style>
  <w:style w:customStyle="1" w:styleId="PO174" w:type="character">
    <w:name w:val="明显引用 Char"/>
    <w:basedOn w:val="PO2"/>
    <w:link w:val="PO173"/>
    <w:uiPriority w:val="174"/>
    <w:rPr>
      <w:i/>
      <w:rFonts w:ascii="宋体" w:eastAsia="Times New Roman" w:hAnsi="宋体"/>
      <w:b/>
      <w:shd w:val="clear"/>
      <w:sz w:val="24"/>
      <w:szCs w:val="24"/>
      <w:w w:val="100"/>
    </w:rPr>
  </w:style>
  <w:style w:customStyle="1" w:styleId="PO175" w:type="character">
    <w:name w:val="Subtle Emphasis1"/>
    <w:uiPriority w:val="175"/>
    <w:rPr>
      <w:color w:val="595959"/>
      <w:i/>
      <w:shd w:val="clear"/>
      <w:sz w:val="20"/>
      <w:szCs w:val="20"/>
      <w:w w:val="100"/>
    </w:rPr>
  </w:style>
  <w:style w:customStyle="1" w:styleId="PO176" w:type="character">
    <w:name w:val="Intense Emphasis1"/>
    <w:basedOn w:val="PO2"/>
    <w:uiPriority w:val="176"/>
    <w:rPr>
      <w:i/>
      <w:rFonts w:ascii="宋体" w:eastAsia="Times New Roman" w:hAnsi="宋体"/>
      <w:b/>
      <w:shd w:val="clear"/>
      <w:sz w:val="24"/>
      <w:szCs w:val="24"/>
      <w:u w:val="single"/>
      <w:w w:val="100"/>
    </w:rPr>
  </w:style>
  <w:style w:customStyle="1" w:styleId="PO177" w:type="character">
    <w:name w:val="Subtle Reference1"/>
    <w:basedOn w:val="PO2"/>
    <w:uiPriority w:val="177"/>
    <w:rPr>
      <w:rFonts w:ascii="宋体" w:eastAsia="Times New Roman" w:hAnsi="宋体"/>
      <w:shd w:val="clear"/>
      <w:sz w:val="24"/>
      <w:szCs w:val="24"/>
      <w:u w:val="single"/>
      <w:w w:val="100"/>
    </w:rPr>
  </w:style>
  <w:style w:customStyle="1" w:styleId="PO178" w:type="character">
    <w:name w:val="Intense Reference1"/>
    <w:basedOn w:val="PO2"/>
    <w:uiPriority w:val="178"/>
    <w:rPr>
      <w:rFonts w:ascii="宋体" w:eastAsia="Times New Roman" w:hAnsi="宋体"/>
      <w:b/>
      <w:shd w:val="clear"/>
      <w:sz w:val="24"/>
      <w:szCs w:val="24"/>
      <w:u w:val="single"/>
      <w:w w:val="100"/>
    </w:rPr>
  </w:style>
  <w:style w:customStyle="1" w:styleId="PO179" w:type="character">
    <w:name w:val="Book Title1"/>
    <w:basedOn w:val="PO2"/>
    <w:uiPriority w:val="179"/>
    <w:rPr>
      <w:i/>
      <w:rFonts w:ascii="Cambria" w:eastAsia="Times New Roman" w:hAnsi="Cambria"/>
      <w:b/>
      <w:shd w:val="clear"/>
      <w:sz w:val="24"/>
      <w:szCs w:val="24"/>
      <w:w w:val="100"/>
    </w:rPr>
  </w:style>
  <w:style w:customStyle="1" w:styleId="PO180" w:type="paragraph">
    <w:name w:val="TOC Heading1"/>
    <w:basedOn w:val="PO7"/>
    <w:next w:val="PO1"/>
    <w:uiPriority w:val="180"/>
    <w:pPr>
      <w:autoSpaceDE w:val="1"/>
      <w:autoSpaceDN w:val="1"/>
      <w:widowControl/>
      <w:wordWrap/>
    </w:pPr>
    <w:rPr>
      <w:shd w:val="clear"/>
      <w:sz w:val="20"/>
      <w:szCs w:val="20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header" Target="header2.xml"></Relationship><Relationship Id="rId6" Type="http://schemas.openxmlformats.org/officeDocument/2006/relationships/header" Target="header3.xml"></Relationship><Relationship Id="rId7" Type="http://schemas.openxmlformats.org/officeDocument/2006/relationships/footer" Target="footer5.xml"></Relationship><Relationship Id="rId8" Type="http://schemas.openxmlformats.org/officeDocument/2006/relationships/footer" Target="footer6.xml"></Relationship><Relationship Id="rId9" Type="http://schemas.openxmlformats.org/officeDocument/2006/relationships/header" Target="header4.xml"></Relationship><Relationship Id="rId10" Type="http://schemas.openxmlformats.org/officeDocument/2006/relationships/footer" Target="footer7.xml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277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赵 恺（预算处）</dc:creator>
  <cp:lastModifiedBy/>
  <dc:title>附件1：</dc:title>
  <dcterms:modified xsi:type="dcterms:W3CDTF">2019-01-22T02:55:00Z</dcterms:modified>
</cp:coreProperties>
</file>