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AB34CE">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附件1：</w:t>
      </w:r>
    </w:p>
    <w:p w14:paraId="4A9088A7">
      <w:pPr>
        <w:spacing w:line="540" w:lineRule="exact"/>
        <w:jc w:val="center"/>
        <w:rPr>
          <w:rFonts w:ascii="华文中宋" w:hAnsi="华文中宋" w:eastAsia="华文中宋" w:cs="宋体"/>
          <w:b/>
          <w:kern w:val="0"/>
          <w:sz w:val="52"/>
          <w:szCs w:val="52"/>
        </w:rPr>
      </w:pPr>
    </w:p>
    <w:p w14:paraId="6E007917">
      <w:pPr>
        <w:spacing w:line="540" w:lineRule="exact"/>
        <w:jc w:val="center"/>
        <w:rPr>
          <w:rFonts w:ascii="华文中宋" w:hAnsi="华文中宋" w:eastAsia="华文中宋" w:cs="宋体"/>
          <w:b/>
          <w:kern w:val="0"/>
          <w:sz w:val="52"/>
          <w:szCs w:val="52"/>
        </w:rPr>
      </w:pPr>
    </w:p>
    <w:p w14:paraId="03D79F99">
      <w:pPr>
        <w:spacing w:line="540" w:lineRule="exact"/>
        <w:jc w:val="center"/>
        <w:rPr>
          <w:rFonts w:ascii="华文中宋" w:hAnsi="华文中宋" w:eastAsia="华文中宋" w:cs="宋体"/>
          <w:b/>
          <w:kern w:val="0"/>
          <w:sz w:val="52"/>
          <w:szCs w:val="52"/>
        </w:rPr>
      </w:pPr>
    </w:p>
    <w:p w14:paraId="3E9C7159">
      <w:pPr>
        <w:spacing w:line="540" w:lineRule="exact"/>
        <w:jc w:val="center"/>
        <w:rPr>
          <w:rFonts w:ascii="华文中宋" w:hAnsi="华文中宋" w:eastAsia="华文中宋" w:cs="宋体"/>
          <w:b/>
          <w:kern w:val="0"/>
          <w:sz w:val="52"/>
          <w:szCs w:val="52"/>
        </w:rPr>
      </w:pPr>
    </w:p>
    <w:p w14:paraId="4C880F8A">
      <w:pPr>
        <w:spacing w:line="540" w:lineRule="exact"/>
        <w:jc w:val="center"/>
        <w:rPr>
          <w:rFonts w:ascii="华文中宋" w:hAnsi="华文中宋" w:eastAsia="华文中宋" w:cs="宋体"/>
          <w:b/>
          <w:kern w:val="0"/>
          <w:sz w:val="52"/>
          <w:szCs w:val="52"/>
        </w:rPr>
      </w:pPr>
    </w:p>
    <w:p w14:paraId="4A42AAA1">
      <w:pPr>
        <w:spacing w:line="540" w:lineRule="exact"/>
        <w:jc w:val="center"/>
        <w:rPr>
          <w:rFonts w:ascii="华文中宋" w:hAnsi="华文中宋" w:eastAsia="华文中宋" w:cs="宋体"/>
          <w:b/>
          <w:kern w:val="0"/>
          <w:sz w:val="52"/>
          <w:szCs w:val="52"/>
        </w:rPr>
      </w:pPr>
    </w:p>
    <w:p w14:paraId="29D038C8">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自治州财政项目支出绩效自评报告</w:t>
      </w:r>
    </w:p>
    <w:p w14:paraId="238271BE">
      <w:pPr>
        <w:spacing w:line="540" w:lineRule="exact"/>
        <w:jc w:val="center"/>
        <w:rPr>
          <w:rFonts w:ascii="华文中宋" w:hAnsi="华文中宋" w:eastAsia="华文中宋" w:cs="宋体"/>
          <w:b/>
          <w:kern w:val="0"/>
          <w:sz w:val="52"/>
          <w:szCs w:val="52"/>
        </w:rPr>
      </w:pPr>
    </w:p>
    <w:p w14:paraId="1017CC4C">
      <w:pPr>
        <w:spacing w:line="540" w:lineRule="exact"/>
        <w:jc w:val="center"/>
        <w:rPr>
          <w:rFonts w:hAnsi="宋体" w:eastAsia="仿宋_GB2312" w:cs="宋体"/>
          <w:kern w:val="0"/>
          <w:sz w:val="36"/>
          <w:szCs w:val="36"/>
        </w:rPr>
      </w:pPr>
      <w:r>
        <w:rPr>
          <w:rFonts w:hint="eastAsia" w:hAnsi="宋体" w:eastAsia="仿宋_GB2312" w:cs="宋体"/>
          <w:kern w:val="0"/>
          <w:sz w:val="36"/>
          <w:szCs w:val="36"/>
        </w:rPr>
        <w:t>（2018年度）</w:t>
      </w:r>
    </w:p>
    <w:p w14:paraId="07F58638">
      <w:pPr>
        <w:spacing w:line="540" w:lineRule="exact"/>
        <w:jc w:val="center"/>
        <w:rPr>
          <w:rFonts w:hAnsi="宋体" w:eastAsia="仿宋_GB2312" w:cs="宋体"/>
          <w:kern w:val="0"/>
          <w:sz w:val="30"/>
          <w:szCs w:val="30"/>
        </w:rPr>
      </w:pPr>
    </w:p>
    <w:p w14:paraId="4D212CC5">
      <w:pPr>
        <w:spacing w:line="540" w:lineRule="exact"/>
        <w:jc w:val="center"/>
        <w:rPr>
          <w:rFonts w:hAnsi="宋体" w:eastAsia="仿宋_GB2312" w:cs="宋体"/>
          <w:kern w:val="0"/>
          <w:sz w:val="30"/>
          <w:szCs w:val="30"/>
        </w:rPr>
      </w:pPr>
    </w:p>
    <w:p w14:paraId="3F88755D">
      <w:pPr>
        <w:spacing w:line="540" w:lineRule="exact"/>
        <w:jc w:val="center"/>
        <w:rPr>
          <w:rFonts w:hAnsi="宋体" w:eastAsia="仿宋_GB2312" w:cs="宋体"/>
          <w:kern w:val="0"/>
          <w:sz w:val="30"/>
          <w:szCs w:val="30"/>
        </w:rPr>
      </w:pPr>
    </w:p>
    <w:p w14:paraId="774FB49A">
      <w:pPr>
        <w:spacing w:line="540" w:lineRule="exact"/>
        <w:jc w:val="center"/>
        <w:rPr>
          <w:rFonts w:hAnsi="宋体" w:eastAsia="仿宋_GB2312" w:cs="宋体"/>
          <w:kern w:val="0"/>
          <w:sz w:val="30"/>
          <w:szCs w:val="30"/>
        </w:rPr>
      </w:pPr>
    </w:p>
    <w:p w14:paraId="3724DCBD">
      <w:pPr>
        <w:spacing w:line="540" w:lineRule="exact"/>
        <w:jc w:val="center"/>
        <w:rPr>
          <w:rFonts w:hAnsi="宋体" w:eastAsia="仿宋_GB2312" w:cs="宋体"/>
          <w:kern w:val="0"/>
          <w:sz w:val="30"/>
          <w:szCs w:val="30"/>
        </w:rPr>
      </w:pPr>
    </w:p>
    <w:p w14:paraId="370DBCBF">
      <w:pPr>
        <w:spacing w:line="540" w:lineRule="exact"/>
        <w:rPr>
          <w:rFonts w:hAnsi="宋体" w:eastAsia="仿宋_GB2312" w:cs="宋体"/>
          <w:kern w:val="0"/>
          <w:sz w:val="30"/>
          <w:szCs w:val="30"/>
        </w:rPr>
      </w:pPr>
    </w:p>
    <w:p w14:paraId="08A6767C">
      <w:pPr>
        <w:spacing w:line="700" w:lineRule="exact"/>
        <w:jc w:val="left"/>
        <w:rPr>
          <w:rFonts w:hAnsi="宋体" w:eastAsia="仿宋_GB2312" w:cs="宋体"/>
          <w:spacing w:val="-20"/>
          <w:kern w:val="0"/>
          <w:sz w:val="36"/>
          <w:szCs w:val="36"/>
        </w:rPr>
      </w:pPr>
      <w:r>
        <w:rPr>
          <w:rFonts w:hint="eastAsia" w:hAnsi="宋体" w:eastAsia="仿宋_GB2312" w:cs="宋体"/>
          <w:kern w:val="0"/>
          <w:sz w:val="36"/>
          <w:szCs w:val="36"/>
        </w:rPr>
        <w:t xml:space="preserve">     项目名称：</w:t>
      </w:r>
      <w:r>
        <w:rPr>
          <w:rFonts w:hint="eastAsia" w:hAnsi="宋体" w:eastAsia="仿宋_GB2312" w:cs="宋体"/>
          <w:spacing w:val="-20"/>
          <w:kern w:val="0"/>
          <w:sz w:val="36"/>
          <w:szCs w:val="36"/>
        </w:rPr>
        <w:t>2018年农村义务教育薄弱学校改造项目</w:t>
      </w:r>
    </w:p>
    <w:p w14:paraId="44E33249">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实施单位（公章）：奇台县教育局</w:t>
      </w:r>
    </w:p>
    <w:p w14:paraId="6333E9DA">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主管部门（公章）：奇台县教育局</w:t>
      </w:r>
    </w:p>
    <w:p w14:paraId="2D42096E">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项目负责人（签章）：张斌</w:t>
      </w:r>
    </w:p>
    <w:p w14:paraId="476C0067">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  2019年 2月15 日</w:t>
      </w:r>
    </w:p>
    <w:p w14:paraId="5884B0B9">
      <w:pPr>
        <w:spacing w:line="540" w:lineRule="exact"/>
        <w:jc w:val="center"/>
        <w:rPr>
          <w:rFonts w:hAnsi="宋体" w:eastAsia="仿宋_GB2312" w:cs="宋体"/>
          <w:kern w:val="0"/>
          <w:sz w:val="30"/>
          <w:szCs w:val="30"/>
        </w:rPr>
      </w:pPr>
    </w:p>
    <w:p w14:paraId="6B0D80E4">
      <w:pPr>
        <w:spacing w:line="540" w:lineRule="exact"/>
        <w:rPr>
          <w:rStyle w:val="18"/>
          <w:rFonts w:ascii="黑体" w:hAnsi="黑体" w:eastAsia="黑体"/>
          <w:b w:val="0"/>
          <w:spacing w:val="-4"/>
          <w:sz w:val="32"/>
          <w:szCs w:val="32"/>
        </w:rPr>
      </w:pPr>
    </w:p>
    <w:p w14:paraId="2019D982">
      <w:pPr>
        <w:spacing w:line="540" w:lineRule="exact"/>
        <w:rPr>
          <w:rStyle w:val="18"/>
          <w:rFonts w:ascii="黑体" w:hAnsi="黑体" w:eastAsia="黑体"/>
          <w:b w:val="0"/>
          <w:spacing w:val="-4"/>
          <w:sz w:val="32"/>
          <w:szCs w:val="32"/>
        </w:rPr>
      </w:pPr>
    </w:p>
    <w:p w14:paraId="53E41B3D">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一、项目概况</w:t>
      </w:r>
    </w:p>
    <w:p w14:paraId="673C6B54">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（一）项目单位基本情况</w:t>
      </w:r>
    </w:p>
    <w:p w14:paraId="1B129E5D">
      <w:pPr>
        <w:pStyle w:val="46"/>
        <w:rPr>
          <w:rStyle w:val="18"/>
          <w:rFonts w:ascii="仿宋_GB2312" w:hAnsi="仿宋_GB2312" w:eastAsia="仿宋_GB2312" w:cs="仿宋_GB2312"/>
          <w:spacing w:val="-4"/>
          <w:sz w:val="30"/>
          <w:szCs w:val="30"/>
        </w:rPr>
      </w:pPr>
      <w:r>
        <w:rPr>
          <w:rFonts w:hint="eastAsia" w:ascii="仿宋_GB2312" w:hAnsi="仿宋_GB2312" w:eastAsia="仿宋_GB2312" w:cs="仿宋_GB2312"/>
          <w:sz w:val="30"/>
          <w:szCs w:val="30"/>
        </w:rPr>
        <w:t>奇台县</w:t>
      </w:r>
      <w:r>
        <w:rPr>
          <w:rFonts w:hint="eastAsia" w:ascii="仿宋_GB2312" w:hAnsi="仿宋_GB2312" w:eastAsia="仿宋_GB2312" w:cs="仿宋_GB2312"/>
          <w:color w:val="000000"/>
          <w:sz w:val="30"/>
          <w:szCs w:val="30"/>
        </w:rPr>
        <w:t>教育局主要职能是按照县委、县人民政府的总体部署，负责制定全县教育事业发展规划、计划，确定教育事业发展重点、规模、速度和步骤，并指导、协调贯彻实施。综合管理全县的基础教育、学前教育、成人、职业技术教育、社会力量办学等教育工作，负责奇台县人民政府教育督导工作。组织实施素质教育，指导各类学校的体育、卫生、艺术和劳动教育工作，管理全县的学历教育及考试工作。规划指导全县继续教育工作、勤工俭学工作、成人教育工作及扫除青壮年文盲工作。</w:t>
      </w:r>
    </w:p>
    <w:p w14:paraId="60E7A71F">
      <w:pPr>
        <w:numPr>
          <w:ilvl w:val="0"/>
          <w:numId w:val="1"/>
        </w:num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项目预算</w:t>
      </w:r>
      <w:r>
        <w:rPr>
          <w:rStyle w:val="18"/>
          <w:rFonts w:ascii="楷体" w:hAnsi="楷体" w:eastAsia="楷体"/>
          <w:spacing w:val="-4"/>
          <w:sz w:val="32"/>
          <w:szCs w:val="32"/>
        </w:rPr>
        <w:t>绩效目标</w:t>
      </w:r>
      <w:r>
        <w:rPr>
          <w:rStyle w:val="18"/>
          <w:rFonts w:hint="eastAsia" w:ascii="楷体" w:hAnsi="楷体" w:eastAsia="楷体"/>
          <w:spacing w:val="-4"/>
          <w:sz w:val="32"/>
          <w:szCs w:val="32"/>
        </w:rPr>
        <w:t>设定情况</w:t>
      </w:r>
    </w:p>
    <w:p w14:paraId="2915A6BE">
      <w:pPr>
        <w:spacing w:line="540" w:lineRule="exact"/>
        <w:ind w:firstLine="564" w:firstLineChars="181"/>
        <w:rPr>
          <w:rStyle w:val="18"/>
          <w:rFonts w:ascii="楷体" w:hAnsi="楷体" w:eastAsia="楷体"/>
          <w:spacing w:val="-4"/>
          <w:sz w:val="32"/>
          <w:szCs w:val="32"/>
        </w:rPr>
      </w:pPr>
      <w:r>
        <w:rPr>
          <w:rStyle w:val="18"/>
          <w:rFonts w:hint="eastAsia" w:ascii="仿宋" w:hAnsi="仿宋" w:eastAsia="仿宋"/>
          <w:b w:val="0"/>
          <w:spacing w:val="-4"/>
          <w:sz w:val="32"/>
          <w:szCs w:val="32"/>
        </w:rPr>
        <w:t>2018年农村义务教育薄弱学校改造计划专项资金（新增地方政府债券）分配给奇台县坎尔孜乡中心学校、奇台县西地镇中心学校、奇台县第一小学、奇台县东湾镇中心学校、奇台县三个庄子乡中心学校、奇台县五马场乡中心学校，奇台县第六小学、奇台县第五中学。</w:t>
      </w:r>
    </w:p>
    <w:p w14:paraId="7A113519">
      <w:pPr>
        <w:spacing w:line="540" w:lineRule="exact"/>
        <w:ind w:firstLine="564" w:firstLineChars="181"/>
        <w:rPr>
          <w:rStyle w:val="18"/>
          <w:rFonts w:ascii="仿宋" w:hAnsi="仿宋" w:eastAsia="仿宋"/>
          <w:b w:val="0"/>
          <w:spacing w:val="-4"/>
          <w:sz w:val="32"/>
          <w:szCs w:val="32"/>
        </w:rPr>
      </w:pPr>
      <w:r>
        <w:rPr>
          <w:rStyle w:val="18"/>
          <w:rFonts w:hint="eastAsia" w:ascii="仿宋" w:hAnsi="仿宋" w:eastAsia="仿宋"/>
          <w:b w:val="0"/>
          <w:spacing w:val="-4"/>
          <w:sz w:val="32"/>
          <w:szCs w:val="32"/>
        </w:rPr>
        <w:t>预期目标：涉及8所学校校舍及硬化、绿化1970平方米建设任务；120平方米门卫室、围墙1148米、220米室外改造管网。</w:t>
      </w:r>
    </w:p>
    <w:p w14:paraId="0654E28A">
      <w:pPr>
        <w:spacing w:line="540" w:lineRule="exact"/>
        <w:ind w:firstLine="564" w:firstLineChars="181"/>
        <w:rPr>
          <w:rStyle w:val="18"/>
          <w:rFonts w:ascii="仿宋" w:hAnsi="仿宋" w:eastAsia="仿宋"/>
          <w:b w:val="0"/>
          <w:spacing w:val="-4"/>
          <w:sz w:val="32"/>
          <w:szCs w:val="32"/>
        </w:rPr>
      </w:pPr>
      <w:r>
        <w:rPr>
          <w:rStyle w:val="18"/>
          <w:rFonts w:hint="eastAsia" w:ascii="仿宋" w:hAnsi="仿宋" w:eastAsia="仿宋"/>
          <w:b w:val="0"/>
          <w:spacing w:val="-4"/>
          <w:sz w:val="32"/>
          <w:szCs w:val="32"/>
        </w:rPr>
        <w:t>阶段性目标：已完成8所学校校舍及硬化、绿化1970平方米建设任务；120平方米门卫室、围墙1148米、220米室外改造管网。。</w:t>
      </w:r>
    </w:p>
    <w:p w14:paraId="4AEFEEC9">
      <w:pPr>
        <w:spacing w:line="540" w:lineRule="exact"/>
        <w:ind w:firstLine="564" w:firstLineChars="181"/>
        <w:rPr>
          <w:rStyle w:val="18"/>
          <w:rFonts w:ascii="仿宋" w:hAnsi="仿宋" w:eastAsia="仿宋"/>
          <w:b w:val="0"/>
          <w:spacing w:val="-4"/>
          <w:sz w:val="32"/>
          <w:szCs w:val="32"/>
        </w:rPr>
      </w:pPr>
      <w:r>
        <w:rPr>
          <w:rStyle w:val="18"/>
          <w:rFonts w:hint="eastAsia" w:ascii="仿宋" w:hAnsi="仿宋" w:eastAsia="仿宋"/>
          <w:b w:val="0"/>
          <w:spacing w:val="-4"/>
          <w:sz w:val="32"/>
          <w:szCs w:val="32"/>
        </w:rPr>
        <w:t>以上项目的完成提升了我县义务教育阶段学校办学条件，中小学校创造一个良好的学习环境，保障学生就学需求，实现义务教育均衡发展验收目标。</w:t>
      </w:r>
    </w:p>
    <w:p w14:paraId="21A00E25">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二、项目资金使用及管理情况</w:t>
      </w:r>
    </w:p>
    <w:p w14:paraId="632CBE88">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（一）项目资金安排落实、总投入等情况分析</w:t>
      </w:r>
    </w:p>
    <w:p w14:paraId="4D15F92E">
      <w:pPr>
        <w:spacing w:line="54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rPr>
        <w:t>项目资金873.19万元，均为中央资金。</w:t>
      </w:r>
    </w:p>
    <w:p w14:paraId="48D021EC">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（二）项目资金实际使用情况分析</w:t>
      </w:r>
    </w:p>
    <w:p w14:paraId="31706546">
      <w:pPr>
        <w:spacing w:line="540" w:lineRule="exact"/>
        <w:ind w:firstLine="564" w:firstLineChars="181"/>
        <w:rPr>
          <w:rStyle w:val="18"/>
          <w:rFonts w:ascii="仿宋" w:hAnsi="仿宋" w:eastAsia="仿宋"/>
          <w:b w:val="0"/>
          <w:spacing w:val="-4"/>
          <w:sz w:val="32"/>
          <w:szCs w:val="32"/>
        </w:rPr>
      </w:pPr>
      <w:r>
        <w:rPr>
          <w:rStyle w:val="18"/>
          <w:rFonts w:hint="eastAsia" w:ascii="仿宋" w:hAnsi="仿宋" w:eastAsia="仿宋"/>
          <w:b w:val="0"/>
          <w:spacing w:val="-4"/>
          <w:sz w:val="32"/>
          <w:szCs w:val="32"/>
        </w:rPr>
        <w:t>873.19万元已全部支付。奇台县坎尔孜乡中心学校土建资金300万元，附属资金50万元，；奇台县西地镇中心学校土建资金192万元，附属资金36万元，；奇台县第一小学附属资金21万元，；奇台县第六小学附属资金8万元，；奇台县东湾镇中心学校附属资金12万元，；奇台县三个庄子乡中心学校附属资金14万元，；奇台县五马场乡中心学校附属资金12万元，；奇台县第五中学硬化、绿化资金228.19万元。</w:t>
      </w:r>
    </w:p>
    <w:p w14:paraId="21211D55">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（三）项目资金管理情况分析</w:t>
      </w:r>
    </w:p>
    <w:p w14:paraId="367B8FA0">
      <w:pPr>
        <w:spacing w:line="54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rPr>
        <w:t>项目资金全部采用专款专用，无占用、挪用现象，严格按照专项资金管理办法，已全部拨付到位。</w:t>
      </w:r>
    </w:p>
    <w:p w14:paraId="575A8E9F">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三、项目组织实施情况</w:t>
      </w:r>
    </w:p>
    <w:p w14:paraId="2C3938FE">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（一）项目组织情况分析</w:t>
      </w:r>
    </w:p>
    <w:p w14:paraId="7E75BC4A">
      <w:pPr>
        <w:spacing w:line="460" w:lineRule="exact"/>
        <w:ind w:firstLine="624" w:firstLineChars="200"/>
        <w:rPr>
          <w:rFonts w:ascii="仿宋_GB2312" w:hAnsi="仿宋_GB2312" w:eastAsia="仿宋_GB2312" w:cs="仿宋_GB2312"/>
          <w:kern w:val="0"/>
          <w:sz w:val="32"/>
          <w:szCs w:val="32"/>
          <w:shd w:val="clear" w:color="auto" w:fill="FFFFFF"/>
        </w:rPr>
      </w:pPr>
      <w:r>
        <w:rPr>
          <w:rStyle w:val="18"/>
          <w:rFonts w:hint="eastAsia" w:ascii="仿宋" w:hAnsi="仿宋" w:eastAsia="仿宋"/>
          <w:b w:val="0"/>
          <w:spacing w:val="-4"/>
          <w:sz w:val="32"/>
          <w:szCs w:val="32"/>
        </w:rPr>
        <w:t>项目资金到位后，</w:t>
      </w:r>
      <w:r>
        <w:rPr>
          <w:rFonts w:hint="eastAsia" w:ascii="仿宋_GB2312" w:hAnsi="仿宋_GB2312" w:eastAsia="仿宋_GB2312" w:cs="仿宋_GB2312"/>
          <w:kern w:val="0"/>
          <w:sz w:val="32"/>
          <w:szCs w:val="32"/>
          <w:shd w:val="clear" w:color="auto" w:fill="FFFFFF"/>
        </w:rPr>
        <w:t>各项目实施学校指定专人具体负责项目的规划、施工、监督等工作，做到工程处处有人抓、件件有落实</w:t>
      </w:r>
      <w:r>
        <w:rPr>
          <w:rFonts w:hint="eastAsia" w:ascii="仿宋_GB2312" w:hAnsi="仿宋_GB2312" w:eastAsia="仿宋_GB2312" w:cs="仿宋_GB2312"/>
          <w:sz w:val="32"/>
          <w:szCs w:val="32"/>
          <w:shd w:val="clear" w:color="auto" w:fill="FFFFFF"/>
        </w:rPr>
        <w:t>，为</w:t>
      </w:r>
      <w:r>
        <w:rPr>
          <w:rFonts w:hint="eastAsia" w:ascii="仿宋_GB2312" w:hAnsi="仿宋_GB2312" w:eastAsia="仿宋_GB2312" w:cs="仿宋_GB2312"/>
          <w:kern w:val="0"/>
          <w:sz w:val="32"/>
          <w:szCs w:val="32"/>
          <w:shd w:val="clear" w:color="auto" w:fill="FFFFFF"/>
        </w:rPr>
        <w:t>项目的顺利实施奠定了坚实的基础。项目严格按照招投标法执行，无调整情况，按工程进度资金到位部分完成验收。</w:t>
      </w:r>
    </w:p>
    <w:p w14:paraId="013D9DFA">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（二）项目管理情况分析</w:t>
      </w:r>
    </w:p>
    <w:p w14:paraId="7F5EB5F7">
      <w:pPr>
        <w:spacing w:line="540" w:lineRule="exact"/>
        <w:ind w:firstLine="640" w:firstLineChars="200"/>
        <w:rPr>
          <w:rStyle w:val="18"/>
          <w:rFonts w:ascii="仿宋" w:hAnsi="仿宋" w:eastAsia="仿宋"/>
          <w:b w:val="0"/>
          <w:spacing w:val="-4"/>
          <w:sz w:val="32"/>
          <w:szCs w:val="32"/>
        </w:rPr>
      </w:pPr>
      <w:r>
        <w:rPr>
          <w:rFonts w:hint="eastAsia" w:ascii="仿宋_GB2312" w:hAnsi="仿宋_GB2312" w:eastAsia="仿宋_GB2312" w:cs="仿宋_GB2312"/>
          <w:kern w:val="0"/>
          <w:sz w:val="32"/>
          <w:szCs w:val="32"/>
          <w:shd w:val="clear" w:color="auto" w:fill="FFFFFF"/>
        </w:rPr>
        <w:t>项目明确专人负责日常工作；并</w:t>
      </w:r>
      <w:r>
        <w:rPr>
          <w:rFonts w:hint="eastAsia" w:ascii="仿宋_GB2312" w:hAnsi="仿宋_GB2312" w:eastAsia="仿宋_GB2312" w:cs="仿宋_GB2312"/>
          <w:sz w:val="32"/>
          <w:szCs w:val="32"/>
          <w:shd w:val="clear" w:color="auto" w:fill="FFFFFF"/>
        </w:rPr>
        <w:t>建立目标考核体系和项目管理责任制，层层分解和落实目标任务，将责任落实到人</w:t>
      </w:r>
      <w:r>
        <w:rPr>
          <w:rFonts w:hint="eastAsia" w:ascii="仿宋_GB2312" w:hAnsi="仿宋_GB2312" w:eastAsia="仿宋_GB2312" w:cs="仿宋_GB2312"/>
          <w:kern w:val="0"/>
          <w:sz w:val="32"/>
          <w:szCs w:val="32"/>
          <w:shd w:val="clear" w:color="auto" w:fill="FFFFFF"/>
        </w:rPr>
        <w:t>。</w:t>
      </w:r>
    </w:p>
    <w:p w14:paraId="0FEF5521">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四、项目绩效情况</w:t>
      </w:r>
      <w:r>
        <w:rPr>
          <w:rStyle w:val="18"/>
          <w:rFonts w:hint="eastAsia" w:ascii="黑体" w:hAnsi="黑体" w:eastAsia="黑体"/>
        </w:rPr>
        <w:t xml:space="preserve"> </w:t>
      </w:r>
    </w:p>
    <w:p w14:paraId="410A3B73">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14:paraId="4C2ABD7A">
      <w:pPr>
        <w:spacing w:line="540" w:lineRule="exact"/>
        <w:ind w:firstLine="564" w:firstLineChars="181"/>
        <w:rPr>
          <w:rStyle w:val="18"/>
          <w:rFonts w:ascii="仿宋" w:hAnsi="仿宋" w:eastAsia="仿宋"/>
          <w:b w:val="0"/>
          <w:spacing w:val="-4"/>
          <w:sz w:val="32"/>
          <w:szCs w:val="32"/>
        </w:rPr>
      </w:pPr>
      <w:r>
        <w:rPr>
          <w:rStyle w:val="18"/>
          <w:rFonts w:hint="eastAsia" w:ascii="仿宋" w:hAnsi="仿宋" w:eastAsia="仿宋"/>
          <w:b w:val="0"/>
          <w:spacing w:val="-4"/>
          <w:sz w:val="32"/>
          <w:szCs w:val="32"/>
        </w:rPr>
        <w:t>经济性：项目成本预算控制实现目标</w:t>
      </w:r>
    </w:p>
    <w:p w14:paraId="03B37E0E">
      <w:pPr>
        <w:spacing w:line="540" w:lineRule="exact"/>
        <w:ind w:firstLine="564" w:firstLineChars="181"/>
        <w:rPr>
          <w:rStyle w:val="18"/>
          <w:rFonts w:ascii="仿宋" w:hAnsi="仿宋" w:eastAsia="仿宋"/>
          <w:b w:val="0"/>
          <w:spacing w:val="-4"/>
          <w:sz w:val="32"/>
          <w:szCs w:val="32"/>
        </w:rPr>
      </w:pPr>
      <w:r>
        <w:rPr>
          <w:rStyle w:val="18"/>
          <w:rFonts w:hint="eastAsia" w:ascii="仿宋" w:hAnsi="仿宋" w:eastAsia="仿宋"/>
          <w:b w:val="0"/>
          <w:spacing w:val="-4"/>
          <w:sz w:val="32"/>
          <w:szCs w:val="32"/>
        </w:rPr>
        <w:t>效率性：2018年农村义务教育学校校舍安全保障资金（第一批）建设计划完成项目资金100%。</w:t>
      </w:r>
    </w:p>
    <w:p w14:paraId="1A2884B2">
      <w:pPr>
        <w:spacing w:line="540" w:lineRule="exact"/>
        <w:ind w:firstLine="564" w:firstLineChars="181"/>
        <w:rPr>
          <w:rStyle w:val="18"/>
          <w:rFonts w:ascii="仿宋" w:hAnsi="仿宋" w:eastAsia="仿宋"/>
          <w:b w:val="0"/>
          <w:spacing w:val="-4"/>
          <w:sz w:val="32"/>
          <w:szCs w:val="32"/>
        </w:rPr>
      </w:pPr>
      <w:r>
        <w:rPr>
          <w:rStyle w:val="18"/>
          <w:rFonts w:hint="eastAsia" w:ascii="仿宋" w:hAnsi="仿宋" w:eastAsia="仿宋"/>
          <w:b w:val="0"/>
          <w:spacing w:val="-4"/>
          <w:sz w:val="32"/>
          <w:szCs w:val="32"/>
        </w:rPr>
        <w:t>有益性：项目资金专款专用，专人管理，并建立相应的台帐</w:t>
      </w:r>
    </w:p>
    <w:p w14:paraId="61E89929">
      <w:pPr>
        <w:spacing w:line="540" w:lineRule="exact"/>
        <w:ind w:firstLine="564" w:firstLineChars="181"/>
        <w:rPr>
          <w:rStyle w:val="18"/>
          <w:rFonts w:ascii="仿宋" w:hAnsi="仿宋" w:eastAsia="仿宋"/>
          <w:b w:val="0"/>
          <w:spacing w:val="-4"/>
          <w:sz w:val="32"/>
          <w:szCs w:val="32"/>
        </w:rPr>
      </w:pPr>
      <w:r>
        <w:rPr>
          <w:rStyle w:val="18"/>
          <w:rFonts w:hint="eastAsia" w:ascii="仿宋" w:hAnsi="仿宋" w:eastAsia="仿宋"/>
          <w:b w:val="0"/>
          <w:spacing w:val="-4"/>
          <w:sz w:val="32"/>
          <w:szCs w:val="32"/>
        </w:rPr>
        <w:t>可持续性：项目完成后，提升了我县义务教育阶段学校办学条件，中小学校创造一个良好的学习环境，保障学生就学需求，实现义务教育均衡发展验收目标。</w:t>
      </w:r>
    </w:p>
    <w:p w14:paraId="33D08C54">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五、其他需要说明的问题</w:t>
      </w:r>
    </w:p>
    <w:p w14:paraId="35777015">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（一）主要经验及做法、存在问题和建议</w:t>
      </w:r>
    </w:p>
    <w:p w14:paraId="55F46BBD">
      <w:pPr>
        <w:spacing w:line="540" w:lineRule="exact"/>
        <w:ind w:firstLine="579" w:firstLineChars="181"/>
        <w:rPr>
          <w:rFonts w:ascii="仿宋_GB2312" w:eastAsia="仿宋_GB2312"/>
          <w:spacing w:val="-4"/>
          <w:sz w:val="32"/>
          <w:szCs w:val="32"/>
        </w:rPr>
      </w:pPr>
      <w:r>
        <w:rPr>
          <w:rFonts w:hint="eastAsia" w:ascii="仿宋_GB2312" w:hAnsi="仿宋_GB2312" w:eastAsia="仿宋_GB2312" w:cs="仿宋_GB2312"/>
          <w:sz w:val="32"/>
          <w:szCs w:val="32"/>
          <w:shd w:val="clear" w:color="auto" w:fill="FFFFFF"/>
        </w:rPr>
        <w:t>教育工程是一项民生工程，在项目建设过程中，我们</w:t>
      </w:r>
      <w:r>
        <w:rPr>
          <w:rFonts w:hint="eastAsia" w:ascii="仿宋_GB2312" w:hAnsi="仿宋_GB2312" w:eastAsia="仿宋_GB2312" w:cs="仿宋_GB2312"/>
          <w:kern w:val="0"/>
          <w:sz w:val="32"/>
          <w:szCs w:val="32"/>
          <w:shd w:val="clear" w:color="auto" w:fill="FFFFFF"/>
        </w:rPr>
        <w:t>积极向</w:t>
      </w:r>
      <w:r>
        <w:rPr>
          <w:rFonts w:hint="eastAsia" w:ascii="仿宋_GB2312" w:hAnsi="仿宋_GB2312" w:eastAsia="仿宋_GB2312" w:cs="仿宋_GB2312"/>
          <w:kern w:val="0"/>
          <w:sz w:val="32"/>
          <w:szCs w:val="32"/>
          <w:shd w:val="clear" w:color="auto" w:fill="FFFFFF"/>
          <w:lang w:eastAsia="zh-CN"/>
        </w:rPr>
        <w:t>县委、县政府</w:t>
      </w:r>
      <w:r>
        <w:rPr>
          <w:rFonts w:hint="eastAsia" w:ascii="仿宋_GB2312" w:hAnsi="仿宋_GB2312" w:eastAsia="仿宋_GB2312" w:cs="仿宋_GB2312"/>
          <w:kern w:val="0"/>
          <w:sz w:val="32"/>
          <w:szCs w:val="32"/>
          <w:shd w:val="clear" w:color="auto" w:fill="FFFFFF"/>
        </w:rPr>
        <w:t>请示汇报，并与发改、国土、财政等部门认真沟通，协调解决项目配套资金、建设用地等具体问题。</w:t>
      </w:r>
      <w:r>
        <w:rPr>
          <w:rFonts w:hint="eastAsia" w:ascii="仿宋_GB2312" w:hAnsi="仿宋_GB2312" w:eastAsia="仿宋_GB2312" w:cs="仿宋_GB2312"/>
          <w:sz w:val="32"/>
          <w:szCs w:val="32"/>
        </w:rPr>
        <w:t>严管项目资金，确保专款专用，制定项目资料管理制度，指定专人负责项目财务管理及报帐工作，做到专用</w:t>
      </w:r>
      <w:r>
        <w:rPr>
          <w:rFonts w:hint="eastAsia" w:ascii="仿宋_GB2312" w:hAnsi="仿宋_GB2312" w:eastAsia="仿宋_GB2312" w:cs="仿宋_GB2312"/>
          <w:sz w:val="32"/>
          <w:szCs w:val="32"/>
          <w:lang w:eastAsia="zh-CN"/>
        </w:rPr>
        <w:t>账户</w:t>
      </w:r>
      <w:r>
        <w:rPr>
          <w:rFonts w:hint="eastAsia" w:ascii="仿宋_GB2312" w:hAnsi="仿宋_GB2312" w:eastAsia="仿宋_GB2312" w:cs="仿宋_GB2312"/>
          <w:sz w:val="32"/>
          <w:szCs w:val="32"/>
        </w:rPr>
        <w:t>，专人管理，专款专用，及时拨付，管好用好资金。</w:t>
      </w:r>
    </w:p>
    <w:p w14:paraId="695256CF">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六、项目评价工作情况</w:t>
      </w:r>
    </w:p>
    <w:p w14:paraId="1C7AD3FB">
      <w:pPr>
        <w:spacing w:line="540" w:lineRule="exact"/>
        <w:ind w:firstLine="640"/>
        <w:rPr>
          <w:rFonts w:ascii="仿宋_GB2312" w:hAnsi="仿宋_GB2312" w:eastAsia="仿宋_GB2312" w:cs="仿宋_GB2312"/>
          <w:kern w:val="0"/>
          <w:sz w:val="32"/>
          <w:szCs w:val="32"/>
          <w:shd w:val="clear" w:color="auto" w:fill="FFFFFF"/>
        </w:rPr>
      </w:pPr>
      <w:r>
        <w:rPr>
          <w:rFonts w:hint="eastAsia" w:ascii="仿宋_GB2312" w:hAnsi="仿宋_GB2312" w:eastAsia="仿宋_GB2312" w:cs="仿宋_GB2312"/>
          <w:kern w:val="0"/>
          <w:sz w:val="32"/>
          <w:szCs w:val="32"/>
          <w:shd w:val="clear" w:color="auto" w:fill="FFFFFF"/>
        </w:rPr>
        <w:t>按照项目档案管理要求，加强了项目资料的收集、整理、归档，管理工作做到专卷资料收集齐全，装档整齐，专柜存放，专人管理，</w:t>
      </w:r>
      <w:r>
        <w:rPr>
          <w:rFonts w:hint="eastAsia" w:ascii="仿宋_GB2312" w:hAnsi="仿宋_GB2312" w:eastAsia="仿宋_GB2312" w:cs="仿宋_GB2312"/>
          <w:sz w:val="32"/>
          <w:szCs w:val="32"/>
        </w:rPr>
        <w:t>严格按照政府投资项目资金拨付程序进行拨付，按照工程进度，首先由施工方提出经监理核算签字认可后，再由监理方上报教育局，教育局委派项目工作人员对项目的工程量进行核算后上报项目进度审核申请表，经发改、财政、主管县长审批后拨付教育局专户，最终拨付施工方，</w:t>
      </w:r>
      <w:r>
        <w:rPr>
          <w:rFonts w:hint="eastAsia" w:ascii="仿宋_GB2312" w:hAnsi="仿宋_GB2312" w:eastAsia="仿宋_GB2312" w:cs="仿宋_GB2312"/>
          <w:kern w:val="0"/>
          <w:sz w:val="32"/>
          <w:szCs w:val="32"/>
          <w:shd w:val="clear" w:color="auto" w:fill="FFFFFF"/>
        </w:rPr>
        <w:t>使专项资金发挥了最大的效益。在项目的实施过程中严格按照政府投资管理办法。</w:t>
      </w:r>
      <w:r>
        <w:rPr>
          <w:rFonts w:hint="eastAsia" w:ascii="仿宋_GB2312" w:hAnsi="仿宋_GB2312" w:eastAsia="仿宋_GB2312" w:cs="仿宋_GB2312"/>
          <w:b/>
          <w:bCs/>
          <w:sz w:val="32"/>
          <w:szCs w:val="32"/>
        </w:rPr>
        <w:t>一是</w:t>
      </w:r>
      <w:r>
        <w:rPr>
          <w:rFonts w:hint="eastAsia" w:ascii="仿宋_GB2312" w:hAnsi="仿宋_GB2312" w:eastAsia="仿宋_GB2312" w:cs="仿宋_GB2312"/>
          <w:sz w:val="32"/>
          <w:szCs w:val="32"/>
        </w:rPr>
        <w:t>建设工程办理质监手续，聘请县工程质量监督站对工程质量进行监督管理；</w:t>
      </w:r>
      <w:r>
        <w:rPr>
          <w:rFonts w:hint="eastAsia" w:ascii="仿宋_GB2312" w:hAnsi="仿宋_GB2312" w:eastAsia="仿宋_GB2312" w:cs="仿宋_GB2312"/>
          <w:b/>
          <w:bCs/>
          <w:sz w:val="32"/>
          <w:szCs w:val="32"/>
        </w:rPr>
        <w:t>二是</w:t>
      </w:r>
      <w:r>
        <w:rPr>
          <w:rFonts w:hint="eastAsia" w:ascii="仿宋_GB2312" w:hAnsi="仿宋_GB2312" w:eastAsia="仿宋_GB2312" w:cs="仿宋_GB2312"/>
          <w:sz w:val="32"/>
          <w:szCs w:val="32"/>
        </w:rPr>
        <w:t>聘请监理人员，对工程全过程进行跟踪监督管理，还要求项目学校委派专人做为驻工地代表对工程全过程进行跟踪监督管理。</w:t>
      </w:r>
      <w:r>
        <w:rPr>
          <w:rFonts w:hint="eastAsia" w:ascii="仿宋_GB2312" w:hAnsi="仿宋_GB2312" w:eastAsia="仿宋_GB2312" w:cs="仿宋_GB2312"/>
          <w:b/>
          <w:bCs/>
          <w:sz w:val="32"/>
          <w:szCs w:val="32"/>
        </w:rPr>
        <w:t>三是</w:t>
      </w:r>
      <w:r>
        <w:rPr>
          <w:rFonts w:hint="eastAsia" w:ascii="仿宋_GB2312" w:hAnsi="仿宋_GB2312" w:eastAsia="仿宋_GB2312" w:cs="仿宋_GB2312"/>
          <w:sz w:val="32"/>
          <w:szCs w:val="32"/>
        </w:rPr>
        <w:t>每项工程开工后，召开项目工作推进会，制定项目倒排工期表，并与施工单位签订《奇台县教育系统建设项目进度质量监督责任书》，确保项目的工期、质量。</w:t>
      </w:r>
      <w:r>
        <w:rPr>
          <w:rFonts w:hint="eastAsia" w:ascii="仿宋_GB2312" w:hAnsi="仿宋_GB2312" w:eastAsia="仿宋_GB2312" w:cs="仿宋_GB2312"/>
          <w:b/>
          <w:bCs/>
          <w:sz w:val="32"/>
          <w:szCs w:val="32"/>
        </w:rPr>
        <w:t>四是</w:t>
      </w:r>
      <w:r>
        <w:rPr>
          <w:rFonts w:hint="eastAsia" w:ascii="仿宋_GB2312" w:hAnsi="仿宋_GB2312" w:eastAsia="仿宋_GB2312" w:cs="仿宋_GB2312"/>
          <w:sz w:val="32"/>
          <w:szCs w:val="32"/>
        </w:rPr>
        <w:t>教育局</w:t>
      </w:r>
      <w:r>
        <w:rPr>
          <w:rFonts w:hint="eastAsia" w:ascii="仿宋_GB2312" w:hAnsi="仿宋_GB2312" w:eastAsia="仿宋_GB2312" w:cs="仿宋_GB2312"/>
          <w:kern w:val="0"/>
          <w:sz w:val="32"/>
          <w:szCs w:val="32"/>
          <w:shd w:val="clear" w:color="auto" w:fill="FFFFFF"/>
        </w:rPr>
        <w:t>项目办工作人员实行定向联系制度，定期深入项目学校进行检查督促，</w:t>
      </w:r>
      <w:r>
        <w:rPr>
          <w:rFonts w:hint="eastAsia" w:ascii="仿宋_GB2312" w:hAnsi="仿宋_GB2312" w:eastAsia="仿宋_GB2312" w:cs="仿宋_GB2312"/>
          <w:sz w:val="32"/>
          <w:szCs w:val="32"/>
        </w:rPr>
        <w:t>对工程定位放线、基槽验收、结构验筋、主体验收、竣工验收等重点环节进行指导和监督，确保工程质量符合图纸设计及施工规范要求。</w:t>
      </w:r>
      <w:r>
        <w:rPr>
          <w:rFonts w:hint="eastAsia" w:ascii="仿宋_GB2312" w:hAnsi="仿宋_GB2312" w:eastAsia="仿宋_GB2312" w:cs="仿宋_GB2312"/>
          <w:kern w:val="0"/>
          <w:sz w:val="32"/>
          <w:szCs w:val="32"/>
          <w:shd w:val="clear" w:color="auto" w:fill="FFFFFF"/>
        </w:rPr>
        <w:t>每周向项目建设工作领导小组汇报一次工程进度</w:t>
      </w:r>
    </w:p>
    <w:p w14:paraId="2E0FD1CE">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七、附表</w:t>
      </w:r>
    </w:p>
    <w:p w14:paraId="69744EDA">
      <w:pPr>
        <w:spacing w:line="540" w:lineRule="exact"/>
        <w:ind w:firstLine="567"/>
        <w:rPr>
          <w:rStyle w:val="18"/>
          <w:rFonts w:ascii="仿宋" w:hAnsi="仿宋" w:eastAsia="仿宋"/>
          <w:b w:val="0"/>
          <w:spacing w:val="-4"/>
          <w:sz w:val="32"/>
          <w:szCs w:val="32"/>
        </w:rPr>
      </w:pPr>
      <w:r>
        <w:rPr>
          <w:rStyle w:val="18"/>
          <w:rFonts w:hint="eastAsia" w:ascii="仿宋" w:hAnsi="仿宋" w:eastAsia="仿宋"/>
          <w:b w:val="0"/>
          <w:spacing w:val="-4"/>
          <w:sz w:val="32"/>
          <w:szCs w:val="32"/>
        </w:rPr>
        <w:t>《自治州财政项目支出绩效自评表》</w:t>
      </w:r>
    </w:p>
    <w:p w14:paraId="2CD336A6">
      <w:pPr>
        <w:spacing w:line="540" w:lineRule="exact"/>
        <w:ind w:firstLine="567"/>
        <w:rPr>
          <w:rStyle w:val="18"/>
          <w:rFonts w:ascii="仿宋" w:hAnsi="仿宋" w:eastAsia="仿宋"/>
          <w:b w:val="0"/>
          <w:spacing w:val="-4"/>
          <w:sz w:val="32"/>
          <w:szCs w:val="32"/>
        </w:rPr>
      </w:pPr>
    </w:p>
    <w:p w14:paraId="1FA8C1D7">
      <w:pPr>
        <w:spacing w:line="540" w:lineRule="exact"/>
        <w:ind w:firstLine="567"/>
        <w:rPr>
          <w:rStyle w:val="18"/>
          <w:rFonts w:ascii="仿宋" w:hAnsi="仿宋" w:eastAsia="仿宋"/>
          <w:b w:val="0"/>
          <w:spacing w:val="-4"/>
          <w:sz w:val="32"/>
          <w:szCs w:val="32"/>
        </w:rPr>
      </w:pPr>
    </w:p>
    <w:p w14:paraId="3D65B6A6">
      <w:pPr>
        <w:spacing w:line="540" w:lineRule="exact"/>
        <w:ind w:firstLine="567"/>
        <w:rPr>
          <w:rStyle w:val="18"/>
          <w:rFonts w:ascii="仿宋" w:hAnsi="仿宋" w:eastAsia="仿宋"/>
          <w:b w:val="0"/>
          <w:spacing w:val="-4"/>
          <w:sz w:val="32"/>
          <w:szCs w:val="32"/>
        </w:rPr>
      </w:pPr>
    </w:p>
    <w:p w14:paraId="759DCF2B">
      <w:pPr>
        <w:spacing w:line="540" w:lineRule="exact"/>
        <w:ind w:firstLine="567"/>
        <w:rPr>
          <w:rStyle w:val="18"/>
          <w:rFonts w:ascii="仿宋" w:hAnsi="仿宋" w:eastAsia="仿宋"/>
          <w:b w:val="0"/>
          <w:spacing w:val="-4"/>
          <w:sz w:val="32"/>
          <w:szCs w:val="32"/>
        </w:rPr>
      </w:pPr>
    </w:p>
    <w:p w14:paraId="435E4059">
      <w:pPr>
        <w:spacing w:line="540" w:lineRule="exact"/>
        <w:ind w:firstLine="567"/>
        <w:rPr>
          <w:rStyle w:val="18"/>
          <w:rFonts w:ascii="仿宋" w:hAnsi="仿宋" w:eastAsia="仿宋"/>
          <w:b w:val="0"/>
          <w:spacing w:val="-4"/>
          <w:sz w:val="32"/>
          <w:szCs w:val="32"/>
        </w:rPr>
      </w:pPr>
    </w:p>
    <w:p w14:paraId="6EB45CBE">
      <w:pPr>
        <w:spacing w:line="540" w:lineRule="exact"/>
        <w:ind w:firstLine="567"/>
        <w:rPr>
          <w:rStyle w:val="18"/>
          <w:rFonts w:ascii="仿宋" w:hAnsi="仿宋" w:eastAsia="仿宋"/>
          <w:b w:val="0"/>
          <w:spacing w:val="-4"/>
          <w:sz w:val="32"/>
          <w:szCs w:val="32"/>
        </w:rPr>
      </w:pPr>
    </w:p>
    <w:p w14:paraId="6C41E69A">
      <w:pPr>
        <w:spacing w:line="540" w:lineRule="exact"/>
        <w:ind w:firstLine="567"/>
        <w:rPr>
          <w:rStyle w:val="18"/>
          <w:rFonts w:ascii="仿宋" w:hAnsi="仿宋" w:eastAsia="仿宋"/>
          <w:b w:val="0"/>
          <w:spacing w:val="-4"/>
          <w:sz w:val="32"/>
          <w:szCs w:val="32"/>
        </w:rPr>
      </w:pPr>
    </w:p>
    <w:p w14:paraId="44DA313A">
      <w:pPr>
        <w:spacing w:line="540" w:lineRule="exact"/>
        <w:ind w:firstLine="567"/>
        <w:rPr>
          <w:rStyle w:val="18"/>
          <w:rFonts w:ascii="仿宋" w:hAnsi="仿宋" w:eastAsia="仿宋"/>
          <w:b w:val="0"/>
          <w:spacing w:val="-4"/>
          <w:sz w:val="32"/>
          <w:szCs w:val="32"/>
        </w:rPr>
      </w:pPr>
    </w:p>
    <w:p w14:paraId="27D86BA2">
      <w:pPr>
        <w:spacing w:line="540" w:lineRule="exact"/>
        <w:ind w:firstLine="567"/>
        <w:rPr>
          <w:rStyle w:val="18"/>
          <w:rFonts w:ascii="仿宋" w:hAnsi="仿宋" w:eastAsia="仿宋"/>
          <w:b w:val="0"/>
          <w:spacing w:val="-4"/>
          <w:sz w:val="32"/>
          <w:szCs w:val="32"/>
        </w:rPr>
      </w:pPr>
    </w:p>
    <w:p w14:paraId="2D38C380">
      <w:pPr>
        <w:spacing w:line="540" w:lineRule="exact"/>
        <w:ind w:firstLine="567"/>
        <w:rPr>
          <w:rStyle w:val="18"/>
          <w:rFonts w:ascii="仿宋" w:hAnsi="仿宋" w:eastAsia="仿宋"/>
          <w:b w:val="0"/>
          <w:spacing w:val="-4"/>
          <w:sz w:val="32"/>
          <w:szCs w:val="32"/>
        </w:rPr>
      </w:pPr>
    </w:p>
    <w:p w14:paraId="62F277BE">
      <w:pPr>
        <w:spacing w:line="540" w:lineRule="exact"/>
        <w:ind w:firstLine="567"/>
        <w:rPr>
          <w:rStyle w:val="18"/>
          <w:rFonts w:ascii="仿宋" w:hAnsi="仿宋" w:eastAsia="仿宋"/>
          <w:b w:val="0"/>
          <w:spacing w:val="-4"/>
          <w:sz w:val="32"/>
          <w:szCs w:val="32"/>
        </w:rPr>
      </w:pPr>
    </w:p>
    <w:p w14:paraId="0777E985">
      <w:pPr>
        <w:spacing w:line="540" w:lineRule="exact"/>
        <w:ind w:firstLine="567"/>
        <w:rPr>
          <w:rStyle w:val="18"/>
          <w:rFonts w:ascii="仿宋" w:hAnsi="仿宋" w:eastAsia="仿宋"/>
          <w:b w:val="0"/>
          <w:spacing w:val="-4"/>
          <w:sz w:val="32"/>
          <w:szCs w:val="32"/>
        </w:rPr>
      </w:pPr>
    </w:p>
    <w:p w14:paraId="08695AB7">
      <w:pPr>
        <w:spacing w:line="540" w:lineRule="exact"/>
        <w:ind w:firstLine="567"/>
        <w:rPr>
          <w:rStyle w:val="18"/>
          <w:rFonts w:ascii="仿宋" w:hAnsi="仿宋" w:eastAsia="仿宋"/>
          <w:b w:val="0"/>
          <w:spacing w:val="-4"/>
          <w:sz w:val="32"/>
          <w:szCs w:val="32"/>
        </w:rPr>
      </w:pPr>
    </w:p>
    <w:tbl>
      <w:tblPr>
        <w:tblStyle w:val="16"/>
        <w:tblW w:w="9020" w:type="dxa"/>
        <w:tblInd w:w="93" w:type="dxa"/>
        <w:tblLayout w:type="fixed"/>
        <w:tblCellMar>
          <w:top w:w="0" w:type="dxa"/>
          <w:left w:w="108" w:type="dxa"/>
          <w:bottom w:w="0" w:type="dxa"/>
          <w:right w:w="108" w:type="dxa"/>
        </w:tblCellMar>
      </w:tblPr>
      <w:tblGrid>
        <w:gridCol w:w="720"/>
        <w:gridCol w:w="1140"/>
        <w:gridCol w:w="1360"/>
        <w:gridCol w:w="1080"/>
        <w:gridCol w:w="880"/>
        <w:gridCol w:w="2060"/>
        <w:gridCol w:w="1780"/>
      </w:tblGrid>
      <w:tr w14:paraId="099CCA27">
        <w:tblPrEx>
          <w:tblCellMar>
            <w:top w:w="0" w:type="dxa"/>
            <w:left w:w="108" w:type="dxa"/>
            <w:bottom w:w="0" w:type="dxa"/>
            <w:right w:w="108" w:type="dxa"/>
          </w:tblCellMar>
        </w:tblPrEx>
        <w:trPr>
          <w:trHeight w:val="405" w:hRule="atLeast"/>
        </w:trPr>
        <w:tc>
          <w:tcPr>
            <w:tcW w:w="9020" w:type="dxa"/>
            <w:gridSpan w:val="7"/>
            <w:tcBorders>
              <w:top w:val="nil"/>
              <w:left w:val="nil"/>
              <w:bottom w:val="nil"/>
              <w:right w:val="nil"/>
            </w:tcBorders>
            <w:shd w:val="clear" w:color="auto" w:fill="auto"/>
            <w:vAlign w:val="center"/>
          </w:tcPr>
          <w:p w14:paraId="1BD996D1">
            <w:pPr>
              <w:widowControl/>
              <w:jc w:val="center"/>
              <w:rPr>
                <w:rFonts w:ascii="宋体" w:hAnsi="宋体" w:cs="宋体"/>
                <w:b/>
                <w:bCs/>
                <w:kern w:val="0"/>
                <w:sz w:val="32"/>
                <w:szCs w:val="32"/>
              </w:rPr>
            </w:pPr>
            <w:r>
              <w:rPr>
                <w:rFonts w:hint="eastAsia" w:ascii="宋体" w:hAnsi="宋体" w:cs="宋体"/>
                <w:b/>
                <w:bCs/>
                <w:kern w:val="0"/>
                <w:sz w:val="32"/>
                <w:szCs w:val="32"/>
              </w:rPr>
              <w:t>自治州财政项目支出绩效自评表</w:t>
            </w:r>
          </w:p>
        </w:tc>
      </w:tr>
      <w:tr w14:paraId="7AE928EB">
        <w:tblPrEx>
          <w:tblCellMar>
            <w:top w:w="0" w:type="dxa"/>
            <w:left w:w="108" w:type="dxa"/>
            <w:bottom w:w="0" w:type="dxa"/>
            <w:right w:w="108" w:type="dxa"/>
          </w:tblCellMar>
        </w:tblPrEx>
        <w:trPr>
          <w:trHeight w:val="285" w:hRule="atLeast"/>
        </w:trPr>
        <w:tc>
          <w:tcPr>
            <w:tcW w:w="9020" w:type="dxa"/>
            <w:gridSpan w:val="7"/>
            <w:tcBorders>
              <w:top w:val="nil"/>
              <w:left w:val="nil"/>
              <w:bottom w:val="nil"/>
              <w:right w:val="nil"/>
            </w:tcBorders>
            <w:shd w:val="clear" w:color="auto" w:fill="auto"/>
            <w:vAlign w:val="center"/>
          </w:tcPr>
          <w:p w14:paraId="06D6CBE9">
            <w:pPr>
              <w:widowControl/>
              <w:jc w:val="center"/>
              <w:rPr>
                <w:rFonts w:ascii="宋体" w:hAnsi="宋体" w:cs="宋体"/>
                <w:kern w:val="0"/>
                <w:sz w:val="24"/>
              </w:rPr>
            </w:pPr>
            <w:r>
              <w:rPr>
                <w:rFonts w:hint="eastAsia" w:ascii="宋体" w:hAnsi="宋体" w:cs="宋体"/>
                <w:kern w:val="0"/>
                <w:sz w:val="24"/>
              </w:rPr>
              <w:t>（</w:t>
            </w:r>
            <w:r>
              <w:rPr>
                <w:kern w:val="0"/>
                <w:sz w:val="24"/>
              </w:rPr>
              <w:t xml:space="preserve"> </w:t>
            </w:r>
            <w:r>
              <w:rPr>
                <w:rFonts w:hint="eastAsia"/>
                <w:kern w:val="0"/>
                <w:sz w:val="24"/>
              </w:rPr>
              <w:t>2018</w:t>
            </w:r>
            <w:r>
              <w:rPr>
                <w:rFonts w:hint="eastAsia" w:ascii="宋体" w:hAnsi="宋体" w:cs="宋体"/>
                <w:kern w:val="0"/>
                <w:sz w:val="24"/>
              </w:rPr>
              <w:t>年度）</w:t>
            </w:r>
          </w:p>
        </w:tc>
      </w:tr>
      <w:tr w14:paraId="21BB6BAE">
        <w:tblPrEx>
          <w:tblCellMar>
            <w:top w:w="0" w:type="dxa"/>
            <w:left w:w="108" w:type="dxa"/>
            <w:bottom w:w="0" w:type="dxa"/>
            <w:right w:w="108" w:type="dxa"/>
          </w:tblCellMar>
        </w:tblPrEx>
        <w:trPr>
          <w:trHeight w:val="90" w:hRule="atLeast"/>
        </w:trPr>
        <w:tc>
          <w:tcPr>
            <w:tcW w:w="720" w:type="dxa"/>
            <w:tcBorders>
              <w:top w:val="nil"/>
              <w:left w:val="nil"/>
              <w:bottom w:val="nil"/>
              <w:right w:val="nil"/>
            </w:tcBorders>
            <w:shd w:val="clear" w:color="auto" w:fill="auto"/>
            <w:vAlign w:val="center"/>
          </w:tcPr>
          <w:p w14:paraId="41B1DDFD">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14:paraId="4F8E1110">
            <w:pPr>
              <w:widowControl/>
              <w:jc w:val="center"/>
              <w:rPr>
                <w:rFonts w:ascii="宋体" w:hAnsi="宋体" w:cs="宋体"/>
                <w:kern w:val="0"/>
                <w:sz w:val="24"/>
              </w:rPr>
            </w:pPr>
          </w:p>
        </w:tc>
        <w:tc>
          <w:tcPr>
            <w:tcW w:w="1360" w:type="dxa"/>
            <w:tcBorders>
              <w:top w:val="nil"/>
              <w:left w:val="nil"/>
              <w:bottom w:val="nil"/>
              <w:right w:val="nil"/>
            </w:tcBorders>
            <w:shd w:val="clear" w:color="auto" w:fill="auto"/>
            <w:vAlign w:val="center"/>
          </w:tcPr>
          <w:p w14:paraId="1310F6C4">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14:paraId="39555F3E">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tcPr>
          <w:p w14:paraId="78B0A1F1">
            <w:pPr>
              <w:widowControl/>
              <w:jc w:val="center"/>
              <w:rPr>
                <w:rFonts w:ascii="宋体" w:hAnsi="宋体" w:cs="宋体"/>
                <w:kern w:val="0"/>
                <w:sz w:val="24"/>
              </w:rPr>
            </w:pPr>
          </w:p>
        </w:tc>
        <w:tc>
          <w:tcPr>
            <w:tcW w:w="2060" w:type="dxa"/>
            <w:tcBorders>
              <w:top w:val="nil"/>
              <w:left w:val="nil"/>
              <w:bottom w:val="nil"/>
              <w:right w:val="nil"/>
            </w:tcBorders>
            <w:shd w:val="clear" w:color="auto" w:fill="auto"/>
            <w:vAlign w:val="center"/>
          </w:tcPr>
          <w:p w14:paraId="3E1C5B80">
            <w:pPr>
              <w:widowControl/>
              <w:jc w:val="center"/>
              <w:rPr>
                <w:rFonts w:ascii="宋体" w:hAnsi="宋体" w:cs="宋体"/>
                <w:kern w:val="0"/>
                <w:sz w:val="24"/>
              </w:rPr>
            </w:pPr>
          </w:p>
        </w:tc>
        <w:tc>
          <w:tcPr>
            <w:tcW w:w="1780" w:type="dxa"/>
            <w:tcBorders>
              <w:top w:val="nil"/>
              <w:left w:val="nil"/>
              <w:bottom w:val="nil"/>
              <w:right w:val="nil"/>
            </w:tcBorders>
            <w:shd w:val="clear" w:color="auto" w:fill="auto"/>
            <w:vAlign w:val="center"/>
          </w:tcPr>
          <w:p w14:paraId="04704037">
            <w:pPr>
              <w:widowControl/>
              <w:jc w:val="center"/>
              <w:rPr>
                <w:rFonts w:ascii="宋体" w:hAnsi="宋体" w:cs="宋体"/>
                <w:kern w:val="0"/>
                <w:sz w:val="24"/>
              </w:rPr>
            </w:pPr>
          </w:p>
        </w:tc>
      </w:tr>
      <w:tr w14:paraId="6E940FD8">
        <w:tblPrEx>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B3C5727">
            <w:pPr>
              <w:widowControl/>
              <w:jc w:val="left"/>
              <w:rPr>
                <w:rFonts w:ascii="宋体" w:hAnsi="宋体" w:cs="宋体"/>
                <w:kern w:val="0"/>
                <w:sz w:val="20"/>
                <w:szCs w:val="20"/>
              </w:rPr>
            </w:pPr>
            <w:r>
              <w:rPr>
                <w:rFonts w:hint="eastAsia" w:ascii="宋体" w:hAnsi="宋体" w:cs="宋体"/>
                <w:kern w:val="0"/>
                <w:sz w:val="20"/>
                <w:szCs w:val="20"/>
              </w:rPr>
              <w:t>项目名称</w:t>
            </w:r>
          </w:p>
        </w:tc>
        <w:tc>
          <w:tcPr>
            <w:tcW w:w="5800" w:type="dxa"/>
            <w:gridSpan w:val="4"/>
            <w:tcBorders>
              <w:top w:val="single" w:color="auto" w:sz="4" w:space="0"/>
              <w:left w:val="nil"/>
              <w:bottom w:val="single" w:color="auto" w:sz="4" w:space="0"/>
              <w:right w:val="single" w:color="auto" w:sz="4" w:space="0"/>
            </w:tcBorders>
            <w:shd w:val="clear" w:color="auto" w:fill="auto"/>
            <w:vAlign w:val="center"/>
          </w:tcPr>
          <w:p w14:paraId="06A0B750">
            <w:pPr>
              <w:widowControl/>
              <w:jc w:val="center"/>
              <w:rPr>
                <w:rFonts w:ascii="宋体" w:hAnsi="宋体" w:cs="宋体"/>
                <w:kern w:val="0"/>
                <w:sz w:val="20"/>
                <w:szCs w:val="20"/>
              </w:rPr>
            </w:pPr>
            <w:r>
              <w:rPr>
                <w:rFonts w:hint="eastAsia" w:ascii="宋体" w:hAnsi="宋体" w:cs="宋体"/>
                <w:kern w:val="0"/>
                <w:sz w:val="20"/>
                <w:szCs w:val="20"/>
              </w:rPr>
              <w:t>2018年农村义务教育薄弱学校改造项目　</w:t>
            </w:r>
          </w:p>
        </w:tc>
      </w:tr>
      <w:tr w14:paraId="6236EED3">
        <w:tblPrEx>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0BDE876">
            <w:pPr>
              <w:widowControl/>
              <w:jc w:val="left"/>
              <w:rPr>
                <w:rFonts w:ascii="宋体" w:hAnsi="宋体" w:cs="宋体"/>
                <w:kern w:val="0"/>
                <w:sz w:val="20"/>
                <w:szCs w:val="20"/>
              </w:rPr>
            </w:pPr>
            <w:r>
              <w:rPr>
                <w:rFonts w:hint="eastAsia" w:ascii="宋体" w:hAnsi="宋体" w:cs="宋体"/>
                <w:kern w:val="0"/>
                <w:sz w:val="20"/>
                <w:szCs w:val="20"/>
              </w:rPr>
              <w:t>预算单位</w:t>
            </w:r>
          </w:p>
        </w:tc>
        <w:tc>
          <w:tcPr>
            <w:tcW w:w="5800" w:type="dxa"/>
            <w:gridSpan w:val="4"/>
            <w:tcBorders>
              <w:top w:val="single" w:color="auto" w:sz="4" w:space="0"/>
              <w:left w:val="nil"/>
              <w:bottom w:val="single" w:color="auto" w:sz="4" w:space="0"/>
              <w:right w:val="single" w:color="000000" w:sz="4" w:space="0"/>
            </w:tcBorders>
            <w:shd w:val="clear" w:color="auto" w:fill="auto"/>
            <w:vAlign w:val="center"/>
          </w:tcPr>
          <w:p w14:paraId="60A04DE7">
            <w:pPr>
              <w:widowControl/>
              <w:jc w:val="center"/>
              <w:rPr>
                <w:rFonts w:ascii="宋体" w:hAnsi="宋体" w:cs="宋体"/>
                <w:kern w:val="0"/>
                <w:sz w:val="20"/>
                <w:szCs w:val="20"/>
              </w:rPr>
            </w:pPr>
            <w:r>
              <w:rPr>
                <w:rFonts w:hint="eastAsia" w:ascii="宋体" w:hAnsi="宋体" w:cs="宋体"/>
                <w:kern w:val="0"/>
                <w:sz w:val="20"/>
                <w:szCs w:val="20"/>
              </w:rPr>
              <w:t>奇台县教育局　</w:t>
            </w:r>
          </w:p>
        </w:tc>
      </w:tr>
      <w:tr w14:paraId="0DFA4678">
        <w:tblPrEx>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14:paraId="629234BA">
            <w:pPr>
              <w:widowControl/>
              <w:jc w:val="center"/>
              <w:rPr>
                <w:rFonts w:ascii="宋体" w:hAnsi="宋体" w:cs="宋体"/>
                <w:kern w:val="0"/>
                <w:sz w:val="20"/>
                <w:szCs w:val="20"/>
              </w:rPr>
            </w:pPr>
            <w:r>
              <w:rPr>
                <w:rFonts w:hint="eastAsia" w:ascii="宋体" w:hAnsi="宋体" w:cs="宋体"/>
                <w:kern w:val="0"/>
                <w:sz w:val="20"/>
                <w:szCs w:val="20"/>
              </w:rPr>
              <w:t>预算</w:t>
            </w:r>
            <w:r>
              <w:rPr>
                <w:rFonts w:hint="eastAsia" w:ascii="宋体" w:hAnsi="宋体" w:cs="宋体"/>
                <w:kern w:val="0"/>
                <w:sz w:val="20"/>
                <w:szCs w:val="20"/>
              </w:rPr>
              <w:br w:type="textWrapping"/>
            </w:r>
            <w:r>
              <w:rPr>
                <w:rFonts w:hint="eastAsia" w:ascii="宋体" w:hAnsi="宋体" w:cs="宋体"/>
                <w:kern w:val="0"/>
                <w:sz w:val="20"/>
                <w:szCs w:val="20"/>
              </w:rPr>
              <w:t>执行</w:t>
            </w:r>
            <w:r>
              <w:rPr>
                <w:rFonts w:hint="eastAsia" w:ascii="宋体" w:hAnsi="宋体" w:cs="宋体"/>
                <w:kern w:val="0"/>
                <w:sz w:val="20"/>
                <w:szCs w:val="20"/>
              </w:rPr>
              <w:br w:type="textWrapping"/>
            </w:r>
            <w:r>
              <w:rPr>
                <w:rFonts w:hint="eastAsia" w:ascii="宋体" w:hAnsi="宋体" w:cs="宋体"/>
                <w:kern w:val="0"/>
                <w:sz w:val="20"/>
                <w:szCs w:val="20"/>
              </w:rPr>
              <w:t>情况</w:t>
            </w:r>
            <w:r>
              <w:rPr>
                <w:rFonts w:hint="eastAsia" w:ascii="宋体" w:hAnsi="宋体" w:cs="宋体"/>
                <w:kern w:val="0"/>
                <w:sz w:val="20"/>
                <w:szCs w:val="20"/>
              </w:rPr>
              <w:br w:type="textWrapping"/>
            </w:r>
            <w:r>
              <w:rPr>
                <w:rFonts w:hint="eastAsia" w:ascii="宋体" w:hAnsi="宋体" w:cs="宋体"/>
                <w:kern w:val="0"/>
                <w:sz w:val="20"/>
                <w:szCs w:val="20"/>
              </w:rPr>
              <w:t>（万元）</w:t>
            </w: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14:paraId="1C31CD1B">
            <w:pPr>
              <w:widowControl/>
              <w:jc w:val="left"/>
              <w:rPr>
                <w:rFonts w:ascii="宋体" w:hAnsi="宋体" w:cs="宋体"/>
                <w:kern w:val="0"/>
                <w:sz w:val="20"/>
                <w:szCs w:val="20"/>
              </w:rPr>
            </w:pPr>
            <w:r>
              <w:rPr>
                <w:rFonts w:hint="eastAsia" w:ascii="宋体" w:hAnsi="宋体" w:cs="宋体"/>
                <w:kern w:val="0"/>
                <w:sz w:val="20"/>
                <w:szCs w:val="20"/>
              </w:rPr>
              <w:t xml:space="preserve"> 预算数：</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14:paraId="57D7B6A9">
            <w:pPr>
              <w:widowControl/>
              <w:jc w:val="center"/>
              <w:rPr>
                <w:rFonts w:ascii="宋体" w:hAnsi="宋体" w:cs="宋体"/>
                <w:kern w:val="0"/>
                <w:sz w:val="20"/>
                <w:szCs w:val="20"/>
              </w:rPr>
            </w:pPr>
            <w:r>
              <w:rPr>
                <w:rFonts w:hint="eastAsia" w:ascii="宋体" w:hAnsi="宋体" w:cs="宋体"/>
                <w:kern w:val="0"/>
                <w:sz w:val="20"/>
                <w:szCs w:val="20"/>
              </w:rPr>
              <w:t>873.19</w:t>
            </w:r>
          </w:p>
        </w:tc>
        <w:tc>
          <w:tcPr>
            <w:tcW w:w="2060" w:type="dxa"/>
            <w:tcBorders>
              <w:top w:val="nil"/>
              <w:left w:val="nil"/>
              <w:bottom w:val="single" w:color="auto" w:sz="4" w:space="0"/>
              <w:right w:val="single" w:color="auto" w:sz="4" w:space="0"/>
            </w:tcBorders>
            <w:shd w:val="clear" w:color="auto" w:fill="auto"/>
            <w:vAlign w:val="center"/>
          </w:tcPr>
          <w:p w14:paraId="5F617BD2">
            <w:pPr>
              <w:widowControl/>
              <w:jc w:val="left"/>
              <w:rPr>
                <w:rFonts w:ascii="宋体" w:hAnsi="宋体" w:cs="宋体"/>
                <w:kern w:val="0"/>
                <w:sz w:val="20"/>
                <w:szCs w:val="20"/>
              </w:rPr>
            </w:pPr>
            <w:r>
              <w:rPr>
                <w:rFonts w:hint="eastAsia" w:ascii="宋体" w:hAnsi="宋体" w:cs="宋体"/>
                <w:kern w:val="0"/>
                <w:sz w:val="20"/>
                <w:szCs w:val="20"/>
              </w:rPr>
              <w:t xml:space="preserve"> 执行数：</w:t>
            </w:r>
          </w:p>
        </w:tc>
        <w:tc>
          <w:tcPr>
            <w:tcW w:w="1780" w:type="dxa"/>
            <w:tcBorders>
              <w:top w:val="nil"/>
              <w:left w:val="nil"/>
              <w:bottom w:val="single" w:color="auto" w:sz="4" w:space="0"/>
              <w:right w:val="single" w:color="auto" w:sz="4" w:space="0"/>
            </w:tcBorders>
            <w:shd w:val="clear" w:color="auto" w:fill="auto"/>
            <w:vAlign w:val="center"/>
          </w:tcPr>
          <w:p w14:paraId="3B36607E">
            <w:pPr>
              <w:widowControl/>
              <w:jc w:val="right"/>
              <w:rPr>
                <w:rFonts w:ascii="宋体" w:hAnsi="宋体" w:cs="宋体"/>
                <w:kern w:val="0"/>
                <w:sz w:val="20"/>
                <w:szCs w:val="20"/>
              </w:rPr>
            </w:pPr>
            <w:r>
              <w:rPr>
                <w:rFonts w:hint="eastAsia" w:ascii="宋体" w:hAnsi="宋体" w:cs="宋体"/>
                <w:kern w:val="0"/>
                <w:sz w:val="20"/>
                <w:szCs w:val="20"/>
              </w:rPr>
              <w:t>873.19　</w:t>
            </w:r>
          </w:p>
        </w:tc>
      </w:tr>
      <w:tr w14:paraId="4B9B7D65">
        <w:tblPrEx>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14:paraId="015644CE">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14:paraId="01AFDD23">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14:paraId="57BA1C5D">
            <w:pPr>
              <w:widowControl/>
              <w:jc w:val="center"/>
              <w:rPr>
                <w:rFonts w:ascii="宋体" w:hAnsi="宋体" w:cs="宋体"/>
                <w:kern w:val="0"/>
                <w:sz w:val="20"/>
                <w:szCs w:val="20"/>
              </w:rPr>
            </w:pPr>
            <w:r>
              <w:rPr>
                <w:rFonts w:hint="eastAsia" w:ascii="宋体" w:hAnsi="宋体" w:cs="宋体"/>
                <w:kern w:val="0"/>
                <w:sz w:val="20"/>
                <w:szCs w:val="20"/>
              </w:rPr>
              <w:t>873.19</w:t>
            </w:r>
          </w:p>
        </w:tc>
        <w:tc>
          <w:tcPr>
            <w:tcW w:w="2060" w:type="dxa"/>
            <w:tcBorders>
              <w:top w:val="nil"/>
              <w:left w:val="nil"/>
              <w:bottom w:val="nil"/>
              <w:right w:val="single" w:color="auto" w:sz="4" w:space="0"/>
            </w:tcBorders>
            <w:shd w:val="clear" w:color="auto" w:fill="auto"/>
            <w:vAlign w:val="center"/>
          </w:tcPr>
          <w:p w14:paraId="425BE5E7">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780" w:type="dxa"/>
            <w:tcBorders>
              <w:top w:val="nil"/>
              <w:left w:val="nil"/>
              <w:bottom w:val="single" w:color="auto" w:sz="4" w:space="0"/>
              <w:right w:val="single" w:color="auto" w:sz="4" w:space="0"/>
            </w:tcBorders>
            <w:shd w:val="clear" w:color="auto" w:fill="auto"/>
            <w:vAlign w:val="center"/>
          </w:tcPr>
          <w:p w14:paraId="7E5C6E3D">
            <w:pPr>
              <w:widowControl/>
              <w:jc w:val="right"/>
              <w:rPr>
                <w:rFonts w:ascii="宋体" w:hAnsi="宋体" w:cs="宋体"/>
                <w:kern w:val="0"/>
                <w:sz w:val="20"/>
                <w:szCs w:val="20"/>
              </w:rPr>
            </w:pPr>
            <w:r>
              <w:rPr>
                <w:rFonts w:hint="eastAsia" w:ascii="宋体" w:hAnsi="宋体" w:cs="宋体"/>
                <w:kern w:val="0"/>
                <w:sz w:val="20"/>
                <w:szCs w:val="20"/>
              </w:rPr>
              <w:t>873.19</w:t>
            </w:r>
          </w:p>
        </w:tc>
      </w:tr>
      <w:tr w14:paraId="1AB4E4D6">
        <w:tblPrEx>
          <w:tblCellMar>
            <w:top w:w="0" w:type="dxa"/>
            <w:left w:w="108" w:type="dxa"/>
            <w:bottom w:w="0" w:type="dxa"/>
            <w:right w:w="108" w:type="dxa"/>
          </w:tblCellMar>
        </w:tblPrEx>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14:paraId="5101F315">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14:paraId="7193F732">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14:paraId="6EBCDEB2">
            <w:pPr>
              <w:widowControl/>
              <w:jc w:val="center"/>
              <w:rPr>
                <w:rFonts w:ascii="宋体" w:hAnsi="宋体" w:cs="宋体"/>
                <w:kern w:val="0"/>
                <w:sz w:val="20"/>
                <w:szCs w:val="20"/>
              </w:rPr>
            </w:pPr>
            <w:r>
              <w:rPr>
                <w:rFonts w:hint="eastAsia" w:ascii="宋体" w:hAnsi="宋体" w:cs="宋体"/>
                <w:kern w:val="0"/>
                <w:sz w:val="20"/>
                <w:szCs w:val="20"/>
              </w:rPr>
              <w:t>　</w:t>
            </w:r>
          </w:p>
        </w:tc>
        <w:tc>
          <w:tcPr>
            <w:tcW w:w="2060" w:type="dxa"/>
            <w:tcBorders>
              <w:top w:val="single" w:color="auto" w:sz="4" w:space="0"/>
              <w:left w:val="nil"/>
              <w:bottom w:val="nil"/>
              <w:right w:val="single" w:color="auto" w:sz="4" w:space="0"/>
            </w:tcBorders>
            <w:shd w:val="clear" w:color="auto" w:fill="auto"/>
            <w:vAlign w:val="center"/>
          </w:tcPr>
          <w:p w14:paraId="430969C1">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780" w:type="dxa"/>
            <w:tcBorders>
              <w:top w:val="nil"/>
              <w:left w:val="nil"/>
              <w:bottom w:val="single" w:color="auto" w:sz="4" w:space="0"/>
              <w:right w:val="single" w:color="auto" w:sz="4" w:space="0"/>
            </w:tcBorders>
            <w:shd w:val="clear" w:color="auto" w:fill="auto"/>
            <w:vAlign w:val="center"/>
          </w:tcPr>
          <w:p w14:paraId="63511ED5">
            <w:pPr>
              <w:widowControl/>
              <w:jc w:val="right"/>
              <w:rPr>
                <w:rFonts w:ascii="宋体" w:hAnsi="宋体" w:cs="宋体"/>
                <w:kern w:val="0"/>
                <w:sz w:val="20"/>
                <w:szCs w:val="20"/>
              </w:rPr>
            </w:pPr>
            <w:r>
              <w:rPr>
                <w:rFonts w:hint="eastAsia" w:ascii="宋体" w:hAnsi="宋体" w:cs="宋体"/>
                <w:kern w:val="0"/>
                <w:sz w:val="20"/>
                <w:szCs w:val="20"/>
              </w:rPr>
              <w:t>　</w:t>
            </w:r>
          </w:p>
        </w:tc>
      </w:tr>
      <w:tr w14:paraId="4799AE47">
        <w:tblPrEx>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14:paraId="544B72FE">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目标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4460" w:type="dxa"/>
            <w:gridSpan w:val="4"/>
            <w:tcBorders>
              <w:top w:val="single" w:color="auto" w:sz="4" w:space="0"/>
              <w:left w:val="nil"/>
              <w:bottom w:val="single" w:color="auto" w:sz="4" w:space="0"/>
              <w:right w:val="single" w:color="auto" w:sz="4" w:space="0"/>
            </w:tcBorders>
            <w:shd w:val="clear" w:color="auto" w:fill="auto"/>
            <w:vAlign w:val="center"/>
          </w:tcPr>
          <w:p w14:paraId="6F3AEF63">
            <w:pPr>
              <w:widowControl/>
              <w:jc w:val="center"/>
              <w:rPr>
                <w:rFonts w:ascii="宋体" w:hAnsi="宋体" w:cs="宋体"/>
                <w:kern w:val="0"/>
                <w:sz w:val="20"/>
                <w:szCs w:val="20"/>
              </w:rPr>
            </w:pPr>
            <w:r>
              <w:rPr>
                <w:rFonts w:hint="eastAsia" w:ascii="宋体" w:hAnsi="宋体" w:cs="宋体"/>
                <w:kern w:val="0"/>
                <w:sz w:val="20"/>
                <w:szCs w:val="20"/>
              </w:rPr>
              <w:t>预期目标</w:t>
            </w:r>
          </w:p>
        </w:tc>
        <w:tc>
          <w:tcPr>
            <w:tcW w:w="3840" w:type="dxa"/>
            <w:gridSpan w:val="2"/>
            <w:tcBorders>
              <w:top w:val="single" w:color="auto" w:sz="4" w:space="0"/>
              <w:left w:val="nil"/>
              <w:bottom w:val="single" w:color="auto" w:sz="4" w:space="0"/>
              <w:right w:val="single" w:color="auto" w:sz="4" w:space="0"/>
            </w:tcBorders>
            <w:shd w:val="clear" w:color="auto" w:fill="auto"/>
            <w:vAlign w:val="center"/>
          </w:tcPr>
          <w:p w14:paraId="2AD96EC1">
            <w:pPr>
              <w:widowControl/>
              <w:jc w:val="center"/>
              <w:rPr>
                <w:rFonts w:ascii="宋体" w:hAnsi="宋体" w:cs="宋体"/>
                <w:kern w:val="0"/>
                <w:sz w:val="20"/>
                <w:szCs w:val="20"/>
              </w:rPr>
            </w:pPr>
            <w:r>
              <w:rPr>
                <w:rFonts w:hint="eastAsia" w:ascii="宋体" w:hAnsi="宋体" w:cs="宋体"/>
                <w:kern w:val="0"/>
                <w:sz w:val="20"/>
                <w:szCs w:val="20"/>
              </w:rPr>
              <w:t>实际完成目标</w:t>
            </w:r>
          </w:p>
        </w:tc>
      </w:tr>
      <w:tr w14:paraId="05830602">
        <w:tblPrEx>
          <w:tblCellMar>
            <w:top w:w="0" w:type="dxa"/>
            <w:left w:w="108" w:type="dxa"/>
            <w:bottom w:w="0" w:type="dxa"/>
            <w:right w:w="108" w:type="dxa"/>
          </w:tblCellMar>
        </w:tblPrEx>
        <w:trPr>
          <w:trHeight w:val="1080" w:hRule="atLeast"/>
        </w:trPr>
        <w:tc>
          <w:tcPr>
            <w:tcW w:w="720" w:type="dxa"/>
            <w:vMerge w:val="continue"/>
            <w:tcBorders>
              <w:top w:val="nil"/>
              <w:left w:val="single" w:color="auto" w:sz="4" w:space="0"/>
              <w:bottom w:val="single" w:color="auto" w:sz="4" w:space="0"/>
              <w:right w:val="single" w:color="auto" w:sz="4" w:space="0"/>
            </w:tcBorders>
            <w:vAlign w:val="center"/>
          </w:tcPr>
          <w:p w14:paraId="29AD8C62">
            <w:pPr>
              <w:widowControl/>
              <w:jc w:val="left"/>
              <w:rPr>
                <w:rFonts w:ascii="宋体" w:hAnsi="宋体" w:cs="宋体"/>
                <w:kern w:val="0"/>
                <w:sz w:val="20"/>
                <w:szCs w:val="20"/>
              </w:rPr>
            </w:pPr>
          </w:p>
        </w:tc>
        <w:tc>
          <w:tcPr>
            <w:tcW w:w="4460" w:type="dxa"/>
            <w:gridSpan w:val="4"/>
            <w:tcBorders>
              <w:top w:val="single" w:color="auto" w:sz="4" w:space="0"/>
              <w:left w:val="nil"/>
              <w:bottom w:val="single" w:color="auto" w:sz="4" w:space="0"/>
              <w:right w:val="single" w:color="000000" w:sz="4" w:space="0"/>
            </w:tcBorders>
            <w:shd w:val="clear" w:color="auto" w:fill="auto"/>
          </w:tcPr>
          <w:p w14:paraId="5891A4CE">
            <w:pPr>
              <w:spacing w:line="540" w:lineRule="exact"/>
              <w:ind w:firstLine="419" w:firstLineChars="181"/>
              <w:jc w:val="left"/>
              <w:rPr>
                <w:rStyle w:val="18"/>
                <w:rFonts w:ascii="仿宋" w:hAnsi="仿宋" w:eastAsia="仿宋"/>
                <w:b w:val="0"/>
                <w:spacing w:val="-4"/>
                <w:sz w:val="24"/>
              </w:rPr>
            </w:pPr>
            <w:r>
              <w:rPr>
                <w:rStyle w:val="18"/>
                <w:rFonts w:hint="eastAsia" w:ascii="仿宋" w:hAnsi="仿宋" w:eastAsia="仿宋"/>
                <w:b w:val="0"/>
                <w:spacing w:val="-4"/>
                <w:sz w:val="24"/>
              </w:rPr>
              <w:t>涉及8所学校校舍及硬化、绿化1970平方米建设任务；120平方米门卫室、围墙1148米、220米室外改造管网。</w:t>
            </w:r>
          </w:p>
          <w:p w14:paraId="0DCA3FEE">
            <w:pPr>
              <w:widowControl/>
              <w:jc w:val="left"/>
              <w:rPr>
                <w:rFonts w:ascii="宋体" w:hAnsi="宋体" w:cs="宋体"/>
                <w:kern w:val="0"/>
                <w:sz w:val="20"/>
                <w:szCs w:val="20"/>
              </w:rPr>
            </w:pPr>
            <w:r>
              <w:rPr>
                <w:rFonts w:hint="eastAsia" w:ascii="宋体" w:hAnsi="宋体" w:cs="宋体"/>
                <w:kern w:val="0"/>
                <w:sz w:val="20"/>
                <w:szCs w:val="20"/>
              </w:rPr>
              <w:t>。</w:t>
            </w:r>
          </w:p>
        </w:tc>
        <w:tc>
          <w:tcPr>
            <w:tcW w:w="3840" w:type="dxa"/>
            <w:gridSpan w:val="2"/>
            <w:tcBorders>
              <w:top w:val="single" w:color="auto" w:sz="4" w:space="0"/>
              <w:left w:val="nil"/>
              <w:bottom w:val="single" w:color="auto" w:sz="4" w:space="0"/>
              <w:right w:val="single" w:color="000000" w:sz="4" w:space="0"/>
            </w:tcBorders>
            <w:shd w:val="clear" w:color="auto" w:fill="auto"/>
          </w:tcPr>
          <w:p w14:paraId="344DC7C2">
            <w:pPr>
              <w:widowControl/>
              <w:jc w:val="left"/>
              <w:rPr>
                <w:rFonts w:ascii="宋体" w:hAnsi="宋体" w:cs="宋体"/>
                <w:kern w:val="0"/>
                <w:sz w:val="20"/>
                <w:szCs w:val="20"/>
              </w:rPr>
            </w:pPr>
            <w:r>
              <w:rPr>
                <w:rFonts w:hint="eastAsia" w:ascii="宋体" w:hAnsi="宋体" w:cs="宋体"/>
                <w:kern w:val="0"/>
                <w:sz w:val="20"/>
                <w:szCs w:val="20"/>
              </w:rPr>
              <w:t>完成</w:t>
            </w:r>
            <w:r>
              <w:rPr>
                <w:rStyle w:val="18"/>
                <w:rFonts w:hint="eastAsia" w:ascii="仿宋" w:hAnsi="仿宋" w:eastAsia="仿宋"/>
                <w:b w:val="0"/>
                <w:spacing w:val="-4"/>
                <w:sz w:val="24"/>
              </w:rPr>
              <w:t>涉及8所学校校舍及硬化、绿化1970平方米建设任务；120平方米门卫室、围墙1148米、220米室外改造管网</w:t>
            </w:r>
            <w:r>
              <w:rPr>
                <w:rFonts w:hint="eastAsia" w:ascii="宋体" w:hAnsi="宋体" w:cs="宋体"/>
                <w:kern w:val="0"/>
                <w:sz w:val="20"/>
                <w:szCs w:val="20"/>
              </w:rPr>
              <w:t>任务。</w:t>
            </w:r>
          </w:p>
        </w:tc>
      </w:tr>
      <w:tr w14:paraId="3AD833AC">
        <w:tblPrEx>
          <w:tblCellMar>
            <w:top w:w="0" w:type="dxa"/>
            <w:left w:w="108" w:type="dxa"/>
            <w:bottom w:w="0" w:type="dxa"/>
            <w:right w:w="108" w:type="dxa"/>
          </w:tblCellMar>
        </w:tblPrEx>
        <w:trPr>
          <w:trHeight w:val="720" w:hRule="atLeast"/>
        </w:trPr>
        <w:tc>
          <w:tcPr>
            <w:tcW w:w="720" w:type="dxa"/>
            <w:vMerge w:val="restart"/>
            <w:tcBorders>
              <w:top w:val="nil"/>
              <w:left w:val="single" w:color="auto" w:sz="4" w:space="0"/>
              <w:bottom w:val="single" w:color="000000" w:sz="4" w:space="0"/>
              <w:right w:val="single" w:color="auto" w:sz="4" w:space="0"/>
            </w:tcBorders>
            <w:shd w:val="clear" w:color="auto" w:fill="auto"/>
            <w:vAlign w:val="center"/>
          </w:tcPr>
          <w:p w14:paraId="1B651ED5">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绩效</w:t>
            </w:r>
            <w:r>
              <w:rPr>
                <w:rFonts w:hint="eastAsia" w:ascii="宋体" w:hAnsi="宋体" w:cs="宋体"/>
                <w:kern w:val="0"/>
                <w:sz w:val="20"/>
                <w:szCs w:val="20"/>
              </w:rPr>
              <w:br w:type="textWrapping"/>
            </w:r>
            <w:r>
              <w:rPr>
                <w:rFonts w:hint="eastAsia" w:ascii="宋体" w:hAnsi="宋体" w:cs="宋体"/>
                <w:kern w:val="0"/>
                <w:sz w:val="20"/>
                <w:szCs w:val="20"/>
              </w:rPr>
              <w:t>指标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1140" w:type="dxa"/>
            <w:tcBorders>
              <w:top w:val="nil"/>
              <w:left w:val="nil"/>
              <w:bottom w:val="nil"/>
              <w:right w:val="single" w:color="auto" w:sz="4" w:space="0"/>
            </w:tcBorders>
            <w:shd w:val="clear" w:color="auto" w:fill="auto"/>
            <w:vAlign w:val="center"/>
          </w:tcPr>
          <w:p w14:paraId="3A0E1BB1">
            <w:pPr>
              <w:widowControl/>
              <w:jc w:val="center"/>
              <w:rPr>
                <w:rFonts w:ascii="宋体" w:hAnsi="宋体" w:cs="宋体"/>
                <w:kern w:val="0"/>
                <w:sz w:val="20"/>
                <w:szCs w:val="20"/>
              </w:rPr>
            </w:pPr>
            <w:r>
              <w:rPr>
                <w:rFonts w:hint="eastAsia" w:ascii="宋体" w:hAnsi="宋体" w:cs="宋体"/>
                <w:kern w:val="0"/>
                <w:sz w:val="20"/>
                <w:szCs w:val="20"/>
              </w:rPr>
              <w:t>一级指标</w:t>
            </w:r>
          </w:p>
        </w:tc>
        <w:tc>
          <w:tcPr>
            <w:tcW w:w="1360" w:type="dxa"/>
            <w:tcBorders>
              <w:top w:val="nil"/>
              <w:left w:val="nil"/>
              <w:bottom w:val="single" w:color="auto" w:sz="4" w:space="0"/>
              <w:right w:val="single" w:color="auto" w:sz="4" w:space="0"/>
            </w:tcBorders>
            <w:shd w:val="clear" w:color="auto" w:fill="auto"/>
            <w:vAlign w:val="center"/>
          </w:tcPr>
          <w:p w14:paraId="120AE493">
            <w:pPr>
              <w:widowControl/>
              <w:jc w:val="center"/>
              <w:rPr>
                <w:rFonts w:ascii="宋体" w:hAnsi="宋体" w:cs="宋体"/>
                <w:kern w:val="0"/>
                <w:sz w:val="20"/>
                <w:szCs w:val="20"/>
              </w:rPr>
            </w:pPr>
            <w:r>
              <w:rPr>
                <w:rFonts w:hint="eastAsia" w:ascii="宋体" w:hAnsi="宋体" w:cs="宋体"/>
                <w:kern w:val="0"/>
                <w:sz w:val="20"/>
                <w:szCs w:val="20"/>
              </w:rPr>
              <w:t>二级指标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14:paraId="68430471">
            <w:pPr>
              <w:widowControl/>
              <w:jc w:val="center"/>
              <w:rPr>
                <w:rFonts w:ascii="宋体" w:hAnsi="宋体" w:cs="宋体"/>
                <w:kern w:val="0"/>
                <w:sz w:val="20"/>
                <w:szCs w:val="20"/>
              </w:rPr>
            </w:pPr>
            <w:r>
              <w:rPr>
                <w:rFonts w:hint="eastAsia" w:ascii="宋体" w:hAnsi="宋体" w:cs="宋体"/>
                <w:kern w:val="0"/>
                <w:sz w:val="20"/>
                <w:szCs w:val="20"/>
              </w:rPr>
              <w:t>三级指标</w:t>
            </w:r>
          </w:p>
        </w:tc>
        <w:tc>
          <w:tcPr>
            <w:tcW w:w="2060" w:type="dxa"/>
            <w:tcBorders>
              <w:top w:val="nil"/>
              <w:left w:val="nil"/>
              <w:bottom w:val="single" w:color="auto" w:sz="4" w:space="0"/>
              <w:right w:val="single" w:color="auto" w:sz="4" w:space="0"/>
            </w:tcBorders>
            <w:shd w:val="clear" w:color="auto" w:fill="auto"/>
            <w:vAlign w:val="center"/>
          </w:tcPr>
          <w:p w14:paraId="7E7262D9">
            <w:pPr>
              <w:widowControl/>
              <w:jc w:val="center"/>
              <w:rPr>
                <w:rFonts w:ascii="宋体" w:hAnsi="宋体" w:cs="宋体"/>
                <w:kern w:val="0"/>
                <w:sz w:val="20"/>
                <w:szCs w:val="20"/>
              </w:rPr>
            </w:pPr>
            <w:r>
              <w:rPr>
                <w:rFonts w:hint="eastAsia" w:ascii="宋体" w:hAnsi="宋体" w:cs="宋体"/>
                <w:kern w:val="0"/>
                <w:sz w:val="20"/>
                <w:szCs w:val="20"/>
              </w:rPr>
              <w:t>预期指标值（包含数字及文字描述）</w:t>
            </w:r>
          </w:p>
        </w:tc>
        <w:tc>
          <w:tcPr>
            <w:tcW w:w="1780" w:type="dxa"/>
            <w:tcBorders>
              <w:top w:val="nil"/>
              <w:left w:val="nil"/>
              <w:bottom w:val="single" w:color="auto" w:sz="4" w:space="0"/>
              <w:right w:val="single" w:color="auto" w:sz="4" w:space="0"/>
            </w:tcBorders>
            <w:shd w:val="clear" w:color="auto" w:fill="auto"/>
            <w:vAlign w:val="center"/>
          </w:tcPr>
          <w:p w14:paraId="678DF767">
            <w:pPr>
              <w:widowControl/>
              <w:jc w:val="center"/>
              <w:rPr>
                <w:rFonts w:ascii="宋体" w:hAnsi="宋体" w:cs="宋体"/>
                <w:kern w:val="0"/>
                <w:sz w:val="20"/>
                <w:szCs w:val="20"/>
              </w:rPr>
            </w:pPr>
            <w:r>
              <w:rPr>
                <w:rFonts w:hint="eastAsia" w:ascii="宋体" w:hAnsi="宋体" w:cs="宋体"/>
                <w:kern w:val="0"/>
                <w:sz w:val="20"/>
                <w:szCs w:val="20"/>
              </w:rPr>
              <w:t>实际完成指标值（包含数字及文字描述）</w:t>
            </w:r>
          </w:p>
        </w:tc>
      </w:tr>
      <w:tr w14:paraId="46E649B6">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39790490">
            <w:pPr>
              <w:widowControl/>
              <w:jc w:val="left"/>
              <w:rPr>
                <w:rFonts w:ascii="宋体" w:hAnsi="宋体" w:cs="宋体"/>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5FA2725">
            <w:pPr>
              <w:widowControl/>
              <w:jc w:val="center"/>
              <w:rPr>
                <w:rFonts w:ascii="宋体" w:hAnsi="宋体" w:cs="宋体"/>
                <w:kern w:val="0"/>
                <w:sz w:val="20"/>
                <w:szCs w:val="20"/>
              </w:rPr>
            </w:pPr>
            <w:r>
              <w:rPr>
                <w:rFonts w:hint="eastAsia" w:ascii="宋体" w:hAnsi="宋体" w:cs="宋体"/>
                <w:kern w:val="0"/>
                <w:sz w:val="20"/>
                <w:szCs w:val="20"/>
              </w:rPr>
              <w:t>项目完成指标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14:paraId="64D3BF0A">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数量指标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14:paraId="44EF48AF">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项目建设涉及贫困地区学校</w:t>
            </w:r>
          </w:p>
        </w:tc>
        <w:tc>
          <w:tcPr>
            <w:tcW w:w="2060" w:type="dxa"/>
            <w:tcBorders>
              <w:top w:val="nil"/>
              <w:left w:val="nil"/>
              <w:bottom w:val="single" w:color="auto" w:sz="4" w:space="0"/>
              <w:right w:val="single" w:color="auto" w:sz="4" w:space="0"/>
            </w:tcBorders>
            <w:shd w:val="clear" w:color="auto" w:fill="auto"/>
            <w:vAlign w:val="center"/>
          </w:tcPr>
          <w:p w14:paraId="63FB80BB">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8所</w:t>
            </w:r>
          </w:p>
        </w:tc>
        <w:tc>
          <w:tcPr>
            <w:tcW w:w="1780" w:type="dxa"/>
            <w:tcBorders>
              <w:top w:val="nil"/>
              <w:left w:val="nil"/>
              <w:bottom w:val="single" w:color="auto" w:sz="4" w:space="0"/>
              <w:right w:val="single" w:color="auto" w:sz="4" w:space="0"/>
            </w:tcBorders>
            <w:shd w:val="clear" w:color="auto" w:fill="auto"/>
            <w:vAlign w:val="center"/>
          </w:tcPr>
          <w:p w14:paraId="71D8275E">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8所</w:t>
            </w:r>
          </w:p>
        </w:tc>
      </w:tr>
      <w:tr w14:paraId="0EF716CB">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4B4D4F44">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14:paraId="3B1CBE3B">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14:paraId="3B5710BB">
            <w:pPr>
              <w:jc w:val="center"/>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14:paraId="1816DCC2">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校舍单体建筑面积</w:t>
            </w:r>
          </w:p>
        </w:tc>
        <w:tc>
          <w:tcPr>
            <w:tcW w:w="2060" w:type="dxa"/>
            <w:tcBorders>
              <w:top w:val="nil"/>
              <w:left w:val="nil"/>
              <w:bottom w:val="single" w:color="auto" w:sz="4" w:space="0"/>
              <w:right w:val="single" w:color="auto" w:sz="4" w:space="0"/>
            </w:tcBorders>
            <w:shd w:val="clear" w:color="auto" w:fill="auto"/>
            <w:vAlign w:val="center"/>
          </w:tcPr>
          <w:p w14:paraId="1171DC08">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1970平方米</w:t>
            </w:r>
          </w:p>
        </w:tc>
        <w:tc>
          <w:tcPr>
            <w:tcW w:w="1780" w:type="dxa"/>
            <w:tcBorders>
              <w:top w:val="nil"/>
              <w:left w:val="nil"/>
              <w:bottom w:val="single" w:color="auto" w:sz="4" w:space="0"/>
              <w:right w:val="single" w:color="auto" w:sz="4" w:space="0"/>
            </w:tcBorders>
            <w:shd w:val="clear" w:color="auto" w:fill="auto"/>
            <w:vAlign w:val="center"/>
          </w:tcPr>
          <w:p w14:paraId="2D45837E">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1970平方米</w:t>
            </w:r>
          </w:p>
        </w:tc>
      </w:tr>
      <w:tr w14:paraId="394BF10F">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598C3D85">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14:paraId="16DC34F1">
            <w:pPr>
              <w:widowControl/>
              <w:jc w:val="left"/>
              <w:rPr>
                <w:rFonts w:ascii="宋体" w:hAnsi="宋体" w:cs="宋体"/>
                <w:kern w:val="0"/>
                <w:sz w:val="20"/>
                <w:szCs w:val="20"/>
              </w:rPr>
            </w:pPr>
          </w:p>
        </w:tc>
        <w:tc>
          <w:tcPr>
            <w:tcW w:w="136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948DEAA">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质量指标</w:t>
            </w:r>
          </w:p>
        </w:tc>
        <w:tc>
          <w:tcPr>
            <w:tcW w:w="19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27EB06E">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校舍竣工验收合格率</w:t>
            </w:r>
          </w:p>
        </w:tc>
        <w:tc>
          <w:tcPr>
            <w:tcW w:w="2060" w:type="dxa"/>
            <w:tcBorders>
              <w:top w:val="nil"/>
              <w:left w:val="nil"/>
              <w:bottom w:val="single" w:color="auto" w:sz="4" w:space="0"/>
              <w:right w:val="single" w:color="auto" w:sz="4" w:space="0"/>
            </w:tcBorders>
            <w:shd w:val="clear" w:color="auto" w:fill="auto"/>
            <w:vAlign w:val="center"/>
          </w:tcPr>
          <w:p w14:paraId="09E2ED84">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100%</w:t>
            </w:r>
          </w:p>
        </w:tc>
        <w:tc>
          <w:tcPr>
            <w:tcW w:w="1780" w:type="dxa"/>
            <w:tcBorders>
              <w:top w:val="nil"/>
              <w:left w:val="nil"/>
              <w:bottom w:val="single" w:color="auto" w:sz="4" w:space="0"/>
              <w:right w:val="single" w:color="auto" w:sz="4" w:space="0"/>
            </w:tcBorders>
            <w:shd w:val="clear" w:color="auto" w:fill="auto"/>
            <w:vAlign w:val="center"/>
          </w:tcPr>
          <w:p w14:paraId="515F4CB9">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100%</w:t>
            </w:r>
          </w:p>
        </w:tc>
      </w:tr>
      <w:tr w14:paraId="1BF1EED7">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6371987D">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14:paraId="05E2412D">
            <w:pPr>
              <w:widowControl/>
              <w:jc w:val="left"/>
              <w:rPr>
                <w:rFonts w:ascii="宋体" w:hAnsi="宋体" w:cs="宋体"/>
                <w:kern w:val="0"/>
                <w:sz w:val="20"/>
                <w:szCs w:val="20"/>
              </w:rPr>
            </w:pPr>
          </w:p>
        </w:tc>
        <w:tc>
          <w:tcPr>
            <w:tcW w:w="1360" w:type="dxa"/>
            <w:vMerge w:val="continue"/>
            <w:tcBorders>
              <w:top w:val="single" w:color="auto" w:sz="4" w:space="0"/>
              <w:left w:val="single" w:color="auto" w:sz="4" w:space="0"/>
              <w:bottom w:val="single" w:color="auto" w:sz="4" w:space="0"/>
              <w:right w:val="single" w:color="auto" w:sz="4" w:space="0"/>
            </w:tcBorders>
            <w:vAlign w:val="center"/>
          </w:tcPr>
          <w:p w14:paraId="01304634">
            <w:pPr>
              <w:jc w:val="center"/>
              <w:rPr>
                <w:rFonts w:ascii="宋体" w:hAnsi="宋体" w:cs="宋体"/>
                <w:kern w:val="0"/>
                <w:sz w:val="20"/>
                <w:szCs w:val="20"/>
              </w:rPr>
            </w:pPr>
          </w:p>
        </w:tc>
        <w:tc>
          <w:tcPr>
            <w:tcW w:w="19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E6F6FAD">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校舍建设质量标准</w:t>
            </w:r>
          </w:p>
        </w:tc>
        <w:tc>
          <w:tcPr>
            <w:tcW w:w="2060" w:type="dxa"/>
            <w:tcBorders>
              <w:top w:val="nil"/>
              <w:left w:val="nil"/>
              <w:bottom w:val="single" w:color="auto" w:sz="4" w:space="0"/>
              <w:right w:val="single" w:color="auto" w:sz="4" w:space="0"/>
            </w:tcBorders>
            <w:shd w:val="clear" w:color="auto" w:fill="auto"/>
            <w:vAlign w:val="center"/>
          </w:tcPr>
          <w:p w14:paraId="30F8D57A">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合格以上档次</w:t>
            </w:r>
          </w:p>
        </w:tc>
        <w:tc>
          <w:tcPr>
            <w:tcW w:w="1780" w:type="dxa"/>
            <w:tcBorders>
              <w:top w:val="nil"/>
              <w:left w:val="nil"/>
              <w:bottom w:val="single" w:color="auto" w:sz="4" w:space="0"/>
              <w:right w:val="single" w:color="auto" w:sz="4" w:space="0"/>
            </w:tcBorders>
            <w:shd w:val="clear" w:color="auto" w:fill="auto"/>
            <w:vAlign w:val="center"/>
          </w:tcPr>
          <w:p w14:paraId="3A924BCE">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合格以上档次</w:t>
            </w:r>
          </w:p>
        </w:tc>
      </w:tr>
      <w:tr w14:paraId="43FA8498">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45D7AD28">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14:paraId="12388246">
            <w:pPr>
              <w:widowControl/>
              <w:jc w:val="left"/>
              <w:rPr>
                <w:rFonts w:ascii="宋体" w:hAnsi="宋体" w:cs="宋体"/>
                <w:kern w:val="0"/>
                <w:sz w:val="20"/>
                <w:szCs w:val="20"/>
              </w:rPr>
            </w:pPr>
          </w:p>
        </w:tc>
        <w:tc>
          <w:tcPr>
            <w:tcW w:w="1360" w:type="dxa"/>
            <w:vMerge w:val="restart"/>
            <w:tcBorders>
              <w:top w:val="single" w:color="auto" w:sz="4" w:space="0"/>
              <w:left w:val="single" w:color="auto" w:sz="4" w:space="0"/>
              <w:bottom w:val="single" w:color="auto" w:sz="4" w:space="0"/>
              <w:right w:val="single" w:color="auto" w:sz="4" w:space="0"/>
            </w:tcBorders>
            <w:vAlign w:val="center"/>
          </w:tcPr>
          <w:p w14:paraId="7487A3B3">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时效指标</w:t>
            </w:r>
          </w:p>
        </w:tc>
        <w:tc>
          <w:tcPr>
            <w:tcW w:w="19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4E67839">
            <w:pPr>
              <w:widowControl/>
              <w:jc w:val="center"/>
              <w:textAlignment w:val="center"/>
            </w:pPr>
            <w:r>
              <w:rPr>
                <w:rFonts w:hint="eastAsia" w:ascii="宋体" w:hAnsi="宋体" w:cs="宋体"/>
                <w:color w:val="000000"/>
                <w:kern w:val="0"/>
                <w:sz w:val="20"/>
                <w:szCs w:val="20"/>
                <w:lang w:bidi="ar"/>
              </w:rPr>
              <w:t>校舍建设周期</w:t>
            </w:r>
          </w:p>
        </w:tc>
        <w:tc>
          <w:tcPr>
            <w:tcW w:w="2060" w:type="dxa"/>
            <w:tcBorders>
              <w:top w:val="nil"/>
              <w:left w:val="nil"/>
              <w:bottom w:val="single" w:color="auto" w:sz="4" w:space="0"/>
              <w:right w:val="single" w:color="auto" w:sz="4" w:space="0"/>
            </w:tcBorders>
            <w:shd w:val="clear" w:color="auto" w:fill="auto"/>
            <w:vAlign w:val="center"/>
          </w:tcPr>
          <w:p w14:paraId="77A39592">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6个月</w:t>
            </w:r>
          </w:p>
        </w:tc>
        <w:tc>
          <w:tcPr>
            <w:tcW w:w="1780" w:type="dxa"/>
            <w:tcBorders>
              <w:top w:val="nil"/>
              <w:left w:val="nil"/>
              <w:bottom w:val="single" w:color="auto" w:sz="4" w:space="0"/>
              <w:right w:val="single" w:color="auto" w:sz="4" w:space="0"/>
            </w:tcBorders>
            <w:shd w:val="clear" w:color="auto" w:fill="auto"/>
            <w:vAlign w:val="center"/>
          </w:tcPr>
          <w:p w14:paraId="5CAEF0A8">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6个月</w:t>
            </w:r>
          </w:p>
        </w:tc>
      </w:tr>
      <w:tr w14:paraId="0DB9C952">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49B2A3FB">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14:paraId="458094CA">
            <w:pPr>
              <w:widowControl/>
              <w:jc w:val="left"/>
              <w:rPr>
                <w:rFonts w:ascii="宋体" w:hAnsi="宋体" w:cs="宋体"/>
                <w:kern w:val="0"/>
                <w:sz w:val="20"/>
                <w:szCs w:val="20"/>
              </w:rPr>
            </w:pPr>
          </w:p>
        </w:tc>
        <w:tc>
          <w:tcPr>
            <w:tcW w:w="1360" w:type="dxa"/>
            <w:vMerge w:val="continue"/>
            <w:tcBorders>
              <w:top w:val="single" w:color="auto" w:sz="4" w:space="0"/>
              <w:left w:val="single" w:color="auto" w:sz="4" w:space="0"/>
              <w:bottom w:val="single" w:color="auto" w:sz="4" w:space="0"/>
              <w:right w:val="single" w:color="auto" w:sz="4" w:space="0"/>
            </w:tcBorders>
            <w:vAlign w:val="center"/>
          </w:tcPr>
          <w:p w14:paraId="113F55EA">
            <w:pPr>
              <w:jc w:val="center"/>
              <w:rPr>
                <w:rFonts w:ascii="宋体" w:hAnsi="宋体" w:cs="宋体"/>
                <w:kern w:val="0"/>
                <w:sz w:val="20"/>
                <w:szCs w:val="20"/>
              </w:rPr>
            </w:pPr>
          </w:p>
        </w:tc>
        <w:tc>
          <w:tcPr>
            <w:tcW w:w="19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1E78328">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开工时间</w:t>
            </w:r>
          </w:p>
        </w:tc>
        <w:tc>
          <w:tcPr>
            <w:tcW w:w="2060" w:type="dxa"/>
            <w:tcBorders>
              <w:top w:val="nil"/>
              <w:left w:val="nil"/>
              <w:bottom w:val="single" w:color="auto" w:sz="4" w:space="0"/>
              <w:right w:val="single" w:color="auto" w:sz="4" w:space="0"/>
            </w:tcBorders>
            <w:shd w:val="clear" w:color="auto" w:fill="auto"/>
            <w:vAlign w:val="center"/>
          </w:tcPr>
          <w:p w14:paraId="543A5FA7">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2018年5月</w:t>
            </w:r>
          </w:p>
        </w:tc>
        <w:tc>
          <w:tcPr>
            <w:tcW w:w="1780" w:type="dxa"/>
            <w:tcBorders>
              <w:top w:val="nil"/>
              <w:left w:val="nil"/>
              <w:bottom w:val="single" w:color="auto" w:sz="4" w:space="0"/>
              <w:right w:val="single" w:color="auto" w:sz="4" w:space="0"/>
            </w:tcBorders>
            <w:shd w:val="clear" w:color="auto" w:fill="auto"/>
            <w:vAlign w:val="center"/>
          </w:tcPr>
          <w:p w14:paraId="70085693">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2018年5月</w:t>
            </w:r>
          </w:p>
        </w:tc>
      </w:tr>
      <w:tr w14:paraId="1291C952">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6655F46E">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14:paraId="013724C6">
            <w:pPr>
              <w:widowControl/>
              <w:jc w:val="left"/>
              <w:rPr>
                <w:rFonts w:ascii="宋体" w:hAnsi="宋体" w:cs="宋体"/>
                <w:kern w:val="0"/>
                <w:sz w:val="20"/>
                <w:szCs w:val="20"/>
              </w:rPr>
            </w:pPr>
          </w:p>
        </w:tc>
        <w:tc>
          <w:tcPr>
            <w:tcW w:w="136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8D49AC2">
            <w:pPr>
              <w:jc w:val="center"/>
              <w:rPr>
                <w:rFonts w:ascii="宋体" w:hAnsi="宋体" w:cs="宋体"/>
                <w:kern w:val="0"/>
                <w:sz w:val="20"/>
                <w:szCs w:val="20"/>
              </w:rPr>
            </w:pPr>
          </w:p>
        </w:tc>
        <w:tc>
          <w:tcPr>
            <w:tcW w:w="19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96DE6B0">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完工时间</w:t>
            </w:r>
          </w:p>
        </w:tc>
        <w:tc>
          <w:tcPr>
            <w:tcW w:w="2060" w:type="dxa"/>
            <w:tcBorders>
              <w:top w:val="nil"/>
              <w:left w:val="nil"/>
              <w:bottom w:val="single" w:color="auto" w:sz="4" w:space="0"/>
              <w:right w:val="single" w:color="auto" w:sz="4" w:space="0"/>
            </w:tcBorders>
            <w:shd w:val="clear" w:color="auto" w:fill="auto"/>
            <w:vAlign w:val="center"/>
          </w:tcPr>
          <w:p w14:paraId="09435D5E">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2018年11月</w:t>
            </w:r>
          </w:p>
        </w:tc>
        <w:tc>
          <w:tcPr>
            <w:tcW w:w="1780" w:type="dxa"/>
            <w:tcBorders>
              <w:top w:val="nil"/>
              <w:left w:val="nil"/>
              <w:bottom w:val="single" w:color="auto" w:sz="4" w:space="0"/>
              <w:right w:val="single" w:color="auto" w:sz="4" w:space="0"/>
            </w:tcBorders>
            <w:shd w:val="clear" w:color="auto" w:fill="auto"/>
            <w:vAlign w:val="center"/>
          </w:tcPr>
          <w:p w14:paraId="1AD808CB">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2018年11月</w:t>
            </w:r>
          </w:p>
        </w:tc>
      </w:tr>
      <w:tr w14:paraId="1C4483AB">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6B7B93F6">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14:paraId="3DEB3C88">
            <w:pPr>
              <w:widowControl/>
              <w:jc w:val="left"/>
              <w:rPr>
                <w:rFonts w:ascii="宋体" w:hAnsi="宋体" w:cs="宋体"/>
                <w:kern w:val="0"/>
                <w:sz w:val="20"/>
                <w:szCs w:val="20"/>
              </w:rPr>
            </w:pPr>
          </w:p>
        </w:tc>
        <w:tc>
          <w:tcPr>
            <w:tcW w:w="1360" w:type="dxa"/>
            <w:tcBorders>
              <w:top w:val="single" w:color="auto" w:sz="4" w:space="0"/>
              <w:left w:val="single" w:color="auto" w:sz="4" w:space="0"/>
              <w:bottom w:val="single" w:color="auto" w:sz="4" w:space="0"/>
              <w:right w:val="single" w:color="auto" w:sz="4" w:space="0"/>
            </w:tcBorders>
            <w:vAlign w:val="center"/>
          </w:tcPr>
          <w:p w14:paraId="5DA27E58">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成本指标</w:t>
            </w:r>
          </w:p>
        </w:tc>
        <w:tc>
          <w:tcPr>
            <w:tcW w:w="19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E0779B9">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校舍类项目每平方米造价</w:t>
            </w:r>
          </w:p>
        </w:tc>
        <w:tc>
          <w:tcPr>
            <w:tcW w:w="2060" w:type="dxa"/>
            <w:tcBorders>
              <w:top w:val="single" w:color="auto" w:sz="4" w:space="0"/>
              <w:left w:val="single" w:color="auto" w:sz="4" w:space="0"/>
              <w:bottom w:val="single" w:color="auto" w:sz="4" w:space="0"/>
              <w:right w:val="single" w:color="auto" w:sz="4" w:space="0"/>
            </w:tcBorders>
            <w:shd w:val="clear" w:color="auto" w:fill="auto"/>
            <w:vAlign w:val="center"/>
          </w:tcPr>
          <w:p w14:paraId="50D451B7">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≤2497.5元</w:t>
            </w:r>
          </w:p>
        </w:tc>
        <w:tc>
          <w:tcPr>
            <w:tcW w:w="1780" w:type="dxa"/>
            <w:tcBorders>
              <w:top w:val="nil"/>
              <w:left w:val="nil"/>
              <w:bottom w:val="single" w:color="auto" w:sz="4" w:space="0"/>
              <w:right w:val="single" w:color="auto" w:sz="4" w:space="0"/>
            </w:tcBorders>
            <w:shd w:val="clear" w:color="auto" w:fill="auto"/>
            <w:vAlign w:val="center"/>
          </w:tcPr>
          <w:p w14:paraId="73946181">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≤2497.5元</w:t>
            </w:r>
          </w:p>
        </w:tc>
      </w:tr>
      <w:tr w14:paraId="474B0C6C">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08613C10">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14:paraId="0C3F9017">
            <w:pPr>
              <w:widowControl/>
              <w:jc w:val="left"/>
              <w:rPr>
                <w:rFonts w:ascii="宋体" w:hAnsi="宋体" w:cs="宋体"/>
                <w:kern w:val="0"/>
                <w:sz w:val="20"/>
                <w:szCs w:val="20"/>
              </w:rPr>
            </w:pPr>
          </w:p>
        </w:tc>
        <w:tc>
          <w:tcPr>
            <w:tcW w:w="1360" w:type="dxa"/>
            <w:vMerge w:val="restart"/>
            <w:tcBorders>
              <w:top w:val="single" w:color="auto" w:sz="4" w:space="0"/>
              <w:left w:val="single" w:color="auto" w:sz="4" w:space="0"/>
              <w:bottom w:val="single" w:color="auto" w:sz="4" w:space="0"/>
              <w:right w:val="single" w:color="auto" w:sz="4" w:space="0"/>
            </w:tcBorders>
            <w:vAlign w:val="center"/>
          </w:tcPr>
          <w:p w14:paraId="58DB03A8">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社会效益</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指标</w:t>
            </w:r>
          </w:p>
        </w:tc>
        <w:tc>
          <w:tcPr>
            <w:tcW w:w="19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B2A55E5">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项目覆盖范围义务教育阶段学生</w:t>
            </w:r>
          </w:p>
        </w:tc>
        <w:tc>
          <w:tcPr>
            <w:tcW w:w="2060" w:type="dxa"/>
            <w:tcBorders>
              <w:top w:val="single" w:color="auto" w:sz="4" w:space="0"/>
              <w:left w:val="single" w:color="auto" w:sz="4" w:space="0"/>
              <w:bottom w:val="single" w:color="auto" w:sz="4" w:space="0"/>
              <w:right w:val="single" w:color="auto" w:sz="4" w:space="0"/>
            </w:tcBorders>
            <w:shd w:val="clear" w:color="auto" w:fill="auto"/>
            <w:vAlign w:val="center"/>
          </w:tcPr>
          <w:p w14:paraId="643E8608">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≥18732人</w:t>
            </w:r>
          </w:p>
        </w:tc>
        <w:tc>
          <w:tcPr>
            <w:tcW w:w="1780" w:type="dxa"/>
            <w:tcBorders>
              <w:top w:val="nil"/>
              <w:left w:val="nil"/>
              <w:bottom w:val="single" w:color="auto" w:sz="4" w:space="0"/>
              <w:right w:val="single" w:color="auto" w:sz="4" w:space="0"/>
            </w:tcBorders>
            <w:shd w:val="clear" w:color="auto" w:fill="auto"/>
            <w:vAlign w:val="center"/>
          </w:tcPr>
          <w:p w14:paraId="1E27D0E2">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≥18732人</w:t>
            </w:r>
          </w:p>
        </w:tc>
      </w:tr>
      <w:tr w14:paraId="2A5DB0F8">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5D74911D">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14:paraId="19AF80C2">
            <w:pPr>
              <w:widowControl/>
              <w:jc w:val="left"/>
              <w:rPr>
                <w:rFonts w:ascii="宋体" w:hAnsi="宋体" w:cs="宋体"/>
                <w:kern w:val="0"/>
                <w:sz w:val="20"/>
                <w:szCs w:val="20"/>
              </w:rPr>
            </w:pPr>
          </w:p>
        </w:tc>
        <w:tc>
          <w:tcPr>
            <w:tcW w:w="1360" w:type="dxa"/>
            <w:vMerge w:val="continue"/>
            <w:tcBorders>
              <w:top w:val="single" w:color="auto" w:sz="4" w:space="0"/>
              <w:left w:val="single" w:color="auto" w:sz="4" w:space="0"/>
              <w:bottom w:val="single" w:color="auto" w:sz="4" w:space="0"/>
              <w:right w:val="single" w:color="auto" w:sz="4" w:space="0"/>
            </w:tcBorders>
            <w:vAlign w:val="center"/>
          </w:tcPr>
          <w:p w14:paraId="3374F95C">
            <w:pPr>
              <w:jc w:val="center"/>
              <w:rPr>
                <w:rFonts w:ascii="宋体" w:hAnsi="宋体" w:cs="宋体"/>
                <w:kern w:val="0"/>
                <w:sz w:val="20"/>
                <w:szCs w:val="20"/>
              </w:rPr>
            </w:pPr>
          </w:p>
        </w:tc>
        <w:tc>
          <w:tcPr>
            <w:tcW w:w="19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695F4E7">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项目覆盖范围义务教育阶段建档立卡贫困学生</w:t>
            </w:r>
          </w:p>
        </w:tc>
        <w:tc>
          <w:tcPr>
            <w:tcW w:w="2060" w:type="dxa"/>
            <w:tcBorders>
              <w:top w:val="single" w:color="auto" w:sz="4" w:space="0"/>
              <w:left w:val="single" w:color="auto" w:sz="4" w:space="0"/>
              <w:bottom w:val="single" w:color="auto" w:sz="4" w:space="0"/>
              <w:right w:val="single" w:color="auto" w:sz="4" w:space="0"/>
            </w:tcBorders>
            <w:shd w:val="clear" w:color="auto" w:fill="auto"/>
            <w:vAlign w:val="center"/>
          </w:tcPr>
          <w:p w14:paraId="7A8D36C4">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≥419人</w:t>
            </w:r>
          </w:p>
        </w:tc>
        <w:tc>
          <w:tcPr>
            <w:tcW w:w="1780" w:type="dxa"/>
            <w:tcBorders>
              <w:top w:val="nil"/>
              <w:left w:val="nil"/>
              <w:bottom w:val="single" w:color="auto" w:sz="4" w:space="0"/>
              <w:right w:val="single" w:color="auto" w:sz="4" w:space="0"/>
            </w:tcBorders>
            <w:shd w:val="clear" w:color="auto" w:fill="auto"/>
            <w:vAlign w:val="center"/>
          </w:tcPr>
          <w:p w14:paraId="130F8DBF">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≥419人</w:t>
            </w:r>
          </w:p>
        </w:tc>
      </w:tr>
      <w:tr w14:paraId="582D9D98">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30E96319">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14:paraId="52E2BB17">
            <w:pPr>
              <w:widowControl/>
              <w:jc w:val="left"/>
              <w:rPr>
                <w:rFonts w:ascii="宋体" w:hAnsi="宋体" w:cs="宋体"/>
                <w:kern w:val="0"/>
                <w:sz w:val="20"/>
                <w:szCs w:val="20"/>
              </w:rPr>
            </w:pPr>
          </w:p>
        </w:tc>
        <w:tc>
          <w:tcPr>
            <w:tcW w:w="136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96BAD45">
            <w:pPr>
              <w:jc w:val="center"/>
              <w:rPr>
                <w:rFonts w:ascii="宋体" w:hAnsi="宋体" w:cs="宋体"/>
                <w:kern w:val="0"/>
                <w:sz w:val="20"/>
                <w:szCs w:val="20"/>
              </w:rPr>
            </w:pPr>
          </w:p>
        </w:tc>
        <w:tc>
          <w:tcPr>
            <w:tcW w:w="19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A0764DF">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项目学校覆盖范围内建档立卡贫困户义务阶段学生覆盖率</w:t>
            </w:r>
          </w:p>
        </w:tc>
        <w:tc>
          <w:tcPr>
            <w:tcW w:w="2060" w:type="dxa"/>
            <w:tcBorders>
              <w:top w:val="single" w:color="auto" w:sz="4" w:space="0"/>
              <w:left w:val="single" w:color="auto" w:sz="4" w:space="0"/>
              <w:bottom w:val="single" w:color="auto" w:sz="4" w:space="0"/>
              <w:right w:val="single" w:color="auto" w:sz="4" w:space="0"/>
            </w:tcBorders>
            <w:shd w:val="clear" w:color="auto" w:fill="auto"/>
            <w:vAlign w:val="center"/>
          </w:tcPr>
          <w:p w14:paraId="2874E3C6">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100%</w:t>
            </w:r>
          </w:p>
        </w:tc>
        <w:tc>
          <w:tcPr>
            <w:tcW w:w="1780" w:type="dxa"/>
            <w:tcBorders>
              <w:top w:val="nil"/>
              <w:left w:val="nil"/>
              <w:bottom w:val="single" w:color="auto" w:sz="4" w:space="0"/>
              <w:right w:val="single" w:color="auto" w:sz="4" w:space="0"/>
            </w:tcBorders>
            <w:shd w:val="clear" w:color="auto" w:fill="auto"/>
            <w:vAlign w:val="center"/>
          </w:tcPr>
          <w:p w14:paraId="1CBB0083">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100%</w:t>
            </w:r>
          </w:p>
        </w:tc>
      </w:tr>
      <w:tr w14:paraId="2AC36A93">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0BFBE22B">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14:paraId="7794F60E">
            <w:pPr>
              <w:widowControl/>
              <w:jc w:val="left"/>
              <w:rPr>
                <w:rFonts w:ascii="宋体" w:hAnsi="宋体" w:cs="宋体"/>
                <w:kern w:val="0"/>
                <w:sz w:val="20"/>
                <w:szCs w:val="20"/>
              </w:rPr>
            </w:pPr>
          </w:p>
        </w:tc>
        <w:tc>
          <w:tcPr>
            <w:tcW w:w="1360" w:type="dxa"/>
            <w:vMerge w:val="continue"/>
            <w:tcBorders>
              <w:top w:val="single" w:color="auto" w:sz="4" w:space="0"/>
              <w:left w:val="single" w:color="auto" w:sz="4" w:space="0"/>
              <w:bottom w:val="single" w:color="auto" w:sz="4" w:space="0"/>
              <w:right w:val="single" w:color="auto" w:sz="4" w:space="0"/>
            </w:tcBorders>
            <w:vAlign w:val="center"/>
          </w:tcPr>
          <w:p w14:paraId="2508B6EF">
            <w:pPr>
              <w:jc w:val="center"/>
              <w:rPr>
                <w:rFonts w:ascii="宋体" w:hAnsi="宋体" w:cs="宋体"/>
                <w:kern w:val="0"/>
                <w:sz w:val="20"/>
                <w:szCs w:val="20"/>
              </w:rPr>
            </w:pPr>
          </w:p>
        </w:tc>
        <w:tc>
          <w:tcPr>
            <w:tcW w:w="19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E3B929D">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建档贫困贫困学生受益人数</w:t>
            </w:r>
          </w:p>
        </w:tc>
        <w:tc>
          <w:tcPr>
            <w:tcW w:w="2060" w:type="dxa"/>
            <w:tcBorders>
              <w:top w:val="single" w:color="auto" w:sz="4" w:space="0"/>
              <w:left w:val="single" w:color="auto" w:sz="4" w:space="0"/>
              <w:bottom w:val="single" w:color="auto" w:sz="4" w:space="0"/>
              <w:right w:val="single" w:color="auto" w:sz="4" w:space="0"/>
            </w:tcBorders>
            <w:shd w:val="clear" w:color="auto" w:fill="auto"/>
            <w:vAlign w:val="center"/>
          </w:tcPr>
          <w:p w14:paraId="61E5335B">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≥419人</w:t>
            </w:r>
          </w:p>
        </w:tc>
        <w:tc>
          <w:tcPr>
            <w:tcW w:w="1780" w:type="dxa"/>
            <w:tcBorders>
              <w:top w:val="nil"/>
              <w:left w:val="nil"/>
              <w:bottom w:val="single" w:color="auto" w:sz="4" w:space="0"/>
              <w:right w:val="single" w:color="auto" w:sz="4" w:space="0"/>
            </w:tcBorders>
            <w:shd w:val="clear" w:color="auto" w:fill="auto"/>
            <w:vAlign w:val="center"/>
          </w:tcPr>
          <w:p w14:paraId="3CBBA5FE">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≥419人</w:t>
            </w:r>
          </w:p>
        </w:tc>
      </w:tr>
      <w:tr w14:paraId="21E4B71E">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4AF20201">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14:paraId="02ABC921">
            <w:pPr>
              <w:widowControl/>
              <w:jc w:val="left"/>
              <w:rPr>
                <w:rFonts w:ascii="宋体" w:hAnsi="宋体" w:cs="宋体"/>
                <w:kern w:val="0"/>
                <w:sz w:val="20"/>
                <w:szCs w:val="20"/>
              </w:rPr>
            </w:pPr>
          </w:p>
        </w:tc>
        <w:tc>
          <w:tcPr>
            <w:tcW w:w="1360" w:type="dxa"/>
            <w:tcBorders>
              <w:top w:val="single" w:color="auto" w:sz="4" w:space="0"/>
              <w:left w:val="single" w:color="auto" w:sz="4" w:space="0"/>
              <w:bottom w:val="single" w:color="auto" w:sz="4" w:space="0"/>
              <w:right w:val="single" w:color="auto" w:sz="4" w:space="0"/>
            </w:tcBorders>
            <w:vAlign w:val="center"/>
          </w:tcPr>
          <w:p w14:paraId="76AB2FDF">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可持续影响指标</w:t>
            </w:r>
          </w:p>
        </w:tc>
        <w:tc>
          <w:tcPr>
            <w:tcW w:w="19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6068E3A">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校舍、运动场持续使用年限</w:t>
            </w:r>
          </w:p>
        </w:tc>
        <w:tc>
          <w:tcPr>
            <w:tcW w:w="2060" w:type="dxa"/>
            <w:tcBorders>
              <w:top w:val="single" w:color="auto" w:sz="4" w:space="0"/>
              <w:left w:val="single" w:color="auto" w:sz="4" w:space="0"/>
              <w:bottom w:val="single" w:color="auto" w:sz="4" w:space="0"/>
              <w:right w:val="single" w:color="auto" w:sz="4" w:space="0"/>
            </w:tcBorders>
            <w:shd w:val="clear" w:color="auto" w:fill="auto"/>
            <w:vAlign w:val="center"/>
          </w:tcPr>
          <w:p w14:paraId="3FDA224D">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≥50年</w:t>
            </w:r>
          </w:p>
        </w:tc>
        <w:tc>
          <w:tcPr>
            <w:tcW w:w="1780" w:type="dxa"/>
            <w:tcBorders>
              <w:top w:val="nil"/>
              <w:left w:val="nil"/>
              <w:bottom w:val="single" w:color="auto" w:sz="4" w:space="0"/>
              <w:right w:val="single" w:color="auto" w:sz="4" w:space="0"/>
            </w:tcBorders>
            <w:shd w:val="clear" w:color="auto" w:fill="auto"/>
            <w:vAlign w:val="center"/>
          </w:tcPr>
          <w:p w14:paraId="0DF56880">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≥50年</w:t>
            </w:r>
          </w:p>
        </w:tc>
      </w:tr>
      <w:tr w14:paraId="44A2AF47">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625B1854">
            <w:pPr>
              <w:widowControl/>
              <w:jc w:val="left"/>
              <w:rPr>
                <w:rFonts w:ascii="宋体" w:hAnsi="宋体" w:cs="宋体"/>
                <w:kern w:val="0"/>
                <w:sz w:val="20"/>
                <w:szCs w:val="20"/>
              </w:rPr>
            </w:pPr>
          </w:p>
        </w:tc>
        <w:tc>
          <w:tcPr>
            <w:tcW w:w="1140" w:type="dxa"/>
            <w:vMerge w:val="restart"/>
            <w:tcBorders>
              <w:top w:val="nil"/>
              <w:left w:val="single" w:color="auto" w:sz="4" w:space="0"/>
              <w:bottom w:val="single" w:color="auto" w:sz="4" w:space="0"/>
              <w:right w:val="single" w:color="auto" w:sz="4" w:space="0"/>
            </w:tcBorders>
            <w:shd w:val="clear" w:color="auto" w:fill="auto"/>
            <w:vAlign w:val="center"/>
          </w:tcPr>
          <w:p w14:paraId="4248CA62">
            <w:pPr>
              <w:widowControl/>
              <w:jc w:val="center"/>
              <w:rPr>
                <w:rFonts w:ascii="宋体" w:hAnsi="宋体" w:cs="宋体"/>
                <w:kern w:val="0"/>
                <w:sz w:val="20"/>
                <w:szCs w:val="20"/>
              </w:rPr>
            </w:pPr>
            <w:r>
              <w:rPr>
                <w:rFonts w:hint="eastAsia" w:ascii="宋体" w:hAnsi="宋体" w:cs="宋体"/>
                <w:kern w:val="0"/>
                <w:sz w:val="20"/>
                <w:szCs w:val="20"/>
              </w:rPr>
              <w:t>项目效果指标</w:t>
            </w:r>
          </w:p>
        </w:tc>
        <w:tc>
          <w:tcPr>
            <w:tcW w:w="136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14:paraId="42247B2C">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服务对象</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满意度指标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14:paraId="34338345">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建档立卡贫困户家庭学生满意度</w:t>
            </w:r>
          </w:p>
        </w:tc>
        <w:tc>
          <w:tcPr>
            <w:tcW w:w="2060" w:type="dxa"/>
            <w:tcBorders>
              <w:top w:val="single" w:color="auto" w:sz="4" w:space="0"/>
              <w:left w:val="nil"/>
              <w:bottom w:val="single" w:color="auto" w:sz="4" w:space="0"/>
              <w:right w:val="single" w:color="auto" w:sz="4" w:space="0"/>
            </w:tcBorders>
            <w:shd w:val="clear" w:color="auto" w:fill="auto"/>
            <w:vAlign w:val="center"/>
          </w:tcPr>
          <w:p w14:paraId="53B51D46">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≥95%</w:t>
            </w:r>
          </w:p>
        </w:tc>
        <w:tc>
          <w:tcPr>
            <w:tcW w:w="1780" w:type="dxa"/>
            <w:tcBorders>
              <w:top w:val="nil"/>
              <w:left w:val="nil"/>
              <w:bottom w:val="single" w:color="auto" w:sz="4" w:space="0"/>
              <w:right w:val="single" w:color="auto" w:sz="4" w:space="0"/>
            </w:tcBorders>
            <w:shd w:val="clear" w:color="auto" w:fill="auto"/>
            <w:vAlign w:val="center"/>
          </w:tcPr>
          <w:p w14:paraId="2C0F2096">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≥95%</w:t>
            </w:r>
          </w:p>
        </w:tc>
      </w:tr>
      <w:tr w14:paraId="2E21D291">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4290CF29">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14:paraId="683C7874">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14:paraId="4B7C28AB">
            <w:pPr>
              <w:jc w:val="center"/>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14:paraId="2C5CE286">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学生满意度</w:t>
            </w:r>
          </w:p>
        </w:tc>
        <w:tc>
          <w:tcPr>
            <w:tcW w:w="2060" w:type="dxa"/>
            <w:tcBorders>
              <w:top w:val="nil"/>
              <w:left w:val="nil"/>
              <w:bottom w:val="single" w:color="auto" w:sz="4" w:space="0"/>
              <w:right w:val="single" w:color="auto" w:sz="4" w:space="0"/>
            </w:tcBorders>
            <w:shd w:val="clear" w:color="auto" w:fill="auto"/>
            <w:vAlign w:val="center"/>
          </w:tcPr>
          <w:p w14:paraId="314D8DCF">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≥95%</w:t>
            </w:r>
          </w:p>
        </w:tc>
        <w:tc>
          <w:tcPr>
            <w:tcW w:w="1780" w:type="dxa"/>
            <w:tcBorders>
              <w:top w:val="nil"/>
              <w:left w:val="nil"/>
              <w:bottom w:val="single" w:color="auto" w:sz="4" w:space="0"/>
              <w:right w:val="single" w:color="auto" w:sz="4" w:space="0"/>
            </w:tcBorders>
            <w:shd w:val="clear" w:color="auto" w:fill="auto"/>
            <w:vAlign w:val="center"/>
          </w:tcPr>
          <w:p w14:paraId="3A2C100E">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≥95%</w:t>
            </w:r>
          </w:p>
        </w:tc>
      </w:tr>
      <w:tr w14:paraId="23C8C5A2">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14:paraId="51BDAC7D">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14:paraId="65B3039D">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14:paraId="77F53FDC">
            <w:pPr>
              <w:jc w:val="center"/>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14:paraId="7CE834D7">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学生家长满意度</w:t>
            </w:r>
          </w:p>
        </w:tc>
        <w:tc>
          <w:tcPr>
            <w:tcW w:w="2060" w:type="dxa"/>
            <w:tcBorders>
              <w:top w:val="nil"/>
              <w:left w:val="nil"/>
              <w:bottom w:val="single" w:color="auto" w:sz="4" w:space="0"/>
              <w:right w:val="single" w:color="auto" w:sz="4" w:space="0"/>
            </w:tcBorders>
            <w:shd w:val="clear" w:color="auto" w:fill="auto"/>
            <w:vAlign w:val="center"/>
          </w:tcPr>
          <w:p w14:paraId="267C3DDF">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≥95%</w:t>
            </w:r>
          </w:p>
        </w:tc>
        <w:tc>
          <w:tcPr>
            <w:tcW w:w="1780" w:type="dxa"/>
            <w:tcBorders>
              <w:top w:val="nil"/>
              <w:left w:val="nil"/>
              <w:bottom w:val="single" w:color="auto" w:sz="4" w:space="0"/>
              <w:right w:val="single" w:color="auto" w:sz="4" w:space="0"/>
            </w:tcBorders>
            <w:shd w:val="clear" w:color="auto" w:fill="auto"/>
            <w:vAlign w:val="center"/>
          </w:tcPr>
          <w:p w14:paraId="0480E889">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≥95%</w:t>
            </w:r>
          </w:p>
        </w:tc>
      </w:tr>
    </w:tbl>
    <w:p w14:paraId="6FE21A6D">
      <w:pPr>
        <w:spacing w:line="540" w:lineRule="exact"/>
        <w:ind w:firstLine="567"/>
        <w:rPr>
          <w:rStyle w:val="18"/>
          <w:rFonts w:ascii="仿宋" w:hAnsi="仿宋" w:eastAsia="仿宋"/>
          <w:b w:val="0"/>
          <w:spacing w:val="-4"/>
          <w:sz w:val="32"/>
          <w:szCs w:val="32"/>
        </w:rPr>
      </w:pPr>
    </w:p>
    <w:p w14:paraId="5D71A424"/>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1E48CB5A">
        <w:pPr>
          <w:pStyle w:val="12"/>
          <w:jc w:val="center"/>
        </w:pPr>
        <w:r>
          <w:fldChar w:fldCharType="begin"/>
        </w:r>
        <w:r>
          <w:instrText xml:space="preserve">PAGE   \* MERGEFORMAT</w:instrText>
        </w:r>
        <w:r>
          <w:fldChar w:fldCharType="separate"/>
        </w:r>
        <w:r>
          <w:rPr>
            <w:lang w:val="zh-CN"/>
          </w:rPr>
          <w:t>7</w:t>
        </w:r>
        <w:r>
          <w:fldChar w:fldCharType="end"/>
        </w:r>
      </w:p>
    </w:sdtContent>
  </w:sdt>
  <w:p w14:paraId="25501E23">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9226E98"/>
    <w:multiLevelType w:val="singleLevel"/>
    <w:tmpl w:val="F9226E98"/>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5"/>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ZiOGZiYWVmZDhlOWI5MWU4OWZmOTU1MWVjZmE1NjcifQ=="/>
  </w:docVars>
  <w:rsids>
    <w:rsidRoot w:val="00CA6457"/>
    <w:rsid w:val="00056465"/>
    <w:rsid w:val="00121AE4"/>
    <w:rsid w:val="00122738"/>
    <w:rsid w:val="00146AAD"/>
    <w:rsid w:val="001B3A40"/>
    <w:rsid w:val="003C18BC"/>
    <w:rsid w:val="004366A8"/>
    <w:rsid w:val="00464900"/>
    <w:rsid w:val="00502BA7"/>
    <w:rsid w:val="005162F1"/>
    <w:rsid w:val="00535153"/>
    <w:rsid w:val="00543F95"/>
    <w:rsid w:val="00554F82"/>
    <w:rsid w:val="0056390D"/>
    <w:rsid w:val="005719B0"/>
    <w:rsid w:val="005D10D6"/>
    <w:rsid w:val="007806A5"/>
    <w:rsid w:val="008169F9"/>
    <w:rsid w:val="00855E3A"/>
    <w:rsid w:val="00922CB9"/>
    <w:rsid w:val="009E5CD9"/>
    <w:rsid w:val="00A26421"/>
    <w:rsid w:val="00A4293B"/>
    <w:rsid w:val="00A67D50"/>
    <w:rsid w:val="00A8691A"/>
    <w:rsid w:val="00AC1946"/>
    <w:rsid w:val="00B22A96"/>
    <w:rsid w:val="00B40063"/>
    <w:rsid w:val="00B41F61"/>
    <w:rsid w:val="00BA46E6"/>
    <w:rsid w:val="00C56C72"/>
    <w:rsid w:val="00CA6457"/>
    <w:rsid w:val="00D17F2E"/>
    <w:rsid w:val="00D30354"/>
    <w:rsid w:val="00DF42A0"/>
    <w:rsid w:val="00E46C51"/>
    <w:rsid w:val="00E769FE"/>
    <w:rsid w:val="00EA2CBE"/>
    <w:rsid w:val="00F32FEE"/>
    <w:rsid w:val="00FB10BB"/>
    <w:rsid w:val="02685902"/>
    <w:rsid w:val="143774CB"/>
    <w:rsid w:val="1F9E604F"/>
    <w:rsid w:val="20622ACF"/>
    <w:rsid w:val="436E5CCF"/>
    <w:rsid w:val="44F468FA"/>
    <w:rsid w:val="4C34322C"/>
    <w:rsid w:val="503F492B"/>
    <w:rsid w:val="68E37CB4"/>
    <w:rsid w:val="786B66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unhideWhenUsed/>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customStyle="1" w:styleId="31">
    <w:name w:val="无间隔1"/>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2">
    <w:name w:val="列出段落1"/>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3">
    <w:name w:val="引用1"/>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customStyle="1" w:styleId="35">
    <w:name w:val="明显引用1"/>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 w:type="paragraph" w:customStyle="1" w:styleId="46">
    <w:name w:val="p0"/>
    <w:basedOn w:val="1"/>
    <w:qFormat/>
    <w:uiPriority w:val="0"/>
    <w:pPr>
      <w:widowControl/>
    </w:pPr>
    <w:rPr>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458</Words>
  <Characters>471</Characters>
  <Lines>21</Lines>
  <Paragraphs>6</Paragraphs>
  <TotalTime>0</TotalTime>
  <ScaleCrop>false</ScaleCrop>
  <LinksUpToDate>false</LinksUpToDate>
  <CharactersWithSpaces>485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摘星</cp:lastModifiedBy>
  <cp:lastPrinted>2019-01-13T12:20:00Z</cp:lastPrinted>
  <dcterms:modified xsi:type="dcterms:W3CDTF">2025-05-29T08:13:22Z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80ED4D4C4E604429B9BF79BCE2A73715_12</vt:lpwstr>
  </property>
  <property fmtid="{D5CDD505-2E9C-101B-9397-08002B2CF9AE}" pid="4" name="KSOTemplateDocerSaveRecord">
    <vt:lpwstr>eyJoZGlkIjoiMTgyY2Y5Y2UxZjkwY2NiYzg1MTM4ZmQzOTFhYWJhY2IiLCJ1c2VySWQiOiIzMDg3MDI3MzAifQ==</vt:lpwstr>
  </property>
</Properties>
</file>