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中共呼图壁县委员会社会工作部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w w:val="90"/>
          <w:kern w:val="0"/>
          <w:sz w:val="32"/>
          <w:szCs w:val="32"/>
          <w:highlight w:val="none"/>
          <w:lang w:eastAsia="zh-CN"/>
        </w:rPr>
      </w:pPr>
      <w:r>
        <w:rPr>
          <w:rFonts w:hint="eastAsia" w:ascii="仿宋_GB2312" w:hAnsi="仿宋_GB2312" w:eastAsia="仿宋_GB2312" w:cs="仿宋_GB2312"/>
          <w:b/>
          <w:color w:val="auto"/>
          <w:kern w:val="0"/>
          <w:sz w:val="32"/>
          <w:szCs w:val="32"/>
          <w:highlight w:val="none"/>
        </w:rPr>
        <w:t>第一部分</w:t>
      </w:r>
      <w:r>
        <w:rPr>
          <w:rFonts w:hint="eastAsia" w:ascii="仿宋_GB2312" w:hAnsi="仿宋_GB2312" w:eastAsia="仿宋_GB2312" w:cs="仿宋_GB2312"/>
          <w:b/>
          <w:color w:val="auto"/>
          <w:kern w:val="0"/>
          <w:sz w:val="32"/>
          <w:szCs w:val="32"/>
          <w:highlight w:val="none"/>
          <w:lang w:val="en-US" w:eastAsia="zh-CN"/>
        </w:rPr>
        <w:t xml:space="preserve"> 2025年</w:t>
      </w:r>
      <w:r>
        <w:rPr>
          <w:rFonts w:hint="eastAsia" w:ascii="仿宋_GB2312" w:hAnsi="仿宋_GB2312" w:eastAsia="仿宋_GB2312" w:cs="仿宋_GB2312"/>
          <w:b/>
          <w:color w:val="auto"/>
          <w:kern w:val="0"/>
          <w:sz w:val="32"/>
          <w:szCs w:val="32"/>
          <w:highlight w:val="none"/>
          <w:lang w:eastAsia="zh-CN"/>
        </w:rPr>
        <w:t>中共呼图壁县委员会社会工作部部门概况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highlight w:val="none"/>
        </w:rPr>
        <w:t>2025年部门预算公开表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中共呼图壁县委员会社会工作部部门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仿宋" w:eastAsia="仿宋_GB2312" w:cs="Times New Roman"/>
          <w:b/>
          <w:bCs/>
          <w:sz w:val="32"/>
          <w:szCs w:val="32"/>
          <w:highlight w:val="none"/>
          <w:lang w:val="en-US" w:eastAsia="zh-CN"/>
        </w:rPr>
        <w:t>一是</w:t>
      </w:r>
      <w:r>
        <w:rPr>
          <w:rFonts w:hint="eastAsia" w:ascii="仿宋_GB2312" w:hAnsi="仿宋" w:eastAsia="仿宋_GB2312" w:cs="Times New Roman"/>
          <w:sz w:val="32"/>
          <w:szCs w:val="32"/>
          <w:highlight w:val="none"/>
        </w:rPr>
        <w:t>负责统筹指导人民信访工作</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b/>
          <w:bCs/>
          <w:sz w:val="32"/>
          <w:szCs w:val="32"/>
          <w:highlight w:val="none"/>
          <w:lang w:val="en-US" w:eastAsia="zh-CN"/>
        </w:rPr>
        <w:t>二是</w:t>
      </w:r>
      <w:r>
        <w:rPr>
          <w:rFonts w:hint="eastAsia" w:ascii="仿宋_GB2312" w:hAnsi="仿宋" w:eastAsia="仿宋_GB2312" w:cs="Times New Roman"/>
          <w:sz w:val="32"/>
          <w:szCs w:val="32"/>
          <w:highlight w:val="none"/>
          <w:lang w:val="en-US" w:eastAsia="zh-CN"/>
        </w:rPr>
        <w:t>指导人民建议征集工作。</w:t>
      </w:r>
      <w:r>
        <w:rPr>
          <w:rFonts w:hint="eastAsia" w:ascii="仿宋_GB2312" w:hAnsi="仿宋" w:eastAsia="仿宋_GB2312" w:cs="Times New Roman"/>
          <w:b/>
          <w:bCs/>
          <w:sz w:val="32"/>
          <w:szCs w:val="32"/>
          <w:highlight w:val="none"/>
          <w:lang w:val="en-US" w:eastAsia="zh-CN"/>
        </w:rPr>
        <w:t>三是</w:t>
      </w:r>
      <w:r>
        <w:rPr>
          <w:rFonts w:hint="eastAsia" w:ascii="仿宋_GB2312" w:hAnsi="仿宋" w:eastAsia="仿宋_GB2312" w:cs="Times New Roman"/>
          <w:sz w:val="32"/>
          <w:szCs w:val="32"/>
          <w:highlight w:val="none"/>
          <w:lang w:val="en-US" w:eastAsia="zh-CN"/>
        </w:rPr>
        <w:t>统筹推进党建引领基层治理和基层政权建设。</w:t>
      </w:r>
      <w:r>
        <w:rPr>
          <w:rFonts w:hint="eastAsia" w:ascii="仿宋_GB2312" w:hAnsi="仿宋" w:eastAsia="仿宋_GB2312" w:cs="Times New Roman"/>
          <w:b/>
          <w:bCs/>
          <w:sz w:val="32"/>
          <w:szCs w:val="32"/>
          <w:highlight w:val="none"/>
          <w:lang w:val="en-US" w:eastAsia="zh-CN"/>
        </w:rPr>
        <w:t>四是</w:t>
      </w:r>
      <w:r>
        <w:rPr>
          <w:rFonts w:hint="eastAsia" w:ascii="仿宋_GB2312" w:hAnsi="仿宋" w:eastAsia="仿宋_GB2312" w:cs="Times New Roman"/>
          <w:sz w:val="32"/>
          <w:szCs w:val="32"/>
          <w:highlight w:val="none"/>
          <w:lang w:val="en-US" w:eastAsia="zh-CN"/>
        </w:rPr>
        <w:t>统一领导全县行业协会商会党的工作。</w:t>
      </w:r>
      <w:r>
        <w:rPr>
          <w:rFonts w:hint="eastAsia" w:ascii="仿宋_GB2312" w:hAnsi="仿宋" w:eastAsia="仿宋_GB2312" w:cs="Times New Roman"/>
          <w:b/>
          <w:bCs/>
          <w:sz w:val="32"/>
          <w:szCs w:val="32"/>
          <w:highlight w:val="none"/>
          <w:lang w:val="en-US" w:eastAsia="zh-CN"/>
        </w:rPr>
        <w:t>五是</w:t>
      </w:r>
      <w:r>
        <w:rPr>
          <w:rFonts w:hint="eastAsia" w:ascii="仿宋_GB2312" w:hAnsi="仿宋" w:eastAsia="仿宋_GB2312" w:cs="Times New Roman"/>
          <w:sz w:val="32"/>
          <w:szCs w:val="32"/>
          <w:highlight w:val="none"/>
          <w:lang w:val="en-US" w:eastAsia="zh-CN"/>
        </w:rPr>
        <w:t>协调推动行业协会商会深化改革和转型发展。</w:t>
      </w:r>
      <w:r>
        <w:rPr>
          <w:rFonts w:hint="eastAsia" w:ascii="仿宋_GB2312" w:hAnsi="仿宋" w:eastAsia="仿宋_GB2312" w:cs="Times New Roman"/>
          <w:b/>
          <w:bCs/>
          <w:sz w:val="32"/>
          <w:szCs w:val="32"/>
          <w:highlight w:val="none"/>
          <w:lang w:val="en-US" w:eastAsia="zh-CN"/>
        </w:rPr>
        <w:t>六是</w:t>
      </w:r>
      <w:r>
        <w:rPr>
          <w:rFonts w:hint="eastAsia" w:ascii="仿宋_GB2312" w:hAnsi="仿宋" w:eastAsia="仿宋_GB2312" w:cs="Times New Roman"/>
          <w:sz w:val="32"/>
          <w:szCs w:val="32"/>
          <w:highlight w:val="none"/>
          <w:lang w:val="en-US" w:eastAsia="zh-CN"/>
        </w:rPr>
        <w:t>指导混合所有制企业、非公有制企业和新经济组织、新社会组织、新就业群体党建工作。</w:t>
      </w:r>
      <w:r>
        <w:rPr>
          <w:rFonts w:hint="eastAsia" w:ascii="仿宋_GB2312" w:hAnsi="仿宋" w:eastAsia="仿宋_GB2312" w:cs="Times New Roman"/>
          <w:b/>
          <w:bCs/>
          <w:sz w:val="32"/>
          <w:szCs w:val="32"/>
          <w:highlight w:val="none"/>
          <w:lang w:val="en-US" w:eastAsia="zh-CN"/>
        </w:rPr>
        <w:t>七是</w:t>
      </w:r>
      <w:r>
        <w:rPr>
          <w:rFonts w:hint="eastAsia" w:ascii="仿宋_GB2312" w:hAnsi="仿宋" w:eastAsia="仿宋_GB2312" w:cs="Times New Roman"/>
          <w:sz w:val="32"/>
          <w:szCs w:val="32"/>
          <w:highlight w:val="none"/>
          <w:lang w:val="en-US" w:eastAsia="zh-CN"/>
        </w:rPr>
        <w:t>指导社会工作人才队伍建设。</w:t>
      </w:r>
      <w:r>
        <w:rPr>
          <w:rFonts w:hint="eastAsia" w:ascii="仿宋_GB2312" w:hAnsi="仿宋" w:eastAsia="仿宋_GB2312" w:cs="Times New Roman"/>
          <w:b/>
          <w:bCs/>
          <w:sz w:val="32"/>
          <w:szCs w:val="32"/>
          <w:highlight w:val="none"/>
          <w:lang w:val="en-US" w:eastAsia="zh-CN"/>
        </w:rPr>
        <w:t>八是</w:t>
      </w:r>
      <w:r>
        <w:rPr>
          <w:rFonts w:hint="eastAsia" w:ascii="仿宋_GB2312" w:hAnsi="黑体" w:eastAsia="仿宋_GB2312" w:cs="宋体"/>
          <w:bCs/>
          <w:color w:val="auto"/>
          <w:kern w:val="0"/>
          <w:sz w:val="32"/>
          <w:szCs w:val="32"/>
          <w:highlight w:val="none"/>
          <w:lang w:val="en-US" w:eastAsia="zh-CN" w:bidi="ar-SA"/>
        </w:rPr>
        <w:t>负责志愿服务工作。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中共呼图壁县委员会社会工作部</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综合科、信访科、基层治理和政权建设科</w:t>
      </w:r>
      <w:r>
        <w:rPr>
          <w:rFonts w:hint="eastAsia"/>
          <w:lang w:eastAsia="zh-CN"/>
        </w:rPr>
        <w:t>、</w:t>
      </w:r>
      <w:r>
        <w:rPr>
          <w:rFonts w:hint="eastAsia" w:ascii="仿宋_GB2312" w:hAnsi="宋体" w:eastAsia="仿宋_GB2312" w:cs="宋体"/>
          <w:color w:val="auto"/>
          <w:kern w:val="0"/>
          <w:sz w:val="32"/>
          <w:szCs w:val="32"/>
          <w:highlight w:val="none"/>
          <w:lang w:eastAsia="zh-CN"/>
        </w:rPr>
        <w:t>社会工作（志愿）服务科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中共呼图壁县委员会社会工作部</w:t>
      </w:r>
      <w:r>
        <w:rPr>
          <w:rFonts w:hint="eastAsia" w:ascii="仿宋_GB2312" w:hAnsi="宋体" w:eastAsia="仿宋_GB2312" w:cs="宋体"/>
          <w:color w:val="auto"/>
          <w:kern w:val="0"/>
          <w:sz w:val="32"/>
          <w:szCs w:val="32"/>
          <w:highlight w:val="none"/>
        </w:rPr>
        <w:t xml:space="preserve">单位编制数 </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人；退休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w w:val="90"/>
          <w:kern w:val="0"/>
          <w:sz w:val="32"/>
          <w:szCs w:val="32"/>
          <w:highlight w:val="none"/>
        </w:rPr>
      </w:pPr>
      <w:r>
        <w:rPr>
          <w:rFonts w:hint="eastAsia" w:ascii="黑体" w:hAnsi="黑体" w:eastAsia="黑体"/>
          <w:color w:val="auto"/>
          <w:w w:val="90"/>
          <w:kern w:val="0"/>
          <w:sz w:val="32"/>
          <w:szCs w:val="32"/>
          <w:highlight w:val="none"/>
        </w:rPr>
        <w:t>第二部分</w:t>
      </w:r>
      <w:r>
        <w:rPr>
          <w:rFonts w:hint="eastAsia" w:ascii="黑体" w:hAnsi="黑体" w:eastAsia="黑体"/>
          <w:color w:val="auto"/>
          <w:w w:val="90"/>
          <w:kern w:val="0"/>
          <w:sz w:val="32"/>
          <w:szCs w:val="32"/>
          <w:highlight w:val="none"/>
          <w:lang w:val="en-US" w:eastAsia="zh-CN"/>
        </w:rPr>
        <w:t>2025</w:t>
      </w:r>
      <w:r>
        <w:rPr>
          <w:rFonts w:hint="eastAsia" w:ascii="黑体" w:hAnsi="黑体" w:eastAsia="黑体"/>
          <w:color w:val="auto"/>
          <w:w w:val="90"/>
          <w:kern w:val="0"/>
          <w:sz w:val="32"/>
          <w:szCs w:val="32"/>
          <w:highlight w:val="none"/>
        </w:rPr>
        <w:t>年</w:t>
      </w:r>
      <w:r>
        <w:rPr>
          <w:rFonts w:hint="eastAsia" w:ascii="黑体" w:hAnsi="黑体" w:eastAsia="黑体"/>
          <w:color w:val="auto"/>
          <w:w w:val="90"/>
          <w:kern w:val="0"/>
          <w:sz w:val="32"/>
          <w:szCs w:val="32"/>
          <w:highlight w:val="none"/>
          <w:lang w:eastAsia="zh-CN"/>
        </w:rPr>
        <w:t>部门</w:t>
      </w:r>
      <w:r>
        <w:rPr>
          <w:rFonts w:hint="eastAsia" w:ascii="黑体" w:hAnsi="黑体" w:eastAsia="黑体"/>
          <w:color w:val="auto"/>
          <w:w w:val="90"/>
          <w:kern w:val="0"/>
          <w:sz w:val="32"/>
          <w:szCs w:val="32"/>
          <w:highlight w:val="none"/>
        </w:rPr>
        <w:t>预算公开表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1</w:t>
      </w:r>
    </w:p>
    <w:p>
      <w:pPr>
        <w:keepNext w:val="0"/>
        <w:keepLines w:val="0"/>
        <w:pageBreakBefore w:val="0"/>
        <w:widowControl/>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466.02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tabs>
                <w:tab w:val="left" w:pos="563"/>
                <w:tab w:val="right" w:pos="1785"/>
              </w:tabs>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eastAsia="zh-CN"/>
              </w:rPr>
              <w:t>339.03</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301.02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301.02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31.27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21.77</w:t>
            </w:r>
          </w:p>
        </w:tc>
      </w:tr>
      <w:tr>
        <w:tblPrEx>
          <w:tblCellMar>
            <w:top w:w="0" w:type="dxa"/>
            <w:left w:w="108" w:type="dxa"/>
            <w:bottom w:w="0" w:type="dxa"/>
            <w:right w:w="108" w:type="dxa"/>
          </w:tblCellMar>
        </w:tblPrEx>
        <w:trPr>
          <w:trHeight w:val="314"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73.95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466.02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466.02</w:t>
            </w:r>
            <w:r>
              <w:rPr>
                <w:rFonts w:hint="eastAsia" w:ascii="仿宋_GB2312" w:hAnsi="宋体" w:eastAsia="仿宋_GB2312"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2</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hint="eastAsia" w:ascii="仿宋_GB2312" w:hAnsi="仿宋_GB2312" w:eastAsia="仿宋_GB2312" w:cs="仿宋_GB2312"/>
          <w:b/>
          <w:bCs w:val="0"/>
          <w:color w:val="auto"/>
          <w:kern w:val="0"/>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单位：万元</w:t>
      </w:r>
    </w:p>
    <w:tbl>
      <w:tblPr>
        <w:tblStyle w:val="7"/>
        <w:tblW w:w="10003" w:type="dxa"/>
        <w:tblInd w:w="-731" w:type="dxa"/>
        <w:tblLayout w:type="fixed"/>
        <w:tblCellMar>
          <w:top w:w="0" w:type="dxa"/>
          <w:left w:w="108" w:type="dxa"/>
          <w:bottom w:w="0" w:type="dxa"/>
          <w:right w:w="108" w:type="dxa"/>
        </w:tblCellMar>
      </w:tblPr>
      <w:tblGrid>
        <w:gridCol w:w="530"/>
        <w:gridCol w:w="404"/>
        <w:gridCol w:w="404"/>
        <w:gridCol w:w="1039"/>
        <w:gridCol w:w="819"/>
        <w:gridCol w:w="819"/>
        <w:gridCol w:w="773"/>
        <w:gridCol w:w="623"/>
        <w:gridCol w:w="554"/>
        <w:gridCol w:w="681"/>
        <w:gridCol w:w="554"/>
        <w:gridCol w:w="727"/>
        <w:gridCol w:w="415"/>
        <w:gridCol w:w="773"/>
        <w:gridCol w:w="462"/>
        <w:gridCol w:w="426"/>
      </w:tblGrid>
      <w:tr>
        <w:tblPrEx>
          <w:tblCellMar>
            <w:top w:w="0" w:type="dxa"/>
            <w:left w:w="108" w:type="dxa"/>
            <w:bottom w:w="0" w:type="dxa"/>
            <w:right w:w="108" w:type="dxa"/>
          </w:tblCellMar>
        </w:tblPrEx>
        <w:trPr>
          <w:trHeight w:val="697" w:hRule="atLeast"/>
        </w:trPr>
        <w:tc>
          <w:tcPr>
            <w:tcW w:w="13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2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3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7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2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5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6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2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1039"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8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8"/>
                <w:szCs w:val="18"/>
                <w:highlight w:val="none"/>
                <w:lang w:val="en-US" w:eastAsia="zh-CN"/>
              </w:rPr>
              <w:t xml:space="preserve"> 1</w:t>
            </w:r>
            <w:r>
              <w:rPr>
                <w:rFonts w:hint="eastAsia" w:ascii="仿宋_GB2312" w:eastAsia="仿宋_GB2312"/>
                <w:color w:val="auto"/>
                <w:sz w:val="20"/>
                <w:szCs w:val="20"/>
                <w:highlight w:val="none"/>
              </w:rPr>
              <w:t>　</w:t>
            </w:r>
          </w:p>
        </w:tc>
        <w:tc>
          <w:tcPr>
            <w:tcW w:w="8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8"/>
                <w:szCs w:val="18"/>
                <w:highlight w:val="none"/>
                <w:lang w:val="en-US" w:eastAsia="zh-CN"/>
              </w:rPr>
              <w:t xml:space="preserve">2 </w:t>
            </w:r>
            <w:r>
              <w:rPr>
                <w:rFonts w:hint="eastAsia" w:ascii="仿宋_GB2312" w:eastAsia="仿宋_GB2312"/>
                <w:color w:val="auto"/>
                <w:sz w:val="20"/>
                <w:szCs w:val="20"/>
                <w:highlight w:val="none"/>
              </w:rPr>
              <w:t>　</w:t>
            </w:r>
          </w:p>
        </w:tc>
        <w:tc>
          <w:tcPr>
            <w:tcW w:w="77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kern w:val="0"/>
                <w:sz w:val="18"/>
                <w:szCs w:val="18"/>
                <w:highlight w:val="none"/>
                <w:lang w:val="en-US" w:eastAsia="zh-CN"/>
              </w:rPr>
              <w:t>3</w:t>
            </w:r>
          </w:p>
        </w:tc>
        <w:tc>
          <w:tcPr>
            <w:tcW w:w="62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w:t>
            </w:r>
          </w:p>
        </w:tc>
        <w:tc>
          <w:tcPr>
            <w:tcW w:w="55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　</w:t>
            </w:r>
          </w:p>
        </w:tc>
        <w:tc>
          <w:tcPr>
            <w:tcW w:w="68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w:t>
            </w:r>
            <w:r>
              <w:rPr>
                <w:rFonts w:hint="eastAsia" w:ascii="仿宋_GB2312" w:eastAsia="仿宋_GB2312"/>
                <w:color w:val="auto"/>
                <w:sz w:val="20"/>
                <w:szCs w:val="20"/>
                <w:highlight w:val="none"/>
              </w:rPr>
              <w:t>　</w:t>
            </w:r>
          </w:p>
        </w:tc>
        <w:tc>
          <w:tcPr>
            <w:tcW w:w="55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w:t>
            </w:r>
            <w:r>
              <w:rPr>
                <w:rFonts w:hint="eastAsia" w:ascii="仿宋_GB2312" w:eastAsia="仿宋_GB2312"/>
                <w:color w:val="auto"/>
                <w:sz w:val="20"/>
                <w:szCs w:val="20"/>
                <w:highlight w:val="none"/>
              </w:rPr>
              <w:t>　</w:t>
            </w:r>
          </w:p>
        </w:tc>
        <w:tc>
          <w:tcPr>
            <w:tcW w:w="72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w:t>
            </w:r>
            <w:r>
              <w:rPr>
                <w:rFonts w:hint="eastAsia" w:ascii="仿宋_GB2312" w:eastAsia="仿宋_GB2312"/>
                <w:color w:val="auto"/>
                <w:sz w:val="20"/>
                <w:szCs w:val="20"/>
                <w:highlight w:val="none"/>
              </w:rPr>
              <w:t>　</w:t>
            </w:r>
          </w:p>
        </w:tc>
        <w:tc>
          <w:tcPr>
            <w:tcW w:w="4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w:t>
            </w:r>
          </w:p>
        </w:tc>
        <w:tc>
          <w:tcPr>
            <w:tcW w:w="7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46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2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一般公共服务支出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339.03　</w:t>
            </w:r>
          </w:p>
        </w:tc>
        <w:tc>
          <w:tcPr>
            <w:tcW w:w="819" w:type="dxa"/>
            <w:tcBorders>
              <w:top w:val="nil"/>
              <w:left w:val="nil"/>
              <w:bottom w:val="single" w:color="auto" w:sz="4" w:space="0"/>
              <w:right w:val="single" w:color="auto" w:sz="4" w:space="0"/>
            </w:tcBorders>
            <w:noWrap w:val="0"/>
            <w:vAlign w:val="center"/>
          </w:tcPr>
          <w:p>
            <w:pPr>
              <w:tabs>
                <w:tab w:val="left" w:pos="243"/>
                <w:tab w:val="right" w:pos="866"/>
              </w:tabs>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eastAsia="zh-CN"/>
              </w:rPr>
              <w:t>224.03</w:t>
            </w:r>
            <w:r>
              <w:rPr>
                <w:rFonts w:hint="eastAsia" w:ascii="仿宋_GB2312" w:eastAsia="仿宋_GB2312"/>
                <w:color w:val="auto"/>
                <w:sz w:val="18"/>
                <w:szCs w:val="18"/>
                <w:highlight w:val="none"/>
                <w:lang w:eastAsia="zh-CN"/>
              </w:rPr>
              <w:tab/>
            </w:r>
            <w:r>
              <w:rPr>
                <w:rFonts w:hint="eastAsia" w:ascii="仿宋_GB2312" w:eastAsia="仿宋_GB2312"/>
                <w:color w:val="auto"/>
                <w:sz w:val="18"/>
                <w:szCs w:val="18"/>
                <w:highlight w:val="none"/>
              </w:rPr>
              <w:t>　</w:t>
            </w:r>
          </w:p>
        </w:tc>
        <w:tc>
          <w:tcPr>
            <w:tcW w:w="773"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224.03　</w:t>
            </w:r>
          </w:p>
        </w:tc>
        <w:tc>
          <w:tcPr>
            <w:tcW w:w="623" w:type="dxa"/>
            <w:tcBorders>
              <w:top w:val="nil"/>
              <w:left w:val="nil"/>
              <w:bottom w:val="single" w:color="auto" w:sz="4" w:space="0"/>
              <w:right w:val="single" w:color="auto" w:sz="4" w:space="0"/>
            </w:tcBorders>
            <w:noWrap w:val="0"/>
            <w:vAlign w:val="center"/>
          </w:tcPr>
          <w:p>
            <w:pPr>
              <w:wordWrap w:val="0"/>
              <w:jc w:val="right"/>
              <w:rPr>
                <w:rFonts w:hint="eastAsia" w:ascii="仿宋_GB2312" w:hAnsi="宋体" w:eastAsia="仿宋_GB2312" w:cs="宋体"/>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社会工作事务</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339.03　</w:t>
            </w:r>
          </w:p>
        </w:tc>
        <w:tc>
          <w:tcPr>
            <w:tcW w:w="819" w:type="dxa"/>
            <w:tcBorders>
              <w:top w:val="nil"/>
              <w:left w:val="nil"/>
              <w:bottom w:val="single" w:color="auto" w:sz="4" w:space="0"/>
              <w:right w:val="single" w:color="auto" w:sz="4" w:space="0"/>
            </w:tcBorders>
            <w:shd w:val="clear" w:color="auto" w:fill="auto"/>
            <w:noWrap w:val="0"/>
            <w:vAlign w:val="center"/>
          </w:tcPr>
          <w:p>
            <w:pPr>
              <w:tabs>
                <w:tab w:val="left" w:pos="243"/>
                <w:tab w:val="right" w:pos="866"/>
              </w:tabs>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224.03</w:t>
            </w:r>
            <w:r>
              <w:rPr>
                <w:rFonts w:hint="eastAsia" w:ascii="仿宋_GB2312" w:eastAsia="仿宋_GB2312"/>
                <w:color w:val="auto"/>
                <w:sz w:val="18"/>
                <w:szCs w:val="18"/>
                <w:highlight w:val="none"/>
                <w:lang w:eastAsia="zh-CN"/>
              </w:rPr>
              <w:tab/>
            </w:r>
            <w:r>
              <w:rPr>
                <w:rFonts w:hint="eastAsia" w:ascii="仿宋_GB2312" w:eastAsia="仿宋_GB2312"/>
                <w:color w:val="auto"/>
                <w:sz w:val="18"/>
                <w:szCs w:val="18"/>
                <w:highlight w:val="none"/>
              </w:rPr>
              <w:t>　</w:t>
            </w:r>
          </w:p>
        </w:tc>
        <w:tc>
          <w:tcPr>
            <w:tcW w:w="773"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224.03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230.16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115.16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115.16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115.00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50</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事业运行</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108.86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社会保障和就业支出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31.27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行政事业单位养老支出</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81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31.27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2.49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28.79</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卫生健康支出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eastAsia="仿宋_GB2312"/>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noWrap w:val="0"/>
            <w:vAlign w:val="center"/>
          </w:tcPr>
          <w:p>
            <w:pPr>
              <w:wordWrap w:val="0"/>
              <w:jc w:val="right"/>
              <w:rPr>
                <w:rFonts w:ascii="仿宋_GB2312" w:hAnsi="宋体" w:eastAsia="仿宋_GB2312" w:cs="宋体"/>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eastAsia="仿宋_GB2312"/>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color w:val="FF0000"/>
                <w:sz w:val="18"/>
                <w:szCs w:val="18"/>
                <w:highlight w:val="none"/>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行政事业单位医疗　</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21.77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6.63</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　</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7.77</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0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1039"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8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7.20　</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其他行政事业单位医疗支出</w:t>
            </w:r>
          </w:p>
        </w:tc>
        <w:tc>
          <w:tcPr>
            <w:tcW w:w="81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0.18</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0.18</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0.18</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hAnsi="宋体" w:eastAsia="仿宋_GB2312" w:cs="宋体"/>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住房保障支出</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0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住房改革支出</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0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住房公积金</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73.95</w:t>
            </w:r>
          </w:p>
        </w:tc>
        <w:tc>
          <w:tcPr>
            <w:tcW w:w="819"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77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23.95</w:t>
            </w:r>
          </w:p>
        </w:tc>
        <w:tc>
          <w:tcPr>
            <w:tcW w:w="623"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681"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554"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27" w:type="dxa"/>
            <w:tcBorders>
              <w:top w:val="nil"/>
              <w:left w:val="nil"/>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15"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773"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50.00</w:t>
            </w:r>
          </w:p>
        </w:tc>
        <w:tc>
          <w:tcPr>
            <w:tcW w:w="462"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eastAsia="仿宋_GB2312"/>
                <w:color w:val="FF0000"/>
                <w:sz w:val="18"/>
                <w:szCs w:val="18"/>
                <w:highlight w:val="none"/>
                <w:lang w:val="en-US" w:eastAsia="zh-CN"/>
              </w:rPr>
            </w:pPr>
            <w:r>
              <w:rPr>
                <w:rFonts w:hint="eastAsia" w:ascii="仿宋_GB2312" w:hAnsi="宋体" w:eastAsia="仿宋_GB2312" w:cs="宋体"/>
                <w:color w:val="FF0000"/>
                <w:sz w:val="18"/>
                <w:szCs w:val="18"/>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shd w:val="clear" w:color="auto" w:fill="auto"/>
            <w:noWrap w:val="0"/>
            <w:vAlign w:val="center"/>
          </w:tcPr>
          <w:p>
            <w:pPr>
              <w:wordWrap w:val="0"/>
              <w:jc w:val="right"/>
              <w:rPr>
                <w:rFonts w:hint="eastAsia" w:ascii="仿宋_GB2312" w:hAnsi="Times New Roman" w:eastAsia="仿宋_GB2312" w:cs="Times New Roman"/>
                <w:color w:val="FF0000"/>
                <w:kern w:val="2"/>
                <w:sz w:val="18"/>
                <w:szCs w:val="18"/>
                <w:highlight w:val="none"/>
                <w:lang w:val="en-US" w:eastAsia="zh-CN" w:bidi="ar-SA"/>
              </w:rPr>
            </w:pPr>
            <w:r>
              <w:rPr>
                <w:rFonts w:hint="eastAsia" w:ascii="仿宋_GB2312" w:hAnsi="宋体" w:eastAsia="仿宋_GB2312" w:cs="宋体"/>
                <w:color w:val="FF0000"/>
                <w:sz w:val="18"/>
                <w:szCs w:val="18"/>
                <w:highlight w:val="none"/>
                <w:lang w:val="en-US" w:eastAsia="zh-CN"/>
              </w:rPr>
              <w:t xml:space="preserve"> </w:t>
            </w: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039" w:type="dxa"/>
            <w:tcBorders>
              <w:top w:val="nil"/>
              <w:left w:val="nil"/>
              <w:bottom w:val="single" w:color="auto" w:sz="4" w:space="0"/>
              <w:right w:val="single" w:color="auto" w:sz="4" w:space="0"/>
            </w:tcBorders>
            <w:noWrap w:val="0"/>
            <w:vAlign w:val="center"/>
          </w:tcPr>
          <w:p>
            <w:pP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466.02　</w:t>
            </w:r>
          </w:p>
        </w:tc>
        <w:tc>
          <w:tcPr>
            <w:tcW w:w="81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301.02　</w:t>
            </w:r>
          </w:p>
        </w:tc>
        <w:tc>
          <w:tcPr>
            <w:tcW w:w="77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301.02　</w:t>
            </w:r>
          </w:p>
        </w:tc>
        <w:tc>
          <w:tcPr>
            <w:tcW w:w="62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p>
        </w:tc>
        <w:tc>
          <w:tcPr>
            <w:tcW w:w="5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6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5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72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FF0000"/>
                <w:sz w:val="20"/>
                <w:szCs w:val="20"/>
                <w:highlight w:val="none"/>
              </w:rPr>
            </w:pPr>
            <w:r>
              <w:rPr>
                <w:rFonts w:hint="eastAsia" w:ascii="仿宋_GB2312" w:eastAsia="仿宋_GB2312"/>
                <w:b/>
                <w:bCs/>
                <w:color w:val="FF0000"/>
                <w:sz w:val="20"/>
                <w:szCs w:val="20"/>
                <w:highlight w:val="none"/>
              </w:rPr>
              <w:t>　</w:t>
            </w:r>
          </w:p>
        </w:tc>
        <w:tc>
          <w:tcPr>
            <w:tcW w:w="4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FF0000"/>
                <w:sz w:val="20"/>
                <w:szCs w:val="20"/>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165.00</w:t>
            </w:r>
          </w:p>
        </w:tc>
        <w:tc>
          <w:tcPr>
            <w:tcW w:w="462"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b/>
                <w:bCs/>
                <w:color w:val="FF0000"/>
                <w:sz w:val="20"/>
                <w:szCs w:val="20"/>
                <w:highlight w:val="none"/>
              </w:rPr>
            </w:pPr>
            <w:r>
              <w:rPr>
                <w:rFonts w:hint="eastAsia" w:ascii="仿宋_GB2312" w:hAnsi="宋体" w:eastAsia="仿宋_GB2312" w:cs="宋体"/>
                <w:b/>
                <w:bCs/>
                <w:color w:val="FF0000"/>
                <w:sz w:val="20"/>
                <w:szCs w:val="20"/>
                <w:highlight w:val="none"/>
                <w:lang w:val="en-US" w:eastAsia="zh-CN"/>
              </w:rPr>
              <w:t xml:space="preserve"> </w:t>
            </w:r>
          </w:p>
        </w:tc>
        <w:tc>
          <w:tcPr>
            <w:tcW w:w="426" w:type="dxa"/>
            <w:tcBorders>
              <w:top w:val="nil"/>
              <w:left w:val="single" w:color="auto" w:sz="4" w:space="0"/>
              <w:bottom w:val="single" w:color="auto" w:sz="4" w:space="0"/>
              <w:right w:val="single" w:color="auto" w:sz="4" w:space="0"/>
            </w:tcBorders>
            <w:noWrap w:val="0"/>
            <w:vAlign w:val="center"/>
          </w:tcPr>
          <w:p>
            <w:pPr>
              <w:wordWrap w:val="0"/>
              <w:jc w:val="right"/>
              <w:rPr>
                <w:rFonts w:hint="eastAsia" w:ascii="仿宋_GB2312" w:eastAsia="仿宋_GB2312"/>
                <w:b/>
                <w:bCs/>
                <w:color w:val="FF0000"/>
                <w:sz w:val="20"/>
                <w:szCs w:val="20"/>
                <w:highlight w:val="none"/>
              </w:rPr>
            </w:pPr>
            <w:r>
              <w:rPr>
                <w:rFonts w:hint="eastAsia" w:ascii="仿宋_GB2312" w:hAnsi="宋体" w:eastAsia="仿宋_GB2312" w:cs="宋体"/>
                <w:b/>
                <w:bCs/>
                <w:color w:val="FF0000"/>
                <w:sz w:val="20"/>
                <w:szCs w:val="20"/>
                <w:highlight w:val="none"/>
                <w:lang w:val="en-US" w:eastAsia="zh-CN"/>
              </w:rPr>
              <w:t xml:space="preserve"> </w:t>
            </w:r>
          </w:p>
        </w:tc>
      </w:tr>
    </w:tbl>
    <w:p>
      <w:pPr>
        <w:keepNext w:val="0"/>
        <w:keepLines w:val="0"/>
        <w:widowControl/>
        <w:suppressLineNumbers w:val="0"/>
        <w:jc w:val="left"/>
        <w:textAlignment w:val="bottom"/>
        <w:rPr>
          <w:rFonts w:hint="eastAsia" w:ascii="宋体" w:hAnsi="宋体" w:eastAsia="宋体" w:cs="宋体"/>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highlight w:val="none"/>
          <w:lang w:val="en-US" w:eastAsia="zh-CN"/>
        </w:rPr>
      </w:pPr>
    </w:p>
    <w:p>
      <w:pPr>
        <w:pStyle w:val="12"/>
        <w:rPr>
          <w:rFonts w:hint="eastAsia"/>
          <w:highlight w:val="none"/>
          <w:lang w:val="en-US" w:eastAsia="zh-CN"/>
        </w:rPr>
      </w:pPr>
    </w:p>
    <w:p>
      <w:pPr>
        <w:rPr>
          <w:rFonts w:hint="eastAsia" w:ascii="宋体" w:hAnsi="宋体" w:eastAsia="宋体" w:cs="宋体"/>
          <w:i w:val="0"/>
          <w:color w:val="auto"/>
          <w:kern w:val="0"/>
          <w:sz w:val="20"/>
          <w:szCs w:val="20"/>
          <w:highlight w:val="none"/>
          <w:u w:val="none"/>
          <w:lang w:val="en-US" w:eastAsia="zh-CN" w:bidi="ar"/>
        </w:rPr>
      </w:pPr>
      <w:bookmarkStart w:id="1" w:name="_GoBack"/>
      <w:bookmarkEnd w:id="1"/>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部门：中共呼图壁县委员会社会工作部</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2549"/>
        <w:gridCol w:w="1826"/>
        <w:gridCol w:w="1827"/>
        <w:gridCol w:w="1868"/>
      </w:tblGrid>
      <w:tr>
        <w:tblPrEx>
          <w:tblCellMar>
            <w:top w:w="0" w:type="dxa"/>
            <w:left w:w="108" w:type="dxa"/>
            <w:bottom w:w="0" w:type="dxa"/>
            <w:right w:w="108" w:type="dxa"/>
          </w:tblCellMar>
        </w:tblPrEx>
        <w:trPr>
          <w:trHeight w:val="328" w:hRule="atLeast"/>
        </w:trPr>
        <w:tc>
          <w:tcPr>
            <w:tcW w:w="389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一般公共服务支出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社会工作事务</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339.03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行政运行</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230.16</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230.16</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事业运行</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社会保障和就业支出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行政事业单位养老支出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行政单位离退休</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机关事业单位基本养老保险缴费支出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卫生健康支出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行政事业单位医疗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行政单位医疗</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事业单位医疗　</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公务员医疗补助</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其他行政事业单位医疗支出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住房保障支出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住房改革支出</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4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住房公积金</w:t>
            </w:r>
          </w:p>
        </w:tc>
        <w:tc>
          <w:tcPr>
            <w:tcW w:w="1826"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2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宋体" w:hAnsi="宋体" w:eastAsia="宋体" w:cs="宋体"/>
                <w:b/>
                <w:bCs/>
                <w:color w:val="auto"/>
                <w:kern w:val="0"/>
                <w:sz w:val="22"/>
                <w:szCs w:val="22"/>
                <w:highlight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73.95</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466.02</w:t>
            </w:r>
          </w:p>
        </w:tc>
        <w:tc>
          <w:tcPr>
            <w:tcW w:w="182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466.02</w:t>
            </w:r>
          </w:p>
        </w:tc>
        <w:tc>
          <w:tcPr>
            <w:tcW w:w="186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224.03</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224.03</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31.27</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31.27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21.77</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21.77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23.95</w:t>
            </w:r>
          </w:p>
        </w:tc>
        <w:tc>
          <w:tcPr>
            <w:tcW w:w="851"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bidi="ar-SA"/>
              </w:rPr>
            </w:pPr>
            <w:r>
              <w:rPr>
                <w:rFonts w:hint="default" w:ascii="仿宋_GB2312" w:hAnsi="宋体" w:eastAsia="仿宋_GB2312" w:cs="宋体"/>
                <w:b w:val="0"/>
                <w:bCs w:val="0"/>
                <w:color w:val="auto"/>
                <w:kern w:val="0"/>
                <w:sz w:val="18"/>
                <w:szCs w:val="18"/>
                <w:highlight w:val="none"/>
                <w:lang w:val="en-US" w:eastAsia="zh-CN" w:bidi="ar-SA"/>
              </w:rPr>
              <w:t>23.95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left"/>
              <w:rPr>
                <w:rFonts w:hint="eastAsia" w:ascii="仿宋_GB2312" w:hAnsi="宋体" w:eastAsia="仿宋_GB2312" w:cs="宋体"/>
                <w:b w:val="0"/>
                <w:bCs w:val="0"/>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shd w:val="clear" w:color="auto" w:fill="FFFFFF"/>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仿宋_GB2312" w:hAnsi="宋体" w:eastAsia="仿宋_GB2312" w:cs="宋体"/>
                <w:b w:val="0"/>
                <w:bCs w:val="0"/>
                <w:color w:val="auto"/>
                <w:kern w:val="0"/>
                <w:sz w:val="18"/>
                <w:szCs w:val="18"/>
                <w:highlight w:val="none"/>
                <w:lang w:val="en-US" w:eastAsia="zh-CN"/>
              </w:rPr>
              <w:t>301.02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301.02</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301.02</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51"/>
        <w:gridCol w:w="499"/>
        <w:gridCol w:w="502"/>
        <w:gridCol w:w="2551"/>
        <w:gridCol w:w="584"/>
        <w:gridCol w:w="1014"/>
        <w:gridCol w:w="216"/>
        <w:gridCol w:w="1611"/>
        <w:gridCol w:w="1686"/>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03"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2"/>
                <w:szCs w:val="22"/>
                <w:highlight w:val="none"/>
              </w:rPr>
              <w:t>编制</w:t>
            </w:r>
            <w:r>
              <w:rPr>
                <w:rFonts w:hint="eastAsia" w:ascii="仿宋_GB2312" w:hAnsi="宋体" w:eastAsia="仿宋_GB2312" w:cs="宋体"/>
                <w:color w:val="auto"/>
                <w:kern w:val="0"/>
                <w:sz w:val="22"/>
                <w:szCs w:val="22"/>
                <w:highlight w:val="none"/>
                <w:lang w:eastAsia="zh-CN"/>
              </w:rPr>
              <w:t>部门</w:t>
            </w:r>
            <w:r>
              <w:rPr>
                <w:rFonts w:hint="eastAsia" w:ascii="仿宋_GB2312" w:hAnsi="宋体" w:eastAsia="仿宋_GB2312" w:cs="宋体"/>
                <w:color w:val="auto"/>
                <w:kern w:val="0"/>
                <w:sz w:val="22"/>
                <w:szCs w:val="22"/>
                <w:highlight w:val="none"/>
              </w:rPr>
              <w:t>：</w:t>
            </w:r>
            <w:r>
              <w:rPr>
                <w:rFonts w:hint="eastAsia" w:ascii="仿宋_GB2312" w:hAnsi="宋体" w:eastAsia="仿宋_GB2312"/>
                <w:color w:val="auto"/>
                <w:kern w:val="0"/>
                <w:sz w:val="22"/>
                <w:szCs w:val="22"/>
                <w:highlight w:val="none"/>
                <w:lang w:eastAsia="zh-CN"/>
              </w:rPr>
              <w:t>中共呼图壁县委员会社会工作部</w:t>
            </w:r>
          </w:p>
        </w:tc>
        <w:tc>
          <w:tcPr>
            <w:tcW w:w="58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9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0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1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5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5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8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2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一般公共服务支出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686"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社会工作事务</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224.03</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行政运行</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115.16</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115.16</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201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39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50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事业运行</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108.86</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社会保障和就业支出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行政事业单位养老支出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31.27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行政单位离退休</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2.49</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2.49</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208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05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机关事业单位基本养老保险缴费支出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28.79</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卫生健康支出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行政事业单位医疗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21.77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行政单位医疗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6.63</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6.63</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事业单位医疗</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7.77</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7.77</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03　</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公务员医疗补助</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7.20</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7.20</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210</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11</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99</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其他行政事业单位医疗支出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0.18</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0.18</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住房保障支出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住房改革支出</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221</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01</w:t>
            </w:r>
          </w:p>
        </w:tc>
        <w:tc>
          <w:tcPr>
            <w:tcW w:w="255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住房公积金</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default" w:ascii="Calibri" w:hAnsi="Calibri" w:eastAsia="宋体" w:cs="Calibri"/>
                <w:i w:val="0"/>
                <w:iCs w:val="0"/>
                <w:color w:val="000000"/>
                <w:kern w:val="0"/>
                <w:sz w:val="22"/>
                <w:szCs w:val="22"/>
                <w:highlight w:val="none"/>
                <w:u w:val="none"/>
                <w:lang w:val="en-US" w:eastAsia="zh-CN" w:bidi="ar"/>
              </w:rPr>
              <w:t>23.95</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5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5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301.02</w:t>
            </w:r>
          </w:p>
        </w:tc>
        <w:tc>
          <w:tcPr>
            <w:tcW w:w="182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301.02</w:t>
            </w:r>
          </w:p>
        </w:tc>
        <w:tc>
          <w:tcPr>
            <w:tcW w:w="1686"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3171"/>
        <w:gridCol w:w="71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0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p>
        </w:tc>
        <w:tc>
          <w:tcPr>
            <w:tcW w:w="71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50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2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7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2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7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2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工资福利支出</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275.28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275.28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18"/>
                <w:szCs w:val="18"/>
                <w:highlight w:val="none"/>
                <w:lang w:val="en-US" w:eastAsia="zh-CN"/>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基本工资</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69.16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69.16</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津贴补贴</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46.38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46.38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奖金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58.10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58.10</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绩效工资</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25.93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25.93</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机关事业单位基本养老保险缴费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28.79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28.79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职工基本医疗保险缴费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14.39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14.39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公务员医疗补助缴费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7.20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7.20</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其他社会保障缴费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1.38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1.38</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住房公积金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23.95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23.95</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商品和服务支出</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办公费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1.61</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1.61</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印刷费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0.18</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0.18</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水费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0.26</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0.26</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电费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0.04</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0.04</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邮电费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0.61</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0.61</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差旅费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0.60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公务接待费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0.20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劳务费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14.47</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14.47</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工会经费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3.48</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3.48</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公务用车运行维护费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1.60</w:t>
            </w:r>
          </w:p>
        </w:tc>
        <w:tc>
          <w:tcPr>
            <w:tcW w:w="1701" w:type="dxa"/>
            <w:gridSpan w:val="2"/>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1.60</w:t>
            </w: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对个人和家庭的补助</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2.69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2.69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退休费</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2.49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2.49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生活补助</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0.01</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1"/>
                <w:szCs w:val="21"/>
                <w:highlight w:val="none"/>
                <w:u w:val="none"/>
                <w:lang w:val="en-US" w:eastAsia="zh-CN" w:bidi="ar"/>
              </w:rPr>
            </w:pPr>
            <w:r>
              <w:rPr>
                <w:rFonts w:hint="default" w:ascii="Calibri" w:hAnsi="Calibri" w:eastAsia="宋体" w:cs="Calibri"/>
                <w:i w:val="0"/>
                <w:iCs w:val="0"/>
                <w:color w:val="000000"/>
                <w:kern w:val="0"/>
                <w:sz w:val="21"/>
                <w:szCs w:val="21"/>
                <w:highlight w:val="none"/>
                <w:u w:val="none"/>
                <w:lang w:val="en-US" w:eastAsia="zh-CN" w:bidi="ar"/>
              </w:rPr>
              <w:t>303</w:t>
            </w:r>
          </w:p>
        </w:tc>
        <w:tc>
          <w:tcPr>
            <w:tcW w:w="317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21"/>
                <w:szCs w:val="21"/>
                <w:highlight w:val="none"/>
                <w:u w:val="none"/>
                <w:lang w:val="en-US" w:eastAsia="zh-CN" w:bidi="ar"/>
              </w:rPr>
            </w:pPr>
            <w:r>
              <w:rPr>
                <w:rFonts w:hint="eastAsia" w:ascii="Calibri" w:hAnsi="Calibri" w:eastAsia="宋体" w:cs="Calibri"/>
                <w:i w:val="0"/>
                <w:iCs w:val="0"/>
                <w:color w:val="000000"/>
                <w:kern w:val="0"/>
                <w:sz w:val="21"/>
                <w:szCs w:val="21"/>
                <w:highlight w:val="none"/>
                <w:u w:val="none"/>
                <w:lang w:val="en-US" w:eastAsia="zh-CN" w:bidi="ar"/>
              </w:rPr>
              <w:t>奖励金</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0.19</w:t>
            </w:r>
          </w:p>
        </w:tc>
        <w:tc>
          <w:tcPr>
            <w:tcW w:w="1701" w:type="dxa"/>
            <w:tcBorders>
              <w:top w:val="nil"/>
              <w:left w:val="nil"/>
              <w:bottom w:val="single" w:color="auto" w:sz="4" w:space="0"/>
              <w:right w:val="single" w:color="auto" w:sz="4" w:space="0"/>
            </w:tcBorders>
            <w:noWrap w:val="0"/>
            <w:vAlign w:val="top"/>
          </w:tcPr>
          <w:p>
            <w:pPr>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317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42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301.02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277.97</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1"/>
                <w:szCs w:val="21"/>
                <w:highlight w:val="none"/>
                <w:u w:val="none"/>
                <w:lang w:val="en-US" w:eastAsia="zh-CN" w:bidi="ar"/>
              </w:rPr>
              <w:t>23.05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275"/>
        <w:gridCol w:w="286"/>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478"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p>
        </w:tc>
        <w:tc>
          <w:tcPr>
            <w:tcW w:w="81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pStyle w:val="5"/>
        <w:rPr>
          <w:rFonts w:hint="default" w:ascii="仿宋_GB2312" w:hAnsi="宋体" w:eastAsia="仿宋_GB2312"/>
          <w:b/>
          <w:color w:val="000000" w:themeColor="text1"/>
          <w:kern w:val="0"/>
          <w:sz w:val="28"/>
          <w:szCs w:val="32"/>
          <w:highlight w:val="no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中共呼图壁县委员会社会工作部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2025年没有</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一般公共预算项目支出情况表情况，一般公共预算项目支出情况表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为空表</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_GB2312" w:hAnsi="宋体" w:eastAsia="仿宋_GB2312"/>
          <w:b/>
          <w:color w:val="000000" w:themeColor="text1"/>
          <w:kern w:val="0"/>
          <w:sz w:val="28"/>
          <w:szCs w:val="32"/>
          <w:highlight w:val="none"/>
          <w:lang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中共呼图壁县委员会社会工作部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2025年没有</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政府性基金预算支出</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情况，</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政府性基金预算支出</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情况表</w:t>
      </w:r>
      <w:r>
        <w:rPr>
          <w:rFonts w:hint="default" w:ascii="仿宋_GB2312" w:hAnsi="宋体" w:eastAsia="仿宋_GB2312"/>
          <w:b/>
          <w:color w:val="000000" w:themeColor="text1"/>
          <w:kern w:val="0"/>
          <w:sz w:val="28"/>
          <w:szCs w:val="32"/>
          <w:highlight w:val="none"/>
          <w:lang w:eastAsia="zh-CN"/>
          <w14:textFill>
            <w14:solidFill>
              <w14:schemeClr w14:val="tx1"/>
            </w14:solidFill>
          </w14:textFill>
        </w:rPr>
        <w:t>为空表</w:t>
      </w:r>
      <w:r>
        <w:rPr>
          <w:rFonts w:hint="eastAsia" w:ascii="仿宋_GB2312" w:hAnsi="宋体" w:eastAsia="仿宋_GB2312"/>
          <w:b/>
          <w:color w:val="000000" w:themeColor="text1"/>
          <w:kern w:val="0"/>
          <w:sz w:val="28"/>
          <w:szCs w:val="32"/>
          <w:highlight w:val="none"/>
          <w:lang w:eastAsia="zh-CN"/>
          <w14:textFill>
            <w14:solidFill>
              <w14:schemeClr w14:val="tx1"/>
            </w14:solidFill>
          </w14:textFill>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pP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中共呼图壁县委员会社会工作部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2025年没有</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国有资本经营预算支出情况，国有资本经营预算支出情况表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为空表</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p>
    <w:p>
      <w:pPr>
        <w:widowControl/>
        <w:spacing w:line="280" w:lineRule="exact"/>
        <w:outlineLvl w:val="1"/>
        <w:rPr>
          <w:rFonts w:ascii="仿宋_GB2312" w:hAnsi="宋体" w:eastAsia="仿宋_GB2312"/>
          <w:color w:val="FF0000"/>
          <w:kern w:val="0"/>
          <w:sz w:val="32"/>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FF0000"/>
          <w:kern w:val="0"/>
          <w:sz w:val="28"/>
          <w:szCs w:val="32"/>
          <w:highlight w:val="none"/>
          <w:lang w:val="en-US" w:eastAsia="zh-CN"/>
        </w:rPr>
        <w:t xml:space="preserve"> </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6"/>
        <w:gridCol w:w="1345"/>
        <w:gridCol w:w="1296"/>
        <w:gridCol w:w="1570"/>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34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462"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4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9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7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59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t>1.8</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0 </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t>1.8</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lang w:val="en-US" w:eastAsia="zh-CN"/>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lang w:val="en-US" w:eastAsia="zh-CN"/>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345" w:type="dxa"/>
            <w:noWrap w:val="0"/>
            <w:vAlign w:val="top"/>
          </w:tcPr>
          <w:p>
            <w:pPr>
              <w:widowControl/>
              <w:outlineLvl w:val="1"/>
              <w:rPr>
                <w:rFonts w:hint="default"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0.20</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0.20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1.60</w:t>
            </w:r>
          </w:p>
        </w:tc>
        <w:tc>
          <w:tcPr>
            <w:tcW w:w="1296" w:type="dxa"/>
            <w:shd w:val="clear" w:color="auto" w:fill="auto"/>
            <w:noWrap w:val="0"/>
            <w:vAlign w:val="top"/>
          </w:tcPr>
          <w:p>
            <w:pPr>
              <w:widowControl/>
              <w:outlineLvl w:val="1"/>
              <w:rPr>
                <w:rFonts w:hint="default"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1.60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296" w:type="dxa"/>
            <w:shd w:val="clear" w:color="auto" w:fill="auto"/>
            <w:noWrap w:val="0"/>
            <w:vAlign w:val="top"/>
          </w:tcPr>
          <w:p>
            <w:pPr>
              <w:widowControl/>
              <w:outlineLvl w:val="1"/>
              <w:rPr>
                <w:rFonts w:hint="default"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6"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345"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lang w:eastAsia="zh-CN"/>
                <w14:textFill>
                  <w14:solidFill>
                    <w14:schemeClr w14:val="tx1"/>
                  </w14:solidFill>
                </w14:textFill>
              </w:rPr>
            </w:pPr>
            <w:r>
              <w:rPr>
                <w:rFonts w:hint="default" w:ascii="仿宋_GB2312" w:hAnsi="宋体" w:eastAsia="仿宋_GB2312"/>
                <w:b w:val="0"/>
                <w:bCs/>
                <w:color w:val="000000" w:themeColor="text1"/>
                <w:kern w:val="0"/>
                <w:sz w:val="24"/>
                <w:szCs w:val="28"/>
                <w:highlight w:val="none"/>
                <w:vertAlign w:val="baseline"/>
                <w14:textFill>
                  <w14:solidFill>
                    <w14:schemeClr w14:val="tx1"/>
                  </w14:solidFill>
                </w14:textFill>
              </w:rPr>
              <w:t>1.6</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296" w:type="dxa"/>
            <w:shd w:val="clear" w:color="auto" w:fill="auto"/>
            <w:noWrap w:val="0"/>
            <w:vAlign w:val="top"/>
          </w:tcPr>
          <w:p>
            <w:pPr>
              <w:widowControl/>
              <w:outlineLvl w:val="1"/>
              <w:rPr>
                <w:rFonts w:hint="eastAsia" w:ascii="仿宋_GB2312" w:hAnsi="宋体" w:eastAsia="仿宋_GB2312" w:cs="Times New Roman"/>
                <w:b w:val="0"/>
                <w:bCs/>
                <w:color w:val="000000" w:themeColor="text1"/>
                <w:kern w:val="0"/>
                <w:sz w:val="24"/>
                <w:szCs w:val="28"/>
                <w:highlight w:val="none"/>
                <w:vertAlign w:val="baseline"/>
                <w:lang w:val="en-US" w:eastAsia="zh-CN" w:bidi="ar-SA"/>
                <w14:textFill>
                  <w14:solidFill>
                    <w14:schemeClr w14:val="tx1"/>
                  </w14:solidFill>
                </w14:textFill>
              </w:rPr>
            </w:pPr>
            <w:r>
              <w:rPr>
                <w:rFonts w:hint="default" w:ascii="仿宋_GB2312" w:hAnsi="宋体" w:eastAsia="仿宋_GB2312"/>
                <w:b w:val="0"/>
                <w:bCs/>
                <w:color w:val="000000" w:themeColor="text1"/>
                <w:kern w:val="0"/>
                <w:sz w:val="24"/>
                <w:szCs w:val="28"/>
                <w:highlight w:val="none"/>
                <w:vertAlign w:val="baseline"/>
                <w14:textFill>
                  <w14:solidFill>
                    <w14:schemeClr w14:val="tx1"/>
                  </w14:solidFill>
                </w14:textFill>
              </w:rPr>
              <w:t>1.6</w:t>
            </w: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0</w:t>
            </w:r>
          </w:p>
        </w:tc>
        <w:tc>
          <w:tcPr>
            <w:tcW w:w="1570" w:type="dxa"/>
            <w:noWrap w:val="0"/>
            <w:vAlign w:val="top"/>
          </w:tcPr>
          <w:p>
            <w:pPr>
              <w:widowControl/>
              <w:outlineLvl w:val="1"/>
              <w:rPr>
                <w:rFonts w:hint="eastAsia" w:ascii="仿宋_GB2312" w:hAnsi="宋体" w:eastAsia="仿宋_GB2312"/>
                <w:b w:val="0"/>
                <w:bCs/>
                <w:color w:val="000000" w:themeColor="text1"/>
                <w:kern w:val="0"/>
                <w:sz w:val="24"/>
                <w:szCs w:val="28"/>
                <w:highlight w:val="none"/>
                <w:vertAlign w:val="baseline"/>
                <w14:textFill>
                  <w14:solidFill>
                    <w14:schemeClr w14:val="tx1"/>
                  </w14:solidFill>
                </w14:textFill>
              </w:rPr>
            </w:pPr>
            <w:r>
              <w:rPr>
                <w:rFonts w:hint="eastAsia" w:ascii="仿宋_GB2312" w:hAnsi="宋体" w:eastAsia="仿宋_GB2312"/>
                <w:b w:val="0"/>
                <w:bCs/>
                <w:color w:val="000000" w:themeColor="text1"/>
                <w:kern w:val="0"/>
                <w:sz w:val="24"/>
                <w:szCs w:val="28"/>
                <w:highlight w:val="none"/>
                <w:vertAlign w:val="baseline"/>
                <w:lang w:val="en-US" w:eastAsia="zh-CN"/>
                <w14:textFill>
                  <w14:solidFill>
                    <w14:schemeClr w14:val="tx1"/>
                  </w14:solidFill>
                </w14:textFill>
              </w:rPr>
              <w:t xml:space="preserve"> </w:t>
            </w:r>
          </w:p>
        </w:tc>
        <w:tc>
          <w:tcPr>
            <w:tcW w:w="1596" w:type="dxa"/>
            <w:noWrap w:val="0"/>
            <w:vAlign w:val="top"/>
          </w:tcPr>
          <w:p>
            <w:pPr>
              <w:widowControl/>
              <w:outlineLvl w:val="1"/>
              <w:rPr>
                <w:rFonts w:hint="eastAsia" w:ascii="仿宋_GB2312" w:hAnsi="宋体" w:eastAsia="仿宋_GB2312"/>
                <w:b w:val="0"/>
                <w:bCs/>
                <w:color w:val="FF0000"/>
                <w:kern w:val="0"/>
                <w:sz w:val="24"/>
                <w:szCs w:val="28"/>
                <w:highlight w:val="none"/>
                <w:vertAlign w:val="baseline"/>
              </w:rPr>
            </w:pPr>
            <w:r>
              <w:rPr>
                <w:rFonts w:hint="eastAsia" w:ascii="仿宋_GB2312" w:hAnsi="宋体" w:eastAsia="仿宋_GB2312"/>
                <w:b w:val="0"/>
                <w:bCs/>
                <w:color w:val="FF0000"/>
                <w:kern w:val="0"/>
                <w:sz w:val="24"/>
                <w:szCs w:val="28"/>
                <w:highlight w:val="none"/>
                <w:vertAlign w:val="baseline"/>
                <w:lang w:val="en-US" w:eastAsia="zh-CN"/>
              </w:rPr>
              <w:t xml:space="preserve"> </w:t>
            </w: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5"/>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部门中共呼图壁县委员会社会工作部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left"/>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pP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中共呼图壁县委员会社会工作部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2025年没有</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上年结转</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结余</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情况</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上年结转</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结余</w:t>
      </w:r>
      <w:r>
        <w:rPr>
          <w:rFonts w:hint="eastAsia" w:ascii="仿宋_GB2312" w:hAnsi="宋体" w:eastAsia="仿宋_GB2312" w:cs="Times New Roman"/>
          <w:b/>
          <w:color w:val="000000" w:themeColor="text1"/>
          <w:kern w:val="0"/>
          <w:sz w:val="28"/>
          <w:szCs w:val="32"/>
          <w:highlight w:val="none"/>
          <w:lang w:val="en-US" w:eastAsia="zh-Hans" w:bidi="ar-SA"/>
          <w14:textFill>
            <w14:solidFill>
              <w14:schemeClr w14:val="tx1"/>
            </w14:solidFill>
          </w14:textFill>
        </w:rPr>
        <w:t>情况</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明细表</w:t>
      </w:r>
      <w:r>
        <w:rPr>
          <w:rFonts w:hint="default"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为空表</w:t>
      </w:r>
      <w:r>
        <w:rPr>
          <w:rFonts w:hint="eastAsia" w:ascii="仿宋_GB2312" w:hAnsi="宋体" w:eastAsia="仿宋_GB2312" w:cs="Times New Roman"/>
          <w:b/>
          <w:color w:val="000000" w:themeColor="text1"/>
          <w:kern w:val="0"/>
          <w:sz w:val="28"/>
          <w:szCs w:val="32"/>
          <w:highlight w:val="none"/>
          <w:lang w:val="en-US" w:eastAsia="zh-CN" w:bidi="ar-SA"/>
          <w14:textFill>
            <w14:solidFill>
              <w14:schemeClr w14:val="tx1"/>
            </w14:solidFill>
          </w14:textFill>
        </w:rPr>
        <w:t>。</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中共呼图壁县委会社会工作部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预算管理。收支总预算466.0</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支出预算包括：一般公共服务支出、社会保障和就业支出、社会保险基金支出、卫生健康支出、住房保障支出、其他支出。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CN"/>
        </w:rPr>
        <w:t>中共呼图壁县委员会社会工作部</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lang w:eastAsia="zh-CN"/>
        </w:rPr>
        <w:t>年</w:t>
      </w:r>
      <w:r>
        <w:rPr>
          <w:rFonts w:hint="eastAsia" w:ascii="仿宋_GB2312" w:hAnsi="宋体" w:eastAsia="仿宋_GB2312" w:cs="宋体"/>
          <w:kern w:val="0"/>
          <w:sz w:val="32"/>
          <w:szCs w:val="32"/>
          <w:highlight w:val="none"/>
        </w:rPr>
        <w:t>收入预算466.02</w:t>
      </w:r>
      <w:r>
        <w:rPr>
          <w:rFonts w:hint="eastAsia" w:ascii="仿宋_GB2312" w:hAnsi="宋体" w:eastAsia="仿宋_GB2312" w:cs="宋体"/>
          <w:kern w:val="0"/>
          <w:sz w:val="32"/>
          <w:szCs w:val="32"/>
          <w:highlight w:val="none"/>
          <w:lang w:eastAsia="zh-CN"/>
        </w:rPr>
        <w:t>万</w:t>
      </w:r>
      <w:r>
        <w:rPr>
          <w:rFonts w:hint="eastAsia" w:ascii="仿宋_GB2312" w:hAnsi="宋体" w:eastAsia="仿宋_GB2312" w:cs="宋体"/>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CN"/>
        </w:rPr>
        <w:t>301.02</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65.49</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100%，主要原因：一是单位新成立。二是社会工作部实有在编人员18名，在编人员工资及经费需要保障。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Hans"/>
        </w:rPr>
        <w:t>上级</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Hans"/>
        </w:rPr>
        <w:t>安排的转移支付资金</w:t>
      </w:r>
      <w:r>
        <w:rPr>
          <w:rFonts w:hint="eastAsia" w:ascii="仿宋_GB2312" w:hAnsi="宋体" w:eastAsia="仿宋_GB2312" w:cs="宋体"/>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上级政府性基金安排的转移支付资金未安排。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r>
        <w:rPr>
          <w:rFonts w:hint="eastAsia" w:ascii="仿宋_GB2312" w:hAnsi="宋体" w:eastAsia="仿宋_GB2312" w:cs="宋体"/>
          <w:kern w:val="0"/>
          <w:sz w:val="32"/>
          <w:szCs w:val="32"/>
          <w:highlight w:val="none"/>
          <w:lang w:eastAsia="zh-CN"/>
        </w:rPr>
        <w:t>。</w:t>
      </w:r>
      <w:r>
        <w:rPr>
          <w:rFonts w:hint="default" w:ascii="仿宋_GB2312" w:hAnsi="宋体" w:eastAsia="仿宋_GB2312" w:cs="宋体"/>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165万元，占35.41%，比</w:t>
      </w:r>
      <w:r>
        <w:rPr>
          <w:rFonts w:hint="eastAsia" w:ascii="仿宋_GB2312" w:hAnsi="宋体" w:eastAsia="仿宋_GB2312" w:cs="宋体"/>
          <w:kern w:val="0"/>
          <w:sz w:val="32"/>
          <w:szCs w:val="32"/>
          <w:highlight w:val="none"/>
        </w:rPr>
        <w:t>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100%，主要原因：一是单位新成立。二是18名在编人员福利保障和单位经费保障。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中共呼图壁县委员会社会工作部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中共呼图壁县委员会社会工作部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eastAsia="zh-CN"/>
        </w:rPr>
        <w:t>基本支出</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lang w:eastAsia="zh-CN"/>
        </w:rPr>
        <w:t>%，比上年预算增长</w:t>
      </w:r>
      <w:r>
        <w:rPr>
          <w:rFonts w:hint="eastAsia" w:ascii="仿宋_GB2312" w:hAnsi="宋体" w:eastAsia="仿宋_GB2312" w:cs="宋体"/>
          <w:color w:val="auto"/>
          <w:kern w:val="0"/>
          <w:sz w:val="32"/>
          <w:szCs w:val="32"/>
          <w:highlight w:val="none"/>
          <w:lang w:val="en-US" w:eastAsia="zh-CN"/>
        </w:rPr>
        <w:t>100%，主要原因：一是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0%，主要原因：</w:t>
      </w:r>
      <w:r>
        <w:rPr>
          <w:rFonts w:hint="eastAsia" w:ascii="仿宋_GB2312" w:hAnsi="宋体" w:eastAsia="仿宋_GB2312" w:cs="宋体"/>
          <w:color w:val="auto"/>
          <w:kern w:val="0"/>
          <w:sz w:val="32"/>
          <w:szCs w:val="32"/>
          <w:highlight w:val="none"/>
          <w:lang w:val="en-US" w:eastAsia="zh-CN"/>
        </w:rPr>
        <w:t>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w:t>
      </w:r>
      <w:r>
        <w:rPr>
          <w:rFonts w:hint="eastAsia" w:ascii="仿宋_GB2312" w:hAnsi="宋体" w:eastAsia="仿宋_GB2312" w:cs="宋体"/>
          <w:kern w:val="0"/>
          <w:sz w:val="32"/>
          <w:szCs w:val="32"/>
          <w:highlight w:val="none"/>
          <w:lang w:val="en-US" w:eastAsia="zh-CN"/>
        </w:rPr>
        <w:t>本部门无项目支出。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kern w:val="0"/>
          <w:sz w:val="32"/>
          <w:szCs w:val="32"/>
          <w:highlight w:val="none"/>
        </w:rPr>
        <w:t>万元。</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466.02</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一般公共预算支出包括：一般公共服务支出</w:t>
      </w:r>
      <w:r>
        <w:rPr>
          <w:rFonts w:hint="eastAsia" w:ascii="仿宋_GB2312" w:hAnsi="宋体" w:eastAsia="仿宋_GB2312" w:cs="宋体"/>
          <w:kern w:val="0"/>
          <w:sz w:val="32"/>
          <w:szCs w:val="32"/>
          <w:highlight w:val="none"/>
          <w:lang w:val="en-US" w:eastAsia="zh-CN"/>
        </w:rPr>
        <w:t>339.03</w:t>
      </w:r>
      <w:r>
        <w:rPr>
          <w:rFonts w:hint="eastAsia" w:ascii="仿宋_GB2312" w:hAnsi="宋体" w:eastAsia="仿宋_GB2312" w:cs="宋体"/>
          <w:kern w:val="0"/>
          <w:sz w:val="32"/>
          <w:szCs w:val="32"/>
          <w:highlight w:val="none"/>
        </w:rPr>
        <w:t>万元，主要用于人员经费、</w:t>
      </w:r>
      <w:r>
        <w:rPr>
          <w:rFonts w:hint="eastAsia" w:ascii="仿宋_GB2312" w:hAnsi="宋体" w:eastAsia="仿宋_GB2312" w:cs="宋体"/>
          <w:kern w:val="0"/>
          <w:sz w:val="32"/>
          <w:szCs w:val="32"/>
          <w:highlight w:val="none"/>
          <w:lang w:eastAsia="zh-CN"/>
        </w:rPr>
        <w:t>部门</w:t>
      </w:r>
      <w:r>
        <w:rPr>
          <w:rFonts w:hint="eastAsia" w:ascii="仿宋_GB2312" w:hAnsi="宋体" w:eastAsia="仿宋_GB2312" w:cs="宋体"/>
          <w:kern w:val="0"/>
          <w:sz w:val="32"/>
          <w:szCs w:val="32"/>
          <w:highlight w:val="none"/>
        </w:rPr>
        <w:t>日常工作运转经费；社会保障和就业支出31.27</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，主要用于机关事业单位基本养老保险缴费支出；卫生健康支出21.77</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，主要用于事业单位医疗、公务员医疗补助及其他行政事业单位医疗支出；住房保障支出</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3.95万元，主要用于</w:t>
      </w:r>
      <w:r>
        <w:rPr>
          <w:rFonts w:hint="eastAsia" w:ascii="仿宋_GB2312" w:hAnsi="宋体" w:eastAsia="仿宋_GB2312" w:cs="宋体"/>
          <w:kern w:val="0"/>
          <w:sz w:val="32"/>
          <w:szCs w:val="32"/>
          <w:highlight w:val="none"/>
          <w:lang w:eastAsia="zh-CN"/>
        </w:rPr>
        <w:t>部门</w:t>
      </w:r>
      <w:r>
        <w:rPr>
          <w:rFonts w:hint="eastAsia" w:ascii="仿宋_GB2312" w:hAnsi="宋体" w:eastAsia="仿宋_GB2312" w:cs="宋体"/>
          <w:kern w:val="0"/>
          <w:sz w:val="32"/>
          <w:szCs w:val="32"/>
          <w:highlight w:val="none"/>
        </w:rPr>
        <w:t>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中共呼图壁县委员会社会工作部2025年一般公共预算拨款合计301.02万元，其中：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基本支出301.02万元，主要原因：一是单位新成立。二是社会工作部实有在编人员18名，在编人员工资及经费需要保障。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本部门是新成立的，</w:t>
      </w:r>
      <w:r>
        <w:rPr>
          <w:rFonts w:hint="eastAsia" w:ascii="仿宋_GB2312" w:hAnsi="仿宋_GB2312" w:eastAsia="仿宋_GB2312" w:cs="仿宋_GB2312"/>
          <w:color w:val="auto"/>
          <w:kern w:val="0"/>
          <w:sz w:val="32"/>
          <w:szCs w:val="32"/>
          <w:highlight w:val="none"/>
          <w:lang w:val="en-US" w:eastAsia="zh-CN"/>
        </w:rPr>
        <w:t>按工作需要</w:t>
      </w:r>
      <w:r>
        <w:rPr>
          <w:rFonts w:hint="eastAsia" w:ascii="仿宋_GB2312" w:hAnsi="仿宋_GB2312" w:eastAsia="仿宋_GB2312" w:cs="仿宋_GB2312"/>
          <w:color w:val="auto"/>
          <w:kern w:val="0"/>
          <w:sz w:val="32"/>
          <w:szCs w:val="32"/>
          <w:highlight w:val="none"/>
          <w:lang w:eastAsia="zh-CN"/>
        </w:rPr>
        <w:t>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1.一般公共服务支出224.03万元，占74.42%。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2.社会保障和就业支出31.27万元，占10.39%。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21.77万元，占7.23%。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4.住房保障支出万元23.95万元，占7.96%。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kern w:val="0"/>
          <w:sz w:val="32"/>
          <w:szCs w:val="32"/>
          <w:highlight w:val="none"/>
        </w:rPr>
        <w:t>（三）一般公共预算当年拨款具体使用情况</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1.一般公共服务（类）社会工作事务（款）行政运行(项)115.16万元，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2.一般公共服务（类）社会工作事务（款）事业运行（项）</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108.86万元，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3.社会保障和就业支出（类）行政事业单位养老支出（款）行政单位离退休（项）2.49万元。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原因是：一是单位新成立。二是社会工作部实有在编人员18名，在编人员社会保障和就业支出。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4.社会保障和就业支出（类）行政事业单位养老支出（款）机关事业单位基本养老保险缴费支出（项）28.79万元，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原因是：一是单位新成立。二是社会工作部实有在编人员18名，在编人员社会保障和就业支出。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5.卫生健康支出（类）行政事业单位医疗（款）行政单位医疗（项）6.63万元。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6.卫生健康支出（类）行政事业单位医疗（款）事业单位医疗（项）7.77，原因：</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pStyle w:val="5"/>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7.卫生健康支出（类）行政事业单位医疗（款）公务员医疗补助（项）7.20万元，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8.卫生健康支出（类）行政事业单位医疗（款）其他行政事业单位医疗支出</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（项）0.18万元，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原因是：一是单位新成立。二是社会工作部实有在编人员18名，在编人员卫生健康支出。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9.住房保障支出（类）住房改革支出（款）住房公积金项</w:t>
      </w:r>
      <w:r>
        <w:rPr>
          <w:rFonts w:hint="eastAsia" w:ascii="仿宋_GB2312" w:hAnsi="宋体" w:eastAsia="仿宋_GB2312" w:cs="宋体"/>
          <w:kern w:val="0"/>
          <w:sz w:val="32"/>
          <w:szCs w:val="32"/>
          <w:highlight w:val="none"/>
          <w:lang w:val="en-US" w:eastAsia="zh-CN"/>
        </w:rPr>
        <w:tab/>
      </w:r>
      <w:r>
        <w:rPr>
          <w:rFonts w:hint="eastAsia" w:ascii="仿宋_GB2312" w:hAnsi="宋体" w:eastAsia="仿宋_GB2312" w:cs="宋体"/>
          <w:kern w:val="0"/>
          <w:sz w:val="32"/>
          <w:szCs w:val="32"/>
          <w:highlight w:val="none"/>
          <w:lang w:val="en-US" w:eastAsia="zh-CN"/>
        </w:rPr>
        <w:t>23.95万元，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宋体" w:eastAsia="仿宋_GB2312" w:cs="宋体"/>
          <w:kern w:val="0"/>
          <w:sz w:val="32"/>
          <w:szCs w:val="32"/>
          <w:highlight w:val="none"/>
          <w:lang w:val="en-US" w:eastAsia="zh-CN"/>
        </w:rPr>
        <w:t>原因是：一是单位新成立。二是社会工作部实有在编人员18名，在编人员住房保障支出。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中共呼图壁县委员会社会工作部2025年一般公共预算基本支出301.02万元，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人员经费277.97万元，主要包括：基本工资、津贴补贴、奖金、绩效工资、机关事业单位基本养老保险缴费、职业年金缴费、职工基本医</w:t>
      </w:r>
      <w:r>
        <w:rPr>
          <w:rFonts w:hint="eastAsia" w:ascii="仿宋_GB2312" w:hAnsi="宋体" w:eastAsia="仿宋_GB2312" w:cs="宋体"/>
          <w:color w:val="auto"/>
          <w:kern w:val="0"/>
          <w:sz w:val="32"/>
          <w:szCs w:val="32"/>
          <w:highlight w:val="none"/>
        </w:rPr>
        <w:t>疗保险缴费、公务员医疗补助缴费、其他社会保障缴费、住房公积金、退休费、生活补助、</w:t>
      </w:r>
      <w:r>
        <w:rPr>
          <w:rFonts w:hint="eastAsia" w:ascii="仿宋_GB2312" w:hAnsi="宋体" w:eastAsia="仿宋_GB2312" w:cs="宋体"/>
          <w:color w:val="auto"/>
          <w:kern w:val="0"/>
          <w:sz w:val="32"/>
          <w:szCs w:val="32"/>
          <w:highlight w:val="none"/>
          <w:lang w:eastAsia="zh-CN"/>
        </w:rPr>
        <w:t>对个人和家庭的补助、</w:t>
      </w:r>
      <w:r>
        <w:rPr>
          <w:rFonts w:hint="eastAsia" w:ascii="仿宋_GB2312" w:hAnsi="宋体" w:eastAsia="仿宋_GB2312" w:cs="宋体"/>
          <w:color w:val="auto"/>
          <w:kern w:val="0"/>
          <w:sz w:val="32"/>
          <w:szCs w:val="32"/>
          <w:highlight w:val="none"/>
        </w:rPr>
        <w:t>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rPr>
        <w:t>万元，主要包括：办公费、印刷费、水费、电费、邮电费、差旅费、</w:t>
      </w:r>
      <w:r>
        <w:rPr>
          <w:rFonts w:hint="eastAsia" w:ascii="仿宋_GB2312" w:hAnsi="宋体" w:eastAsia="仿宋_GB2312" w:cs="宋体"/>
          <w:color w:val="auto"/>
          <w:kern w:val="0"/>
          <w:sz w:val="32"/>
          <w:szCs w:val="32"/>
          <w:highlight w:val="none"/>
          <w:lang w:eastAsia="zh-CN"/>
        </w:rPr>
        <w:t>公务接待费、</w:t>
      </w:r>
      <w:r>
        <w:rPr>
          <w:rFonts w:hint="eastAsia" w:ascii="仿宋_GB2312" w:hAnsi="宋体" w:eastAsia="仿宋_GB2312" w:cs="宋体"/>
          <w:color w:val="auto"/>
          <w:kern w:val="0"/>
          <w:sz w:val="32"/>
          <w:szCs w:val="32"/>
          <w:highlight w:val="none"/>
        </w:rPr>
        <w:t>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中共呼图壁县委员会社会工作部</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中共呼图壁县委员会社会工作部2025年财政拨款“三公”经费预算数为1.8万元，其中：因公出国（境）费0万元，公务用车购置费0万元，公务用车运行费1.6万元，公务接待费0.2万元。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财政拨款“三公”经费预算比上年预算增加0.00万元，增长0.00%，其中：因公出国（境）费增加0.00万元，增长0.00%，主要原因是中共呼图壁县委员会社会工作部于2024年6月28日单位新成立部门，2025年未安排此项预算支出经费；公务用车购置费增加0.00万元，增长0.00%，主要原因是中共呼图壁县委员会社会工作部于2024年6月28日单位新成立部门，2025年未安排此项预算支出经费；公务用车运行费增加0.00万元，增长0.00%，主要原因：中共呼图壁县委员会社会工作部于2024年6月28日单位新成立。公务接待费增加0.00万元，增长0.00%，主要原因：中共呼图壁县委员会社会工作部于2024年6月28日单位新成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w:t>
      </w:r>
      <w:r>
        <w:rPr>
          <w:rFonts w:hint="eastAsia" w:ascii="楷体_GB2312" w:hAnsi="楷体_GB2312" w:eastAsia="楷体_GB2312" w:cs="楷体_GB2312"/>
          <w:b/>
          <w:bCs w:val="0"/>
          <w:color w:val="auto"/>
          <w:kern w:val="0"/>
          <w:sz w:val="32"/>
          <w:szCs w:val="32"/>
          <w:highlight w:val="none"/>
          <w:lang w:eastAsia="zh-CN"/>
        </w:rPr>
        <w:t>呼图壁县委员会社会工作部</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中共呼图壁县委员会社会工作部2025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中共呼图壁县委员会社会工作部2025</w:t>
      </w:r>
      <w:r>
        <w:rPr>
          <w:rFonts w:hint="eastAsia" w:ascii="仿宋_GB2312" w:hAnsi="宋体" w:eastAsia="仿宋_GB2312" w:cs="宋体"/>
          <w:color w:val="auto"/>
          <w:kern w:val="0"/>
          <w:sz w:val="32"/>
          <w:szCs w:val="32"/>
          <w:highlight w:val="none"/>
          <w:lang w:eastAsia="zh-CN"/>
        </w:rPr>
        <w:t>年的机关运行经费财政拨款预算</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lang w:eastAsia="zh-CN"/>
        </w:rPr>
        <w:t>万元，比上年预算增长</w:t>
      </w:r>
      <w:r>
        <w:rPr>
          <w:rFonts w:hint="eastAsia" w:ascii="仿宋_GB2312" w:hAnsi="宋体" w:eastAsia="仿宋_GB2312" w:cs="宋体"/>
          <w:color w:val="auto"/>
          <w:kern w:val="0"/>
          <w:sz w:val="32"/>
          <w:szCs w:val="32"/>
          <w:highlight w:val="none"/>
          <w:lang w:val="en-US" w:eastAsia="zh-CN"/>
        </w:rPr>
        <w:t>100%，主要原因：一是</w:t>
      </w:r>
      <w:r>
        <w:rPr>
          <w:rFonts w:hint="eastAsia" w:ascii="仿宋_GB2312" w:hAnsi="宋体" w:eastAsia="仿宋_GB2312" w:cs="宋体"/>
          <w:color w:val="auto"/>
          <w:kern w:val="0"/>
          <w:sz w:val="32"/>
          <w:szCs w:val="32"/>
          <w:highlight w:val="none"/>
          <w:lang w:eastAsia="zh-CN"/>
        </w:rPr>
        <w:t>2024年6月单位新成立。</w:t>
      </w:r>
      <w:r>
        <w:rPr>
          <w:rFonts w:hint="eastAsia" w:ascii="仿宋_GB2312" w:hAnsi="宋体" w:eastAsia="仿宋_GB2312" w:cs="宋体"/>
          <w:color w:val="auto"/>
          <w:kern w:val="0"/>
          <w:sz w:val="32"/>
          <w:szCs w:val="32"/>
          <w:highlight w:val="none"/>
          <w:lang w:val="en-US" w:eastAsia="zh-CN"/>
        </w:rPr>
        <w:t>二是社会工作部实有在编人员18名，在编人员工资及经费需要保障。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w:t>
      </w:r>
      <w:r>
        <w:rPr>
          <w:rFonts w:hint="eastAsia" w:ascii="仿宋_GB2312" w:hAnsi="仿宋_GB2312" w:eastAsia="仿宋_GB2312" w:cs="仿宋_GB2312"/>
          <w:color w:val="auto"/>
          <w:kern w:val="0"/>
          <w:sz w:val="32"/>
          <w:szCs w:val="32"/>
          <w:highlight w:val="none"/>
          <w:lang w:val="en-US" w:eastAsia="zh-CN"/>
        </w:rPr>
        <w:t>呼图壁县委员会社会工作部</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14.89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12.79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w:t>
      </w:r>
      <w:r>
        <w:rPr>
          <w:rFonts w:hint="eastAsia" w:ascii="仿宋_GB2312" w:hAnsi="仿宋_GB2312" w:eastAsia="仿宋_GB2312" w:cs="仿宋_GB2312"/>
          <w:color w:val="auto"/>
          <w:kern w:val="0"/>
          <w:sz w:val="32"/>
          <w:szCs w:val="32"/>
          <w:highlight w:val="none"/>
          <w:lang w:val="en-US" w:eastAsia="zh-CN"/>
        </w:rPr>
        <w:t>呼图壁县委员会社会工作部</w:t>
      </w:r>
      <w:r>
        <w:rPr>
          <w:rFonts w:hint="eastAsia" w:ascii="仿宋_GB2312" w:hAnsi="仿宋_GB2312" w:eastAsia="仿宋_GB2312" w:cs="仿宋_GB2312"/>
          <w:color w:val="auto"/>
          <w:sz w:val="32"/>
          <w:highlight w:val="none"/>
        </w:rPr>
        <w:t>面向中小企业</w:t>
      </w:r>
      <w:r>
        <w:rPr>
          <w:rFonts w:hint="eastAsia" w:ascii="仿宋_GB2312" w:hAnsi="仿宋_GB2312" w:eastAsia="仿宋_GB2312" w:cs="仿宋_GB2312"/>
          <w:color w:val="auto"/>
          <w:kern w:val="0"/>
          <w:sz w:val="32"/>
          <w:szCs w:val="32"/>
          <w:highlight w:val="none"/>
          <w:lang w:val="en-US" w:eastAsia="zh-CN"/>
        </w:rPr>
        <w:t>预留政府采购项目预算金额14.89万元，小微企业预留政府采购项目预算金额14.89万元。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截至2024年底，中共呼图壁县委员会社会工作部占用使用国有资产总体情况为：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1.房屋0平方米，价值0万元。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2.车辆1 辆，价值15万元；其中：一般公务用车1辆，价值15万元；执法执勤用车0辆，价值0万元；其他车辆0辆，价值0万元。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3.办公家具价值原价2.5576万元，累计折旧1.440433万元，净值1.117167。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整体预算绩效目标1个，涉及预算金额466.02万元；当年预算安排项目共0个，其中: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中共呼图壁县委员会社会工作部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马雪梅</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13579463188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为《信访工作条例》的实施创造良好的舆论氛围，在全社会营造办事依法，遇事找法，解决问题用法、化解矛盾靠法的良好环境。2、健全党建引领基层治理协调机制，推动跨部门工作协同和政策衔接，开展基层治理工作成效评估，每个月组织开展1次党建引领基层治理和基层政权建设观察联系点调研活动，每个联系点至少征集1个典型案例和总结推广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党建引领基层治理活动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right w:val="single" w:color="000000" w:sz="4" w:space="0"/>
            </w:tcBorders>
            <w:noWrap w:val="0"/>
            <w:vAlign w:val="center"/>
          </w:tcPr>
          <w:p>
            <w:pPr>
              <w:rPr>
                <w:highlight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highlight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宣传信访条例次数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continue"/>
            <w:tcBorders>
              <w:left w:val="single" w:color="000000" w:sz="4" w:space="0"/>
              <w:right w:val="single" w:color="000000" w:sz="4" w:space="0"/>
            </w:tcBorders>
            <w:noWrap w:val="0"/>
            <w:vAlign w:val="center"/>
          </w:tcPr>
          <w:p>
            <w:pPr>
              <w:rPr>
                <w:highlight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信访条例知晓率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党建引领基层治理活动及时效</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呼图壁县委社会工作部</w:t>
            </w:r>
            <w:r>
              <w:rPr>
                <w:rFonts w:hint="eastAsia" w:ascii="宋体" w:hAnsi="宋体" w:cs="宋体"/>
                <w:i w:val="0"/>
                <w:iCs w:val="0"/>
                <w:color w:val="000000"/>
                <w:sz w:val="20"/>
                <w:szCs w:val="20"/>
                <w:highlight w:val="none"/>
                <w:u w:val="none"/>
                <w:lang w:val="en-US" w:eastAsia="zh-CN"/>
              </w:rPr>
              <w:t>2024年工作总结2025年工作计划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32</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val="en-US" w:eastAsia="zh-CN"/>
        </w:rPr>
        <w:t>本部门无其他需说明事项</w:t>
      </w:r>
      <w:r>
        <w:rPr>
          <w:rFonts w:hint="eastAsia" w:ascii="仿宋" w:hAnsi="微软雅黑" w:eastAsia="仿宋"/>
          <w:sz w:val="28"/>
          <w:szCs w:val="28"/>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中共呼图壁县委员会社会工作部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E41A1F"/>
    <w:rsid w:val="017B2F92"/>
    <w:rsid w:val="020E507E"/>
    <w:rsid w:val="02732F8E"/>
    <w:rsid w:val="02CB7F49"/>
    <w:rsid w:val="0317318F"/>
    <w:rsid w:val="037800D1"/>
    <w:rsid w:val="04267087"/>
    <w:rsid w:val="04267B2D"/>
    <w:rsid w:val="043C6FC8"/>
    <w:rsid w:val="044C330C"/>
    <w:rsid w:val="05397FD9"/>
    <w:rsid w:val="05784ADF"/>
    <w:rsid w:val="057A5F58"/>
    <w:rsid w:val="05CA273A"/>
    <w:rsid w:val="06DA7A0E"/>
    <w:rsid w:val="070E6657"/>
    <w:rsid w:val="07200009"/>
    <w:rsid w:val="080E3E4F"/>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E5FD0"/>
    <w:rsid w:val="0E320E7D"/>
    <w:rsid w:val="0E682AF0"/>
    <w:rsid w:val="0E9208E7"/>
    <w:rsid w:val="10587512"/>
    <w:rsid w:val="105D0E37"/>
    <w:rsid w:val="10916BDA"/>
    <w:rsid w:val="10A122D5"/>
    <w:rsid w:val="11036B00"/>
    <w:rsid w:val="110D797F"/>
    <w:rsid w:val="11301FEB"/>
    <w:rsid w:val="11B6451D"/>
    <w:rsid w:val="121E62E8"/>
    <w:rsid w:val="12B409FA"/>
    <w:rsid w:val="15117B65"/>
    <w:rsid w:val="1697741D"/>
    <w:rsid w:val="172D2B72"/>
    <w:rsid w:val="173237FD"/>
    <w:rsid w:val="173654FE"/>
    <w:rsid w:val="19A215AC"/>
    <w:rsid w:val="1A132B78"/>
    <w:rsid w:val="1AC437A4"/>
    <w:rsid w:val="1B153D26"/>
    <w:rsid w:val="1BEB54C3"/>
    <w:rsid w:val="1BF06C3E"/>
    <w:rsid w:val="1C3C6084"/>
    <w:rsid w:val="1C8C02F2"/>
    <w:rsid w:val="1D3E1AFE"/>
    <w:rsid w:val="1DBF13DD"/>
    <w:rsid w:val="1E6432D4"/>
    <w:rsid w:val="1E89232D"/>
    <w:rsid w:val="1EB61656"/>
    <w:rsid w:val="1FBF278C"/>
    <w:rsid w:val="20407429"/>
    <w:rsid w:val="20CF3CE4"/>
    <w:rsid w:val="20DD55C0"/>
    <w:rsid w:val="22922CB8"/>
    <w:rsid w:val="22DB78DD"/>
    <w:rsid w:val="244D65B8"/>
    <w:rsid w:val="2492221D"/>
    <w:rsid w:val="24B42D8E"/>
    <w:rsid w:val="24C7038F"/>
    <w:rsid w:val="250855AF"/>
    <w:rsid w:val="251301FF"/>
    <w:rsid w:val="253266DD"/>
    <w:rsid w:val="257007B0"/>
    <w:rsid w:val="258B383C"/>
    <w:rsid w:val="2596429D"/>
    <w:rsid w:val="263B7010"/>
    <w:rsid w:val="26B4291F"/>
    <w:rsid w:val="26BD282A"/>
    <w:rsid w:val="26E769FA"/>
    <w:rsid w:val="27ED2938"/>
    <w:rsid w:val="286D65BC"/>
    <w:rsid w:val="28AC6CD9"/>
    <w:rsid w:val="28D9041B"/>
    <w:rsid w:val="293B2E83"/>
    <w:rsid w:val="297F2831"/>
    <w:rsid w:val="2A0B25DC"/>
    <w:rsid w:val="2A993F40"/>
    <w:rsid w:val="2AF46BA9"/>
    <w:rsid w:val="2AFC4894"/>
    <w:rsid w:val="2B3A05DE"/>
    <w:rsid w:val="2B6901C6"/>
    <w:rsid w:val="2C4B5AD3"/>
    <w:rsid w:val="2D480265"/>
    <w:rsid w:val="2D977453"/>
    <w:rsid w:val="2DE955A4"/>
    <w:rsid w:val="2E2943BA"/>
    <w:rsid w:val="2EF22236"/>
    <w:rsid w:val="2FED29FE"/>
    <w:rsid w:val="300E1D4A"/>
    <w:rsid w:val="30B05F05"/>
    <w:rsid w:val="310F3573"/>
    <w:rsid w:val="314D409C"/>
    <w:rsid w:val="32D560F7"/>
    <w:rsid w:val="33A76F60"/>
    <w:rsid w:val="33D75E9F"/>
    <w:rsid w:val="340D68AF"/>
    <w:rsid w:val="341E7629"/>
    <w:rsid w:val="35F117C8"/>
    <w:rsid w:val="37182A56"/>
    <w:rsid w:val="38284F1B"/>
    <w:rsid w:val="38AA525D"/>
    <w:rsid w:val="39B0409D"/>
    <w:rsid w:val="3A3C4CAD"/>
    <w:rsid w:val="3A9439F3"/>
    <w:rsid w:val="3BE45FB7"/>
    <w:rsid w:val="3BE80926"/>
    <w:rsid w:val="3BF21AC7"/>
    <w:rsid w:val="3C013037"/>
    <w:rsid w:val="3CA174B2"/>
    <w:rsid w:val="3DC96858"/>
    <w:rsid w:val="3E491C1A"/>
    <w:rsid w:val="3FDF4D23"/>
    <w:rsid w:val="41083B3B"/>
    <w:rsid w:val="41270465"/>
    <w:rsid w:val="41DB2FFE"/>
    <w:rsid w:val="42E12896"/>
    <w:rsid w:val="42F779C3"/>
    <w:rsid w:val="434774ED"/>
    <w:rsid w:val="43502DA9"/>
    <w:rsid w:val="43C26223"/>
    <w:rsid w:val="43D8307E"/>
    <w:rsid w:val="43F93132"/>
    <w:rsid w:val="44507CD3"/>
    <w:rsid w:val="44AF5181"/>
    <w:rsid w:val="44FE0D80"/>
    <w:rsid w:val="455A018C"/>
    <w:rsid w:val="46B02CAB"/>
    <w:rsid w:val="46CE3131"/>
    <w:rsid w:val="46DF5CEF"/>
    <w:rsid w:val="48393538"/>
    <w:rsid w:val="493059DD"/>
    <w:rsid w:val="494F7907"/>
    <w:rsid w:val="49CA461B"/>
    <w:rsid w:val="49D83C72"/>
    <w:rsid w:val="4ADF73DC"/>
    <w:rsid w:val="4B1B26BD"/>
    <w:rsid w:val="4B315A3D"/>
    <w:rsid w:val="4C0055E5"/>
    <w:rsid w:val="4C3677AE"/>
    <w:rsid w:val="4C391C78"/>
    <w:rsid w:val="4C643622"/>
    <w:rsid w:val="4C706B3A"/>
    <w:rsid w:val="4E44760D"/>
    <w:rsid w:val="4F3B332E"/>
    <w:rsid w:val="4FBB353A"/>
    <w:rsid w:val="4FCF2264"/>
    <w:rsid w:val="51C15CED"/>
    <w:rsid w:val="52285DEB"/>
    <w:rsid w:val="52AD62F0"/>
    <w:rsid w:val="53426F13"/>
    <w:rsid w:val="53A94D0A"/>
    <w:rsid w:val="546308FE"/>
    <w:rsid w:val="56FE59C9"/>
    <w:rsid w:val="570D735E"/>
    <w:rsid w:val="571B2674"/>
    <w:rsid w:val="58364862"/>
    <w:rsid w:val="589917F1"/>
    <w:rsid w:val="59B241EC"/>
    <w:rsid w:val="59BF33B7"/>
    <w:rsid w:val="5A5E27F6"/>
    <w:rsid w:val="5A704801"/>
    <w:rsid w:val="5A7B5CD4"/>
    <w:rsid w:val="5A8C5E4D"/>
    <w:rsid w:val="5AED2A9A"/>
    <w:rsid w:val="5D9E1657"/>
    <w:rsid w:val="5E225DE5"/>
    <w:rsid w:val="5E257683"/>
    <w:rsid w:val="5E7802BC"/>
    <w:rsid w:val="5EE078B0"/>
    <w:rsid w:val="5EF7629D"/>
    <w:rsid w:val="5F0D5523"/>
    <w:rsid w:val="5F2346ED"/>
    <w:rsid w:val="61086613"/>
    <w:rsid w:val="61686204"/>
    <w:rsid w:val="61816E74"/>
    <w:rsid w:val="62917095"/>
    <w:rsid w:val="62A9378C"/>
    <w:rsid w:val="630649DB"/>
    <w:rsid w:val="630E06E5"/>
    <w:rsid w:val="6408782B"/>
    <w:rsid w:val="64B20939"/>
    <w:rsid w:val="65322CBF"/>
    <w:rsid w:val="65B35574"/>
    <w:rsid w:val="65C658ED"/>
    <w:rsid w:val="682A6850"/>
    <w:rsid w:val="68810207"/>
    <w:rsid w:val="68CC52CB"/>
    <w:rsid w:val="68D6721D"/>
    <w:rsid w:val="68DE4FFE"/>
    <w:rsid w:val="691B0000"/>
    <w:rsid w:val="694B58D7"/>
    <w:rsid w:val="697E0FA2"/>
    <w:rsid w:val="698E5E43"/>
    <w:rsid w:val="69CE4E15"/>
    <w:rsid w:val="6B3E7E06"/>
    <w:rsid w:val="6B7F3246"/>
    <w:rsid w:val="6BF904A6"/>
    <w:rsid w:val="6CB5251A"/>
    <w:rsid w:val="6CD429A0"/>
    <w:rsid w:val="6EF07839"/>
    <w:rsid w:val="6F11674E"/>
    <w:rsid w:val="6F63000B"/>
    <w:rsid w:val="6FCF0C72"/>
    <w:rsid w:val="70FD12D9"/>
    <w:rsid w:val="71500A63"/>
    <w:rsid w:val="717C1858"/>
    <w:rsid w:val="72B56DCF"/>
    <w:rsid w:val="72E964BC"/>
    <w:rsid w:val="735C7C42"/>
    <w:rsid w:val="738844E4"/>
    <w:rsid w:val="74542431"/>
    <w:rsid w:val="74D07EF1"/>
    <w:rsid w:val="7524053F"/>
    <w:rsid w:val="75907680"/>
    <w:rsid w:val="75B570E6"/>
    <w:rsid w:val="75BF3AC1"/>
    <w:rsid w:val="7706409E"/>
    <w:rsid w:val="7797777E"/>
    <w:rsid w:val="780A1873"/>
    <w:rsid w:val="787D11B8"/>
    <w:rsid w:val="78A771BA"/>
    <w:rsid w:val="78AC6820"/>
    <w:rsid w:val="792C5912"/>
    <w:rsid w:val="7B5258C9"/>
    <w:rsid w:val="7CBA4FE2"/>
    <w:rsid w:val="7D06612B"/>
    <w:rsid w:val="7D1E15D4"/>
    <w:rsid w:val="7D480840"/>
    <w:rsid w:val="7E880152"/>
    <w:rsid w:val="7E8B30DA"/>
    <w:rsid w:val="7F7C48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正文-公1"/>
    <w:basedOn w:val="13"/>
    <w:next w:val="1"/>
    <w:qFormat/>
    <w:uiPriority w:val="0"/>
    <w:pPr>
      <w:ind w:firstLine="200" w:firstLineChars="200"/>
    </w:pPr>
  </w:style>
  <w:style w:type="paragraph" w:customStyle="1" w:styleId="1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2"/>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1961</Words>
  <Characters>2433</Characters>
  <Lines>0</Lines>
  <Paragraphs>0</Paragraphs>
  <TotalTime>0</TotalTime>
  <ScaleCrop>false</ScaleCrop>
  <LinksUpToDate>false</LinksUpToDate>
  <CharactersWithSpaces>2934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2025-07-24T09:55:48Z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0D3E47B83DA342DDB264299C94848096_13</vt:lpwstr>
  </property>
  <property fmtid="{D5CDD505-2E9C-101B-9397-08002B2CF9AE}" pid="4" name="KSOTemplateDocerSaveRecord">
    <vt:lpwstr>eyJoZGlkIjoiMGQyMGMzOWI0Y2E4NzVkODBjNTY2NTZkZDk5YTRmZTIiLCJ1c2VySWQiOiIyODEyNDA0NzIifQ==</vt:lpwstr>
  </property>
</Properties>
</file>