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color w:val="auto"/>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中国共产党呼图壁县纪律检查委员会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2025年中国共产党呼图壁县纪律检查委员会</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一、关于中国共产党呼图壁县纪律检查委员会2025年收支预算情况的总体说明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中国共产党呼图壁县纪律检查委员会2025年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中国共产党呼图壁县纪律检查委员会2025年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中国共产党呼图壁县纪律检查委员会2025年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中国共产党呼图壁县纪律检查委员会2025年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2025年中国共产党呼图壁县纪律检查委员会</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hint="eastAsia" w:ascii="仿宋_GB2312" w:hAnsi="仿宋" w:eastAsia="仿宋_GB2312"/>
          <w:color w:val="auto"/>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仿宋" w:eastAsia="仿宋_GB2312"/>
          <w:color w:val="auto"/>
          <w:sz w:val="32"/>
          <w:szCs w:val="32"/>
        </w:rPr>
        <w:t>1)、主管全县党的纪律检查工作。负责贯彻落实中央和区、州、县委关于加强党风廉政建设的决定，认真抓好反腐败斗争，维护党的章程和其他党内法规，检查党的路线、方针、政策和决议的执行情况。</w:t>
      </w:r>
    </w:p>
    <w:p>
      <w:pPr>
        <w:keepNext w:val="0"/>
        <w:keepLines w:val="0"/>
        <w:pageBreakBefore w:val="0"/>
        <w:widowControl w:val="0"/>
        <w:kinsoku/>
        <w:wordWrap/>
        <w:topLinePunct w:val="0"/>
        <w:autoSpaceDE/>
        <w:autoSpaceDN/>
        <w:bidi w:val="0"/>
        <w:adjustRightInd/>
        <w:snapToGrid w:val="0"/>
        <w:spacing w:line="56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 xml:space="preserve"> 2)、主管全县监察工作。负责贯彻落实党中央、国务院和区、州、县党委、政府有关行政监察工作的决定，监督检查县政府各部门及其工作人员和各乡镇人民政府及其主要负责人贯彻执行国家政策和法律法规、国民经济和社会发展计划及县政府颁发的决定、命令的情况。</w:t>
      </w:r>
    </w:p>
    <w:p>
      <w:pPr>
        <w:keepNext w:val="0"/>
        <w:keepLines w:val="0"/>
        <w:pageBreakBefore w:val="0"/>
        <w:widowControl w:val="0"/>
        <w:kinsoku/>
        <w:wordWrap/>
        <w:topLinePunct w:val="0"/>
        <w:autoSpaceDE/>
        <w:autoSpaceDN/>
        <w:bidi w:val="0"/>
        <w:adjustRightInd/>
        <w:snapToGrid w:val="0"/>
        <w:spacing w:line="56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3)、负责检查并处理县委、县政府机关各部门、各乡镇党组织和县委管理的党员领导干部违反党的章程及其他党内法规的案件。</w:t>
      </w:r>
    </w:p>
    <w:p>
      <w:pPr>
        <w:keepNext w:val="0"/>
        <w:keepLines w:val="0"/>
        <w:pageBreakBefore w:val="0"/>
        <w:widowControl w:val="0"/>
        <w:kinsoku/>
        <w:wordWrap/>
        <w:topLinePunct w:val="0"/>
        <w:autoSpaceDE/>
        <w:autoSpaceDN/>
        <w:bidi w:val="0"/>
        <w:adjustRightInd/>
        <w:snapToGrid w:val="0"/>
        <w:spacing w:line="56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4)、受理党员的控告和申诉，必要时直接查处下级党的纪律检查机关管辖范围内的比较重要或复杂的案件。</w:t>
      </w:r>
    </w:p>
    <w:p>
      <w:pPr>
        <w:keepNext w:val="0"/>
        <w:keepLines w:val="0"/>
        <w:pageBreakBefore w:val="0"/>
        <w:widowControl w:val="0"/>
        <w:kinsoku/>
        <w:wordWrap/>
        <w:topLinePunct w:val="0"/>
        <w:autoSpaceDE/>
        <w:autoSpaceDN/>
        <w:bidi w:val="0"/>
        <w:adjustRightInd/>
        <w:snapToGrid w:val="0"/>
        <w:spacing w:line="56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5)、负责调查处理县政府各部门及其工作人员和各乡镇人民政府及其负责人违反国家政策、法律、法规以及违反政纪的行为，并根据责任人所犯错误的情节轻重，按照《中华人民共和国行政监察法》规定给予行政处分（对涉及选举产生的领导干部按法定程序办理）。</w:t>
      </w:r>
    </w:p>
    <w:p>
      <w:pPr>
        <w:pStyle w:val="13"/>
        <w:rPr>
          <w:rFonts w:hint="eastAsia"/>
          <w:color w:val="auto"/>
        </w:rPr>
      </w:pPr>
      <w:r>
        <w:rPr>
          <w:rFonts w:hint="eastAsia" w:ascii="仿宋_GB2312" w:hAnsi="仿宋" w:eastAsia="仿宋_GB2312"/>
          <w:color w:val="auto"/>
          <w:sz w:val="32"/>
          <w:szCs w:val="32"/>
        </w:rPr>
        <w:t>6)、受理监察对象不服政纪处分的申诉，受理个人或单位对监察对象违纪行为的检举、控告。</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ascii="仿宋_GB2312" w:hAnsi="宋体" w:eastAsia="仿宋_GB2312" w:cs="宋体"/>
          <w:color w:val="auto"/>
          <w:kern w:val="0"/>
          <w:sz w:val="32"/>
          <w:szCs w:val="32"/>
          <w:highlight w:val="none"/>
        </w:rPr>
      </w:pPr>
      <w:r>
        <w:rPr>
          <w:rFonts w:hint="eastAsia" w:ascii="仿宋_GB2312" w:hAnsi="仿宋" w:eastAsia="仿宋_GB2312"/>
          <w:color w:val="auto"/>
          <w:sz w:val="32"/>
          <w:szCs w:val="32"/>
          <w:lang w:eastAsia="zh-CN"/>
        </w:rPr>
        <w:t>中国共产党呼图壁县纪律检查委员会</w:t>
      </w:r>
      <w:r>
        <w:rPr>
          <w:rFonts w:hint="eastAsia" w:ascii="仿宋_GB2312" w:hAnsi="黑体" w:eastAsia="仿宋_GB2312" w:cs="宋体"/>
          <w:bCs/>
          <w:color w:val="auto"/>
          <w:kern w:val="0"/>
          <w:sz w:val="32"/>
          <w:szCs w:val="32"/>
          <w:highlight w:val="none"/>
        </w:rPr>
        <w:t xml:space="preserve">无下属预算单位，下设   </w:t>
      </w:r>
      <w:r>
        <w:rPr>
          <w:rFonts w:hint="eastAsia" w:ascii="仿宋_GB2312" w:hAnsi="黑体" w:eastAsia="仿宋_GB2312" w:cs="宋体"/>
          <w:bCs/>
          <w:color w:val="auto"/>
          <w:kern w:val="0"/>
          <w:sz w:val="32"/>
          <w:szCs w:val="32"/>
          <w:highlight w:val="none"/>
          <w:lang w:val="en-US" w:eastAsia="zh-CN"/>
        </w:rPr>
        <w:t>12</w:t>
      </w:r>
      <w:r>
        <w:rPr>
          <w:rFonts w:hint="eastAsia" w:ascii="仿宋_GB2312" w:hAnsi="黑体" w:eastAsia="仿宋_GB2312" w:cs="宋体"/>
          <w:bCs/>
          <w:color w:val="auto"/>
          <w:kern w:val="0"/>
          <w:sz w:val="32"/>
          <w:szCs w:val="32"/>
          <w:highlight w:val="none"/>
        </w:rPr>
        <w:t>个处室，分别是：</w:t>
      </w:r>
      <w:r>
        <w:rPr>
          <w:rFonts w:hint="eastAsia" w:ascii="仿宋_GB2312" w:hAnsi="仿宋" w:eastAsia="仿宋_GB2312"/>
          <w:color w:val="auto"/>
          <w:sz w:val="32"/>
          <w:szCs w:val="32"/>
        </w:rPr>
        <w:t>办公室、组</w:t>
      </w:r>
      <w:r>
        <w:rPr>
          <w:rFonts w:hint="eastAsia" w:ascii="仿宋_GB2312" w:hAnsi="仿宋" w:eastAsia="仿宋_GB2312"/>
          <w:color w:val="auto"/>
          <w:sz w:val="32"/>
          <w:szCs w:val="32"/>
          <w:lang w:val="en-US" w:eastAsia="zh-CN"/>
        </w:rPr>
        <w:t>宣</w:t>
      </w:r>
      <w:r>
        <w:rPr>
          <w:rFonts w:hint="eastAsia" w:ascii="仿宋_GB2312" w:hAnsi="仿宋" w:eastAsia="仿宋_GB2312"/>
          <w:color w:val="auto"/>
          <w:sz w:val="32"/>
          <w:szCs w:val="32"/>
        </w:rPr>
        <w:t>部、党风政风监督室、信访室、案件监督管理室、第一纪检监察室、第二纪检监察室、第三纪检监察室、第四纪检监察室、第</w:t>
      </w:r>
      <w:r>
        <w:rPr>
          <w:rFonts w:hint="eastAsia" w:ascii="仿宋_GB2312" w:hAnsi="仿宋" w:eastAsia="仿宋_GB2312"/>
          <w:color w:val="auto"/>
          <w:sz w:val="32"/>
          <w:szCs w:val="32"/>
          <w:lang w:val="en-US" w:eastAsia="zh-CN"/>
        </w:rPr>
        <w:t>五</w:t>
      </w:r>
      <w:r>
        <w:rPr>
          <w:rFonts w:hint="eastAsia" w:ascii="仿宋_GB2312" w:hAnsi="仿宋" w:eastAsia="仿宋_GB2312"/>
          <w:color w:val="auto"/>
          <w:sz w:val="32"/>
          <w:szCs w:val="32"/>
        </w:rPr>
        <w:t>纪检监察室</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案件审理室、纪检监察干部监督室；派驻纪检监察组6个、派出纪检监察工委1个</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审查调查服务中心1个</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仿宋" w:eastAsia="仿宋_GB2312"/>
          <w:color w:val="auto"/>
          <w:sz w:val="32"/>
          <w:szCs w:val="32"/>
          <w:lang w:val="en-US" w:eastAsia="zh-CN"/>
        </w:rPr>
      </w:pPr>
      <w:r>
        <w:rPr>
          <w:rFonts w:hint="eastAsia" w:ascii="仿宋_GB2312" w:hAnsi="仿宋" w:eastAsia="仿宋_GB2312"/>
          <w:color w:val="auto"/>
          <w:sz w:val="32"/>
          <w:szCs w:val="32"/>
          <w:lang w:eastAsia="zh-CN"/>
        </w:rPr>
        <w:t>中国共产党呼图壁县纪律检查委员会单位编制数</w:t>
      </w:r>
      <w:r>
        <w:rPr>
          <w:rFonts w:hint="eastAsia" w:ascii="仿宋_GB2312" w:hAnsi="仿宋" w:eastAsia="仿宋_GB2312"/>
          <w:color w:val="auto"/>
          <w:sz w:val="32"/>
          <w:szCs w:val="32"/>
          <w:lang w:val="en-US" w:eastAsia="zh-CN"/>
        </w:rPr>
        <w:t>136</w:t>
      </w:r>
      <w:r>
        <w:rPr>
          <w:rFonts w:hint="eastAsia" w:ascii="仿宋_GB2312" w:hAnsi="仿宋" w:eastAsia="仿宋_GB2312"/>
          <w:color w:val="auto"/>
          <w:sz w:val="32"/>
          <w:szCs w:val="32"/>
          <w:lang w:eastAsia="zh-CN"/>
        </w:rPr>
        <w:t xml:space="preserve">，实有人数 </w:t>
      </w:r>
      <w:r>
        <w:rPr>
          <w:rFonts w:hint="eastAsia" w:ascii="仿宋_GB2312" w:hAnsi="仿宋" w:eastAsia="仿宋_GB2312"/>
          <w:color w:val="auto"/>
          <w:sz w:val="32"/>
          <w:szCs w:val="32"/>
          <w:lang w:val="en-US" w:eastAsia="zh-CN"/>
        </w:rPr>
        <w:t>136</w:t>
      </w:r>
      <w:r>
        <w:rPr>
          <w:rFonts w:hint="eastAsia" w:ascii="仿宋_GB2312" w:hAnsi="仿宋" w:eastAsia="仿宋_GB2312"/>
          <w:color w:val="auto"/>
          <w:sz w:val="32"/>
          <w:szCs w:val="32"/>
          <w:lang w:eastAsia="zh-CN"/>
        </w:rPr>
        <w:t xml:space="preserve">人，其中：其中：在职 </w:t>
      </w:r>
      <w:r>
        <w:rPr>
          <w:rFonts w:hint="eastAsia" w:ascii="仿宋_GB2312" w:hAnsi="仿宋" w:eastAsia="仿宋_GB2312"/>
          <w:color w:val="auto"/>
          <w:sz w:val="32"/>
          <w:szCs w:val="32"/>
          <w:lang w:val="en-US" w:eastAsia="zh-CN"/>
        </w:rPr>
        <w:t>113</w:t>
      </w:r>
      <w:r>
        <w:rPr>
          <w:rFonts w:hint="eastAsia" w:ascii="仿宋_GB2312" w:hAnsi="仿宋" w:eastAsia="仿宋_GB2312"/>
          <w:color w:val="auto"/>
          <w:sz w:val="32"/>
          <w:szCs w:val="32"/>
          <w:lang w:eastAsia="zh-CN"/>
        </w:rPr>
        <w:t>人，</w:t>
      </w:r>
      <w:r>
        <w:rPr>
          <w:rFonts w:hint="eastAsia" w:ascii="仿宋_GB2312" w:hAnsi="仿宋" w:eastAsia="仿宋_GB2312"/>
          <w:color w:val="auto"/>
          <w:sz w:val="32"/>
          <w:szCs w:val="32"/>
          <w:lang w:val="en-US" w:eastAsia="zh-CN"/>
        </w:rPr>
        <w:t>减少14人</w:t>
      </w:r>
      <w:r>
        <w:rPr>
          <w:rFonts w:hint="eastAsia" w:ascii="仿宋_GB2312" w:hAnsi="仿宋" w:eastAsia="仿宋_GB2312"/>
          <w:color w:val="auto"/>
          <w:sz w:val="32"/>
          <w:szCs w:val="32"/>
          <w:lang w:eastAsia="zh-CN"/>
        </w:rPr>
        <w:t xml:space="preserve">；退休 </w:t>
      </w:r>
      <w:r>
        <w:rPr>
          <w:rFonts w:hint="eastAsia" w:ascii="仿宋_GB2312" w:hAnsi="仿宋" w:eastAsia="仿宋_GB2312"/>
          <w:color w:val="auto"/>
          <w:sz w:val="32"/>
          <w:szCs w:val="32"/>
          <w:lang w:val="en-US" w:eastAsia="zh-CN"/>
        </w:rPr>
        <w:t>23</w:t>
      </w:r>
      <w:r>
        <w:rPr>
          <w:rFonts w:hint="eastAsia" w:ascii="仿宋_GB2312" w:hAnsi="仿宋" w:eastAsia="仿宋_GB2312"/>
          <w:color w:val="auto"/>
          <w:sz w:val="32"/>
          <w:szCs w:val="32"/>
          <w:lang w:eastAsia="zh-CN"/>
        </w:rPr>
        <w:t>人，增加</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lang w:eastAsia="zh-CN"/>
        </w:rPr>
        <w:t xml:space="preserve"> 人；离休 </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lang w:eastAsia="zh-CN"/>
        </w:rPr>
        <w:t>人，</w:t>
      </w:r>
      <w:r>
        <w:rPr>
          <w:rFonts w:hint="eastAsia" w:ascii="仿宋_GB2312" w:hAnsi="仿宋" w:eastAsia="仿宋_GB2312"/>
          <w:color w:val="auto"/>
          <w:sz w:val="32"/>
          <w:szCs w:val="32"/>
          <w:lang w:val="en-US" w:eastAsia="zh-CN"/>
        </w:rPr>
        <w:t>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                         </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3281.61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1846.12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2250.74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2226.80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23.94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574.70</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322.70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1030.86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1030.86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auto"/>
                <w:kern w:val="0"/>
                <w:sz w:val="22"/>
                <w:szCs w:val="22"/>
                <w:u w:val="none"/>
                <w:lang w:val="en-US" w:eastAsia="zh-CN" w:bidi="ar"/>
              </w:rPr>
              <w:t>550.08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3293.61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3293.61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 </w:t>
      </w:r>
    </w:p>
    <w:tbl>
      <w:tblPr>
        <w:tblStyle w:val="7"/>
        <w:tblW w:w="9713" w:type="dxa"/>
        <w:tblInd w:w="-450" w:type="dxa"/>
        <w:tblLayout w:type="fixed"/>
        <w:tblCellMar>
          <w:top w:w="0" w:type="dxa"/>
          <w:left w:w="108" w:type="dxa"/>
          <w:bottom w:w="0" w:type="dxa"/>
          <w:right w:w="108" w:type="dxa"/>
        </w:tblCellMar>
      </w:tblPr>
      <w:tblGrid>
        <w:gridCol w:w="578"/>
        <w:gridCol w:w="433"/>
        <w:gridCol w:w="422"/>
        <w:gridCol w:w="1064"/>
        <w:gridCol w:w="642"/>
        <w:gridCol w:w="836"/>
        <w:gridCol w:w="686"/>
        <w:gridCol w:w="447"/>
        <w:gridCol w:w="560"/>
        <w:gridCol w:w="361"/>
        <w:gridCol w:w="631"/>
        <w:gridCol w:w="779"/>
        <w:gridCol w:w="583"/>
        <w:gridCol w:w="686"/>
        <w:gridCol w:w="600"/>
        <w:gridCol w:w="405"/>
      </w:tblGrid>
      <w:tr>
        <w:tblPrEx>
          <w:tblCellMar>
            <w:top w:w="0" w:type="dxa"/>
            <w:left w:w="108" w:type="dxa"/>
            <w:bottom w:w="0" w:type="dxa"/>
            <w:right w:w="108" w:type="dxa"/>
          </w:tblCellMar>
        </w:tblPrEx>
        <w:trPr>
          <w:trHeight w:val="697" w:hRule="atLeast"/>
        </w:trPr>
        <w:tc>
          <w:tcPr>
            <w:tcW w:w="143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4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0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8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7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3"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4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3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8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44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6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8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201</w:t>
            </w:r>
          </w:p>
        </w:tc>
        <w:tc>
          <w:tcPr>
            <w:tcW w:w="433"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仿宋_GB2312" w:hAnsi="宋体" w:eastAsia="仿宋_GB2312" w:cs="宋体"/>
                <w:color w:val="auto"/>
                <w:sz w:val="15"/>
                <w:szCs w:val="15"/>
                <w:highlight w:val="none"/>
              </w:rPr>
            </w:pPr>
          </w:p>
        </w:tc>
        <w:tc>
          <w:tcPr>
            <w:tcW w:w="422"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一般公共服务支出</w:t>
            </w:r>
          </w:p>
        </w:tc>
        <w:tc>
          <w:tcPr>
            <w:tcW w:w="642"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1846.12</w:t>
            </w:r>
          </w:p>
        </w:tc>
        <w:tc>
          <w:tcPr>
            <w:tcW w:w="83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r>
              <w:rPr>
                <w:rFonts w:hint="eastAsia" w:ascii="Calibri" w:hAnsi="Calibri" w:cs="Calibri"/>
                <w:i w:val="0"/>
                <w:iCs w:val="0"/>
                <w:color w:val="auto"/>
                <w:kern w:val="0"/>
                <w:sz w:val="18"/>
                <w:szCs w:val="18"/>
                <w:highlight w:val="none"/>
                <w:u w:val="none"/>
                <w:lang w:val="en-US" w:eastAsia="zh-CN" w:bidi="ar"/>
              </w:rPr>
              <w:t>1756.15</w:t>
            </w:r>
          </w:p>
        </w:tc>
        <w:tc>
          <w:tcPr>
            <w:tcW w:w="68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r>
              <w:rPr>
                <w:rFonts w:hint="eastAsia" w:ascii="Calibri" w:hAnsi="Calibri" w:cs="Calibri"/>
                <w:i w:val="0"/>
                <w:iCs w:val="0"/>
                <w:color w:val="auto"/>
                <w:kern w:val="0"/>
                <w:sz w:val="18"/>
                <w:szCs w:val="18"/>
                <w:highlight w:val="none"/>
                <w:u w:val="none"/>
                <w:lang w:val="en-US" w:eastAsia="zh-CN" w:bidi="ar"/>
              </w:rPr>
              <w:t>1732.21</w:t>
            </w:r>
          </w:p>
        </w:tc>
        <w:tc>
          <w:tcPr>
            <w:tcW w:w="447"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r>
              <w:rPr>
                <w:rFonts w:hint="eastAsia" w:ascii="Calibri" w:hAnsi="Calibri" w:cs="Calibri"/>
                <w:i w:val="0"/>
                <w:iCs w:val="0"/>
                <w:color w:val="auto"/>
                <w:kern w:val="0"/>
                <w:sz w:val="18"/>
                <w:szCs w:val="18"/>
                <w:highlight w:val="none"/>
                <w:u w:val="none"/>
                <w:lang w:val="en-US" w:eastAsia="zh-CN" w:bidi="ar"/>
              </w:rPr>
              <w:t>23.94</w:t>
            </w:r>
          </w:p>
        </w:tc>
        <w:tc>
          <w:tcPr>
            <w:tcW w:w="5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p>
        </w:tc>
        <w:tc>
          <w:tcPr>
            <w:tcW w:w="36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highlight w:val="none"/>
                <w:u w:val="none"/>
                <w:lang w:val="en-US" w:eastAsia="zh-CN" w:bidi="ar"/>
              </w:rPr>
            </w:pPr>
          </w:p>
        </w:tc>
        <w:tc>
          <w:tcPr>
            <w:tcW w:w="686"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r>
              <w:rPr>
                <w:rFonts w:hint="eastAsia" w:ascii="Calibri" w:hAnsi="Calibri" w:cs="Calibri"/>
                <w:i w:val="0"/>
                <w:iCs w:val="0"/>
                <w:color w:val="auto"/>
                <w:kern w:val="0"/>
                <w:sz w:val="18"/>
                <w:szCs w:val="18"/>
                <w:highlight w:val="none"/>
                <w:u w:val="none"/>
                <w:lang w:val="en-US" w:eastAsia="zh-CN" w:bidi="ar"/>
              </w:rPr>
              <w:t>77.97</w:t>
            </w:r>
          </w:p>
        </w:tc>
        <w:tc>
          <w:tcPr>
            <w:tcW w:w="600"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highlight w:val="none"/>
                <w:u w:val="none"/>
                <w:lang w:val="en-US" w:eastAsia="zh-CN" w:bidi="ar"/>
              </w:rPr>
            </w:pPr>
            <w:r>
              <w:rPr>
                <w:rFonts w:hint="eastAsia" w:ascii="Calibri" w:hAnsi="Calibri" w:cs="Calibri"/>
                <w:i w:val="0"/>
                <w:iCs w:val="0"/>
                <w:color w:val="auto"/>
                <w:kern w:val="0"/>
                <w:sz w:val="18"/>
                <w:szCs w:val="18"/>
                <w:highlight w:val="none"/>
                <w:u w:val="none"/>
                <w:lang w:val="en-US" w:eastAsia="zh-CN" w:bidi="ar"/>
              </w:rPr>
              <w:t>12.00</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highlight w:val="none"/>
                <w:u w:val="none"/>
                <w:lang w:val="en-US" w:eastAsia="zh-CN" w:bidi="ar"/>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201</w:t>
            </w:r>
          </w:p>
        </w:tc>
        <w:tc>
          <w:tcPr>
            <w:tcW w:w="433"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hint="default" w:ascii="仿宋_GB2312" w:eastAsia="仿宋_GB2312"/>
                <w:color w:val="auto"/>
                <w:sz w:val="15"/>
                <w:szCs w:val="15"/>
                <w:highlight w:val="none"/>
                <w:lang w:val="en-US"/>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20"/>
                <w:szCs w:val="20"/>
                <w:highlight w:val="none"/>
              </w:rPr>
            </w:pPr>
          </w:p>
        </w:tc>
        <w:tc>
          <w:tcPr>
            <w:tcW w:w="106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纪检监察事务</w:t>
            </w:r>
          </w:p>
        </w:tc>
        <w:tc>
          <w:tcPr>
            <w:tcW w:w="642"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1846.12</w:t>
            </w:r>
          </w:p>
        </w:tc>
        <w:tc>
          <w:tcPr>
            <w:tcW w:w="83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1756.15</w:t>
            </w:r>
          </w:p>
        </w:tc>
        <w:tc>
          <w:tcPr>
            <w:tcW w:w="68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eastAsia" w:ascii="Calibri" w:hAnsi="Calibri" w:cs="Calibri"/>
                <w:i w:val="0"/>
                <w:iCs w:val="0"/>
                <w:color w:val="auto"/>
                <w:kern w:val="0"/>
                <w:sz w:val="18"/>
                <w:szCs w:val="18"/>
                <w:highlight w:val="none"/>
                <w:u w:val="none"/>
                <w:lang w:val="en-US" w:eastAsia="zh-CN" w:bidi="ar"/>
              </w:rPr>
              <w:t>1732.21</w:t>
            </w:r>
          </w:p>
        </w:tc>
        <w:tc>
          <w:tcPr>
            <w:tcW w:w="447"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23.94</w:t>
            </w:r>
          </w:p>
        </w:tc>
        <w:tc>
          <w:tcPr>
            <w:tcW w:w="5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36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86"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77.97</w:t>
            </w:r>
          </w:p>
        </w:tc>
        <w:tc>
          <w:tcPr>
            <w:tcW w:w="600"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12.00</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201</w:t>
            </w:r>
          </w:p>
        </w:tc>
        <w:tc>
          <w:tcPr>
            <w:tcW w:w="4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Calibri" w:hAnsi="Calibri" w:cs="Calibri"/>
                <w:i w:val="0"/>
                <w:iCs w:val="0"/>
                <w:color w:val="auto"/>
                <w:kern w:val="0"/>
                <w:sz w:val="18"/>
                <w:szCs w:val="18"/>
                <w:u w:val="none"/>
                <w:lang w:val="en-US" w:eastAsia="zh-CN" w:bidi="ar"/>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default" w:ascii="Calibri" w:hAnsi="Calibri" w:cs="Calibri"/>
                <w:i w:val="0"/>
                <w:iCs w:val="0"/>
                <w:color w:val="auto"/>
                <w:kern w:val="0"/>
                <w:sz w:val="18"/>
                <w:szCs w:val="18"/>
                <w:u w:val="none"/>
                <w:lang w:val="en-US" w:eastAsia="zh-CN" w:bidi="ar"/>
              </w:rPr>
            </w:pPr>
            <w:r>
              <w:rPr>
                <w:rFonts w:hint="eastAsia" w:ascii="Calibri" w:hAnsi="Calibri" w:eastAsia="宋体" w:cs="Calibri"/>
                <w:i w:val="0"/>
                <w:iCs w:val="0"/>
                <w:color w:val="auto"/>
                <w:kern w:val="0"/>
                <w:sz w:val="18"/>
                <w:szCs w:val="18"/>
                <w:u w:val="none"/>
                <w:lang w:val="en-US" w:eastAsia="zh-CN" w:bidi="ar"/>
              </w:rPr>
              <w:t>01</w:t>
            </w:r>
          </w:p>
        </w:tc>
        <w:tc>
          <w:tcPr>
            <w:tcW w:w="106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行政运行</w:t>
            </w:r>
          </w:p>
        </w:tc>
        <w:tc>
          <w:tcPr>
            <w:tcW w:w="642"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1686.55</w:t>
            </w:r>
          </w:p>
        </w:tc>
        <w:tc>
          <w:tcPr>
            <w:tcW w:w="83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1756.15</w:t>
            </w:r>
          </w:p>
        </w:tc>
        <w:tc>
          <w:tcPr>
            <w:tcW w:w="68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eastAsia" w:ascii="Calibri" w:hAnsi="Calibri" w:cs="Calibri"/>
                <w:i w:val="0"/>
                <w:iCs w:val="0"/>
                <w:color w:val="auto"/>
                <w:kern w:val="0"/>
                <w:sz w:val="18"/>
                <w:szCs w:val="18"/>
                <w:highlight w:val="none"/>
                <w:u w:val="none"/>
                <w:lang w:val="en-US" w:eastAsia="zh-CN" w:bidi="ar"/>
              </w:rPr>
              <w:t>1732.21</w:t>
            </w:r>
          </w:p>
        </w:tc>
        <w:tc>
          <w:tcPr>
            <w:tcW w:w="447"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u w:val="none"/>
                <w:lang w:val="en-US" w:eastAsia="zh-CN" w:bidi="ar"/>
              </w:rPr>
            </w:pPr>
          </w:p>
        </w:tc>
        <w:tc>
          <w:tcPr>
            <w:tcW w:w="5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36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86"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77.97</w:t>
            </w:r>
          </w:p>
        </w:tc>
        <w:tc>
          <w:tcPr>
            <w:tcW w:w="600"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12.00</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201</w:t>
            </w:r>
          </w:p>
        </w:tc>
        <w:tc>
          <w:tcPr>
            <w:tcW w:w="4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106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一般行政管理事务</w:t>
            </w:r>
          </w:p>
        </w:tc>
        <w:tc>
          <w:tcPr>
            <w:tcW w:w="642"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12.00</w:t>
            </w:r>
          </w:p>
        </w:tc>
        <w:tc>
          <w:tcPr>
            <w:tcW w:w="83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8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447"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u w:val="none"/>
                <w:lang w:val="en-US" w:eastAsia="zh-CN" w:bidi="ar"/>
              </w:rPr>
            </w:pPr>
          </w:p>
        </w:tc>
        <w:tc>
          <w:tcPr>
            <w:tcW w:w="5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36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86"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c>
          <w:tcPr>
            <w:tcW w:w="600"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12.00</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201</w:t>
            </w:r>
          </w:p>
        </w:tc>
        <w:tc>
          <w:tcPr>
            <w:tcW w:w="43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w:t>
            </w:r>
          </w:p>
        </w:tc>
        <w:tc>
          <w:tcPr>
            <w:tcW w:w="106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事业运行</w:t>
            </w:r>
          </w:p>
        </w:tc>
        <w:tc>
          <w:tcPr>
            <w:tcW w:w="642"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18"/>
                <w:szCs w:val="18"/>
                <w:u w:val="none"/>
                <w:lang w:val="en-US" w:eastAsia="zh-CN" w:bidi="ar"/>
              </w:rPr>
              <w:t>123.63</w:t>
            </w:r>
          </w:p>
        </w:tc>
        <w:tc>
          <w:tcPr>
            <w:tcW w:w="83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123.63</w:t>
            </w:r>
          </w:p>
        </w:tc>
        <w:tc>
          <w:tcPr>
            <w:tcW w:w="68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123.63</w:t>
            </w:r>
          </w:p>
        </w:tc>
        <w:tc>
          <w:tcPr>
            <w:tcW w:w="447"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宋体" w:eastAsia="仿宋_GB2312" w:cs="宋体"/>
                <w:color w:val="auto"/>
                <w:kern w:val="2"/>
                <w:sz w:val="18"/>
                <w:szCs w:val="18"/>
                <w:highlight w:val="none"/>
                <w:lang w:val="en-US" w:eastAsia="zh-CN" w:bidi="ar-SA"/>
              </w:rPr>
            </w:pPr>
          </w:p>
        </w:tc>
        <w:tc>
          <w:tcPr>
            <w:tcW w:w="5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86"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top"/>
              <w:rPr>
                <w:rFonts w:hint="eastAsia" w:ascii="Calibri" w:hAnsi="Calibri" w:eastAsia="宋体" w:cs="Calibri"/>
                <w:i w:val="0"/>
                <w:iCs w:val="0"/>
                <w:color w:val="auto"/>
                <w:kern w:val="0"/>
                <w:sz w:val="18"/>
                <w:szCs w:val="18"/>
                <w:u w:val="none"/>
                <w:lang w:val="en-US" w:eastAsia="zh-CN" w:bidi="ar"/>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201</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99</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其他纪检监察事务支出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23.94</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23.94</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p>
        </w:tc>
        <w:tc>
          <w:tcPr>
            <w:tcW w:w="44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23.94</w:t>
            </w:r>
          </w:p>
        </w:tc>
        <w:tc>
          <w:tcPr>
            <w:tcW w:w="5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p>
        </w:tc>
        <w:tc>
          <w:tcPr>
            <w:tcW w:w="42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社会保障和就业支出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574.70</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200.02</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200.02</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2"/>
                <w:sz w:val="18"/>
                <w:szCs w:val="18"/>
                <w:highlight w:val="none"/>
                <w:lang w:val="en-US" w:eastAsia="zh-CN" w:bidi="ar-SA"/>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374.68</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eastAsia="仿宋_GB2312"/>
                <w:color w:val="auto"/>
                <w:sz w:val="15"/>
                <w:szCs w:val="15"/>
                <w:highlight w:val="none"/>
                <w:lang w:val="en-US"/>
              </w:rPr>
            </w:pPr>
            <w:r>
              <w:rPr>
                <w:rFonts w:hint="eastAsia" w:ascii="Calibri" w:hAnsi="Calibri" w:cs="Calibri"/>
                <w:i w:val="0"/>
                <w:iCs w:val="0"/>
                <w:color w:val="auto"/>
                <w:kern w:val="0"/>
                <w:sz w:val="18"/>
                <w:szCs w:val="18"/>
                <w:u w:val="none"/>
                <w:lang w:val="en-US" w:eastAsia="zh-CN" w:bidi="ar"/>
              </w:rPr>
              <w:t>05</w:t>
            </w:r>
          </w:p>
        </w:tc>
        <w:tc>
          <w:tcPr>
            <w:tcW w:w="42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行政事业单位养老支出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546.86</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200.02</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200.02</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2"/>
                <w:sz w:val="18"/>
                <w:szCs w:val="18"/>
                <w:highlight w:val="none"/>
                <w:lang w:val="en-US" w:eastAsia="zh-CN" w:bidi="ar-SA"/>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346.84</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05</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行政单位离退休</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14.28</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14.28</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14.28</w:t>
            </w:r>
          </w:p>
        </w:tc>
        <w:tc>
          <w:tcPr>
            <w:tcW w:w="44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05</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机关事业单位基本养老保险缴费支出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483.26</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185.73</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185.73</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297.53</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05</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机关事业单位职业年金缴费支出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49.31</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49.31</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color w:val="auto"/>
                <w:sz w:val="15"/>
                <w:szCs w:val="15"/>
                <w:highlight w:val="none"/>
                <w:lang w:val="en-US"/>
              </w:rPr>
            </w:pPr>
            <w:r>
              <w:rPr>
                <w:rFonts w:hint="eastAsia" w:ascii="Calibri" w:hAnsi="Calibri" w:cs="Calibri"/>
                <w:i w:val="0"/>
                <w:iCs w:val="0"/>
                <w:color w:val="auto"/>
                <w:kern w:val="0"/>
                <w:sz w:val="18"/>
                <w:szCs w:val="18"/>
                <w:u w:val="none"/>
                <w:lang w:val="en-US" w:eastAsia="zh-CN" w:bidi="ar"/>
              </w:rPr>
              <w:t>99</w:t>
            </w:r>
          </w:p>
        </w:tc>
        <w:tc>
          <w:tcPr>
            <w:tcW w:w="4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其他社会保障和就业支出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27.84</w:t>
            </w:r>
          </w:p>
        </w:tc>
        <w:tc>
          <w:tcPr>
            <w:tcW w:w="836"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686"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27.84</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208</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eastAsia" w:ascii="Calibri" w:hAnsi="Calibri" w:cs="Calibri"/>
                <w:i w:val="0"/>
                <w:iCs w:val="0"/>
                <w:color w:val="auto"/>
                <w:kern w:val="0"/>
                <w:sz w:val="18"/>
                <w:szCs w:val="18"/>
                <w:u w:val="none"/>
                <w:lang w:val="en-US" w:eastAsia="zh-CN" w:bidi="ar"/>
              </w:rPr>
              <w:t>99</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99</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其他社会保障和就业支出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27.84</w:t>
            </w:r>
          </w:p>
        </w:tc>
        <w:tc>
          <w:tcPr>
            <w:tcW w:w="836"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686"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27.84</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210</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p>
        </w:tc>
        <w:tc>
          <w:tcPr>
            <w:tcW w:w="4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卫生健康支出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322.70</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140.46</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140.46</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182.24</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210</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color w:val="auto"/>
                <w:sz w:val="15"/>
                <w:szCs w:val="15"/>
                <w:highlight w:val="none"/>
                <w:lang w:val="en-US"/>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行政事业单位医疗</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322.70</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140.46</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140.46</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182.24</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210</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行政单位医疗</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224.08</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84.10</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84.10</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139.98</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210</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事业单位医疗</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8.76</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8.76</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8.76</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210</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公务员医疗补助</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85.32</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46.43</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46.43</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38.88</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210</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eastAsia" w:ascii="Calibri" w:hAnsi="Calibri" w:cs="Calibri"/>
                <w:i w:val="0"/>
                <w:iCs w:val="0"/>
                <w:color w:val="auto"/>
                <w:kern w:val="0"/>
                <w:sz w:val="18"/>
                <w:szCs w:val="18"/>
                <w:u w:val="none"/>
                <w:lang w:val="en-US" w:eastAsia="zh-CN" w:bidi="ar"/>
              </w:rPr>
              <w:t>11</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其他行政事业单位医疗支出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4.54</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1.16</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1.16</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3.38</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221</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p>
        </w:tc>
        <w:tc>
          <w:tcPr>
            <w:tcW w:w="4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住房保障支出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550.08</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154.11</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154.11</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395.97</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eastAsia="仿宋_GB2312"/>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221</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42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住房改革支出</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550.08</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154.11</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154.11</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sz w:val="18"/>
                <w:szCs w:val="18"/>
                <w:highlight w:val="none"/>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395.97</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default" w:ascii="Calibri" w:hAnsi="Calibri" w:eastAsia="宋体" w:cs="Calibri"/>
                <w:i w:val="0"/>
                <w:iCs w:val="0"/>
                <w:color w:val="auto"/>
                <w:kern w:val="0"/>
                <w:sz w:val="18"/>
                <w:szCs w:val="18"/>
                <w:u w:val="none"/>
                <w:lang w:val="en-US" w:eastAsia="zh-CN" w:bidi="ar"/>
              </w:rPr>
              <w:t>221</w:t>
            </w:r>
          </w:p>
        </w:tc>
        <w:tc>
          <w:tcPr>
            <w:tcW w:w="4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p>
        </w:tc>
        <w:tc>
          <w:tcPr>
            <w:tcW w:w="42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01</w:t>
            </w:r>
          </w:p>
        </w:tc>
        <w:tc>
          <w:tcPr>
            <w:tcW w:w="106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住房公积金</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18"/>
                <w:szCs w:val="18"/>
                <w:highlight w:val="none"/>
              </w:rPr>
            </w:pPr>
            <w:r>
              <w:rPr>
                <w:rFonts w:hint="default" w:ascii="Calibri" w:hAnsi="Calibri" w:eastAsia="宋体" w:cs="Calibri"/>
                <w:i w:val="0"/>
                <w:iCs w:val="0"/>
                <w:color w:val="auto"/>
                <w:kern w:val="0"/>
                <w:sz w:val="18"/>
                <w:szCs w:val="18"/>
                <w:u w:val="none"/>
                <w:lang w:val="en-US" w:eastAsia="zh-CN" w:bidi="ar"/>
              </w:rPr>
              <w:t>550.08</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154.11</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154.11</w:t>
            </w:r>
          </w:p>
        </w:tc>
        <w:tc>
          <w:tcPr>
            <w:tcW w:w="44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2"/>
                <w:sz w:val="18"/>
                <w:szCs w:val="18"/>
                <w:highlight w:val="none"/>
                <w:lang w:val="en-US" w:eastAsia="zh-CN" w:bidi="ar-SA"/>
              </w:rPr>
            </w:pPr>
          </w:p>
        </w:tc>
        <w:tc>
          <w:tcPr>
            <w:tcW w:w="56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Times New Roman" w:eastAsia="仿宋_GB2312" w:cs="Times New Roman"/>
                <w:color w:val="auto"/>
                <w:kern w:val="2"/>
                <w:sz w:val="18"/>
                <w:szCs w:val="18"/>
                <w:highlight w:val="none"/>
                <w:lang w:val="en-US" w:eastAsia="zh-CN" w:bidi="ar-SA"/>
              </w:rPr>
            </w:pPr>
            <w:r>
              <w:rPr>
                <w:rFonts w:hint="default" w:ascii="Calibri" w:hAnsi="Calibri" w:eastAsia="宋体" w:cs="Calibri"/>
                <w:i w:val="0"/>
                <w:iCs w:val="0"/>
                <w:color w:val="auto"/>
                <w:kern w:val="0"/>
                <w:sz w:val="18"/>
                <w:szCs w:val="18"/>
                <w:u w:val="none"/>
                <w:lang w:val="en-US" w:eastAsia="zh-CN" w:bidi="ar"/>
              </w:rPr>
              <w:t>395.97</w:t>
            </w:r>
          </w:p>
        </w:tc>
        <w:tc>
          <w:tcPr>
            <w:tcW w:w="600" w:type="dxa"/>
            <w:tcBorders>
              <w:top w:val="nil"/>
              <w:left w:val="single" w:color="auto" w:sz="4" w:space="0"/>
              <w:bottom w:val="single" w:color="auto" w:sz="4" w:space="0"/>
              <w:right w:val="single" w:color="auto" w:sz="4" w:space="0"/>
            </w:tcBorders>
            <w:noWrap w:val="0"/>
            <w:vAlign w:val="top"/>
          </w:tcPr>
          <w:p>
            <w:pPr>
              <w:jc w:val="left"/>
              <w:rPr>
                <w:rFonts w:hint="eastAsia" w:ascii="仿宋_GB2312" w:eastAsia="仿宋_GB2312"/>
                <w:color w:val="auto"/>
                <w:sz w:val="18"/>
                <w:szCs w:val="18"/>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4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iCs w:val="0"/>
                <w:color w:val="auto"/>
                <w:kern w:val="0"/>
                <w:sz w:val="22"/>
                <w:szCs w:val="22"/>
                <w:u w:val="none"/>
                <w:lang w:val="en-US" w:eastAsia="zh-CN" w:bidi="ar"/>
              </w:rPr>
              <w:t>3293.61</w:t>
            </w:r>
          </w:p>
        </w:tc>
        <w:tc>
          <w:tcPr>
            <w:tcW w:w="8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iCs w:val="0"/>
                <w:color w:val="auto"/>
                <w:kern w:val="0"/>
                <w:sz w:val="22"/>
                <w:szCs w:val="22"/>
                <w:u w:val="none"/>
                <w:lang w:val="en-US" w:eastAsia="zh-CN" w:bidi="ar"/>
              </w:rPr>
              <w:t>2250.74</w:t>
            </w:r>
          </w:p>
        </w:tc>
        <w:tc>
          <w:tcPr>
            <w:tcW w:w="68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sz w:val="20"/>
                <w:szCs w:val="20"/>
                <w:highlight w:val="none"/>
                <w:lang w:val="en-US"/>
              </w:rPr>
            </w:pPr>
            <w:r>
              <w:rPr>
                <w:rFonts w:hint="eastAsia" w:ascii="Calibri" w:hAnsi="Calibri" w:cs="Calibri"/>
                <w:i w:val="0"/>
                <w:iCs w:val="0"/>
                <w:color w:val="auto"/>
                <w:kern w:val="0"/>
                <w:sz w:val="22"/>
                <w:szCs w:val="22"/>
                <w:u w:val="none"/>
                <w:lang w:val="en-US" w:eastAsia="zh-CN" w:bidi="ar"/>
              </w:rPr>
              <w:t>2226.80</w:t>
            </w:r>
          </w:p>
        </w:tc>
        <w:tc>
          <w:tcPr>
            <w:tcW w:w="44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20"/>
                <w:szCs w:val="20"/>
                <w:highlight w:val="none"/>
              </w:rPr>
            </w:pPr>
            <w:r>
              <w:rPr>
                <w:rFonts w:hint="default" w:ascii="Calibri" w:hAnsi="Calibri" w:eastAsia="宋体" w:cs="Calibri"/>
                <w:i w:val="0"/>
                <w:iCs w:val="0"/>
                <w:color w:val="auto"/>
                <w:kern w:val="0"/>
                <w:sz w:val="22"/>
                <w:szCs w:val="22"/>
                <w:u w:val="none"/>
                <w:lang w:val="en-US" w:eastAsia="zh-CN" w:bidi="ar"/>
              </w:rPr>
              <w:t>23.94</w:t>
            </w:r>
          </w:p>
        </w:tc>
        <w:tc>
          <w:tcPr>
            <w:tcW w:w="5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20"/>
                <w:szCs w:val="20"/>
                <w:highlight w:val="none"/>
              </w:rPr>
            </w:pPr>
          </w:p>
        </w:tc>
        <w:tc>
          <w:tcPr>
            <w:tcW w:w="36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8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20"/>
                <w:szCs w:val="20"/>
                <w:highlight w:val="none"/>
              </w:rPr>
            </w:pPr>
            <w:r>
              <w:rPr>
                <w:rFonts w:hint="default" w:ascii="Calibri" w:hAnsi="Calibri" w:eastAsia="宋体" w:cs="Calibri"/>
                <w:i w:val="0"/>
                <w:iCs w:val="0"/>
                <w:color w:val="auto"/>
                <w:kern w:val="0"/>
                <w:sz w:val="22"/>
                <w:szCs w:val="22"/>
                <w:u w:val="none"/>
                <w:lang w:val="en-US" w:eastAsia="zh-CN" w:bidi="ar"/>
              </w:rPr>
              <w:t>1030.86</w:t>
            </w:r>
          </w:p>
        </w:tc>
        <w:tc>
          <w:tcPr>
            <w:tcW w:w="60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eastAsia="仿宋_GB2312"/>
                <w:color w:val="auto"/>
                <w:sz w:val="20"/>
                <w:szCs w:val="20"/>
                <w:highlight w:val="none"/>
              </w:rPr>
            </w:pPr>
            <w:r>
              <w:rPr>
                <w:rFonts w:hint="default" w:ascii="Calibri" w:hAnsi="Calibri" w:eastAsia="宋体" w:cs="Calibri"/>
                <w:i w:val="0"/>
                <w:iCs w:val="0"/>
                <w:color w:val="auto"/>
                <w:kern w:val="0"/>
                <w:sz w:val="22"/>
                <w:szCs w:val="22"/>
                <w:u w:val="none"/>
                <w:lang w:val="en-US" w:eastAsia="zh-CN" w:bidi="ar"/>
              </w:rPr>
              <w:t>12.00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 </w:t>
      </w:r>
    </w:p>
    <w:tbl>
      <w:tblPr>
        <w:tblStyle w:val="7"/>
        <w:tblW w:w="9420" w:type="dxa"/>
        <w:tblInd w:w="-240" w:type="dxa"/>
        <w:tblLayout w:type="autofit"/>
        <w:tblCellMar>
          <w:top w:w="0" w:type="dxa"/>
          <w:left w:w="108" w:type="dxa"/>
          <w:bottom w:w="0" w:type="dxa"/>
          <w:right w:w="108" w:type="dxa"/>
        </w:tblCellMar>
      </w:tblPr>
      <w:tblGrid>
        <w:gridCol w:w="490"/>
        <w:gridCol w:w="417"/>
        <w:gridCol w:w="417"/>
        <w:gridCol w:w="2556"/>
        <w:gridCol w:w="1831"/>
        <w:gridCol w:w="1832"/>
        <w:gridCol w:w="1877"/>
      </w:tblGrid>
      <w:tr>
        <w:tblPrEx>
          <w:tblCellMar>
            <w:top w:w="0" w:type="dxa"/>
            <w:left w:w="108" w:type="dxa"/>
            <w:bottom w:w="0" w:type="dxa"/>
            <w:right w:w="108" w:type="dxa"/>
          </w:tblCellMar>
        </w:tblPrEx>
        <w:trPr>
          <w:trHeight w:val="328" w:hRule="atLeast"/>
        </w:trPr>
        <w:tc>
          <w:tcPr>
            <w:tcW w:w="388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40"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9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201</w:t>
            </w:r>
          </w:p>
        </w:tc>
        <w:tc>
          <w:tcPr>
            <w:tcW w:w="41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一般公共服务支出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1846.12</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1810.18</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35.94</w:t>
            </w: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201</w:t>
            </w:r>
          </w:p>
        </w:tc>
        <w:tc>
          <w:tcPr>
            <w:tcW w:w="41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纪检监察事务</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1846.12</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1810.18</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35.94</w:t>
            </w: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eastAsia="宋体" w:cs="Calibri"/>
                <w:i w:val="0"/>
                <w:iCs w:val="0"/>
                <w:color w:val="auto"/>
                <w:kern w:val="0"/>
                <w:sz w:val="18"/>
                <w:szCs w:val="18"/>
                <w:u w:val="none"/>
                <w:lang w:val="en-US" w:eastAsia="zh-CN" w:bidi="ar"/>
              </w:rPr>
              <w:t>01</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行政运行</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1686.55</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1686.55</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一般行政管理事务</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12.00</w:t>
            </w:r>
          </w:p>
        </w:tc>
        <w:tc>
          <w:tcPr>
            <w:tcW w:w="1832"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12.00</w:t>
            </w: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50</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事业运行</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123.63</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123.63</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99</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其他纪检监察事务支出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23.94</w:t>
            </w:r>
          </w:p>
        </w:tc>
        <w:tc>
          <w:tcPr>
            <w:tcW w:w="1832"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23.94</w:t>
            </w: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社会保障和就业支出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574.70</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574.70</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行政事业单位养老支出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546.86</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546.86</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行政单位离退休</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14.28</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14.28</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机关事业单位基本养老保险缴费支出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483.26</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483.26</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06</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机关事业单位职业年金缴费支出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49.31</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49.31</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99</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其他社会保障和就业支出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27.84</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27.84</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99</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20"/>
                <w:szCs w:val="20"/>
                <w:highlight w:val="none"/>
                <w:lang w:val="en-US" w:eastAsia="zh-CN"/>
              </w:rPr>
              <w:t>99</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其他社会保障和就业支出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27.84</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27.84</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卫生健康支出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322.70</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322.70</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行政事业单位医疗</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322.70</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322.70</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行政单位医疗</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224.08</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224.08</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事业单位医疗</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8.76</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8.76</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03</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18"/>
                <w:szCs w:val="18"/>
                <w:u w:val="none"/>
                <w:lang w:val="en-US" w:eastAsia="zh-CN" w:bidi="ar"/>
              </w:rPr>
              <w:t>公务员医疗补助</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85.32</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85.32</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Calibri" w:hAnsi="Calibri" w:cs="Calibri"/>
                <w:i w:val="0"/>
                <w:iCs w:val="0"/>
                <w:color w:val="auto"/>
                <w:kern w:val="0"/>
                <w:sz w:val="18"/>
                <w:szCs w:val="18"/>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99</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20"/>
                <w:szCs w:val="20"/>
                <w:u w:val="none"/>
                <w:lang w:val="en-US" w:eastAsia="zh-CN" w:bidi="ar"/>
              </w:rPr>
              <w:t>其他行政事业单位医疗支出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4.54</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4.54</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20"/>
                <w:szCs w:val="20"/>
                <w:u w:val="none"/>
                <w:lang w:val="en-US" w:eastAsia="zh-CN" w:bidi="ar"/>
              </w:rPr>
              <w:t>住房保障支出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550.08</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550.08</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default" w:ascii="Calibri" w:hAnsi="Calibri" w:eastAsia="宋体" w:cs="Calibri"/>
                <w:i w:val="0"/>
                <w:iCs w:val="0"/>
                <w:color w:val="auto"/>
                <w:kern w:val="0"/>
                <w:sz w:val="18"/>
                <w:szCs w:val="18"/>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16"/>
                <w:szCs w:val="16"/>
                <w:highlight w:val="none"/>
              </w:rPr>
            </w:pPr>
            <w:r>
              <w:rPr>
                <w:rFonts w:hint="eastAsia" w:ascii="仿宋_GB2312" w:eastAsia="仿宋_GB2312"/>
                <w:color w:val="auto"/>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8"/>
                <w:szCs w:val="18"/>
                <w:highlight w:val="none"/>
              </w:rPr>
            </w:pPr>
            <w:r>
              <w:rPr>
                <w:rFonts w:hint="default" w:ascii="Calibri" w:hAnsi="Calibri" w:eastAsia="宋体" w:cs="Calibri"/>
                <w:i w:val="0"/>
                <w:iCs w:val="0"/>
                <w:color w:val="auto"/>
                <w:kern w:val="0"/>
                <w:sz w:val="20"/>
                <w:szCs w:val="20"/>
                <w:u w:val="none"/>
                <w:lang w:val="en-US" w:eastAsia="zh-CN" w:bidi="ar"/>
              </w:rPr>
              <w:t>住房改革支出</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550.08</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0"/>
                <w:szCs w:val="20"/>
                <w:highlight w:val="none"/>
              </w:rPr>
            </w:pPr>
            <w:r>
              <w:rPr>
                <w:rFonts w:hint="default" w:ascii="Calibri" w:hAnsi="Calibri" w:eastAsia="宋体" w:cs="Calibri"/>
                <w:i w:val="0"/>
                <w:iCs w:val="0"/>
                <w:color w:val="auto"/>
                <w:kern w:val="0"/>
                <w:sz w:val="20"/>
                <w:szCs w:val="20"/>
                <w:u w:val="none"/>
                <w:lang w:val="en-US" w:eastAsia="zh-CN" w:bidi="ar"/>
              </w:rPr>
              <w:t>550.08</w:t>
            </w:r>
          </w:p>
        </w:tc>
        <w:tc>
          <w:tcPr>
            <w:tcW w:w="1877" w:type="dxa"/>
            <w:tcBorders>
              <w:top w:val="nil"/>
              <w:left w:val="nil"/>
              <w:bottom w:val="single" w:color="auto" w:sz="4" w:space="0"/>
              <w:right w:val="single" w:color="auto" w:sz="4" w:space="0"/>
            </w:tcBorders>
            <w:noWrap w:val="0"/>
            <w:vAlign w:val="top"/>
          </w:tcPr>
          <w:p>
            <w:pPr>
              <w:jc w:val="lef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color w:val="auto"/>
                <w:highlight w:val="none"/>
              </w:rPr>
            </w:pPr>
            <w:r>
              <w:rPr>
                <w:rFonts w:hint="default" w:ascii="Calibri" w:hAnsi="Calibri" w:eastAsia="宋体" w:cs="Calibri"/>
                <w:i w:val="0"/>
                <w:iCs w:val="0"/>
                <w:color w:val="auto"/>
                <w:kern w:val="0"/>
                <w:sz w:val="18"/>
                <w:szCs w:val="18"/>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color w:val="auto"/>
                <w:highlight w:val="none"/>
              </w:rPr>
            </w:pPr>
            <w:r>
              <w:rPr>
                <w:rFonts w:hint="eastAsia" w:ascii="仿宋_GB2312" w:eastAsia="仿宋_GB2312"/>
                <w:color w:val="auto"/>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20"/>
                <w:szCs w:val="20"/>
                <w:highlight w:val="none"/>
                <w:lang w:val="en-US" w:eastAsia="zh-CN"/>
              </w:rPr>
              <w:t>01</w:t>
            </w:r>
          </w:p>
        </w:tc>
        <w:tc>
          <w:tcPr>
            <w:tcW w:w="25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sz w:val="18"/>
                <w:szCs w:val="21"/>
                <w:highlight w:val="none"/>
              </w:rPr>
            </w:pPr>
            <w:r>
              <w:rPr>
                <w:rFonts w:hint="default" w:ascii="Calibri" w:hAnsi="Calibri" w:eastAsia="宋体" w:cs="Calibri"/>
                <w:i w:val="0"/>
                <w:iCs w:val="0"/>
                <w:color w:val="auto"/>
                <w:kern w:val="0"/>
                <w:sz w:val="20"/>
                <w:szCs w:val="20"/>
                <w:u w:val="none"/>
                <w:lang w:val="en-US" w:eastAsia="zh-CN" w:bidi="ar"/>
              </w:rPr>
              <w:t>住房公积金</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sz w:val="18"/>
                <w:szCs w:val="21"/>
                <w:highlight w:val="none"/>
              </w:rPr>
            </w:pPr>
            <w:r>
              <w:rPr>
                <w:rFonts w:hint="default" w:ascii="Calibri" w:hAnsi="Calibri" w:eastAsia="宋体" w:cs="Calibri"/>
                <w:i w:val="0"/>
                <w:iCs w:val="0"/>
                <w:color w:val="auto"/>
                <w:kern w:val="0"/>
                <w:sz w:val="20"/>
                <w:szCs w:val="20"/>
                <w:u w:val="none"/>
                <w:lang w:val="en-US" w:eastAsia="zh-CN" w:bidi="ar"/>
              </w:rPr>
              <w:t>550.08</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sz w:val="18"/>
                <w:szCs w:val="21"/>
                <w:highlight w:val="none"/>
              </w:rPr>
            </w:pPr>
            <w:r>
              <w:rPr>
                <w:rFonts w:hint="default" w:ascii="Calibri" w:hAnsi="Calibri" w:eastAsia="宋体" w:cs="Calibri"/>
                <w:i w:val="0"/>
                <w:iCs w:val="0"/>
                <w:color w:val="auto"/>
                <w:kern w:val="0"/>
                <w:sz w:val="20"/>
                <w:szCs w:val="20"/>
                <w:u w:val="none"/>
                <w:lang w:val="en-US" w:eastAsia="zh-CN" w:bidi="ar"/>
              </w:rPr>
              <w:t>550.08</w:t>
            </w:r>
          </w:p>
        </w:tc>
        <w:tc>
          <w:tcPr>
            <w:tcW w:w="1877" w:type="dxa"/>
            <w:tcBorders>
              <w:top w:val="nil"/>
              <w:left w:val="nil"/>
              <w:bottom w:val="single" w:color="auto" w:sz="4" w:space="0"/>
              <w:right w:val="single" w:color="auto" w:sz="4" w:space="0"/>
            </w:tcBorders>
            <w:noWrap w:val="0"/>
            <w:vAlign w:val="top"/>
          </w:tcPr>
          <w:p>
            <w:pPr>
              <w:jc w:val="left"/>
              <w:rPr>
                <w:color w:val="auto"/>
                <w:sz w:val="16"/>
                <w:szCs w:val="16"/>
                <w:highlight w:val="none"/>
              </w:rPr>
            </w:pPr>
          </w:p>
        </w:tc>
      </w:tr>
      <w:tr>
        <w:tblPrEx>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auto"/>
                <w:kern w:val="0"/>
                <w:sz w:val="22"/>
                <w:szCs w:val="22"/>
                <w:u w:val="none"/>
                <w:lang w:val="en-US" w:eastAsia="zh-CN" w:bidi="ar"/>
              </w:rPr>
              <w:t>3293.61</w:t>
            </w:r>
          </w:p>
        </w:tc>
        <w:tc>
          <w:tcPr>
            <w:tcW w:w="183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auto"/>
                <w:kern w:val="0"/>
                <w:sz w:val="22"/>
                <w:szCs w:val="22"/>
                <w:u w:val="none"/>
                <w:lang w:val="en-US" w:eastAsia="zh-CN" w:bidi="ar"/>
              </w:rPr>
              <w:t>3257.67</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auto"/>
                <w:kern w:val="0"/>
                <w:sz w:val="22"/>
                <w:szCs w:val="22"/>
                <w:u w:val="none"/>
                <w:lang w:val="en-US" w:eastAsia="zh-CN" w:bidi="ar"/>
              </w:rPr>
              <w:t>35.94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794"/>
        <w:gridCol w:w="1063"/>
        <w:gridCol w:w="2356"/>
        <w:gridCol w:w="1063"/>
        <w:gridCol w:w="1063"/>
        <w:gridCol w:w="1055"/>
        <w:gridCol w:w="1055"/>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val="en-US" w:eastAsia="zh-Hans"/>
              </w:rPr>
              <w:t>一、</w:t>
            </w:r>
            <w:r>
              <w:rPr>
                <w:rFonts w:hint="eastAsia" w:ascii="仿宋" w:hAnsi="仿宋" w:eastAsia="仿宋" w:cs="仿宋"/>
                <w:color w:val="auto"/>
                <w:kern w:val="0"/>
                <w:sz w:val="22"/>
                <w:szCs w:val="22"/>
                <w:highlight w:val="none"/>
              </w:rPr>
              <w:t>财政拨款（补助）</w:t>
            </w:r>
          </w:p>
        </w:tc>
        <w:tc>
          <w:tcPr>
            <w:tcW w:w="91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2250.74</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201 一般公共服务支出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1756.15</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lang w:val="en-US"/>
              </w:rPr>
            </w:pPr>
            <w:r>
              <w:rPr>
                <w:rFonts w:hint="eastAsia" w:ascii="仿宋" w:hAnsi="仿宋" w:eastAsia="仿宋" w:cs="仿宋"/>
                <w:i w:val="0"/>
                <w:iCs w:val="0"/>
                <w:color w:val="auto"/>
                <w:kern w:val="0"/>
                <w:sz w:val="22"/>
                <w:szCs w:val="22"/>
                <w:highlight w:val="none"/>
                <w:u w:val="none"/>
                <w:lang w:val="en-US" w:eastAsia="zh-CN" w:bidi="ar"/>
              </w:rPr>
              <w:t>1756.15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20" w:firstLineChars="100"/>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 一般公共预算</w:t>
            </w:r>
          </w:p>
        </w:tc>
        <w:tc>
          <w:tcPr>
            <w:tcW w:w="91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lang w:val="en-US"/>
              </w:rPr>
            </w:pPr>
            <w:r>
              <w:rPr>
                <w:rFonts w:hint="eastAsia" w:ascii="仿宋" w:hAnsi="仿宋" w:eastAsia="仿宋" w:cs="仿宋"/>
                <w:i w:val="0"/>
                <w:iCs w:val="0"/>
                <w:color w:val="auto"/>
                <w:kern w:val="0"/>
                <w:sz w:val="22"/>
                <w:szCs w:val="22"/>
                <w:highlight w:val="none"/>
                <w:u w:val="none"/>
                <w:lang w:val="en-US" w:eastAsia="zh-CN" w:bidi="ar"/>
              </w:rPr>
              <w:t>2250.74</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202 外交支出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   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203 国防支出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   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204 公共安全支出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205 教育支出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206 科学技术支出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200.02</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200.02</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209 社会保险基金支出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210</w:t>
            </w:r>
            <w:r>
              <w:rPr>
                <w:rFonts w:hint="eastAsia" w:ascii="仿宋" w:hAnsi="仿宋" w:eastAsia="仿宋" w:cs="仿宋"/>
                <w:b w:val="0"/>
                <w:bCs w:val="0"/>
                <w:color w:val="auto"/>
                <w:kern w:val="0"/>
                <w:sz w:val="22"/>
                <w:szCs w:val="22"/>
                <w:highlight w:val="none"/>
                <w:lang w:val="en-US" w:eastAsia="zh-CN"/>
              </w:rPr>
              <w:t xml:space="preserve"> </w:t>
            </w:r>
            <w:r>
              <w:rPr>
                <w:rFonts w:hint="eastAsia" w:ascii="仿宋" w:hAnsi="仿宋" w:eastAsia="仿宋" w:cs="仿宋"/>
                <w:b w:val="0"/>
                <w:bCs w:val="0"/>
                <w:color w:val="auto"/>
                <w:kern w:val="0"/>
                <w:sz w:val="22"/>
                <w:szCs w:val="22"/>
                <w:highlight w:val="none"/>
              </w:rPr>
              <w:t>卫生健康支出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140.46</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140.46</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211 节能环保支出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212 城乡社区支出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213 农林水支出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214 交通运输支出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215 资源勘探</w:t>
            </w:r>
            <w:r>
              <w:rPr>
                <w:rFonts w:hint="eastAsia" w:ascii="仿宋" w:hAnsi="仿宋" w:eastAsia="仿宋" w:cs="仿宋"/>
                <w:b w:val="0"/>
                <w:bCs w:val="0"/>
                <w:color w:val="auto"/>
                <w:kern w:val="0"/>
                <w:sz w:val="22"/>
                <w:szCs w:val="22"/>
                <w:highlight w:val="none"/>
                <w:lang w:val="en-US" w:eastAsia="zh-Hans"/>
              </w:rPr>
              <w:t>工业</w:t>
            </w:r>
            <w:r>
              <w:rPr>
                <w:rFonts w:hint="eastAsia" w:ascii="仿宋" w:hAnsi="仿宋" w:eastAsia="仿宋" w:cs="仿宋"/>
                <w:b w:val="0"/>
                <w:bCs w:val="0"/>
                <w:color w:val="auto"/>
                <w:kern w:val="0"/>
                <w:sz w:val="22"/>
                <w:szCs w:val="22"/>
                <w:highlight w:val="none"/>
              </w:rPr>
              <w:t>信息等支出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216 商业服务业等支出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217 金融支出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219 援助其他地区支出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221 住房保障支出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154.11</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 w:hAnsi="仿宋" w:eastAsia="仿宋" w:cs="仿宋"/>
                <w:color w:val="auto"/>
                <w:kern w:val="0"/>
                <w:sz w:val="22"/>
                <w:szCs w:val="22"/>
                <w:highlight w:val="none"/>
              </w:rPr>
            </w:pPr>
            <w:r>
              <w:rPr>
                <w:rFonts w:hint="eastAsia" w:ascii="仿宋" w:hAnsi="仿宋" w:eastAsia="仿宋" w:cs="仿宋"/>
                <w:i w:val="0"/>
                <w:iCs w:val="0"/>
                <w:color w:val="auto"/>
                <w:kern w:val="0"/>
                <w:sz w:val="22"/>
                <w:szCs w:val="22"/>
                <w:highlight w:val="none"/>
                <w:u w:val="none"/>
                <w:lang w:val="en-US" w:eastAsia="zh-CN" w:bidi="ar"/>
              </w:rPr>
              <w:t>154.11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222 粮油物资储备支出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223 国有资本经营预算支出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224</w:t>
            </w:r>
            <w:r>
              <w:rPr>
                <w:rFonts w:hint="eastAsia" w:ascii="仿宋" w:hAnsi="仿宋" w:eastAsia="仿宋" w:cs="仿宋"/>
                <w:b w:val="0"/>
                <w:bCs w:val="0"/>
                <w:color w:val="auto"/>
                <w:kern w:val="0"/>
                <w:sz w:val="22"/>
                <w:szCs w:val="22"/>
                <w:highlight w:val="none"/>
                <w:lang w:val="en-US" w:eastAsia="zh-CN"/>
              </w:rPr>
              <w:t xml:space="preserve"> </w:t>
            </w:r>
            <w:r>
              <w:rPr>
                <w:rFonts w:hint="eastAsia" w:ascii="仿宋" w:hAnsi="仿宋" w:eastAsia="仿宋" w:cs="仿宋"/>
                <w:b w:val="0"/>
                <w:bCs w:val="0"/>
                <w:color w:val="auto"/>
                <w:kern w:val="0"/>
                <w:sz w:val="22"/>
                <w:szCs w:val="22"/>
                <w:highlight w:val="none"/>
              </w:rPr>
              <w:t>灾害防治及应急管理支出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227 预备费</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229 其他支出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230</w:t>
            </w:r>
            <w:r>
              <w:rPr>
                <w:rFonts w:hint="eastAsia" w:ascii="仿宋" w:hAnsi="仿宋" w:eastAsia="仿宋" w:cs="仿宋"/>
                <w:b w:val="0"/>
                <w:bCs w:val="0"/>
                <w:color w:val="auto"/>
                <w:kern w:val="0"/>
                <w:sz w:val="22"/>
                <w:szCs w:val="22"/>
                <w:highlight w:val="none"/>
                <w:lang w:val="en-US" w:eastAsia="zh-CN"/>
              </w:rPr>
              <w:t xml:space="preserve"> </w:t>
            </w:r>
            <w:r>
              <w:rPr>
                <w:rFonts w:hint="eastAsia" w:ascii="仿宋" w:hAnsi="仿宋" w:eastAsia="仿宋" w:cs="仿宋"/>
                <w:b w:val="0"/>
                <w:bCs w:val="0"/>
                <w:color w:val="auto"/>
                <w:kern w:val="0"/>
                <w:sz w:val="22"/>
                <w:szCs w:val="22"/>
                <w:highlight w:val="none"/>
              </w:rPr>
              <w:t>转移性支出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231 债务还本支出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r>
              <w:rPr>
                <w:rFonts w:hint="eastAsia" w:ascii="仿宋" w:hAnsi="仿宋" w:eastAsia="仿宋" w:cs="仿宋"/>
                <w:b w:val="0"/>
                <w:bCs w:val="0"/>
                <w:color w:val="auto"/>
                <w:kern w:val="0"/>
                <w:sz w:val="22"/>
                <w:szCs w:val="22"/>
                <w:highlight w:val="none"/>
              </w:rPr>
              <w:t>232 债务付息支出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233 债务发行费用支出</w:t>
            </w:r>
          </w:p>
        </w:tc>
        <w:tc>
          <w:tcPr>
            <w:tcW w:w="90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lang w:val="en-US"/>
              </w:rPr>
            </w:pPr>
            <w:r>
              <w:rPr>
                <w:rFonts w:hint="eastAsia" w:ascii="仿宋" w:hAnsi="仿宋" w:eastAsia="仿宋" w:cs="仿宋"/>
                <w:color w:val="auto"/>
                <w:kern w:val="0"/>
                <w:sz w:val="22"/>
                <w:szCs w:val="22"/>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2"/>
                <w:szCs w:val="22"/>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2"/>
                <w:szCs w:val="22"/>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2"/>
                <w:szCs w:val="22"/>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2"/>
                <w:szCs w:val="22"/>
                <w:highlight w:val="none"/>
              </w:rPr>
            </w:pPr>
          </w:p>
        </w:tc>
      </w:tr>
      <w:tr>
        <w:tblPrEx>
          <w:tblCellMar>
            <w:top w:w="0" w:type="dxa"/>
            <w:left w:w="108" w:type="dxa"/>
            <w:bottom w:w="0" w:type="dxa"/>
            <w:right w:w="108" w:type="dxa"/>
          </w:tblCellMar>
        </w:tblPrEx>
        <w:trPr>
          <w:trHeight w:val="655"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收  入  总  计</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2250.74</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支  出  总  计</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2250.74</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2250.74</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4"/>
                <w:szCs w:val="24"/>
                <w:highlight w:val="none"/>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51"/>
        <w:gridCol w:w="497"/>
        <w:gridCol w:w="502"/>
        <w:gridCol w:w="2477"/>
        <w:gridCol w:w="1673"/>
        <w:gridCol w:w="216"/>
        <w:gridCol w:w="1612"/>
        <w:gridCol w:w="1686"/>
      </w:tblGrid>
      <w:tr>
        <w:tblPrEx>
          <w:tblCellMar>
            <w:top w:w="0" w:type="dxa"/>
            <w:left w:w="108" w:type="dxa"/>
            <w:bottom w:w="0" w:type="dxa"/>
            <w:right w:w="108" w:type="dxa"/>
          </w:tblCellMar>
        </w:tblPrEx>
        <w:trPr>
          <w:trHeight w:val="78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482" w:hRule="atLeast"/>
        </w:trPr>
        <w:tc>
          <w:tcPr>
            <w:tcW w:w="5893" w:type="dxa"/>
            <w:gridSpan w:val="6"/>
            <w:tcBorders>
              <w:top w:val="nil"/>
              <w:left w:val="nil"/>
              <w:bottom w:val="nil"/>
              <w:right w:val="nil"/>
            </w:tcBorders>
            <w:noWrap w:val="0"/>
            <w:vAlign w:val="center"/>
          </w:tcPr>
          <w:p>
            <w:pPr>
              <w:widowControl/>
              <w:spacing w:before="120" w:beforeLines="50" w:line="240" w:lineRule="auto"/>
              <w:jc w:val="center"/>
              <w:outlineLvl w:val="1"/>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p>
        </w:tc>
        <w:tc>
          <w:tcPr>
            <w:tcW w:w="3321" w:type="dxa"/>
            <w:gridSpan w:val="2"/>
            <w:tcBorders>
              <w:top w:val="nil"/>
              <w:left w:val="nil"/>
              <w:bottom w:val="nil"/>
              <w:right w:val="nil"/>
            </w:tcBorders>
            <w:noWrap w:val="0"/>
            <w:vAlign w:val="center"/>
          </w:tcPr>
          <w:p>
            <w:pPr>
              <w:widowControl/>
              <w:spacing w:line="24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9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90"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b/>
                <w:color w:val="auto"/>
                <w:kern w:val="0"/>
                <w:sz w:val="20"/>
                <w:szCs w:val="20"/>
                <w:highlight w:val="none"/>
                <w:lang w:eastAsia="zh-CN"/>
              </w:rPr>
            </w:pPr>
            <w:r>
              <w:rPr>
                <w:rFonts w:hint="default" w:ascii="Calibri" w:hAnsi="Calibri" w:eastAsia="宋体" w:cs="Calibri"/>
                <w:i w:val="0"/>
                <w:iCs w:val="0"/>
                <w:color w:val="auto"/>
                <w:kern w:val="0"/>
                <w:sz w:val="22"/>
                <w:szCs w:val="22"/>
                <w:u w:val="none"/>
                <w:lang w:val="en-US" w:eastAsia="zh-CN" w:bidi="ar"/>
              </w:rPr>
              <w:t>201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10"/>
                <w:szCs w:val="10"/>
                <w:highlight w:val="none"/>
              </w:rPr>
            </w:pPr>
            <w:r>
              <w:rPr>
                <w:rFonts w:hint="default" w:ascii="Calibri" w:hAnsi="Calibri" w:eastAsia="宋体" w:cs="Calibri"/>
                <w:i w:val="0"/>
                <w:iCs w:val="0"/>
                <w:color w:val="auto"/>
                <w:kern w:val="0"/>
                <w:sz w:val="18"/>
                <w:szCs w:val="18"/>
                <w:u w:val="none"/>
                <w:lang w:val="en-US" w:eastAsia="zh-CN" w:bidi="ar"/>
              </w:rPr>
              <w:t>一般公共服务支出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1756.15</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1732.21</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宋体" w:cs="宋体"/>
                <w:b/>
                <w:color w:val="auto"/>
                <w:kern w:val="0"/>
                <w:sz w:val="20"/>
                <w:szCs w:val="20"/>
                <w:highlight w:val="none"/>
                <w:lang w:val="en-US" w:eastAsia="zh-CN"/>
              </w:rPr>
            </w:pPr>
            <w:r>
              <w:rPr>
                <w:rFonts w:hint="eastAsia"/>
                <w:lang w:val="en-US" w:eastAsia="zh-CN"/>
              </w:rPr>
              <w:t>23.94</w:t>
            </w: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0"/>
                <w:szCs w:val="10"/>
                <w:highlight w:val="none"/>
              </w:rPr>
            </w:pPr>
            <w:r>
              <w:rPr>
                <w:rFonts w:hint="default" w:ascii="Calibri" w:hAnsi="Calibri" w:eastAsia="宋体" w:cs="Calibri"/>
                <w:i w:val="0"/>
                <w:iCs w:val="0"/>
                <w:color w:val="auto"/>
                <w:kern w:val="0"/>
                <w:sz w:val="18"/>
                <w:szCs w:val="18"/>
                <w:u w:val="none"/>
                <w:lang w:val="en-US" w:eastAsia="zh-CN" w:bidi="ar"/>
              </w:rPr>
              <w:t>纪检监察事务</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1756.15</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1732.21</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23.94</w:t>
            </w: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01</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0"/>
                <w:szCs w:val="10"/>
                <w:highlight w:val="none"/>
              </w:rPr>
            </w:pPr>
            <w:r>
              <w:rPr>
                <w:rFonts w:hint="default" w:ascii="Calibri" w:hAnsi="Calibri" w:eastAsia="宋体" w:cs="Calibri"/>
                <w:i w:val="0"/>
                <w:iCs w:val="0"/>
                <w:color w:val="auto"/>
                <w:kern w:val="0"/>
                <w:sz w:val="18"/>
                <w:szCs w:val="18"/>
                <w:u w:val="none"/>
                <w:lang w:val="en-US" w:eastAsia="zh-CN" w:bidi="ar"/>
              </w:rPr>
              <w:t>行政运行</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1608.58</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1608.58</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50</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0"/>
                <w:szCs w:val="10"/>
                <w:highlight w:val="none"/>
              </w:rPr>
            </w:pPr>
            <w:r>
              <w:rPr>
                <w:rFonts w:hint="default" w:ascii="Calibri" w:hAnsi="Calibri" w:eastAsia="宋体" w:cs="Calibri"/>
                <w:i w:val="0"/>
                <w:iCs w:val="0"/>
                <w:color w:val="auto"/>
                <w:kern w:val="0"/>
                <w:sz w:val="22"/>
                <w:szCs w:val="22"/>
                <w:u w:val="none"/>
                <w:lang w:val="en-US" w:eastAsia="zh-CN" w:bidi="ar"/>
              </w:rPr>
              <w:t>事业运行</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123.63</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123.63</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99</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0"/>
                <w:szCs w:val="10"/>
                <w:highlight w:val="none"/>
              </w:rPr>
            </w:pPr>
            <w:r>
              <w:rPr>
                <w:rFonts w:hint="default" w:ascii="Calibri" w:hAnsi="Calibri" w:eastAsia="宋体" w:cs="Calibri"/>
                <w:i w:val="0"/>
                <w:iCs w:val="0"/>
                <w:color w:val="auto"/>
                <w:kern w:val="0"/>
                <w:sz w:val="18"/>
                <w:szCs w:val="18"/>
                <w:u w:val="none"/>
                <w:lang w:val="en-US" w:eastAsia="zh-CN" w:bidi="ar"/>
              </w:rPr>
              <w:t>其他纪检监察事务支出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23.94</w:t>
            </w:r>
          </w:p>
        </w:tc>
        <w:tc>
          <w:tcPr>
            <w:tcW w:w="1839"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23.94</w:t>
            </w: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208</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社会保障和就业支出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200.02</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200.02</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208</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05</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行政事业单位养老支出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200.02</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200.02</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208</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05</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01</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行政单位离退休</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14.28</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14.28</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208</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05</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cs="Calibri"/>
                <w:i w:val="0"/>
                <w:iCs w:val="0"/>
                <w:color w:val="auto"/>
                <w:kern w:val="0"/>
                <w:sz w:val="22"/>
                <w:szCs w:val="22"/>
                <w:u w:val="none"/>
                <w:lang w:val="en-US" w:eastAsia="zh-CN" w:bidi="ar"/>
              </w:rPr>
            </w:pPr>
            <w:r>
              <w:rPr>
                <w:rFonts w:hint="eastAsia" w:ascii="Calibri" w:hAnsi="Calibri" w:cs="Calibri"/>
                <w:i w:val="0"/>
                <w:iCs w:val="0"/>
                <w:color w:val="auto"/>
                <w:kern w:val="0"/>
                <w:sz w:val="22"/>
                <w:szCs w:val="22"/>
                <w:u w:val="none"/>
                <w:lang w:val="en-US" w:eastAsia="zh-CN" w:bidi="ar"/>
              </w:rPr>
              <w:t>05</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机关事业单位基本养老保险缴费支出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185.73</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185.73</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210</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卫生健康支出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140.46</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140.46</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210</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行政事业单位医疗</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140.46</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140.46</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210</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行政单位医疗</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84.10</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84.10</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210</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事业单位医疗</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8.76</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8.76</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210</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公务员医疗补助</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46.43</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46.43</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210</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11</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其他行政事业单位医疗支出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1.16</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1.16</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221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4"/>
                <w:szCs w:val="4"/>
                <w:highlight w:val="none"/>
              </w:rPr>
            </w:pPr>
            <w:r>
              <w:rPr>
                <w:rFonts w:hint="default" w:ascii="Calibri" w:hAnsi="Calibri" w:eastAsia="宋体" w:cs="Calibri"/>
                <w:i w:val="0"/>
                <w:iCs w:val="0"/>
                <w:color w:val="auto"/>
                <w:kern w:val="0"/>
                <w:sz w:val="18"/>
                <w:szCs w:val="18"/>
                <w:u w:val="none"/>
                <w:lang w:val="en-US" w:eastAsia="zh-CN" w:bidi="ar"/>
              </w:rPr>
              <w:t>住房保障支出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221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3"/>
                <w:szCs w:val="13"/>
                <w:u w:val="none"/>
                <w:lang w:val="en-US" w:eastAsia="zh-CN" w:bidi="ar"/>
              </w:rPr>
            </w:pPr>
            <w:r>
              <w:rPr>
                <w:rFonts w:hint="default" w:ascii="Calibri" w:hAnsi="Calibri" w:eastAsia="宋体" w:cs="Calibri"/>
                <w:i w:val="0"/>
                <w:iCs w:val="0"/>
                <w:color w:val="auto"/>
                <w:kern w:val="0"/>
                <w:sz w:val="18"/>
                <w:szCs w:val="18"/>
                <w:u w:val="none"/>
                <w:lang w:val="en-US" w:eastAsia="zh-CN" w:bidi="ar"/>
              </w:rPr>
              <w:t>住房改革支出</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8"/>
                <w:szCs w:val="18"/>
                <w:u w:val="none"/>
                <w:lang w:val="en-US" w:eastAsia="zh-CN" w:bidi="ar"/>
              </w:rPr>
            </w:pPr>
            <w:r>
              <w:rPr>
                <w:rFonts w:hint="default" w:ascii="Calibri" w:hAnsi="Calibri" w:eastAsia="宋体" w:cs="Calibri"/>
                <w:i w:val="0"/>
                <w:iCs w:val="0"/>
                <w:color w:val="auto"/>
                <w:kern w:val="0"/>
                <w:sz w:val="22"/>
                <w:szCs w:val="22"/>
                <w:u w:val="none"/>
                <w:lang w:val="en-US" w:eastAsia="zh-CN" w:bidi="ar"/>
              </w:rPr>
              <w:t>221</w:t>
            </w:r>
          </w:p>
        </w:tc>
        <w:tc>
          <w:tcPr>
            <w:tcW w:w="49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cs="Calibri"/>
                <w:i w:val="0"/>
                <w:iCs w:val="0"/>
                <w:color w:val="auto"/>
                <w:kern w:val="0"/>
                <w:sz w:val="18"/>
                <w:szCs w:val="18"/>
                <w:u w:val="none"/>
                <w:lang w:val="en-US" w:eastAsia="zh-CN" w:bidi="ar"/>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3"/>
                <w:szCs w:val="13"/>
                <w:u w:val="none"/>
                <w:lang w:val="en-US" w:eastAsia="zh-CN" w:bidi="ar"/>
              </w:rPr>
            </w:pPr>
            <w:r>
              <w:rPr>
                <w:rFonts w:hint="default" w:ascii="Calibri" w:hAnsi="Calibri" w:eastAsia="宋体" w:cs="Calibri"/>
                <w:i w:val="0"/>
                <w:iCs w:val="0"/>
                <w:color w:val="auto"/>
                <w:kern w:val="0"/>
                <w:sz w:val="18"/>
                <w:szCs w:val="18"/>
                <w:u w:val="none"/>
                <w:lang w:val="en-US" w:eastAsia="zh-CN" w:bidi="ar"/>
              </w:rPr>
              <w:t>住房公积金</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13"/>
                <w:szCs w:val="13"/>
                <w:u w:val="none"/>
                <w:lang w:val="en-US" w:eastAsia="zh-CN" w:bidi="ar"/>
              </w:rPr>
            </w:pP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90"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22</w:t>
            </w:r>
            <w:r>
              <w:rPr>
                <w:rFonts w:hint="eastAsia" w:ascii="Calibri" w:hAnsi="Calibri" w:cs="Calibri"/>
                <w:i w:val="0"/>
                <w:iCs w:val="0"/>
                <w:color w:val="auto"/>
                <w:kern w:val="0"/>
                <w:sz w:val="22"/>
                <w:szCs w:val="22"/>
                <w:u w:val="none"/>
                <w:lang w:val="en-US" w:eastAsia="zh-CN" w:bidi="ar"/>
              </w:rPr>
              <w:t>50</w:t>
            </w:r>
            <w:r>
              <w:rPr>
                <w:rFonts w:hint="default" w:ascii="Calibri" w:hAnsi="Calibri" w:eastAsia="宋体" w:cs="Calibri"/>
                <w:i w:val="0"/>
                <w:iCs w:val="0"/>
                <w:color w:val="auto"/>
                <w:kern w:val="0"/>
                <w:sz w:val="22"/>
                <w:szCs w:val="22"/>
                <w:u w:val="none"/>
                <w:lang w:val="en-US" w:eastAsia="zh-CN" w:bidi="ar"/>
              </w:rPr>
              <w:t>.74</w:t>
            </w:r>
          </w:p>
        </w:tc>
        <w:tc>
          <w:tcPr>
            <w:tcW w:w="1839"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auto"/>
                <w:kern w:val="2"/>
                <w:sz w:val="22"/>
                <w:szCs w:val="22"/>
                <w:u w:val="none"/>
                <w:lang w:val="en-US" w:eastAsia="zh-CN" w:bidi="ar-SA"/>
              </w:rPr>
            </w:pPr>
            <w:r>
              <w:rPr>
                <w:rFonts w:hint="default" w:ascii="Calibri" w:hAnsi="Calibri" w:eastAsia="宋体" w:cs="Calibri"/>
                <w:i w:val="0"/>
                <w:iCs w:val="0"/>
                <w:color w:val="auto"/>
                <w:kern w:val="0"/>
                <w:sz w:val="22"/>
                <w:szCs w:val="22"/>
                <w:u w:val="none"/>
                <w:lang w:val="en-US" w:eastAsia="zh-CN" w:bidi="ar"/>
              </w:rPr>
              <w:t>2226.80</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23.94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74"/>
        <w:gridCol w:w="774"/>
        <w:gridCol w:w="2790"/>
        <w:gridCol w:w="1665"/>
        <w:gridCol w:w="961"/>
        <w:gridCol w:w="704"/>
        <w:gridCol w:w="1660"/>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64" w:type="dxa"/>
            <w:gridSpan w:val="5"/>
            <w:tcBorders>
              <w:top w:val="nil"/>
              <w:left w:val="nil"/>
              <w:bottom w:val="nil"/>
              <w:right w:val="nil"/>
            </w:tcBorders>
            <w:noWrap w:val="0"/>
            <w:vAlign w:val="center"/>
          </w:tcPr>
          <w:p>
            <w:pPr>
              <w:widowControl/>
              <w:spacing w:before="120" w:beforeLines="50" w:line="240" w:lineRule="auto"/>
              <w:jc w:val="left"/>
              <w:outlineLvl w:val="1"/>
              <w:rPr>
                <w:rFonts w:hint="default" w:ascii="仿宋_GB2312" w:hAnsi="宋体" w:eastAsia="宋体" w:cs="宋体"/>
                <w:color w:val="auto"/>
                <w:kern w:val="0"/>
                <w:sz w:val="24"/>
                <w:highlight w:val="none"/>
                <w:lang w:val="en-US"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p>
        </w:tc>
        <w:tc>
          <w:tcPr>
            <w:tcW w:w="2364" w:type="dxa"/>
            <w:gridSpan w:val="2"/>
            <w:tcBorders>
              <w:top w:val="nil"/>
              <w:left w:val="nil"/>
              <w:bottom w:val="nil"/>
              <w:right w:val="nil"/>
            </w:tcBorders>
            <w:noWrap w:val="0"/>
            <w:vAlign w:val="center"/>
          </w:tcPr>
          <w:p>
            <w:pPr>
              <w:widowControl/>
              <w:spacing w:line="24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33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90"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548"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79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6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6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6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774"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79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6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6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6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20"/>
                <w:szCs w:val="20"/>
                <w:highlight w:val="none"/>
                <w:lang w:val="en-US" w:eastAsia="zh-CN"/>
              </w:rPr>
            </w:pP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工资福利支出</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1769.74</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1769.74</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01</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基本工资</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438.04</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438.04</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02</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津贴补贴</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447.89</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447.89</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color w:val="auto"/>
                <w:lang w:val="en-US"/>
              </w:rPr>
            </w:pPr>
            <w:r>
              <w:rPr>
                <w:rFonts w:hint="eastAsia" w:ascii="Calibri" w:hAnsi="Calibri" w:cs="Calibri"/>
                <w:i w:val="0"/>
                <w:iCs w:val="0"/>
                <w:color w:val="auto"/>
                <w:kern w:val="0"/>
                <w:sz w:val="22"/>
                <w:szCs w:val="22"/>
                <w:u w:val="none"/>
                <w:lang w:val="en-US" w:eastAsia="zh-CN" w:bidi="ar"/>
              </w:rPr>
              <w:t>03</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奖金</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368.49</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368.49</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07</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绩效工资</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29.83</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29.83</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08</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机关事业单位基本养老保险缴费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185.73</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185.73</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10</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职工基本医疗保险缴费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92.87</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92.87</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11</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公务员医疗补助缴费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46.43</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46.43</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12</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其他社会保障缴费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6.35</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6.35</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301</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13</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住房公积金</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154.11</w:t>
            </w:r>
          </w:p>
        </w:tc>
        <w:tc>
          <w:tcPr>
            <w:tcW w:w="1660" w:type="dxa"/>
            <w:tcBorders>
              <w:top w:val="nil"/>
              <w:left w:val="nil"/>
              <w:bottom w:val="single" w:color="auto" w:sz="4" w:space="0"/>
              <w:right w:val="single" w:color="auto" w:sz="4" w:space="0"/>
            </w:tcBorders>
            <w:noWrap w:val="0"/>
            <w:vAlign w:val="top"/>
          </w:tcPr>
          <w:p>
            <w:pPr>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商品和服务支出</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439.69</w:t>
            </w:r>
          </w:p>
        </w:tc>
        <w:tc>
          <w:tcPr>
            <w:tcW w:w="1665" w:type="dxa"/>
            <w:gridSpan w:val="2"/>
            <w:tcBorders>
              <w:top w:val="nil"/>
              <w:left w:val="nil"/>
              <w:bottom w:val="single" w:color="auto" w:sz="4" w:space="0"/>
              <w:right w:val="single" w:color="auto" w:sz="4" w:space="0"/>
            </w:tcBorders>
            <w:noWrap w:val="0"/>
            <w:vAlign w:val="top"/>
          </w:tcPr>
          <w:p>
            <w:pPr>
              <w:jc w:val="left"/>
              <w:rPr>
                <w:rFonts w:hint="eastAsia"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439.69</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01</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办公费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92.21</w:t>
            </w:r>
          </w:p>
        </w:tc>
        <w:tc>
          <w:tcPr>
            <w:tcW w:w="1665" w:type="dxa"/>
            <w:gridSpan w:val="2"/>
            <w:tcBorders>
              <w:top w:val="nil"/>
              <w:left w:val="nil"/>
              <w:bottom w:val="single" w:color="auto" w:sz="4" w:space="0"/>
              <w:right w:val="single" w:color="auto" w:sz="4" w:space="0"/>
            </w:tcBorders>
            <w:noWrap w:val="0"/>
            <w:vAlign w:val="top"/>
          </w:tcPr>
          <w:p>
            <w:pPr>
              <w:jc w:val="left"/>
              <w:rPr>
                <w:rFonts w:hint="eastAsia"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92.21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02</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印刷费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18.00</w:t>
            </w:r>
          </w:p>
        </w:tc>
        <w:tc>
          <w:tcPr>
            <w:tcW w:w="1665" w:type="dxa"/>
            <w:gridSpan w:val="2"/>
            <w:tcBorders>
              <w:top w:val="nil"/>
              <w:left w:val="nil"/>
              <w:bottom w:val="single" w:color="auto" w:sz="4" w:space="0"/>
              <w:right w:val="single" w:color="auto" w:sz="4" w:space="0"/>
            </w:tcBorders>
            <w:noWrap w:val="0"/>
            <w:vAlign w:val="top"/>
          </w:tcPr>
          <w:p>
            <w:pPr>
              <w:jc w:val="left"/>
              <w:rPr>
                <w:rFonts w:hint="eastAsia"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18.00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04</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手续费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0.50</w:t>
            </w:r>
          </w:p>
        </w:tc>
        <w:tc>
          <w:tcPr>
            <w:tcW w:w="1665" w:type="dxa"/>
            <w:gridSpan w:val="2"/>
            <w:tcBorders>
              <w:top w:val="nil"/>
              <w:left w:val="nil"/>
              <w:bottom w:val="single" w:color="auto" w:sz="4" w:space="0"/>
              <w:right w:val="single" w:color="auto" w:sz="4" w:space="0"/>
            </w:tcBorders>
            <w:noWrap w:val="0"/>
            <w:vAlign w:val="top"/>
          </w:tcPr>
          <w:p>
            <w:pPr>
              <w:jc w:val="left"/>
              <w:rPr>
                <w:rFonts w:hint="eastAsia"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0.50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05</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水费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1.67</w:t>
            </w:r>
          </w:p>
        </w:tc>
        <w:tc>
          <w:tcPr>
            <w:tcW w:w="1665" w:type="dxa"/>
            <w:gridSpan w:val="2"/>
            <w:tcBorders>
              <w:top w:val="nil"/>
              <w:left w:val="nil"/>
              <w:bottom w:val="single" w:color="auto" w:sz="4" w:space="0"/>
              <w:right w:val="single" w:color="auto" w:sz="4" w:space="0"/>
            </w:tcBorders>
            <w:noWrap w:val="0"/>
            <w:vAlign w:val="top"/>
          </w:tcPr>
          <w:p>
            <w:pPr>
              <w:jc w:val="left"/>
              <w:rPr>
                <w:rFonts w:hint="eastAsia"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1.67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06</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电费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4.80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4.80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07</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邮电费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4.80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4.80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08</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取暖费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3.34</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3.34</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09</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物业管理费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0.50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0.50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11</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差旅费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24.00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24.00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13</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维修（护）费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24.00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24.00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14</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租赁费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2.36</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2.36</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15</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会议费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2.50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2.50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16</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培训费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10.00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10.00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17</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公务接待费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6.00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6.00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26</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劳务费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125.55</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125.55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27</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委托业务费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28</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工会经费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22.49</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22.49</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31</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公务用车运行维护费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33.60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33.60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39</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其他交通费用</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2.40</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2.40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302</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99</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其他商品和服务支出</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57.97</w:t>
            </w:r>
          </w:p>
        </w:tc>
        <w:tc>
          <w:tcPr>
            <w:tcW w:w="1665"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57.97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auto"/>
                <w:kern w:val="0"/>
                <w:sz w:val="22"/>
                <w:szCs w:val="22"/>
                <w:u w:val="none"/>
                <w:lang w:val="en-US" w:eastAsia="zh-CN" w:bidi="ar"/>
              </w:rPr>
              <w:t>303</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对个人和家庭的补助</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17.38</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17.38</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303</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02</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退休费</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14.28</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14.28</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303</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05</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生活补助</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0.09</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0.09</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303</w:t>
            </w:r>
          </w:p>
        </w:tc>
        <w:tc>
          <w:tcPr>
            <w:tcW w:w="77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auto"/>
                <w:kern w:val="0"/>
                <w:sz w:val="22"/>
                <w:szCs w:val="22"/>
                <w:u w:val="none"/>
                <w:lang w:val="en-US" w:eastAsia="zh-CN" w:bidi="ar"/>
              </w:rPr>
              <w:t>09</w:t>
            </w:r>
          </w:p>
        </w:tc>
        <w:tc>
          <w:tcPr>
            <w:tcW w:w="279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5"/>
                <w:szCs w:val="15"/>
                <w:highlight w:val="none"/>
              </w:rPr>
            </w:pPr>
            <w:r>
              <w:rPr>
                <w:rFonts w:hint="default" w:ascii="Calibri" w:hAnsi="Calibri" w:eastAsia="宋体" w:cs="Calibri"/>
                <w:i w:val="0"/>
                <w:iCs w:val="0"/>
                <w:color w:val="auto"/>
                <w:kern w:val="0"/>
                <w:sz w:val="18"/>
                <w:szCs w:val="18"/>
                <w:u w:val="none"/>
                <w:lang w:val="en-US" w:eastAsia="zh-CN" w:bidi="ar"/>
              </w:rPr>
              <w:t>奖励金</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3.00</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3.00</w:t>
            </w:r>
          </w:p>
        </w:tc>
        <w:tc>
          <w:tcPr>
            <w:tcW w:w="1660"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77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79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6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2226.80</w:t>
            </w:r>
          </w:p>
        </w:tc>
        <w:tc>
          <w:tcPr>
            <w:tcW w:w="166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1787.11</w:t>
            </w:r>
          </w:p>
        </w:tc>
        <w:tc>
          <w:tcPr>
            <w:tcW w:w="166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auto"/>
                <w:kern w:val="0"/>
                <w:sz w:val="22"/>
                <w:szCs w:val="22"/>
                <w:u w:val="none"/>
                <w:lang w:val="en-US" w:eastAsia="zh-CN" w:bidi="ar"/>
              </w:rPr>
              <w:t>439.69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0"/>
        <w:gridCol w:w="550"/>
        <w:gridCol w:w="373"/>
        <w:gridCol w:w="417"/>
        <w:gridCol w:w="992"/>
        <w:gridCol w:w="1221"/>
        <w:gridCol w:w="606"/>
        <w:gridCol w:w="174"/>
        <w:gridCol w:w="330"/>
        <w:gridCol w:w="427"/>
        <w:gridCol w:w="595"/>
        <w:gridCol w:w="595"/>
        <w:gridCol w:w="404"/>
        <w:gridCol w:w="214"/>
        <w:gridCol w:w="718"/>
        <w:gridCol w:w="618"/>
        <w:gridCol w:w="420"/>
        <w:gridCol w:w="420"/>
        <w:gridCol w:w="385"/>
        <w:gridCol w:w="71"/>
      </w:tblGrid>
      <w:tr>
        <w:tblPrEx>
          <w:tblCellMar>
            <w:top w:w="0" w:type="dxa"/>
            <w:left w:w="108" w:type="dxa"/>
            <w:bottom w:w="0" w:type="dxa"/>
            <w:right w:w="108" w:type="dxa"/>
          </w:tblCellMar>
        </w:tblPrEx>
        <w:trPr>
          <w:gridBefore w:val="1"/>
          <w:gridAfter w:val="1"/>
          <w:wBefore w:w="10" w:type="dxa"/>
          <w:wAfter w:w="71" w:type="dxa"/>
          <w:trHeight w:val="375" w:hRule="atLeast"/>
        </w:trPr>
        <w:tc>
          <w:tcPr>
            <w:tcW w:w="9459"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71" w:type="dxa"/>
          <w:trHeight w:val="405" w:hRule="atLeast"/>
        </w:trPr>
        <w:tc>
          <w:tcPr>
            <w:tcW w:w="4159"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p>
        </w:tc>
        <w:tc>
          <w:tcPr>
            <w:tcW w:w="93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9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775"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92"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21"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4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9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9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60"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37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9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2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6"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0" w:type="dxa"/>
            <w:gridSpan w:val="2"/>
            <w:noWrap w:val="0"/>
            <w:vAlign w:val="center"/>
          </w:tcPr>
          <w:p>
            <w:pPr>
              <w:widowControl/>
              <w:jc w:val="center"/>
              <w:outlineLvl w:val="1"/>
              <w:rPr>
                <w:rFonts w:hint="default" w:ascii="Times New Roman" w:hAnsi="Times New Roman" w:eastAsia="仿宋_GB2312" w:cs="Times New Roman"/>
                <w:color w:val="auto"/>
                <w:kern w:val="0"/>
                <w:sz w:val="20"/>
                <w:szCs w:val="20"/>
                <w:highlight w:val="none"/>
              </w:rPr>
            </w:pPr>
            <w:r>
              <w:rPr>
                <w:rFonts w:hint="default" w:ascii="Times New Roman" w:hAnsi="Times New Roman" w:eastAsia="宋体" w:cs="Times New Roman"/>
                <w:i w:val="0"/>
                <w:iCs w:val="0"/>
                <w:color w:val="auto"/>
                <w:kern w:val="0"/>
                <w:sz w:val="20"/>
                <w:szCs w:val="20"/>
                <w:u w:val="none"/>
                <w:lang w:val="en-US" w:eastAsia="zh-CN" w:bidi="ar"/>
              </w:rPr>
              <w:t>201</w:t>
            </w:r>
          </w:p>
        </w:tc>
        <w:tc>
          <w:tcPr>
            <w:tcW w:w="373" w:type="dxa"/>
            <w:noWrap w:val="0"/>
            <w:vAlign w:val="center"/>
          </w:tcPr>
          <w:p>
            <w:pPr>
              <w:widowControl/>
              <w:jc w:val="center"/>
              <w:outlineLvl w:val="1"/>
              <w:rPr>
                <w:rFonts w:hint="default" w:ascii="Times New Roman" w:hAnsi="Times New Roman" w:eastAsia="仿宋_GB2312" w:cs="Times New Roman"/>
                <w:color w:val="auto"/>
                <w:kern w:val="0"/>
                <w:sz w:val="20"/>
                <w:szCs w:val="20"/>
                <w:highlight w:val="none"/>
              </w:rPr>
            </w:pPr>
          </w:p>
        </w:tc>
        <w:tc>
          <w:tcPr>
            <w:tcW w:w="417"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color w:val="auto"/>
                <w:kern w:val="0"/>
                <w:sz w:val="20"/>
                <w:szCs w:val="20"/>
                <w:highlight w:val="none"/>
                <w:lang w:val="en-US"/>
              </w:rPr>
            </w:pPr>
          </w:p>
        </w:tc>
        <w:tc>
          <w:tcPr>
            <w:tcW w:w="992" w:type="dxa"/>
            <w:noWrap w:val="0"/>
            <w:vAlign w:val="top"/>
          </w:tcPr>
          <w:p>
            <w:pPr>
              <w:keepNext w:val="0"/>
              <w:keepLines w:val="0"/>
              <w:widowControl/>
              <w:suppressLineNumbers w:val="0"/>
              <w:jc w:val="left"/>
              <w:textAlignment w:val="top"/>
              <w:rPr>
                <w:rFonts w:ascii="仿宋_GB2312" w:hAnsi="宋体" w:eastAsia="仿宋_GB2312"/>
                <w:color w:val="auto"/>
                <w:kern w:val="0"/>
                <w:sz w:val="24"/>
                <w:szCs w:val="24"/>
                <w:highlight w:val="none"/>
              </w:rPr>
            </w:pPr>
            <w:r>
              <w:rPr>
                <w:rFonts w:hint="default" w:ascii="Calibri" w:hAnsi="Calibri" w:eastAsia="宋体" w:cs="Calibri"/>
                <w:i w:val="0"/>
                <w:iCs w:val="0"/>
                <w:color w:val="auto"/>
                <w:kern w:val="0"/>
                <w:sz w:val="20"/>
                <w:szCs w:val="20"/>
                <w:u w:val="none"/>
                <w:lang w:val="en-US" w:eastAsia="zh-CN" w:bidi="ar"/>
              </w:rPr>
              <w:t>一般公共服务支出</w:t>
            </w:r>
          </w:p>
        </w:tc>
        <w:tc>
          <w:tcPr>
            <w:tcW w:w="1221" w:type="dxa"/>
            <w:noWrap w:val="0"/>
            <w:vAlign w:val="top"/>
          </w:tcPr>
          <w:p>
            <w:pPr>
              <w:jc w:val="left"/>
              <w:rPr>
                <w:rFonts w:ascii="仿宋_GB2312" w:hAnsi="宋体" w:eastAsia="仿宋_GB2312"/>
                <w:color w:val="auto"/>
                <w:kern w:val="0"/>
                <w:sz w:val="24"/>
                <w:szCs w:val="24"/>
                <w:highlight w:val="none"/>
              </w:rPr>
            </w:pPr>
          </w:p>
        </w:tc>
        <w:tc>
          <w:tcPr>
            <w:tcW w:w="780" w:type="dxa"/>
            <w:gridSpan w:val="2"/>
            <w:noWrap w:val="0"/>
            <w:vAlign w:val="top"/>
          </w:tcPr>
          <w:p>
            <w:pPr>
              <w:keepNext w:val="0"/>
              <w:keepLines w:val="0"/>
              <w:widowControl/>
              <w:suppressLineNumbers w:val="0"/>
              <w:jc w:val="lef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auto"/>
                <w:kern w:val="0"/>
                <w:sz w:val="22"/>
                <w:szCs w:val="22"/>
                <w:u w:val="none"/>
                <w:lang w:val="en-US" w:eastAsia="zh-CN" w:bidi="ar"/>
              </w:rPr>
              <w:t>23.94</w:t>
            </w:r>
          </w:p>
        </w:tc>
        <w:tc>
          <w:tcPr>
            <w:tcW w:w="3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keepNext w:val="0"/>
              <w:keepLines w:val="0"/>
              <w:widowControl/>
              <w:suppressLineNumbers w:val="0"/>
              <w:jc w:val="lef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auto"/>
                <w:kern w:val="0"/>
                <w:sz w:val="22"/>
                <w:szCs w:val="22"/>
                <w:u w:val="none"/>
                <w:lang w:val="en-US" w:eastAsia="zh-CN" w:bidi="ar"/>
              </w:rPr>
              <w:t>23.94</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0" w:type="dxa"/>
            <w:gridSpan w:val="2"/>
            <w:noWrap w:val="0"/>
            <w:vAlign w:val="center"/>
          </w:tcPr>
          <w:p>
            <w:pPr>
              <w:widowControl/>
              <w:jc w:val="center"/>
              <w:outlineLvl w:val="1"/>
              <w:rPr>
                <w:rFonts w:ascii="仿宋_GB2312" w:hAnsi="宋体" w:eastAsia="仿宋_GB2312"/>
                <w:color w:val="auto"/>
                <w:kern w:val="0"/>
                <w:sz w:val="32"/>
                <w:szCs w:val="32"/>
                <w:highlight w:val="none"/>
              </w:rPr>
            </w:pPr>
            <w:r>
              <w:rPr>
                <w:rFonts w:hint="default" w:ascii="Times New Roman" w:hAnsi="Times New Roman" w:eastAsia="宋体" w:cs="Times New Roman"/>
                <w:i w:val="0"/>
                <w:iCs w:val="0"/>
                <w:color w:val="auto"/>
                <w:kern w:val="0"/>
                <w:sz w:val="20"/>
                <w:szCs w:val="20"/>
                <w:u w:val="none"/>
                <w:lang w:val="en-US" w:eastAsia="zh-CN" w:bidi="ar"/>
              </w:rPr>
              <w:t>201</w:t>
            </w:r>
          </w:p>
        </w:tc>
        <w:tc>
          <w:tcPr>
            <w:tcW w:w="373" w:type="dxa"/>
            <w:noWrap w:val="0"/>
            <w:vAlign w:val="center"/>
          </w:tcPr>
          <w:p>
            <w:pPr>
              <w:widowControl/>
              <w:jc w:val="center"/>
              <w:outlineLvl w:val="1"/>
              <w:rPr>
                <w:rFonts w:ascii="仿宋_GB2312" w:hAnsi="宋体" w:eastAsia="仿宋_GB2312"/>
                <w:color w:val="auto"/>
                <w:kern w:val="0"/>
                <w:sz w:val="32"/>
                <w:szCs w:val="32"/>
                <w:highlight w:val="none"/>
              </w:rPr>
            </w:pPr>
            <w:r>
              <w:rPr>
                <w:rFonts w:hint="default" w:ascii="Times New Roman" w:hAnsi="Times New Roman" w:eastAsia="仿宋_GB2312" w:cs="Times New Roman"/>
                <w:color w:val="auto"/>
                <w:kern w:val="0"/>
                <w:sz w:val="20"/>
                <w:szCs w:val="20"/>
                <w:highlight w:val="none"/>
                <w:lang w:val="en-US" w:eastAsia="zh-CN"/>
              </w:rPr>
              <w:t>11</w:t>
            </w: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2"/>
                <w:szCs w:val="32"/>
                <w:highlight w:val="none"/>
              </w:rPr>
            </w:pPr>
          </w:p>
        </w:tc>
        <w:tc>
          <w:tcPr>
            <w:tcW w:w="992" w:type="dxa"/>
            <w:noWrap w:val="0"/>
            <w:vAlign w:val="top"/>
          </w:tcPr>
          <w:p>
            <w:pPr>
              <w:keepNext w:val="0"/>
              <w:keepLines w:val="0"/>
              <w:widowControl/>
              <w:suppressLineNumbers w:val="0"/>
              <w:jc w:val="lef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auto"/>
                <w:kern w:val="0"/>
                <w:sz w:val="20"/>
                <w:szCs w:val="20"/>
                <w:u w:val="none"/>
                <w:lang w:val="en-US" w:eastAsia="zh-CN" w:bidi="ar"/>
              </w:rPr>
              <w:t>纪检监察事务</w:t>
            </w:r>
          </w:p>
        </w:tc>
        <w:tc>
          <w:tcPr>
            <w:tcW w:w="1221" w:type="dxa"/>
            <w:noWrap w:val="0"/>
            <w:vAlign w:val="top"/>
          </w:tcPr>
          <w:p>
            <w:pPr>
              <w:jc w:val="left"/>
              <w:rPr>
                <w:rFonts w:ascii="仿宋_GB2312" w:hAnsi="宋体" w:eastAsia="仿宋_GB2312"/>
                <w:color w:val="auto"/>
                <w:kern w:val="0"/>
                <w:sz w:val="32"/>
                <w:szCs w:val="32"/>
                <w:highlight w:val="none"/>
              </w:rPr>
            </w:pPr>
          </w:p>
        </w:tc>
        <w:tc>
          <w:tcPr>
            <w:tcW w:w="780" w:type="dxa"/>
            <w:gridSpan w:val="2"/>
            <w:noWrap w:val="0"/>
            <w:vAlign w:val="top"/>
          </w:tcPr>
          <w:p>
            <w:pPr>
              <w:keepNext w:val="0"/>
              <w:keepLines w:val="0"/>
              <w:widowControl/>
              <w:suppressLineNumbers w:val="0"/>
              <w:jc w:val="left"/>
              <w:textAlignment w:val="top"/>
              <w:rPr>
                <w:rFonts w:ascii="仿宋_GB2312" w:hAnsi="宋体" w:eastAsia="仿宋_GB2312"/>
                <w:color w:val="auto"/>
                <w:kern w:val="0"/>
                <w:szCs w:val="21"/>
                <w:highlight w:val="none"/>
              </w:rPr>
            </w:pPr>
            <w:r>
              <w:rPr>
                <w:rFonts w:hint="default" w:ascii="Calibri" w:hAnsi="Calibri" w:eastAsia="宋体" w:cs="Calibri"/>
                <w:i w:val="0"/>
                <w:iCs w:val="0"/>
                <w:color w:val="auto"/>
                <w:kern w:val="0"/>
                <w:sz w:val="22"/>
                <w:szCs w:val="22"/>
                <w:u w:val="none"/>
                <w:lang w:val="en-US" w:eastAsia="zh-CN" w:bidi="ar"/>
              </w:rPr>
              <w:t>23.94</w:t>
            </w:r>
          </w:p>
        </w:tc>
        <w:tc>
          <w:tcPr>
            <w:tcW w:w="3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keepNext w:val="0"/>
              <w:keepLines w:val="0"/>
              <w:widowControl/>
              <w:suppressLineNumbers w:val="0"/>
              <w:jc w:val="left"/>
              <w:textAlignment w:val="top"/>
              <w:rPr>
                <w:rFonts w:ascii="仿宋_GB2312" w:hAnsi="宋体" w:eastAsia="仿宋_GB2312"/>
                <w:color w:val="auto"/>
                <w:kern w:val="0"/>
                <w:sz w:val="32"/>
                <w:szCs w:val="32"/>
                <w:highlight w:val="none"/>
              </w:rPr>
            </w:pPr>
            <w:r>
              <w:rPr>
                <w:rFonts w:hint="default" w:ascii="Calibri" w:hAnsi="Calibri" w:eastAsia="宋体" w:cs="Calibri"/>
                <w:i w:val="0"/>
                <w:iCs w:val="0"/>
                <w:color w:val="auto"/>
                <w:kern w:val="0"/>
                <w:sz w:val="22"/>
                <w:szCs w:val="22"/>
                <w:u w:val="none"/>
                <w:lang w:val="en-US" w:eastAsia="zh-CN" w:bidi="ar"/>
              </w:rPr>
              <w:t>23.94</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0" w:type="dxa"/>
            <w:gridSpan w:val="2"/>
            <w:noWrap w:val="0"/>
            <w:vAlign w:val="center"/>
          </w:tcPr>
          <w:p>
            <w:pPr>
              <w:widowControl/>
              <w:jc w:val="center"/>
              <w:outlineLvl w:val="1"/>
              <w:rPr>
                <w:rFonts w:hint="eastAsia" w:ascii="仿宋_GB2312" w:hAnsi="宋体" w:eastAsia="仿宋_GB2312"/>
                <w:color w:val="auto"/>
                <w:kern w:val="0"/>
                <w:sz w:val="32"/>
                <w:szCs w:val="32"/>
                <w:highlight w:val="none"/>
              </w:rPr>
            </w:pPr>
            <w:r>
              <w:rPr>
                <w:rFonts w:hint="default" w:ascii="Times New Roman" w:hAnsi="Times New Roman" w:eastAsia="宋体" w:cs="Times New Roman"/>
                <w:i w:val="0"/>
                <w:iCs w:val="0"/>
                <w:color w:val="auto"/>
                <w:kern w:val="0"/>
                <w:sz w:val="20"/>
                <w:szCs w:val="20"/>
                <w:u w:val="none"/>
                <w:lang w:val="en-US" w:eastAsia="zh-CN" w:bidi="ar"/>
              </w:rPr>
              <w:t>201</w:t>
            </w:r>
          </w:p>
        </w:tc>
        <w:tc>
          <w:tcPr>
            <w:tcW w:w="373" w:type="dxa"/>
            <w:noWrap w:val="0"/>
            <w:vAlign w:val="center"/>
          </w:tcPr>
          <w:p>
            <w:pPr>
              <w:widowControl/>
              <w:jc w:val="center"/>
              <w:outlineLvl w:val="1"/>
              <w:rPr>
                <w:rFonts w:hint="eastAsia" w:ascii="仿宋_GB2312" w:hAnsi="宋体" w:eastAsia="仿宋_GB2312"/>
                <w:color w:val="auto"/>
                <w:kern w:val="0"/>
                <w:sz w:val="32"/>
                <w:szCs w:val="32"/>
                <w:highlight w:val="none"/>
              </w:rPr>
            </w:pPr>
            <w:r>
              <w:rPr>
                <w:rFonts w:hint="default" w:ascii="Times New Roman" w:hAnsi="Times New Roman" w:eastAsia="仿宋_GB2312" w:cs="Times New Roman"/>
                <w:color w:val="auto"/>
                <w:kern w:val="0"/>
                <w:sz w:val="20"/>
                <w:szCs w:val="20"/>
                <w:highlight w:val="none"/>
                <w:lang w:val="en-US" w:eastAsia="zh-CN"/>
              </w:rPr>
              <w:t>11</w:t>
            </w:r>
          </w:p>
        </w:tc>
        <w:tc>
          <w:tcPr>
            <w:tcW w:w="417" w:type="dxa"/>
            <w:noWrap w:val="0"/>
            <w:vAlign w:val="center"/>
          </w:tcPr>
          <w:p>
            <w:pPr>
              <w:keepNext w:val="0"/>
              <w:keepLines w:val="0"/>
              <w:widowControl/>
              <w:suppressLineNumbers w:val="0"/>
              <w:jc w:val="center"/>
              <w:textAlignment w:val="top"/>
              <w:rPr>
                <w:rFonts w:hint="eastAsia" w:ascii="仿宋_GB2312" w:hAnsi="宋体" w:eastAsia="仿宋_GB2312"/>
                <w:color w:val="auto"/>
                <w:kern w:val="0"/>
                <w:sz w:val="32"/>
                <w:szCs w:val="32"/>
                <w:highlight w:val="none"/>
              </w:rPr>
            </w:pPr>
            <w:r>
              <w:rPr>
                <w:rFonts w:hint="default" w:ascii="Times New Roman" w:hAnsi="Times New Roman" w:cs="Times New Roman"/>
                <w:i w:val="0"/>
                <w:iCs w:val="0"/>
                <w:color w:val="auto"/>
                <w:kern w:val="0"/>
                <w:sz w:val="20"/>
                <w:szCs w:val="20"/>
                <w:u w:val="none"/>
                <w:lang w:val="en-US" w:eastAsia="zh-CN" w:bidi="ar"/>
              </w:rPr>
              <w:t>99</w:t>
            </w:r>
          </w:p>
        </w:tc>
        <w:tc>
          <w:tcPr>
            <w:tcW w:w="992" w:type="dxa"/>
            <w:noWrap w:val="0"/>
            <w:vAlign w:val="top"/>
          </w:tcPr>
          <w:p>
            <w:pPr>
              <w:keepNext w:val="0"/>
              <w:keepLines w:val="0"/>
              <w:widowControl/>
              <w:suppressLineNumbers w:val="0"/>
              <w:jc w:val="left"/>
              <w:textAlignment w:val="top"/>
              <w:rPr>
                <w:rFonts w:hint="eastAsia" w:ascii="仿宋_GB2312" w:hAnsi="宋体" w:eastAsia="仿宋_GB2312"/>
                <w:color w:val="auto"/>
                <w:kern w:val="0"/>
                <w:sz w:val="32"/>
                <w:szCs w:val="32"/>
                <w:highlight w:val="none"/>
              </w:rPr>
            </w:pPr>
            <w:r>
              <w:rPr>
                <w:rFonts w:hint="default" w:ascii="Calibri" w:hAnsi="Calibri" w:eastAsia="宋体" w:cs="Calibri"/>
                <w:i w:val="0"/>
                <w:iCs w:val="0"/>
                <w:color w:val="auto"/>
                <w:kern w:val="0"/>
                <w:sz w:val="20"/>
                <w:szCs w:val="20"/>
                <w:u w:val="none"/>
                <w:lang w:val="en-US" w:eastAsia="zh-CN" w:bidi="ar"/>
              </w:rPr>
              <w:t>其他纪检监察事务支出</w:t>
            </w:r>
          </w:p>
        </w:tc>
        <w:tc>
          <w:tcPr>
            <w:tcW w:w="1221" w:type="dxa"/>
            <w:noWrap w:val="0"/>
            <w:vAlign w:val="top"/>
          </w:tcPr>
          <w:p>
            <w:pPr>
              <w:keepNext w:val="0"/>
              <w:keepLines w:val="0"/>
              <w:widowControl/>
              <w:suppressLineNumbers w:val="0"/>
              <w:jc w:val="left"/>
              <w:textAlignment w:val="top"/>
              <w:rPr>
                <w:rFonts w:hint="eastAsia" w:ascii="Calibri" w:hAnsi="Calibri" w:eastAsia="宋体" w:cs="Calibri"/>
                <w:i w:val="0"/>
                <w:iCs w:val="0"/>
                <w:color w:val="auto"/>
                <w:kern w:val="0"/>
                <w:sz w:val="20"/>
                <w:szCs w:val="20"/>
                <w:u w:val="none"/>
                <w:lang w:val="en-US" w:eastAsia="zh-CN" w:bidi="ar"/>
              </w:rPr>
            </w:pPr>
            <w:r>
              <w:rPr>
                <w:rFonts w:hint="eastAsia" w:ascii="Calibri" w:hAnsi="Calibri" w:eastAsia="宋体" w:cs="Calibri"/>
                <w:i w:val="0"/>
                <w:iCs w:val="0"/>
                <w:color w:val="auto"/>
                <w:kern w:val="0"/>
                <w:sz w:val="20"/>
                <w:szCs w:val="20"/>
                <w:u w:val="none"/>
                <w:lang w:val="en-US" w:eastAsia="zh-CN" w:bidi="ar"/>
              </w:rPr>
              <w:t>完全不予公开</w:t>
            </w:r>
          </w:p>
        </w:tc>
        <w:tc>
          <w:tcPr>
            <w:tcW w:w="780" w:type="dxa"/>
            <w:gridSpan w:val="2"/>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20"/>
                <w:szCs w:val="20"/>
                <w:u w:val="none"/>
                <w:lang w:val="en-US" w:eastAsia="zh-CN" w:bidi="ar"/>
              </w:rPr>
            </w:pPr>
            <w:r>
              <w:rPr>
                <w:rFonts w:hint="default" w:ascii="Calibri" w:hAnsi="Calibri" w:eastAsia="宋体" w:cs="Calibri"/>
                <w:i w:val="0"/>
                <w:iCs w:val="0"/>
                <w:color w:val="auto"/>
                <w:kern w:val="0"/>
                <w:sz w:val="20"/>
                <w:szCs w:val="20"/>
                <w:u w:val="none"/>
                <w:lang w:val="en-US" w:eastAsia="zh-CN" w:bidi="ar"/>
              </w:rPr>
              <w:t>2</w:t>
            </w:r>
            <w:bookmarkStart w:id="2" w:name="_GoBack"/>
            <w:bookmarkEnd w:id="2"/>
            <w:r>
              <w:rPr>
                <w:rFonts w:hint="default" w:ascii="Calibri" w:hAnsi="Calibri" w:eastAsia="宋体" w:cs="Calibri"/>
                <w:i w:val="0"/>
                <w:iCs w:val="0"/>
                <w:color w:val="auto"/>
                <w:kern w:val="0"/>
                <w:sz w:val="20"/>
                <w:szCs w:val="20"/>
                <w:u w:val="none"/>
                <w:lang w:val="en-US" w:eastAsia="zh-CN" w:bidi="ar"/>
              </w:rPr>
              <w:t>3.94</w:t>
            </w:r>
          </w:p>
        </w:tc>
        <w:tc>
          <w:tcPr>
            <w:tcW w:w="330"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7"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22"/>
                <w:szCs w:val="22"/>
                <w:u w:val="none"/>
                <w:lang w:val="en-US" w:eastAsia="zh-CN" w:bidi="ar"/>
              </w:rPr>
            </w:pPr>
            <w:r>
              <w:rPr>
                <w:rFonts w:hint="default" w:ascii="Calibri" w:hAnsi="Calibri" w:eastAsia="宋体" w:cs="Calibri"/>
                <w:i w:val="0"/>
                <w:iCs w:val="0"/>
                <w:color w:val="auto"/>
                <w:kern w:val="0"/>
                <w:sz w:val="22"/>
                <w:szCs w:val="22"/>
                <w:u w:val="none"/>
                <w:lang w:val="en-US" w:eastAsia="zh-CN" w:bidi="ar"/>
              </w:rPr>
              <w:t>23.94</w:t>
            </w:r>
          </w:p>
        </w:tc>
        <w:tc>
          <w:tcPr>
            <w:tcW w:w="6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56"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0"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92"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1" w:type="dxa"/>
            <w:noWrap w:val="0"/>
            <w:vAlign w:val="center"/>
          </w:tcPr>
          <w:p>
            <w:pPr>
              <w:widowControl/>
              <w:jc w:val="center"/>
              <w:outlineLvl w:val="1"/>
              <w:rPr>
                <w:rFonts w:hint="eastAsia"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80" w:type="dxa"/>
            <w:gridSpan w:val="2"/>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22"/>
                <w:szCs w:val="22"/>
                <w:u w:val="none"/>
                <w:lang w:val="en-US" w:eastAsia="zh-CN" w:bidi="ar"/>
              </w:rPr>
            </w:pPr>
            <w:r>
              <w:rPr>
                <w:rFonts w:hint="default" w:ascii="Calibri" w:hAnsi="Calibri" w:eastAsia="宋体" w:cs="Calibri"/>
                <w:i w:val="0"/>
                <w:iCs w:val="0"/>
                <w:color w:val="auto"/>
                <w:kern w:val="0"/>
                <w:sz w:val="22"/>
                <w:szCs w:val="22"/>
                <w:u w:val="none"/>
                <w:lang w:val="en-US" w:eastAsia="zh-CN" w:bidi="ar"/>
              </w:rPr>
              <w:t>23.94</w:t>
            </w:r>
          </w:p>
        </w:tc>
        <w:tc>
          <w:tcPr>
            <w:tcW w:w="330"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7"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keepNext w:val="0"/>
              <w:keepLines w:val="0"/>
              <w:widowControl/>
              <w:suppressLineNumbers w:val="0"/>
              <w:jc w:val="left"/>
              <w:textAlignment w:val="top"/>
              <w:rPr>
                <w:rFonts w:hint="default" w:ascii="Calibri" w:hAnsi="Calibri" w:eastAsia="宋体" w:cs="Calibri"/>
                <w:i w:val="0"/>
                <w:iCs w:val="0"/>
                <w:color w:val="auto"/>
                <w:kern w:val="0"/>
                <w:sz w:val="22"/>
                <w:szCs w:val="22"/>
                <w:u w:val="none"/>
                <w:lang w:val="en-US" w:eastAsia="zh-CN" w:bidi="ar"/>
              </w:rPr>
            </w:pPr>
            <w:r>
              <w:rPr>
                <w:rFonts w:hint="default" w:ascii="Calibri" w:hAnsi="Calibri" w:eastAsia="宋体" w:cs="Calibri"/>
                <w:i w:val="0"/>
                <w:iCs w:val="0"/>
                <w:color w:val="auto"/>
                <w:kern w:val="0"/>
                <w:sz w:val="22"/>
                <w:szCs w:val="22"/>
                <w:u w:val="none"/>
                <w:lang w:val="en-US" w:eastAsia="zh-CN" w:bidi="ar"/>
              </w:rPr>
              <w:t>23.94</w:t>
            </w:r>
          </w:p>
        </w:tc>
        <w:tc>
          <w:tcPr>
            <w:tcW w:w="6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56"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left"/>
        <w:rPr>
          <w:rFonts w:hint="eastAsia" w:ascii="仿宋_GB2312" w:hAnsi="宋体" w:eastAsia="仿宋_GB2312"/>
          <w:b/>
          <w:color w:val="auto"/>
          <w:kern w:val="0"/>
          <w:sz w:val="28"/>
          <w:szCs w:val="28"/>
          <w:highlight w:val="none"/>
          <w:lang w:eastAsia="zh-CN"/>
        </w:rPr>
      </w:pPr>
      <w:r>
        <w:rPr>
          <w:rFonts w:hint="eastAsia" w:ascii="仿宋_GB2312" w:hAnsi="宋体" w:eastAsia="仿宋_GB2312"/>
          <w:b/>
          <w:color w:val="auto"/>
          <w:kern w:val="0"/>
          <w:sz w:val="28"/>
          <w:szCs w:val="28"/>
          <w:highlight w:val="none"/>
          <w:lang w:val="en-US" w:eastAsia="zh-CN"/>
        </w:rPr>
        <w:t>中国共产党呼图壁县纪律检查委员会2025年无政府性基金预算支出，政府性基金预算支出</w:t>
      </w:r>
      <w:r>
        <w:rPr>
          <w:rFonts w:hint="eastAsia" w:ascii="仿宋_GB2312" w:hAnsi="宋体" w:eastAsia="仿宋_GB2312"/>
          <w:b/>
          <w:color w:val="auto"/>
          <w:kern w:val="0"/>
          <w:sz w:val="28"/>
          <w:szCs w:val="28"/>
          <w:highlight w:val="none"/>
        </w:rPr>
        <w:t>情况表</w:t>
      </w:r>
      <w:r>
        <w:rPr>
          <w:rFonts w:hint="eastAsia" w:ascii="仿宋_GB2312" w:hAnsi="宋体" w:eastAsia="仿宋_GB2312"/>
          <w:b/>
          <w:color w:val="auto"/>
          <w:kern w:val="0"/>
          <w:sz w:val="28"/>
          <w:szCs w:val="28"/>
          <w:highlight w:val="none"/>
          <w:lang w:eastAsia="zh-CN"/>
        </w:rPr>
        <w:t>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eastAsia" w:ascii="仿宋_GB2312" w:hAnsi="宋体" w:eastAsia="仿宋_GB2312"/>
          <w:b/>
          <w:color w:val="auto"/>
          <w:kern w:val="0"/>
          <w:sz w:val="28"/>
          <w:szCs w:val="28"/>
          <w:highlight w:val="none"/>
          <w:lang w:eastAsia="zh-CN"/>
        </w:rPr>
      </w:pPr>
      <w:r>
        <w:rPr>
          <w:rFonts w:hint="eastAsia" w:ascii="仿宋_GB2312" w:hAnsi="宋体" w:eastAsia="仿宋_GB2312"/>
          <w:b/>
          <w:color w:val="auto"/>
          <w:kern w:val="0"/>
          <w:sz w:val="28"/>
          <w:szCs w:val="28"/>
          <w:highlight w:val="none"/>
          <w:lang w:val="en-US" w:eastAsia="zh-CN"/>
        </w:rPr>
        <w:t>中国共产党呼图壁县纪律检查委员会2025年无</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28"/>
          <w:szCs w:val="28"/>
          <w:highlight w:val="none"/>
          <w:lang w:val="en-US" w:eastAsia="zh-CN"/>
        </w:rPr>
        <w:t>，</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28"/>
          <w:szCs w:val="28"/>
          <w:highlight w:val="none"/>
        </w:rPr>
        <w:t>情况表</w:t>
      </w:r>
      <w:r>
        <w:rPr>
          <w:rFonts w:hint="eastAsia" w:ascii="仿宋_GB2312" w:hAnsi="宋体" w:eastAsia="仿宋_GB2312"/>
          <w:b/>
          <w:color w:val="auto"/>
          <w:kern w:val="0"/>
          <w:sz w:val="28"/>
          <w:szCs w:val="28"/>
          <w:highlight w:val="none"/>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color w:val="auto"/>
                <w:kern w:val="0"/>
                <w:sz w:val="24"/>
                <w:highlight w:val="none"/>
              </w:rPr>
              <w:t xml:space="preserve">   </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39.6</w:t>
            </w:r>
          </w:p>
        </w:tc>
        <w:tc>
          <w:tcPr>
            <w:tcW w:w="1314" w:type="dxa"/>
            <w:noWrap w:val="0"/>
            <w:vAlign w:val="top"/>
          </w:tcPr>
          <w:p>
            <w:pPr>
              <w:widowControl/>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39.6</w:t>
            </w:r>
          </w:p>
        </w:tc>
        <w:tc>
          <w:tcPr>
            <w:tcW w:w="1595" w:type="dxa"/>
            <w:noWrap w:val="0"/>
            <w:vAlign w:val="top"/>
          </w:tcPr>
          <w:p>
            <w:pPr>
              <w:widowControl/>
              <w:outlineLvl w:val="1"/>
              <w:rPr>
                <w:rFonts w:hint="eastAsia" w:ascii="仿宋_GB2312" w:hAnsi="宋体" w:eastAsia="仿宋_GB2312"/>
                <w:b w:val="0"/>
                <w:bCs/>
                <w:color w:val="auto"/>
                <w:kern w:val="0"/>
                <w:sz w:val="24"/>
                <w:szCs w:val="28"/>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4"/>
                <w:szCs w:val="28"/>
                <w:highlight w:val="none"/>
                <w:vertAlign w:val="baseline"/>
              </w:rPr>
            </w:pPr>
            <w:r>
              <w:rPr>
                <w:rFonts w:hint="eastAsia" w:ascii="仿宋_GB2312" w:hAnsi="宋体" w:eastAsia="仿宋_GB2312"/>
                <w:b w:val="0"/>
                <w:bCs/>
                <w:color w:val="auto"/>
                <w:kern w:val="0"/>
                <w:sz w:val="22"/>
                <w:szCs w:val="24"/>
                <w:highlight w:val="none"/>
                <w:vertAlign w:val="baseline"/>
                <w:lang w:val="en-US" w:eastAsia="zh-CN"/>
              </w:rPr>
              <w:t>6</w:t>
            </w:r>
          </w:p>
        </w:tc>
        <w:tc>
          <w:tcPr>
            <w:tcW w:w="1314" w:type="dxa"/>
            <w:noWrap w:val="0"/>
            <w:vAlign w:val="top"/>
          </w:tcPr>
          <w:p>
            <w:pPr>
              <w:widowControl/>
              <w:outlineLvl w:val="1"/>
              <w:rPr>
                <w:rFonts w:hint="eastAsia"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6</w:t>
            </w:r>
          </w:p>
        </w:tc>
        <w:tc>
          <w:tcPr>
            <w:tcW w:w="1595"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4"/>
                <w:szCs w:val="28"/>
                <w:highlight w:val="none"/>
                <w:vertAlign w:val="baseline"/>
              </w:rPr>
            </w:pPr>
            <w:r>
              <w:rPr>
                <w:rFonts w:hint="eastAsia" w:ascii="仿宋_GB2312" w:hAnsi="宋体" w:eastAsia="仿宋_GB2312"/>
                <w:b w:val="0"/>
                <w:bCs/>
                <w:color w:val="auto"/>
                <w:kern w:val="0"/>
                <w:sz w:val="22"/>
                <w:szCs w:val="24"/>
                <w:highlight w:val="none"/>
                <w:vertAlign w:val="baseline"/>
                <w:lang w:val="en-US" w:eastAsia="zh-CN"/>
              </w:rPr>
              <w:t>33.6</w:t>
            </w:r>
          </w:p>
        </w:tc>
        <w:tc>
          <w:tcPr>
            <w:tcW w:w="1314" w:type="dxa"/>
            <w:noWrap w:val="0"/>
            <w:vAlign w:val="top"/>
          </w:tcPr>
          <w:p>
            <w:pPr>
              <w:widowControl/>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33.6</w:t>
            </w:r>
          </w:p>
        </w:tc>
        <w:tc>
          <w:tcPr>
            <w:tcW w:w="1595"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4"/>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33.6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val="0"/>
                <w:bCs/>
                <w:color w:val="auto"/>
                <w:kern w:val="0"/>
                <w:sz w:val="22"/>
                <w:szCs w:val="24"/>
                <w:highlight w:val="none"/>
                <w:vertAlign w:val="baseline"/>
                <w:lang w:val="en-US" w:eastAsia="zh-CN"/>
              </w:rPr>
              <w:t>33.6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10"/>
        <w:rPr>
          <w:rFonts w:hint="eastAsia" w:ascii="仿宋" w:hAnsi="仿宋" w:eastAsia="仿宋" w:cs="仿宋_GB2312"/>
          <w:bCs/>
          <w:color w:val="auto"/>
          <w:kern w:val="0"/>
          <w:sz w:val="28"/>
          <w:szCs w:val="28"/>
          <w:highlight w:val="none"/>
        </w:rPr>
      </w:pPr>
    </w:p>
    <w:p>
      <w:pPr>
        <w:pStyle w:val="10"/>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spacing w:before="120" w:beforeLines="50" w:line="280" w:lineRule="exact"/>
        <w:outlineLvl w:val="1"/>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中国共产党呼图壁县纪律检查委员会</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660"/>
        <w:gridCol w:w="733"/>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79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66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548"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79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3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9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3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98" w:type="dxa"/>
            <w:noWrap w:val="0"/>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8"/>
                <w:szCs w:val="18"/>
                <w:highlight w:val="none"/>
              </w:rPr>
              <w:t>呼图壁县2024年为民办实事经费</w:t>
            </w:r>
          </w:p>
        </w:tc>
        <w:tc>
          <w:tcPr>
            <w:tcW w:w="66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12</w:t>
            </w:r>
          </w:p>
        </w:tc>
        <w:tc>
          <w:tcPr>
            <w:tcW w:w="733"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12</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12</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9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3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9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3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总计</w:t>
            </w:r>
          </w:p>
        </w:tc>
        <w:tc>
          <w:tcPr>
            <w:tcW w:w="733"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12</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12</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中国共产党呼图壁县纪律检查委员会2025年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3293.61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中国共产党呼图壁县纪律检查委员会部门</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3293.61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2226.8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67.61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30.64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今年人员较去年新增退休</w:t>
      </w:r>
      <w:r>
        <w:rPr>
          <w:rFonts w:hint="eastAsia" w:ascii="仿宋_GB2312" w:hAnsi="宋体" w:eastAsia="仿宋_GB2312" w:cs="宋体"/>
          <w:color w:val="auto"/>
          <w:kern w:val="0"/>
          <w:sz w:val="32"/>
          <w:szCs w:val="32"/>
          <w:highlight w:val="none"/>
          <w:lang w:val="en-US" w:eastAsia="zh-CN"/>
        </w:rPr>
        <w:t>6人，所需整体费用减少</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23.94</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0.73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提前下达中央政法纪检监察转移支付资金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1030.86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0.42 %，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本年社保基数上调所需单位资金较上年有所增加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12.00</w:t>
      </w:r>
      <w:r>
        <w:rPr>
          <w:rFonts w:hint="eastAsia" w:ascii="仿宋_GB2312" w:hAnsi="宋体" w:eastAsia="仿宋_GB2312" w:cs="宋体"/>
          <w:color w:val="auto"/>
          <w:kern w:val="0"/>
          <w:sz w:val="32"/>
          <w:szCs w:val="32"/>
          <w:highlight w:val="none"/>
          <w:lang w:val="en-US" w:eastAsia="zh-Hans"/>
        </w:rPr>
        <w:t>万元，占</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lang w:val="en-US" w:eastAsia="zh-Hans"/>
        </w:rPr>
        <w:t>%，比上年预算增加</w:t>
      </w:r>
      <w:r>
        <w:rPr>
          <w:rFonts w:hint="eastAsia" w:ascii="仿宋_GB2312" w:hAnsi="宋体" w:eastAsia="仿宋_GB2312" w:cs="宋体"/>
          <w:color w:val="auto"/>
          <w:kern w:val="0"/>
          <w:sz w:val="32"/>
          <w:szCs w:val="32"/>
          <w:highlight w:val="none"/>
          <w:lang w:val="en-US" w:eastAsia="zh-CN"/>
        </w:rPr>
        <w:t>12.00</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lang w:val="en-US" w:eastAsia="zh-Hans"/>
        </w:rPr>
        <w:t>主要原因</w:t>
      </w:r>
      <w:r>
        <w:rPr>
          <w:rFonts w:hint="eastAsia" w:ascii="仿宋_GB2312" w:hAnsi="宋体" w:eastAsia="仿宋_GB2312" w:cs="宋体"/>
          <w:color w:val="auto"/>
          <w:kern w:val="0"/>
          <w:sz w:val="32"/>
          <w:szCs w:val="32"/>
          <w:highlight w:val="none"/>
          <w:lang w:val="en-US" w:eastAsia="zh-CN"/>
        </w:rPr>
        <w:t>2024年民办实事好事经费</w:t>
      </w:r>
      <w:r>
        <w:rPr>
          <w:rFonts w:hint="eastAsia" w:ascii="仿宋_GB2312" w:hAnsi="宋体" w:eastAsia="仿宋_GB2312" w:cs="宋体"/>
          <w:color w:val="auto"/>
          <w:kern w:val="0"/>
          <w:sz w:val="32"/>
          <w:szCs w:val="32"/>
          <w:highlight w:val="none"/>
          <w:lang w:val="en-US" w:eastAsia="zh-CN"/>
        </w:rPr>
        <w:t>项目资金没有执行完</w:t>
      </w:r>
      <w:r>
        <w:rPr>
          <w:rFonts w:hint="eastAsia" w:ascii="仿宋_GB2312" w:hAnsi="宋体" w:eastAsia="仿宋_GB2312" w:cs="宋体"/>
          <w:color w:val="auto"/>
          <w:kern w:val="0"/>
          <w:sz w:val="32"/>
          <w:szCs w:val="32"/>
          <w:highlight w:val="none"/>
          <w:lang w:val="en-US" w:eastAsia="zh-Hans"/>
        </w:rPr>
        <w:t>；</w:t>
      </w:r>
      <w:r>
        <w:rPr>
          <w:rFonts w:hint="eastAsia" w:ascii="仿宋_GB2312" w:hAnsi="宋体" w:eastAsia="仿宋_GB2312" w:cs="宋体"/>
          <w:color w:val="auto"/>
          <w:kern w:val="0"/>
          <w:sz w:val="32"/>
          <w:szCs w:val="32"/>
          <w:highlight w:val="none"/>
          <w:lang w:val="en-US" w:eastAsia="zh-CN"/>
        </w:rPr>
        <w:t>结转至2025年预算，因此2025年预算较上年预算有所增加。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中国共产党呼图壁县纪律检查委员会2025年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3293.61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3257.67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98.91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26.37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0.80%，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今年退休人员较去年新增</w:t>
      </w:r>
      <w:r>
        <w:rPr>
          <w:rFonts w:hint="eastAsia" w:ascii="仿宋_GB2312" w:hAnsi="宋体" w:eastAsia="仿宋_GB2312" w:cs="宋体"/>
          <w:color w:val="auto"/>
          <w:kern w:val="0"/>
          <w:sz w:val="32"/>
          <w:szCs w:val="32"/>
          <w:highlight w:val="none"/>
          <w:lang w:val="en-US" w:eastAsia="zh-CN"/>
        </w:rPr>
        <w:t>6人，所需整体费用减少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 xml:space="preserve"> 35.94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结转为民办实事好事经费和提前下达中央政法纪检监察转移支付资金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 xml:space="preserve">年财政拨款收支总预算 </w:t>
      </w:r>
      <w:r>
        <w:rPr>
          <w:rFonts w:hint="eastAsia" w:ascii="仿宋_GB2312" w:hAnsi="宋体" w:eastAsia="仿宋_GB2312" w:cs="宋体"/>
          <w:color w:val="auto"/>
          <w:kern w:val="0"/>
          <w:sz w:val="32"/>
          <w:szCs w:val="32"/>
          <w:highlight w:val="none"/>
          <w:lang w:val="en-US" w:eastAsia="zh-CN"/>
        </w:rPr>
        <w:t>2250.74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2250.74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1756.15</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人员经费支出；</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200.02万元，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人员社保经费支出，</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140.46万元，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人员医保经费支出，</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154.11万元，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人员住房公积金经费支出。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2250.74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2226.8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30.64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1.36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w:t>
      </w:r>
      <w:r>
        <w:rPr>
          <w:rFonts w:hint="eastAsia" w:ascii="仿宋_GB2312" w:hAnsi="仿宋_GB2312" w:eastAsia="仿宋_GB2312" w:cs="仿宋_GB2312"/>
          <w:color w:val="auto"/>
          <w:kern w:val="0"/>
          <w:sz w:val="32"/>
          <w:szCs w:val="32"/>
          <w:highlight w:val="none"/>
          <w:lang w:eastAsia="zh-CN"/>
        </w:rPr>
        <w:t>年在职人员</w:t>
      </w:r>
      <w:r>
        <w:rPr>
          <w:rFonts w:hint="eastAsia" w:ascii="仿宋_GB2312" w:hAnsi="宋体" w:eastAsia="仿宋_GB2312" w:cs="宋体"/>
          <w:color w:val="auto"/>
          <w:kern w:val="0"/>
          <w:sz w:val="32"/>
          <w:szCs w:val="32"/>
          <w:highlight w:val="none"/>
          <w:lang w:eastAsia="zh-CN"/>
        </w:rPr>
        <w:t>较去年减少</w:t>
      </w:r>
      <w:r>
        <w:rPr>
          <w:rFonts w:hint="eastAsia" w:ascii="仿宋_GB2312" w:hAnsi="宋体" w:eastAsia="仿宋_GB2312" w:cs="宋体"/>
          <w:color w:val="auto"/>
          <w:kern w:val="0"/>
          <w:sz w:val="32"/>
          <w:szCs w:val="32"/>
          <w:highlight w:val="none"/>
          <w:lang w:val="en-US" w:eastAsia="zh-CN"/>
        </w:rPr>
        <w:t>，所需整体费用减少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23.94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23.94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提前下达中央政法纪检监察转移支付资金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sz w:val="32"/>
          <w:szCs w:val="32"/>
          <w:highlight w:val="none"/>
          <w:lang w:val="en-US" w:eastAsia="zh-CN"/>
        </w:rPr>
        <w:t>1756.15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78.03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2.社会保障和就业支出（类）</w:t>
      </w:r>
      <w:r>
        <w:rPr>
          <w:rFonts w:hint="eastAsia" w:ascii="仿宋_GB2312" w:hAnsi="仿宋_GB2312" w:eastAsia="仿宋_GB2312" w:cs="仿宋_GB2312"/>
          <w:color w:val="auto"/>
          <w:sz w:val="32"/>
          <w:szCs w:val="32"/>
          <w:highlight w:val="none"/>
          <w:lang w:val="en-US" w:eastAsia="zh-CN"/>
        </w:rPr>
        <w:t>200.02</w:t>
      </w:r>
      <w:r>
        <w:rPr>
          <w:rFonts w:hint="eastAsia" w:ascii="仿宋_GB2312" w:hAnsi="仿宋_GB2312" w:eastAsia="仿宋_GB2312" w:cs="仿宋_GB2312"/>
          <w:color w:val="auto"/>
          <w:sz w:val="32"/>
          <w:szCs w:val="32"/>
          <w:highlight w:val="none"/>
        </w:rPr>
        <w:t xml:space="preserve">万元，占 </w:t>
      </w:r>
      <w:r>
        <w:rPr>
          <w:rFonts w:hint="eastAsia" w:ascii="仿宋_GB2312" w:hAnsi="仿宋_GB2312" w:eastAsia="仿宋_GB2312" w:cs="仿宋_GB2312"/>
          <w:color w:val="auto"/>
          <w:sz w:val="32"/>
          <w:szCs w:val="32"/>
          <w:highlight w:val="none"/>
          <w:lang w:val="en-US" w:eastAsia="zh-CN"/>
        </w:rPr>
        <w:t>8.89</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卫生健康支出（类）</w:t>
      </w:r>
      <w:r>
        <w:rPr>
          <w:rFonts w:hint="eastAsia" w:ascii="仿宋_GB2312" w:hAnsi="仿宋_GB2312" w:eastAsia="仿宋_GB2312" w:cs="仿宋_GB2312"/>
          <w:color w:val="auto"/>
          <w:sz w:val="32"/>
          <w:szCs w:val="32"/>
          <w:highlight w:val="none"/>
          <w:lang w:val="en-US" w:eastAsia="zh-CN"/>
        </w:rPr>
        <w:t>140.46</w:t>
      </w:r>
      <w:r>
        <w:rPr>
          <w:rFonts w:hint="eastAsia" w:ascii="仿宋_GB2312" w:hAnsi="仿宋_GB2312" w:eastAsia="仿宋_GB2312" w:cs="仿宋_GB2312"/>
          <w:color w:val="auto"/>
          <w:sz w:val="32"/>
          <w:szCs w:val="32"/>
          <w:highlight w:val="none"/>
        </w:rPr>
        <w:t xml:space="preserve">万元，占 </w:t>
      </w:r>
      <w:r>
        <w:rPr>
          <w:rFonts w:hint="eastAsia" w:ascii="仿宋_GB2312" w:hAnsi="仿宋_GB2312" w:eastAsia="仿宋_GB2312" w:cs="仿宋_GB2312"/>
          <w:color w:val="auto"/>
          <w:sz w:val="32"/>
          <w:szCs w:val="32"/>
          <w:highlight w:val="none"/>
          <w:lang w:val="en-US" w:eastAsia="zh-CN"/>
        </w:rPr>
        <w:t>6.24</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住房保障支出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154.11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6.84</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w:t>
      </w:r>
      <w:r>
        <w:rPr>
          <w:rFonts w:ascii="仿宋_GB2312" w:hAnsi="宋体" w:eastAsia="仿宋_GB2312" w:cs="宋体"/>
          <w:color w:val="auto"/>
          <w:kern w:val="0"/>
          <w:sz w:val="32"/>
          <w:szCs w:val="32"/>
        </w:rPr>
        <w:t>一般公共服务（类）</w:t>
      </w:r>
      <w:r>
        <w:rPr>
          <w:rFonts w:hint="eastAsia" w:ascii="仿宋_GB2312" w:hAnsi="宋体" w:eastAsia="仿宋_GB2312" w:cs="宋体"/>
          <w:color w:val="auto"/>
          <w:kern w:val="0"/>
          <w:sz w:val="32"/>
          <w:szCs w:val="32"/>
          <w:lang w:eastAsia="zh-CN"/>
        </w:rPr>
        <w:t>纪检监察事务</w:t>
      </w:r>
      <w:r>
        <w:rPr>
          <w:rFonts w:ascii="仿宋_GB2312" w:hAnsi="宋体" w:eastAsia="仿宋_GB2312" w:cs="宋体"/>
          <w:color w:val="auto"/>
          <w:kern w:val="0"/>
          <w:sz w:val="32"/>
          <w:szCs w:val="32"/>
        </w:rPr>
        <w:t>（款）行政运行（项）: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预算数为</w:t>
      </w:r>
      <w:r>
        <w:rPr>
          <w:rFonts w:hint="eastAsia" w:ascii="仿宋_GB2312" w:hAnsi="宋体" w:eastAsia="仿宋_GB2312" w:cs="宋体"/>
          <w:color w:val="auto"/>
          <w:kern w:val="0"/>
          <w:sz w:val="32"/>
          <w:szCs w:val="32"/>
          <w:lang w:val="en-US" w:eastAsia="zh-CN"/>
        </w:rPr>
        <w:t>1608.58</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减少173.09</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下降9.72</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highlight w:val="none"/>
          <w:lang w:eastAsia="zh-CN"/>
        </w:rPr>
        <w:t>今年在职人员较去年减少</w:t>
      </w:r>
      <w:r>
        <w:rPr>
          <w:rFonts w:hint="eastAsia" w:ascii="仿宋_GB2312" w:hAnsi="宋体" w:eastAsia="仿宋_GB2312" w:cs="宋体"/>
          <w:color w:val="auto"/>
          <w:kern w:val="0"/>
          <w:sz w:val="32"/>
          <w:szCs w:val="32"/>
          <w:highlight w:val="none"/>
          <w:lang w:val="en-US" w:eastAsia="zh-CN"/>
        </w:rPr>
        <w:t>，所需整体费用减少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rPr>
        <w:t xml:space="preserve">     </w:t>
      </w:r>
    </w:p>
    <w:p>
      <w:pPr>
        <w:widowControl w:val="0"/>
        <w:spacing w:line="560" w:lineRule="exact"/>
        <w:ind w:firstLine="640" w:firstLineChars="200"/>
        <w:jc w:val="both"/>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w:t>
      </w:r>
      <w:r>
        <w:rPr>
          <w:rFonts w:ascii="仿宋_GB2312" w:hAnsi="宋体" w:eastAsia="仿宋_GB2312" w:cs="宋体"/>
          <w:color w:val="auto"/>
          <w:kern w:val="0"/>
          <w:sz w:val="32"/>
          <w:szCs w:val="32"/>
        </w:rPr>
        <w:t>一般公共服务（类）</w:t>
      </w:r>
      <w:r>
        <w:rPr>
          <w:rFonts w:hint="eastAsia" w:ascii="仿宋_GB2312" w:hAnsi="宋体" w:eastAsia="仿宋_GB2312" w:cs="宋体"/>
          <w:color w:val="auto"/>
          <w:kern w:val="0"/>
          <w:sz w:val="32"/>
          <w:szCs w:val="32"/>
          <w:lang w:eastAsia="zh-CN"/>
        </w:rPr>
        <w:t>纪检监察事务</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事业运行</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预算数为</w:t>
      </w:r>
      <w:r>
        <w:rPr>
          <w:rFonts w:hint="eastAsia" w:ascii="仿宋_GB2312" w:hAnsi="宋体" w:eastAsia="仿宋_GB2312" w:cs="宋体"/>
          <w:color w:val="auto"/>
          <w:kern w:val="0"/>
          <w:sz w:val="32"/>
          <w:szCs w:val="32"/>
          <w:lang w:val="en-US" w:eastAsia="zh-CN"/>
        </w:rPr>
        <w:t>123.63</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123.63</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增长100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highlight w:val="none"/>
          <w:lang w:eastAsia="zh-CN"/>
        </w:rPr>
        <w:t>上年事业运行没有安排预算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rPr>
        <w:t xml:space="preserve"> </w:t>
      </w:r>
    </w:p>
    <w:p>
      <w:pPr>
        <w:widowControl w:val="0"/>
        <w:spacing w:line="560" w:lineRule="exact"/>
        <w:ind w:firstLine="640" w:firstLineChars="200"/>
        <w:jc w:val="both"/>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3.</w:t>
      </w:r>
      <w:r>
        <w:rPr>
          <w:rFonts w:ascii="仿宋_GB2312" w:hAnsi="宋体" w:eastAsia="仿宋_GB2312" w:cs="宋体"/>
          <w:color w:val="auto"/>
          <w:kern w:val="0"/>
          <w:sz w:val="32"/>
          <w:szCs w:val="32"/>
        </w:rPr>
        <w:t>一般公共服务（类）</w:t>
      </w:r>
      <w:r>
        <w:rPr>
          <w:rFonts w:hint="eastAsia" w:ascii="仿宋_GB2312" w:hAnsi="宋体" w:eastAsia="仿宋_GB2312" w:cs="宋体"/>
          <w:color w:val="auto"/>
          <w:kern w:val="0"/>
          <w:sz w:val="32"/>
          <w:szCs w:val="32"/>
          <w:lang w:eastAsia="zh-CN"/>
        </w:rPr>
        <w:t>纪检监察事务</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其他纪检监察事务支出</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预算数为</w:t>
      </w:r>
      <w:r>
        <w:rPr>
          <w:rFonts w:hint="eastAsia" w:ascii="仿宋_GB2312" w:hAnsi="宋体" w:eastAsia="仿宋_GB2312" w:cs="宋体"/>
          <w:color w:val="auto"/>
          <w:kern w:val="0"/>
          <w:sz w:val="32"/>
          <w:szCs w:val="32"/>
          <w:lang w:val="en-US" w:eastAsia="zh-CN"/>
        </w:rPr>
        <w:t>23.94</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23.94</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增长100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highlight w:val="none"/>
          <w:lang w:eastAsia="zh-CN"/>
        </w:rPr>
        <w:t>提前下达中央政法纪检监察转移支付资金</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color w:val="auto"/>
          <w:sz w:val="32"/>
          <w:highlight w:val="none"/>
          <w:lang w:val="en-US" w:eastAsia="zh-CN"/>
        </w:rPr>
        <w:t>4</w:t>
      </w:r>
      <w:r>
        <w:rPr>
          <w:rFonts w:hint="eastAsia" w:ascii="仿宋_GB2312" w:hAnsi="仿宋_GB2312" w:eastAsia="仿宋_GB2312" w:cs="仿宋_GB2312"/>
          <w:color w:val="auto"/>
          <w:sz w:val="32"/>
          <w:highlight w:val="none"/>
        </w:rPr>
        <w:t>.社会保障和就业支出（类）</w:t>
      </w:r>
      <w:r>
        <w:rPr>
          <w:rFonts w:hint="eastAsia" w:ascii="仿宋_GB2312" w:hAnsi="宋体" w:eastAsia="仿宋_GB2312" w:cs="宋体"/>
          <w:color w:val="auto"/>
          <w:kern w:val="0"/>
          <w:sz w:val="32"/>
          <w:szCs w:val="32"/>
          <w:highlight w:val="none"/>
        </w:rPr>
        <w:t>行政事业单位养老支出（款）</w:t>
      </w:r>
      <w:r>
        <w:rPr>
          <w:rFonts w:hint="eastAsia" w:ascii="仿宋_GB2312" w:hAnsi="宋体" w:eastAsia="仿宋_GB2312" w:cs="宋体"/>
          <w:color w:val="auto"/>
          <w:kern w:val="0"/>
          <w:sz w:val="32"/>
          <w:szCs w:val="32"/>
          <w:highlight w:val="none"/>
          <w:lang w:eastAsia="zh-CN"/>
        </w:rPr>
        <w:t>行政单位离退休</w:t>
      </w:r>
      <w:r>
        <w:rPr>
          <w:rFonts w:hint="eastAsia" w:ascii="仿宋_GB2312" w:hAnsi="宋体" w:eastAsia="仿宋_GB2312" w:cs="宋体"/>
          <w:color w:val="auto"/>
          <w:kern w:val="0"/>
          <w:sz w:val="32"/>
          <w:szCs w:val="32"/>
          <w:highlight w:val="none"/>
        </w:rPr>
        <w:t>支出（项）</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ascii="仿宋_GB2312" w:hAnsi="宋体" w:eastAsia="仿宋_GB2312" w:cs="宋体"/>
          <w:color w:val="auto"/>
          <w:kern w:val="0"/>
          <w:sz w:val="32"/>
          <w:szCs w:val="32"/>
          <w:highlight w:val="none"/>
        </w:rPr>
        <w:t>预算数为</w:t>
      </w:r>
      <w:r>
        <w:rPr>
          <w:rFonts w:hint="eastAsia" w:ascii="仿宋_GB2312" w:hAnsi="仿宋_GB2312" w:eastAsia="仿宋_GB2312" w:cs="仿宋_GB2312"/>
          <w:color w:val="auto"/>
          <w:sz w:val="32"/>
          <w:highlight w:val="none"/>
          <w:lang w:val="en-US" w:eastAsia="zh-CN"/>
        </w:rPr>
        <w:t>14.28</w:t>
      </w:r>
      <w:r>
        <w:rPr>
          <w:rFonts w:hint="eastAsia" w:ascii="仿宋_GB2312" w:hAnsi="仿宋_GB2312" w:eastAsia="仿宋_GB2312" w:cs="仿宋_GB2312"/>
          <w:color w:val="auto"/>
          <w:sz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增加8.9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增长165.42%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今年严格按照经济分类执行，将</w:t>
      </w:r>
      <w:r>
        <w:rPr>
          <w:rFonts w:hint="eastAsia" w:ascii="仿宋_GB2312" w:hAnsi="宋体" w:eastAsia="仿宋_GB2312" w:cs="宋体"/>
          <w:color w:val="auto"/>
          <w:kern w:val="0"/>
          <w:sz w:val="32"/>
          <w:szCs w:val="32"/>
          <w:highlight w:val="none"/>
          <w:lang w:val="en-US" w:eastAsia="zh-CN"/>
        </w:rPr>
        <w:t>行政单位离退休</w:t>
      </w:r>
      <w:r>
        <w:rPr>
          <w:rFonts w:hint="eastAsia" w:ascii="仿宋_GB2312" w:hAnsi="宋体" w:eastAsia="仿宋_GB2312" w:cs="宋体"/>
          <w:color w:val="auto"/>
          <w:kern w:val="0"/>
          <w:sz w:val="32"/>
          <w:szCs w:val="32"/>
          <w:highlight w:val="none"/>
          <w:lang w:eastAsia="zh-CN"/>
        </w:rPr>
        <w:t>和事业单位离退休合并按照行政单位离退休</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eastAsia="zh-CN"/>
        </w:rPr>
        <w:t>执行。</w:t>
      </w:r>
    </w:p>
    <w:p>
      <w:pPr>
        <w:spacing w:line="560" w:lineRule="exact"/>
        <w:ind w:firstLine="640" w:firstLineChars="200"/>
        <w:rPr>
          <w:rFonts w:hint="default"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.社会保障和就业支出（类）</w:t>
      </w:r>
      <w:r>
        <w:rPr>
          <w:rFonts w:hint="eastAsia" w:ascii="仿宋_GB2312" w:hAnsi="宋体" w:eastAsia="仿宋_GB2312" w:cs="宋体"/>
          <w:color w:val="auto"/>
          <w:kern w:val="0"/>
          <w:sz w:val="32"/>
          <w:szCs w:val="32"/>
        </w:rPr>
        <w:t>行政事业单位养老支出（款）机关事业单位基本养老保险缴费支出（项）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预算数为</w:t>
      </w:r>
      <w:r>
        <w:rPr>
          <w:rFonts w:hint="eastAsia" w:ascii="仿宋_GB2312" w:hAnsi="仿宋_GB2312" w:eastAsia="仿宋_GB2312" w:cs="仿宋_GB2312"/>
          <w:color w:val="auto"/>
          <w:sz w:val="32"/>
          <w:lang w:val="en-US" w:eastAsia="zh-CN"/>
        </w:rPr>
        <w:t>185.73</w:t>
      </w:r>
      <w:r>
        <w:rPr>
          <w:rFonts w:hint="eastAsia" w:ascii="仿宋_GB2312" w:hAnsi="仿宋_GB2312" w:eastAsia="仿宋_GB2312" w:cs="仿宋_GB2312"/>
          <w:color w:val="auto"/>
          <w:sz w:val="32"/>
        </w:rPr>
        <w:t>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减少1.18</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下降0.63%</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highlight w:val="none"/>
          <w:lang w:eastAsia="zh-CN"/>
        </w:rPr>
        <w:t>今年在职人员较去年减少</w:t>
      </w:r>
      <w:r>
        <w:rPr>
          <w:rFonts w:hint="eastAsia" w:ascii="仿宋_GB2312" w:hAnsi="宋体" w:eastAsia="仿宋_GB2312" w:cs="宋体"/>
          <w:color w:val="auto"/>
          <w:kern w:val="0"/>
          <w:sz w:val="32"/>
          <w:szCs w:val="32"/>
          <w:highlight w:val="none"/>
          <w:lang w:val="en-US" w:eastAsia="zh-CN"/>
        </w:rPr>
        <w:t>，所需整体费用减少</w:t>
      </w:r>
      <w:r>
        <w:rPr>
          <w:rFonts w:hint="eastAsia" w:ascii="仿宋_GB2312" w:hAnsi="宋体" w:eastAsia="仿宋_GB2312" w:cs="宋体"/>
          <w:color w:val="auto"/>
          <w:kern w:val="0"/>
          <w:sz w:val="32"/>
          <w:szCs w:val="32"/>
          <w:lang w:val="en-US"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仿宋_GB2312" w:eastAsia="仿宋_GB2312" w:cs="仿宋_GB2312"/>
          <w:color w:val="auto"/>
          <w:sz w:val="32"/>
          <w:lang w:val="en-US" w:eastAsia="zh-CN"/>
        </w:rPr>
        <w:t>6.</w:t>
      </w:r>
      <w:r>
        <w:rPr>
          <w:rFonts w:hint="eastAsia" w:ascii="仿宋_GB2312" w:hAnsi="宋体" w:eastAsia="仿宋_GB2312" w:cs="宋体"/>
          <w:color w:val="auto"/>
          <w:kern w:val="0"/>
          <w:sz w:val="32"/>
          <w:szCs w:val="32"/>
        </w:rPr>
        <w:t>医疗卫生健康支出</w:t>
      </w:r>
      <w:r>
        <w:rPr>
          <w:rFonts w:hint="eastAsia" w:ascii="仿宋_GB2312" w:hAnsi="仿宋_GB2312" w:eastAsia="仿宋_GB2312" w:cs="仿宋_GB2312"/>
          <w:color w:val="auto"/>
          <w:sz w:val="32"/>
        </w:rPr>
        <w:t>（类）</w:t>
      </w:r>
      <w:r>
        <w:rPr>
          <w:rFonts w:hint="eastAsia" w:ascii="仿宋_GB2312" w:hAnsi="宋体" w:eastAsia="仿宋_GB2312" w:cs="宋体"/>
          <w:color w:val="auto"/>
          <w:kern w:val="0"/>
          <w:sz w:val="32"/>
          <w:szCs w:val="32"/>
        </w:rPr>
        <w:t>行政事业</w:t>
      </w:r>
      <w:r>
        <w:rPr>
          <w:rFonts w:hint="eastAsia" w:ascii="仿宋_GB2312" w:hAnsi="宋体" w:eastAsia="仿宋_GB2312" w:cs="宋体"/>
          <w:color w:val="auto"/>
          <w:kern w:val="0"/>
          <w:sz w:val="32"/>
          <w:szCs w:val="32"/>
          <w:lang w:val="en-US" w:eastAsia="zh-CN"/>
        </w:rPr>
        <w:t>单位医疗</w:t>
      </w:r>
      <w:r>
        <w:rPr>
          <w:rFonts w:hint="eastAsia"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val="en-US" w:eastAsia="zh-CN"/>
        </w:rPr>
        <w:t>行政单位医疗</w:t>
      </w:r>
      <w:r>
        <w:rPr>
          <w:rFonts w:hint="eastAsia"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预算数为</w:t>
      </w:r>
      <w:r>
        <w:rPr>
          <w:rFonts w:hint="eastAsia" w:ascii="仿宋_GB2312" w:hAnsi="仿宋_GB2312" w:eastAsia="仿宋_GB2312" w:cs="仿宋_GB2312"/>
          <w:color w:val="auto"/>
          <w:sz w:val="32"/>
          <w:lang w:val="en-US" w:eastAsia="zh-CN"/>
        </w:rPr>
        <w:t>84.1</w:t>
      </w:r>
      <w:r>
        <w:rPr>
          <w:rFonts w:hint="eastAsia" w:ascii="仿宋_GB2312" w:hAnsi="仿宋_GB2312" w:eastAsia="仿宋_GB2312" w:cs="仿宋_GB2312"/>
          <w:color w:val="auto"/>
          <w:sz w:val="32"/>
        </w:rPr>
        <w:t>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减少9.35</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下降10.00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今年严格按照经济分类执行，将</w:t>
      </w:r>
      <w:r>
        <w:rPr>
          <w:rFonts w:hint="eastAsia" w:ascii="仿宋_GB2312" w:hAnsi="宋体" w:eastAsia="仿宋_GB2312" w:cs="宋体"/>
          <w:color w:val="auto"/>
          <w:kern w:val="0"/>
          <w:sz w:val="32"/>
          <w:szCs w:val="32"/>
          <w:lang w:val="en-US" w:eastAsia="zh-CN"/>
        </w:rPr>
        <w:t>行政单位医疗和事业单位医疗分开支出执行</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7.</w:t>
      </w:r>
      <w:r>
        <w:rPr>
          <w:rFonts w:hint="eastAsia" w:ascii="仿宋_GB2312" w:hAnsi="宋体" w:eastAsia="仿宋_GB2312" w:cs="宋体"/>
          <w:color w:val="auto"/>
          <w:kern w:val="0"/>
          <w:sz w:val="32"/>
          <w:szCs w:val="32"/>
        </w:rPr>
        <w:t>医疗卫生健康支出</w:t>
      </w:r>
      <w:r>
        <w:rPr>
          <w:rFonts w:hint="eastAsia" w:ascii="仿宋_GB2312" w:hAnsi="仿宋_GB2312" w:eastAsia="仿宋_GB2312" w:cs="仿宋_GB2312"/>
          <w:color w:val="auto"/>
          <w:sz w:val="32"/>
        </w:rPr>
        <w:t>（类）</w:t>
      </w:r>
      <w:r>
        <w:rPr>
          <w:rFonts w:hint="eastAsia" w:ascii="仿宋_GB2312" w:hAnsi="宋体" w:eastAsia="仿宋_GB2312" w:cs="宋体"/>
          <w:color w:val="auto"/>
          <w:kern w:val="0"/>
          <w:sz w:val="32"/>
          <w:szCs w:val="32"/>
        </w:rPr>
        <w:t>行政事业</w:t>
      </w:r>
      <w:r>
        <w:rPr>
          <w:rFonts w:hint="eastAsia" w:ascii="仿宋_GB2312" w:hAnsi="宋体" w:eastAsia="仿宋_GB2312" w:cs="宋体"/>
          <w:color w:val="auto"/>
          <w:kern w:val="0"/>
          <w:sz w:val="32"/>
          <w:szCs w:val="32"/>
          <w:lang w:val="en-US" w:eastAsia="zh-CN"/>
        </w:rPr>
        <w:t>单位医疗</w:t>
      </w:r>
      <w:r>
        <w:rPr>
          <w:rFonts w:hint="eastAsia"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val="en-US" w:eastAsia="zh-CN"/>
        </w:rPr>
        <w:t>事业单位医疗</w:t>
      </w:r>
      <w:r>
        <w:rPr>
          <w:rFonts w:hint="eastAsia"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预算数为</w:t>
      </w:r>
      <w:r>
        <w:rPr>
          <w:rFonts w:hint="eastAsia" w:ascii="仿宋_GB2312" w:hAnsi="仿宋_GB2312" w:eastAsia="仿宋_GB2312" w:cs="仿宋_GB2312"/>
          <w:color w:val="auto"/>
          <w:sz w:val="32"/>
          <w:lang w:val="en-US" w:eastAsia="zh-CN"/>
        </w:rPr>
        <w:t>8.76</w:t>
      </w:r>
      <w:r>
        <w:rPr>
          <w:rFonts w:hint="eastAsia" w:ascii="仿宋_GB2312" w:hAnsi="仿宋_GB2312" w:eastAsia="仿宋_GB2312" w:cs="仿宋_GB2312"/>
          <w:color w:val="auto"/>
          <w:sz w:val="32"/>
        </w:rPr>
        <w:t>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增加8.76</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增长100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今年严格按照经济分类执行，将</w:t>
      </w:r>
      <w:r>
        <w:rPr>
          <w:rFonts w:hint="eastAsia" w:ascii="仿宋_GB2312" w:hAnsi="宋体" w:eastAsia="仿宋_GB2312" w:cs="宋体"/>
          <w:color w:val="auto"/>
          <w:kern w:val="0"/>
          <w:sz w:val="32"/>
          <w:szCs w:val="32"/>
          <w:lang w:val="en-US" w:eastAsia="zh-CN"/>
        </w:rPr>
        <w:t>行政单位医疗和事业单位医疗分开支出执行</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医疗卫生健康支出</w:t>
      </w:r>
      <w:r>
        <w:rPr>
          <w:rFonts w:hint="eastAsia" w:ascii="仿宋_GB2312" w:hAnsi="仿宋_GB2312" w:eastAsia="仿宋_GB2312" w:cs="仿宋_GB2312"/>
          <w:color w:val="auto"/>
          <w:sz w:val="32"/>
        </w:rPr>
        <w:t>（类）</w:t>
      </w:r>
      <w:r>
        <w:rPr>
          <w:rFonts w:hint="eastAsia" w:ascii="仿宋_GB2312" w:hAnsi="宋体" w:eastAsia="仿宋_GB2312" w:cs="宋体"/>
          <w:color w:val="auto"/>
          <w:kern w:val="0"/>
          <w:sz w:val="32"/>
          <w:szCs w:val="32"/>
        </w:rPr>
        <w:t>行政事业</w:t>
      </w:r>
      <w:r>
        <w:rPr>
          <w:rFonts w:hint="eastAsia" w:ascii="仿宋_GB2312" w:hAnsi="宋体" w:eastAsia="仿宋_GB2312" w:cs="宋体"/>
          <w:color w:val="auto"/>
          <w:kern w:val="0"/>
          <w:sz w:val="32"/>
          <w:szCs w:val="32"/>
          <w:lang w:val="en-US" w:eastAsia="zh-CN"/>
        </w:rPr>
        <w:t>单位医疗</w:t>
      </w:r>
      <w:r>
        <w:rPr>
          <w:rFonts w:hint="eastAsia"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val="en-US" w:eastAsia="zh-CN"/>
        </w:rPr>
        <w:t>公务员医疗补助</w:t>
      </w:r>
      <w:r>
        <w:rPr>
          <w:rFonts w:hint="eastAsia"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w:t>
      </w:r>
      <w:r>
        <w:rPr>
          <w:rFonts w:hint="eastAsia" w:ascii="仿宋_GB2312" w:hAnsi="宋体" w:eastAsia="仿宋_GB2312" w:cs="宋体"/>
          <w:color w:val="auto"/>
          <w:kern w:val="0"/>
          <w:sz w:val="32"/>
          <w:szCs w:val="32"/>
          <w:lang w:eastAsia="zh-CN"/>
        </w:rPr>
        <w:t>为</w:t>
      </w:r>
      <w:r>
        <w:rPr>
          <w:rFonts w:hint="eastAsia" w:ascii="仿宋_GB2312" w:hAnsi="宋体" w:eastAsia="仿宋_GB2312" w:cs="宋体"/>
          <w:color w:val="auto"/>
          <w:kern w:val="0"/>
          <w:sz w:val="32"/>
          <w:szCs w:val="32"/>
          <w:lang w:val="en-US" w:eastAsia="zh-CN"/>
        </w:rPr>
        <w:t>46.43万元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增加20.73</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增长80.66</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根据医保相关政策，本年上调公务员医疗补助缴纳比例。</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9.</w:t>
      </w:r>
      <w:r>
        <w:rPr>
          <w:rFonts w:hint="eastAsia" w:ascii="仿宋_GB2312" w:hAnsi="宋体" w:eastAsia="仿宋_GB2312" w:cs="宋体"/>
          <w:color w:val="auto"/>
          <w:kern w:val="0"/>
          <w:sz w:val="32"/>
          <w:szCs w:val="32"/>
        </w:rPr>
        <w:t>医疗卫生健康支出</w:t>
      </w:r>
      <w:r>
        <w:rPr>
          <w:rFonts w:hint="eastAsia" w:ascii="仿宋_GB2312" w:hAnsi="仿宋_GB2312" w:eastAsia="仿宋_GB2312" w:cs="仿宋_GB2312"/>
          <w:color w:val="auto"/>
          <w:sz w:val="32"/>
        </w:rPr>
        <w:t>（类）</w:t>
      </w:r>
      <w:r>
        <w:rPr>
          <w:rFonts w:hint="eastAsia" w:ascii="仿宋_GB2312" w:hAnsi="宋体" w:eastAsia="仿宋_GB2312" w:cs="宋体"/>
          <w:color w:val="auto"/>
          <w:kern w:val="0"/>
          <w:sz w:val="32"/>
          <w:szCs w:val="32"/>
        </w:rPr>
        <w:t>行政事业</w:t>
      </w:r>
      <w:r>
        <w:rPr>
          <w:rFonts w:hint="eastAsia" w:ascii="仿宋_GB2312" w:hAnsi="宋体" w:eastAsia="仿宋_GB2312" w:cs="宋体"/>
          <w:color w:val="auto"/>
          <w:kern w:val="0"/>
          <w:sz w:val="32"/>
          <w:szCs w:val="32"/>
          <w:lang w:val="en-US" w:eastAsia="zh-CN"/>
        </w:rPr>
        <w:t>单位医疗</w:t>
      </w:r>
      <w:r>
        <w:rPr>
          <w:rFonts w:hint="eastAsia" w:ascii="仿宋_GB2312" w:hAnsi="宋体" w:eastAsia="仿宋_GB2312" w:cs="宋体"/>
          <w:color w:val="auto"/>
          <w:kern w:val="0"/>
          <w:sz w:val="32"/>
          <w:szCs w:val="32"/>
        </w:rPr>
        <w:t>（款）</w:t>
      </w:r>
      <w:r>
        <w:rPr>
          <w:rFonts w:hint="eastAsia" w:ascii="仿宋_GB2312" w:eastAsia="仿宋_GB2312"/>
          <w:color w:val="auto"/>
          <w:sz w:val="32"/>
          <w:szCs w:val="32"/>
          <w:highlight w:val="none"/>
          <w:lang w:val="en-US" w:eastAsia="zh-CN"/>
        </w:rPr>
        <w:t>其他行政事业单位医疗支出</w:t>
      </w:r>
      <w:r>
        <w:rPr>
          <w:rFonts w:hint="eastAsia"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w:t>
      </w:r>
      <w:r>
        <w:rPr>
          <w:rFonts w:hint="eastAsia" w:ascii="仿宋_GB2312" w:hAnsi="宋体" w:eastAsia="仿宋_GB2312" w:cs="宋体"/>
          <w:color w:val="auto"/>
          <w:kern w:val="0"/>
          <w:sz w:val="32"/>
          <w:szCs w:val="32"/>
          <w:lang w:eastAsia="zh-CN"/>
        </w:rPr>
        <w:t>为</w:t>
      </w:r>
      <w:r>
        <w:rPr>
          <w:rFonts w:hint="eastAsia" w:ascii="仿宋_GB2312" w:hAnsi="宋体" w:eastAsia="仿宋_GB2312" w:cs="宋体"/>
          <w:color w:val="auto"/>
          <w:kern w:val="0"/>
          <w:sz w:val="32"/>
          <w:szCs w:val="32"/>
          <w:lang w:val="en-US" w:eastAsia="zh-CN"/>
        </w:rPr>
        <w:t>1.16万元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增加0.47</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增长65.71</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根据医保相关政策，本年上调大病医疗补助缴纳比例。</w:t>
      </w:r>
    </w:p>
    <w:p>
      <w:pPr>
        <w:spacing w:line="560" w:lineRule="exact"/>
        <w:ind w:firstLine="640" w:firstLineChars="200"/>
        <w:rPr>
          <w:rFonts w:hint="default" w:ascii="仿宋_GB2312" w:hAnsi="仿宋_GB2312" w:eastAsia="仿宋_GB2312" w:cs="仿宋_GB2312"/>
          <w:color w:val="auto"/>
          <w:sz w:val="32"/>
          <w:lang w:val="en-US" w:eastAsia="zh-CN"/>
        </w:rPr>
      </w:pPr>
      <w:r>
        <w:rPr>
          <w:rFonts w:hint="eastAsia" w:ascii="仿宋_GB2312" w:hAnsi="宋体" w:eastAsia="仿宋_GB2312" w:cs="宋体"/>
          <w:color w:val="auto"/>
          <w:kern w:val="0"/>
          <w:sz w:val="32"/>
          <w:szCs w:val="32"/>
          <w:lang w:val="en-US" w:eastAsia="zh-CN"/>
        </w:rPr>
        <w:t>10.</w:t>
      </w:r>
      <w:r>
        <w:rPr>
          <w:rFonts w:hint="eastAsia" w:ascii="仿宋_GB2312" w:hAnsi="宋体" w:eastAsia="仿宋_GB2312" w:cs="宋体"/>
          <w:color w:val="auto"/>
          <w:kern w:val="0"/>
          <w:sz w:val="32"/>
          <w:szCs w:val="32"/>
        </w:rPr>
        <w:t>住房保障支出</w:t>
      </w:r>
      <w:r>
        <w:rPr>
          <w:rFonts w:hint="eastAsia" w:ascii="仿宋_GB2312" w:hAnsi="仿宋_GB2312" w:eastAsia="仿宋_GB2312" w:cs="仿宋_GB2312"/>
          <w:color w:val="auto"/>
          <w:sz w:val="32"/>
        </w:rPr>
        <w:t>（类）</w:t>
      </w:r>
      <w:r>
        <w:rPr>
          <w:rFonts w:hint="eastAsia" w:ascii="仿宋_GB2312" w:hAnsi="宋体" w:eastAsia="仿宋_GB2312" w:cs="宋体"/>
          <w:color w:val="auto"/>
          <w:kern w:val="0"/>
          <w:sz w:val="32"/>
          <w:szCs w:val="32"/>
          <w:lang w:val="en-US" w:eastAsia="zh-CN"/>
        </w:rPr>
        <w:t>住房改革支出</w:t>
      </w:r>
      <w:r>
        <w:rPr>
          <w:rFonts w:hint="eastAsia"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val="en-US" w:eastAsia="zh-CN"/>
        </w:rPr>
        <w:t>住房公积金</w:t>
      </w:r>
      <w:r>
        <w:rPr>
          <w:rFonts w:hint="eastAsia"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w:t>
      </w:r>
      <w:r>
        <w:rPr>
          <w:rFonts w:ascii="仿宋_GB2312" w:hAnsi="宋体" w:eastAsia="仿宋_GB2312" w:cs="宋体"/>
          <w:color w:val="auto"/>
          <w:kern w:val="0"/>
          <w:sz w:val="32"/>
          <w:szCs w:val="32"/>
        </w:rPr>
        <w:t>预算数</w:t>
      </w:r>
      <w:r>
        <w:rPr>
          <w:rFonts w:hint="eastAsia" w:ascii="仿宋_GB2312" w:hAnsi="宋体" w:eastAsia="仿宋_GB2312" w:cs="宋体"/>
          <w:color w:val="auto"/>
          <w:kern w:val="0"/>
          <w:sz w:val="32"/>
          <w:szCs w:val="32"/>
          <w:lang w:eastAsia="zh-CN"/>
        </w:rPr>
        <w:t>为</w:t>
      </w:r>
      <w:r>
        <w:rPr>
          <w:rFonts w:hint="eastAsia" w:ascii="仿宋_GB2312" w:hAnsi="宋体" w:eastAsia="仿宋_GB2312" w:cs="宋体"/>
          <w:color w:val="auto"/>
          <w:kern w:val="0"/>
          <w:sz w:val="32"/>
          <w:szCs w:val="32"/>
          <w:lang w:val="en-US" w:eastAsia="zh-CN"/>
        </w:rPr>
        <w:t>154.11万元，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val="en-US" w:eastAsia="zh-CN"/>
        </w:rPr>
        <w:t>减少1.27</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val="en-US" w:eastAsia="zh-CN"/>
        </w:rPr>
        <w:t>下降0.82</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highlight w:val="none"/>
          <w:lang w:eastAsia="zh-CN"/>
        </w:rPr>
        <w:t>今年在职人员较去年减少</w:t>
      </w:r>
      <w:r>
        <w:rPr>
          <w:rFonts w:hint="eastAsia" w:ascii="仿宋_GB2312" w:hAnsi="宋体" w:eastAsia="仿宋_GB2312" w:cs="宋体"/>
          <w:color w:val="auto"/>
          <w:kern w:val="0"/>
          <w:sz w:val="32"/>
          <w:szCs w:val="32"/>
          <w:highlight w:val="none"/>
          <w:lang w:val="en-US" w:eastAsia="zh-CN"/>
        </w:rPr>
        <w:t>，所需整体费用减少</w:t>
      </w:r>
      <w:r>
        <w:rPr>
          <w:rFonts w:hint="eastAsia" w:ascii="仿宋_GB2312" w:hAnsi="宋体" w:eastAsia="仿宋_GB2312" w:cs="宋体"/>
          <w:color w:val="auto"/>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中国共产党呼图壁县纪律检查委员会2025年</w:t>
      </w:r>
      <w:r>
        <w:rPr>
          <w:rFonts w:hint="eastAsia" w:ascii="仿宋_GB2312" w:hAnsi="宋体" w:eastAsia="仿宋_GB2312" w:cs="宋体"/>
          <w:color w:val="auto"/>
          <w:kern w:val="0"/>
          <w:sz w:val="32"/>
          <w:szCs w:val="32"/>
        </w:rPr>
        <w:t xml:space="preserve">一般公共预算基本支出 </w:t>
      </w:r>
      <w:r>
        <w:rPr>
          <w:rFonts w:hint="eastAsia" w:ascii="仿宋_GB2312" w:hAnsi="宋体" w:eastAsia="仿宋_GB2312" w:cs="宋体"/>
          <w:color w:val="auto"/>
          <w:kern w:val="0"/>
          <w:sz w:val="32"/>
          <w:szCs w:val="32"/>
          <w:lang w:val="en-US" w:eastAsia="zh-CN"/>
        </w:rPr>
        <w:t>2226.80</w:t>
      </w:r>
      <w:r>
        <w:rPr>
          <w:rFonts w:hint="eastAsia" w:ascii="仿宋_GB2312" w:hAnsi="宋体" w:eastAsia="仿宋_GB2312" w:cs="宋体"/>
          <w:color w:val="auto"/>
          <w:kern w:val="0"/>
          <w:sz w:val="32"/>
          <w:szCs w:val="32"/>
        </w:rPr>
        <w:t>万元， 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w:t>
      </w:r>
      <w:r>
        <w:rPr>
          <w:rFonts w:hint="eastAsia" w:ascii="仿宋_GB2312" w:hAnsi="宋体" w:eastAsia="仿宋_GB2312" w:cs="宋体"/>
          <w:color w:val="auto"/>
          <w:kern w:val="0"/>
          <w:sz w:val="32"/>
          <w:szCs w:val="32"/>
          <w:lang w:val="en-US" w:eastAsia="zh-CN"/>
        </w:rPr>
        <w:t>1787.11</w:t>
      </w:r>
      <w:r>
        <w:rPr>
          <w:rFonts w:hint="eastAsia" w:ascii="仿宋_GB2312" w:hAnsi="宋体" w:eastAsia="仿宋_GB2312" w:cs="宋体"/>
          <w:color w:val="auto"/>
          <w:kern w:val="0"/>
          <w:sz w:val="32"/>
          <w:szCs w:val="32"/>
        </w:rPr>
        <w:t>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w:t>
      </w:r>
      <w:r>
        <w:rPr>
          <w:rFonts w:hint="eastAsia" w:ascii="仿宋_GB2312" w:hAnsi="宋体" w:eastAsia="仿宋_GB2312" w:cs="宋体"/>
          <w:color w:val="auto"/>
          <w:kern w:val="0"/>
          <w:sz w:val="32"/>
          <w:szCs w:val="32"/>
          <w:lang w:val="en-US" w:eastAsia="zh-CN"/>
        </w:rPr>
        <w:t>439.69</w:t>
      </w:r>
      <w:r>
        <w:rPr>
          <w:rFonts w:hint="eastAsia" w:ascii="仿宋_GB2312" w:hAnsi="宋体" w:eastAsia="仿宋_GB2312" w:cs="宋体"/>
          <w:color w:val="auto"/>
          <w:kern w:val="0"/>
          <w:sz w:val="32"/>
          <w:szCs w:val="32"/>
        </w:rPr>
        <w:t>万元，主要包括：办公费、印刷费、手续费、水费、电费、邮电费、取暖费、物业管理费、差旅费、维修（护）费、租赁费、会议费、培训费、公务接待费、劳务费、委托业务费、工会经费、公务用车运行维护费、其他交通费用</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其他商品和服务支出。</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23.49万元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中共呼图壁县纪律检查委员会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2025年1月1日-12月30日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中国共产党呼图壁县纪律检查委员会2025年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39.6</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33.6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p>
    <w:p>
      <w:pPr>
        <w:pStyle w:val="2"/>
        <w:rPr>
          <w:rFonts w:hint="default" w:eastAsia="宋体"/>
          <w:lang w:val="en-US" w:eastAsia="zh-CN"/>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eastAsia="zh-CN"/>
        </w:rPr>
        <w:t>“三公”经费比上年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7.2</w:t>
      </w:r>
      <w:r>
        <w:rPr>
          <w:rFonts w:hint="eastAsia" w:ascii="仿宋_GB2312" w:hAnsi="仿宋_GB2312" w:eastAsia="仿宋_GB2312" w:cs="仿宋_GB2312"/>
          <w:color w:val="auto"/>
          <w:kern w:val="0"/>
          <w:sz w:val="32"/>
          <w:szCs w:val="32"/>
          <w:highlight w:val="none"/>
          <w:lang w:eastAsia="zh-CN"/>
        </w:rPr>
        <w:t xml:space="preserve"> 万元，增长</w:t>
      </w:r>
      <w:r>
        <w:rPr>
          <w:rFonts w:hint="eastAsia" w:ascii="仿宋_GB2312" w:hAnsi="仿宋_GB2312" w:eastAsia="仿宋_GB2312" w:cs="仿宋_GB2312"/>
          <w:color w:val="auto"/>
          <w:kern w:val="0"/>
          <w:sz w:val="32"/>
          <w:szCs w:val="32"/>
          <w:highlight w:val="none"/>
          <w:lang w:val="en-US" w:eastAsia="zh-CN"/>
        </w:rPr>
        <w:t>22.22 %，</w:t>
      </w:r>
      <w:r>
        <w:rPr>
          <w:rFonts w:hint="eastAsia" w:ascii="仿宋_GB2312" w:hAnsi="仿宋_GB2312" w:eastAsia="仿宋_GB2312" w:cs="仿宋_GB2312"/>
          <w:color w:val="auto"/>
          <w:kern w:val="0"/>
          <w:sz w:val="32"/>
          <w:szCs w:val="32"/>
          <w:highlight w:val="none"/>
          <w:lang w:eastAsia="zh-CN"/>
        </w:rPr>
        <w:t>其中：因公出国（境）费增加0.00万元，增长0.00%，主要原因是本部门</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年均未安排此项预算支出经费；公务用车购置费增加0.00万元，增长0.00%，主要原因是本部门</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年均未安排此项预算支出经费；公务用车运行费增加</w:t>
      </w:r>
      <w:r>
        <w:rPr>
          <w:rFonts w:hint="eastAsia" w:ascii="仿宋_GB2312" w:hAnsi="仿宋_GB2312" w:eastAsia="仿宋_GB2312" w:cs="仿宋_GB2312"/>
          <w:color w:val="auto"/>
          <w:kern w:val="0"/>
          <w:sz w:val="32"/>
          <w:szCs w:val="32"/>
          <w:highlight w:val="none"/>
          <w:lang w:val="en-US" w:eastAsia="zh-CN"/>
        </w:rPr>
        <w:t>7.2</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27.27 %，</w:t>
      </w:r>
      <w:r>
        <w:rPr>
          <w:rFonts w:hint="eastAsia" w:ascii="仿宋_GB2312" w:hAnsi="仿宋_GB2312" w:eastAsia="仿宋_GB2312" w:cs="仿宋_GB2312"/>
          <w:color w:val="auto"/>
          <w:kern w:val="0"/>
          <w:sz w:val="32"/>
          <w:szCs w:val="32"/>
          <w:highlight w:val="none"/>
          <w:lang w:eastAsia="zh-CN"/>
        </w:rPr>
        <w:t>主要原因是本年新购置</w:t>
      </w:r>
      <w:r>
        <w:rPr>
          <w:rFonts w:hint="eastAsia" w:ascii="仿宋_GB2312" w:hAnsi="仿宋_GB2312" w:eastAsia="仿宋_GB2312" w:cs="仿宋_GB2312"/>
          <w:color w:val="auto"/>
          <w:kern w:val="0"/>
          <w:sz w:val="32"/>
          <w:szCs w:val="32"/>
          <w:highlight w:val="none"/>
          <w:lang w:val="en-US" w:eastAsia="zh-CN"/>
        </w:rPr>
        <w:t>3辆公务用车，相应用车维护费增长</w:t>
      </w:r>
      <w:r>
        <w:rPr>
          <w:rFonts w:hint="eastAsia" w:ascii="仿宋_GB2312" w:hAnsi="仿宋_GB2312" w:eastAsia="仿宋_GB2312" w:cs="仿宋_GB2312"/>
          <w:color w:val="auto"/>
          <w:kern w:val="0"/>
          <w:sz w:val="32"/>
          <w:szCs w:val="32"/>
          <w:highlight w:val="none"/>
          <w:lang w:eastAsia="zh-CN"/>
        </w:rPr>
        <w:t>。公务接待费增加0.00万元，增长0.00%，主要原因是按照“三公”经费预算要求，只减不增，</w:t>
      </w:r>
      <w:r>
        <w:rPr>
          <w:rFonts w:hint="eastAsia" w:ascii="仿宋_GB2312" w:hAnsi="仿宋_GB2312" w:eastAsia="仿宋_GB2312" w:cs="仿宋_GB2312"/>
          <w:color w:val="auto"/>
          <w:kern w:val="0"/>
          <w:sz w:val="32"/>
          <w:szCs w:val="32"/>
          <w:highlight w:val="none"/>
          <w:lang w:val="en-US" w:eastAsia="zh-CN"/>
        </w:rPr>
        <w:t>因此</w:t>
      </w:r>
      <w:r>
        <w:rPr>
          <w:rFonts w:hint="eastAsia" w:ascii="仿宋_GB2312" w:hAnsi="仿宋_GB2312" w:eastAsia="仿宋_GB2312" w:cs="仿宋_GB2312"/>
          <w:color w:val="auto"/>
          <w:kern w:val="0"/>
          <w:sz w:val="32"/>
          <w:szCs w:val="32"/>
          <w:highlight w:val="none"/>
          <w:lang w:eastAsia="zh-CN"/>
        </w:rPr>
        <w:t>公务接待费</w:t>
      </w:r>
      <w:r>
        <w:rPr>
          <w:rFonts w:hint="eastAsia" w:ascii="仿宋_GB2312" w:hAnsi="仿宋_GB2312" w:eastAsia="仿宋_GB2312" w:cs="仿宋_GB2312"/>
          <w:color w:val="auto"/>
          <w:kern w:val="0"/>
          <w:sz w:val="32"/>
          <w:szCs w:val="32"/>
          <w:highlight w:val="none"/>
          <w:lang w:val="en-US" w:eastAsia="zh-CN"/>
        </w:rPr>
        <w:t>预算与上年预算保持一致。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中国共产党呼图壁县纪律检查委员会2025年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中国共产党呼图壁县纪律检查委员会2025年</w:t>
      </w:r>
      <w:r>
        <w:rPr>
          <w:rFonts w:hint="eastAsia" w:ascii="仿宋_GB2312" w:hAnsi="仿宋_GB2312" w:eastAsia="仿宋_GB2312" w:cs="仿宋_GB2312"/>
          <w:color w:val="auto"/>
          <w:kern w:val="0"/>
          <w:sz w:val="32"/>
          <w:szCs w:val="32"/>
          <w:highlight w:val="none"/>
          <w:lang w:val="en-US" w:eastAsia="zh-CN"/>
        </w:rPr>
        <w:t>上年结转结余12万元，包括：财政拨款12万元，非财政拨款0万元，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bookmarkStart w:id="0" w:name="OLE_LINK2"/>
      <w:r>
        <w:rPr>
          <w:rFonts w:hint="eastAsia" w:ascii="仿宋_GB2312" w:hAnsi="仿宋_GB2312" w:eastAsia="仿宋_GB2312" w:cs="仿宋_GB2312"/>
          <w:color w:val="auto"/>
          <w:kern w:val="0"/>
          <w:sz w:val="32"/>
          <w:szCs w:val="32"/>
          <w:highlight w:val="none"/>
          <w:lang w:val="en-US" w:eastAsia="zh-CN"/>
        </w:rPr>
        <w:t>呼图壁县2024年为民办实事经费</w:t>
      </w:r>
      <w:bookmarkEnd w:id="0"/>
      <w:r>
        <w:rPr>
          <w:rFonts w:hint="eastAsia" w:ascii="仿宋_GB2312" w:hAnsi="仿宋_GB2312" w:eastAsia="仿宋_GB2312" w:cs="仿宋_GB2312"/>
          <w:color w:val="auto"/>
          <w:kern w:val="0"/>
          <w:sz w:val="32"/>
          <w:szCs w:val="32"/>
          <w:highlight w:val="none"/>
          <w:lang w:val="en-US" w:eastAsia="zh-CN"/>
        </w:rPr>
        <w:t>项目12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主要用于：补贴大丰镇联丰村用于生活补助、为群众送温暖、送服务、更新村级办公设施、补充村级组织工作经费等。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eastAsia="zh-CN"/>
        </w:rPr>
        <w:t>中国共产党呼图壁县纪律检查委员会2025年的机关运行经费财政拨款预算</w:t>
      </w:r>
      <w:r>
        <w:rPr>
          <w:rFonts w:hint="eastAsia" w:ascii="仿宋_GB2312" w:hAnsi="宋体" w:eastAsia="仿宋_GB2312" w:cs="宋体"/>
          <w:color w:val="auto"/>
          <w:kern w:val="0"/>
          <w:sz w:val="32"/>
          <w:szCs w:val="32"/>
          <w:lang w:val="en-US" w:eastAsia="zh-CN"/>
        </w:rPr>
        <w:t>439.69</w:t>
      </w:r>
      <w:r>
        <w:rPr>
          <w:rFonts w:hint="eastAsia" w:ascii="仿宋_GB2312" w:hAnsi="宋体" w:eastAsia="仿宋_GB2312" w:cs="宋体"/>
          <w:color w:val="auto"/>
          <w:kern w:val="0"/>
          <w:sz w:val="32"/>
          <w:szCs w:val="32"/>
          <w:lang w:eastAsia="zh-CN"/>
        </w:rPr>
        <w:t>万元，比上年预算增加</w:t>
      </w:r>
      <w:r>
        <w:rPr>
          <w:rFonts w:hint="eastAsia" w:ascii="仿宋_GB2312" w:hAnsi="宋体" w:eastAsia="仿宋_GB2312" w:cs="宋体"/>
          <w:color w:val="auto"/>
          <w:kern w:val="0"/>
          <w:sz w:val="32"/>
          <w:szCs w:val="32"/>
          <w:lang w:val="en-US" w:eastAsia="zh-CN"/>
        </w:rPr>
        <w:t>10.46</w:t>
      </w:r>
      <w:r>
        <w:rPr>
          <w:rFonts w:hint="eastAsia" w:ascii="仿宋_GB2312" w:hAnsi="宋体" w:eastAsia="仿宋_GB2312" w:cs="宋体"/>
          <w:color w:val="auto"/>
          <w:kern w:val="0"/>
          <w:sz w:val="32"/>
          <w:szCs w:val="32"/>
          <w:lang w:eastAsia="zh-CN"/>
        </w:rPr>
        <w:t>万元，增长</w:t>
      </w:r>
      <w:r>
        <w:rPr>
          <w:rFonts w:hint="eastAsia" w:ascii="仿宋_GB2312" w:hAnsi="宋体" w:eastAsia="仿宋_GB2312" w:cs="宋体"/>
          <w:color w:val="auto"/>
          <w:kern w:val="0"/>
          <w:sz w:val="32"/>
          <w:szCs w:val="32"/>
          <w:lang w:val="en-US" w:eastAsia="zh-CN"/>
        </w:rPr>
        <w:t>2.44</w:t>
      </w:r>
      <w:r>
        <w:rPr>
          <w:rFonts w:hint="eastAsia" w:ascii="仿宋_GB2312" w:hAnsi="宋体" w:eastAsia="仿宋_GB2312" w:cs="宋体"/>
          <w:color w:val="auto"/>
          <w:kern w:val="0"/>
          <w:sz w:val="32"/>
          <w:szCs w:val="32"/>
          <w:lang w:eastAsia="zh-CN"/>
        </w:rPr>
        <w:t xml:space="preserve"> %。主要原因是</w:t>
      </w:r>
      <w:r>
        <w:rPr>
          <w:rFonts w:hint="eastAsia" w:ascii="仿宋_GB2312" w:hAnsi="宋体" w:eastAsia="仿宋_GB2312" w:cs="宋体"/>
          <w:color w:val="auto"/>
          <w:kern w:val="0"/>
          <w:sz w:val="32"/>
          <w:szCs w:val="32"/>
          <w:lang w:val="en-US" w:eastAsia="zh-CN"/>
        </w:rPr>
        <w:t>公务用车增加，相应用车维护费增长</w:t>
      </w:r>
      <w:r>
        <w:rPr>
          <w:rFonts w:hint="eastAsia" w:ascii="仿宋_GB2312" w:hAnsi="宋体" w:eastAsia="仿宋_GB2312" w:cs="宋体"/>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年，中国共产党呼图壁县纪律检查委员会政府采购预算</w:t>
      </w:r>
      <w:r>
        <w:rPr>
          <w:rFonts w:hint="eastAsia" w:ascii="仿宋_GB2312" w:hAnsi="宋体" w:eastAsia="仿宋_GB2312" w:cs="宋体"/>
          <w:color w:val="auto"/>
          <w:kern w:val="0"/>
          <w:sz w:val="32"/>
          <w:szCs w:val="32"/>
          <w:lang w:val="en-US" w:eastAsia="zh-CN"/>
        </w:rPr>
        <w:t>266.05</w:t>
      </w:r>
      <w:r>
        <w:rPr>
          <w:rFonts w:hint="eastAsia" w:ascii="仿宋_GB2312" w:hAnsi="宋体" w:eastAsia="仿宋_GB2312" w:cs="宋体"/>
          <w:color w:val="auto"/>
          <w:kern w:val="0"/>
          <w:sz w:val="32"/>
          <w:szCs w:val="32"/>
          <w:lang w:eastAsia="zh-CN"/>
        </w:rPr>
        <w:t>万元，其中：政府采购货物预算</w:t>
      </w:r>
      <w:r>
        <w:rPr>
          <w:rFonts w:hint="eastAsia" w:ascii="仿宋_GB2312" w:hAnsi="宋体" w:eastAsia="仿宋_GB2312" w:cs="宋体"/>
          <w:color w:val="auto"/>
          <w:kern w:val="0"/>
          <w:sz w:val="32"/>
          <w:szCs w:val="32"/>
          <w:lang w:val="en-US" w:eastAsia="zh-CN"/>
        </w:rPr>
        <w:t>222.05</w:t>
      </w:r>
      <w:r>
        <w:rPr>
          <w:rFonts w:hint="eastAsia" w:ascii="仿宋_GB2312" w:hAnsi="宋体" w:eastAsia="仿宋_GB2312" w:cs="宋体"/>
          <w:color w:val="auto"/>
          <w:kern w:val="0"/>
          <w:sz w:val="32"/>
          <w:szCs w:val="32"/>
          <w:lang w:eastAsia="zh-CN"/>
        </w:rPr>
        <w:t>万元，政府采购工程预算</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lang w:eastAsia="zh-CN"/>
        </w:rPr>
        <w:t>万元，政府采购服务预算</w:t>
      </w:r>
      <w:r>
        <w:rPr>
          <w:rFonts w:hint="eastAsia" w:ascii="仿宋_GB2312" w:hAnsi="宋体" w:eastAsia="仿宋_GB2312" w:cs="宋体"/>
          <w:color w:val="auto"/>
          <w:kern w:val="0"/>
          <w:sz w:val="32"/>
          <w:szCs w:val="32"/>
          <w:lang w:val="en-US" w:eastAsia="zh-CN"/>
        </w:rPr>
        <w:t>44</w:t>
      </w:r>
      <w:r>
        <w:rPr>
          <w:rFonts w:hint="eastAsia" w:ascii="仿宋_GB2312" w:hAnsi="宋体" w:eastAsia="仿宋_GB2312" w:cs="宋体"/>
          <w:color w:val="auto"/>
          <w:kern w:val="0"/>
          <w:sz w:val="32"/>
          <w:szCs w:val="32"/>
          <w:lang w:eastAsia="zh-CN"/>
        </w:rPr>
        <w:t>万元。</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lang w:eastAsia="zh-CN"/>
        </w:rPr>
        <w:t>年，中国共产党呼图壁县纪律检查委员会面向中小企业预留政府采购项目预算金额</w:t>
      </w:r>
      <w:r>
        <w:rPr>
          <w:rFonts w:hint="eastAsia" w:ascii="仿宋_GB2312" w:hAnsi="宋体" w:eastAsia="仿宋_GB2312" w:cs="宋体"/>
          <w:color w:val="auto"/>
          <w:kern w:val="0"/>
          <w:sz w:val="32"/>
          <w:szCs w:val="32"/>
          <w:lang w:val="en-US" w:eastAsia="zh-CN"/>
        </w:rPr>
        <w:t>231.11</w:t>
      </w:r>
      <w:r>
        <w:rPr>
          <w:rFonts w:hint="eastAsia" w:ascii="仿宋_GB2312" w:hAnsi="宋体" w:eastAsia="仿宋_GB2312" w:cs="宋体"/>
          <w:color w:val="auto"/>
          <w:kern w:val="0"/>
          <w:sz w:val="32"/>
          <w:szCs w:val="32"/>
          <w:lang w:eastAsia="zh-CN"/>
        </w:rPr>
        <w:t>万元，</w:t>
      </w:r>
      <w:r>
        <w:rPr>
          <w:rFonts w:hint="eastAsia" w:ascii="仿宋_GB2312" w:hAnsi="宋体" w:eastAsia="仿宋_GB2312" w:cs="宋体"/>
          <w:color w:val="auto"/>
          <w:kern w:val="0"/>
          <w:sz w:val="32"/>
          <w:szCs w:val="32"/>
          <w:lang w:val="en-US" w:eastAsia="zh-CN"/>
        </w:rPr>
        <w:t>小微</w:t>
      </w:r>
      <w:r>
        <w:rPr>
          <w:rFonts w:hint="eastAsia" w:ascii="仿宋_GB2312" w:hAnsi="宋体" w:eastAsia="仿宋_GB2312" w:cs="宋体"/>
          <w:color w:val="auto"/>
          <w:kern w:val="0"/>
          <w:sz w:val="32"/>
          <w:szCs w:val="32"/>
          <w:lang w:eastAsia="zh-CN"/>
        </w:rPr>
        <w:t>企业预留政府采购项目预算金额</w:t>
      </w:r>
      <w:r>
        <w:rPr>
          <w:rFonts w:hint="eastAsia" w:ascii="仿宋_GB2312" w:hAnsi="宋体" w:eastAsia="仿宋_GB2312" w:cs="宋体"/>
          <w:color w:val="auto"/>
          <w:kern w:val="0"/>
          <w:sz w:val="32"/>
          <w:szCs w:val="32"/>
          <w:lang w:val="en-US" w:eastAsia="zh-CN"/>
        </w:rPr>
        <w:t>231.11</w:t>
      </w:r>
      <w:r>
        <w:rPr>
          <w:rFonts w:hint="eastAsia" w:ascii="仿宋_GB2312" w:hAnsi="宋体" w:eastAsia="仿宋_GB2312" w:cs="宋体"/>
          <w:color w:val="auto"/>
          <w:kern w:val="0"/>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截至</w:t>
      </w:r>
      <w:r>
        <w:rPr>
          <w:rFonts w:hint="eastAsia" w:ascii="仿宋_GB2312" w:hAnsi="宋体" w:eastAsia="仿宋_GB2312" w:cs="宋体"/>
          <w:color w:val="auto"/>
          <w:kern w:val="0"/>
          <w:sz w:val="32"/>
          <w:szCs w:val="32"/>
          <w:lang w:val="en-US" w:eastAsia="zh-CN"/>
        </w:rPr>
        <w:t>2024</w:t>
      </w:r>
      <w:r>
        <w:rPr>
          <w:rFonts w:hint="eastAsia" w:ascii="仿宋_GB2312" w:hAnsi="宋体" w:eastAsia="仿宋_GB2312" w:cs="宋体"/>
          <w:color w:val="auto"/>
          <w:kern w:val="0"/>
          <w:sz w:val="32"/>
          <w:szCs w:val="32"/>
          <w:lang w:eastAsia="zh-CN"/>
        </w:rPr>
        <w:t>年底，中国共产党呼图壁县纪律检查委员会占用使用国有资产总体情况为：</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1.房屋2301平方米，价值498.38万元。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2.车辆</w:t>
      </w: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仿宋_GB2312" w:eastAsia="仿宋_GB2312" w:cs="仿宋_GB2312"/>
          <w:color w:val="auto"/>
          <w:kern w:val="0"/>
          <w:sz w:val="32"/>
          <w:szCs w:val="32"/>
          <w:highlight w:val="none"/>
          <w:lang w:eastAsia="zh-CN"/>
        </w:rPr>
        <w:t xml:space="preserve"> 辆，价值</w:t>
      </w:r>
      <w:r>
        <w:rPr>
          <w:rFonts w:hint="eastAsia" w:ascii="仿宋_GB2312" w:hAnsi="仿宋_GB2312" w:eastAsia="仿宋_GB2312" w:cs="仿宋_GB2312"/>
          <w:color w:val="auto"/>
          <w:kern w:val="0"/>
          <w:sz w:val="32"/>
          <w:szCs w:val="32"/>
          <w:highlight w:val="none"/>
          <w:lang w:val="en-US" w:eastAsia="zh-CN"/>
        </w:rPr>
        <w:t>203.60</w:t>
      </w:r>
      <w:r>
        <w:rPr>
          <w:rFonts w:hint="eastAsia" w:ascii="仿宋_GB2312" w:hAnsi="仿宋_GB2312" w:eastAsia="仿宋_GB2312" w:cs="仿宋_GB2312"/>
          <w:color w:val="auto"/>
          <w:kern w:val="0"/>
          <w:sz w:val="32"/>
          <w:szCs w:val="32"/>
          <w:highlight w:val="none"/>
          <w:lang w:eastAsia="zh-CN"/>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万元；执法执勤用车</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辆，价值</w:t>
      </w:r>
      <w:r>
        <w:rPr>
          <w:rFonts w:hint="eastAsia" w:ascii="仿宋_GB2312" w:hAnsi="仿宋_GB2312" w:eastAsia="仿宋_GB2312" w:cs="仿宋_GB2312"/>
          <w:color w:val="auto"/>
          <w:kern w:val="0"/>
          <w:sz w:val="32"/>
          <w:szCs w:val="32"/>
          <w:highlight w:val="none"/>
          <w:lang w:val="en-US" w:eastAsia="zh-CN"/>
        </w:rPr>
        <w:t>61.9</w:t>
      </w:r>
      <w:r>
        <w:rPr>
          <w:rFonts w:hint="eastAsia" w:ascii="仿宋_GB2312" w:hAnsi="仿宋_GB2312" w:eastAsia="仿宋_GB2312" w:cs="仿宋_GB2312"/>
          <w:color w:val="auto"/>
          <w:kern w:val="0"/>
          <w:sz w:val="32"/>
          <w:szCs w:val="32"/>
          <w:highlight w:val="none"/>
          <w:lang w:eastAsia="zh-CN"/>
        </w:rPr>
        <w:t>万元；其他车辆</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lang w:eastAsia="zh-CN"/>
        </w:rPr>
        <w:t xml:space="preserve">辆，价值 </w:t>
      </w:r>
      <w:r>
        <w:rPr>
          <w:rFonts w:hint="eastAsia" w:ascii="仿宋_GB2312" w:hAnsi="仿宋_GB2312" w:eastAsia="仿宋_GB2312" w:cs="仿宋_GB2312"/>
          <w:color w:val="auto"/>
          <w:kern w:val="0"/>
          <w:sz w:val="32"/>
          <w:szCs w:val="32"/>
          <w:highlight w:val="none"/>
          <w:lang w:val="en-US" w:eastAsia="zh-CN"/>
        </w:rPr>
        <w:t>141.7</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142.91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227.41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 xml:space="preserve">预算未安排购置车辆经费，安排购置50万元以上大型设备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1"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整体预算绩效目标1个，涉及预算金额3293.61万元；当年预算安排项目共1个，其中: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涉及预算金额23.94万元；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 xml:space="preserve">  </w:t>
      </w:r>
    </w:p>
    <w:bookmarkEnd w:id="1"/>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w:t>
            </w:r>
            <w:r>
              <w:rPr>
                <w:rFonts w:hint="eastAsia" w:ascii="宋体" w:hAnsi="宋体" w:cs="宋体"/>
                <w:i w:val="0"/>
                <w:iCs w:val="0"/>
                <w:color w:val="auto"/>
                <w:sz w:val="24"/>
                <w:szCs w:val="24"/>
                <w:highlight w:val="none"/>
                <w:u w:val="none"/>
                <w:lang w:val="en-US" w:eastAsia="zh-CN"/>
              </w:rPr>
              <w:t>5</w:t>
            </w:r>
            <w:r>
              <w:rPr>
                <w:rFonts w:hint="eastAsia" w:ascii="宋体" w:hAnsi="宋体" w:eastAsia="宋体" w:cs="宋体"/>
                <w:i w:val="0"/>
                <w:iCs w:val="0"/>
                <w:color w:val="auto"/>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单位</w:t>
            </w:r>
            <w:r>
              <w:rPr>
                <w:rFonts w:hint="eastAsia" w:ascii="宋体" w:hAnsi="宋体" w:eastAsia="宋体" w:cs="宋体"/>
                <w:i w:val="0"/>
                <w:iCs w:val="0"/>
                <w:color w:val="auto"/>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中国共产党呼图壁县纪律检查委员会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单位</w:t>
            </w:r>
            <w:r>
              <w:rPr>
                <w:rFonts w:hint="eastAsia" w:ascii="宋体" w:hAnsi="宋体" w:eastAsia="宋体" w:cs="宋体"/>
                <w:i w:val="0"/>
                <w:iCs w:val="0"/>
                <w:color w:val="auto"/>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马晓丹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18690805110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坚决落实中央八项规定精神，从严纠治“四风”持续开展监督检查，督促乡镇纪委和派驻（派出）机构做好所辖区域监督单位，切实扛牢纪委监委监督专责，督促各责任主体把责任扛起来；坚持在“四个聚焦”上凝心聚力，以强有力的巡察监督为高质量发展提供坚强政治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23.94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18"/>
                <w:szCs w:val="18"/>
                <w:u w:val="none"/>
                <w:lang w:val="en-US" w:eastAsia="zh-CN" w:bidi="ar"/>
              </w:rPr>
              <w:t>2238.8</w:t>
            </w:r>
            <w:r>
              <w:rPr>
                <w:rFonts w:hint="eastAsia" w:ascii="宋体" w:hAnsi="宋体" w:cs="宋体"/>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1030.86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开展法定节假日落实中央八项规定精神专项督查次数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中国共产党呼图壁县第十三届 纪律检查委员会第五次全体会议公报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18"/>
                <w:szCs w:val="18"/>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督促乡镇纪委和派驻（派出）机构做好所辖区域监督单位个数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&gt;=65个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中国共产党呼图壁县第十三届 纪律检查委员会第五次全体会议公报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18"/>
                <w:szCs w:val="18"/>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2025年巡察轮次数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&gt;=2轮次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中国共产党呼图壁县第十三届 纪律检查委员会第五次全体会议公报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监督单位覆盖率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中国共产党呼图壁县第十三届 纪律检查委员会第五次全体会议公报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巡察单位覆盖率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中国共产党呼图壁县第十三届 纪律检查委员会第五次全体会议公报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巡察及时率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u w:val="none"/>
                <w:lang w:val="en-US" w:eastAsia="zh-CN" w:bidi="ar"/>
              </w:rPr>
              <w:t>中国共产党呼图壁县第十三届 纪律检查委员会第五次全体会议公报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18"/>
                <w:szCs w:val="18"/>
                <w:u w:val="none"/>
                <w:lang w:val="en-US" w:eastAsia="zh-CN" w:bidi="ar"/>
              </w:rPr>
              <w:t>14</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Hans"/>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本部门涉及</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sm</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一个，涉及金额23.94万元,是</w:t>
      </w:r>
      <w:r>
        <w:rPr>
          <w:rFonts w:hint="eastAsia" w:ascii="仿宋_GB2312" w:hAnsi="宋体" w:eastAsia="仿宋_GB2312" w:cs="宋体"/>
          <w:color w:val="auto"/>
          <w:kern w:val="0"/>
          <w:sz w:val="32"/>
          <w:szCs w:val="32"/>
          <w:highlight w:val="none"/>
          <w:lang w:eastAsia="zh-CN"/>
        </w:rPr>
        <w:t>中央政法纪检监察转移支付资金，</w:t>
      </w:r>
      <w:r>
        <w:rPr>
          <w:rFonts w:hint="eastAsia" w:ascii="仿宋_GB2312" w:hAnsi="仿宋_GB2312" w:eastAsia="仿宋_GB2312" w:cs="仿宋_GB2312"/>
          <w:color w:val="auto"/>
          <w:kern w:val="0"/>
          <w:sz w:val="32"/>
          <w:szCs w:val="32"/>
          <w:highlight w:val="none"/>
          <w:lang w:val="en-US" w:eastAsia="zh-CN"/>
        </w:rPr>
        <w:t>不公开该项目预算绩效目标表。</w:t>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部门（单位）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公务用车购置反映机关和参公事业单位公务用车购置支出（含车辆购置税、牌照费）；</w:t>
      </w:r>
      <w:r>
        <w:rPr>
          <w:rFonts w:hint="eastAsia" w:ascii="仿宋_GB2312" w:eastAsia="仿宋_GB2312"/>
          <w:color w:val="auto"/>
          <w:sz w:val="32"/>
          <w:szCs w:val="32"/>
          <w:highlight w:val="none"/>
        </w:rPr>
        <w:t>公务用车运行维护费反映</w:t>
      </w:r>
      <w:r>
        <w:rPr>
          <w:rFonts w:hint="eastAsia" w:ascii="仿宋_GB2312" w:eastAsia="仿宋_GB2312"/>
          <w:color w:val="auto"/>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中国共产党呼图壁县纪律检查委员会                               </w:t>
      </w:r>
      <w:r>
        <w:rPr>
          <w:rFonts w:hint="eastAsia" w:ascii="仿宋_GB2312" w:hAnsi="宋体" w:eastAsia="仿宋_GB2312" w:cs="宋体"/>
          <w:color w:val="auto"/>
          <w:kern w:val="0"/>
          <w:sz w:val="32"/>
          <w:szCs w:val="32"/>
          <w:highlight w:val="none"/>
          <w:lang w:val="en-US" w:eastAsia="zh-CN"/>
        </w:rPr>
        <w:t>2025</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rPr>
        <w:t xml:space="preserve"> </w:t>
      </w:r>
      <w:r>
        <w:rPr>
          <w:rFonts w:ascii="仿宋_GB2312" w:hAnsi="宋体" w:eastAsia="仿宋_GB2312" w:cs="宋体"/>
          <w:color w:val="auto"/>
          <w:kern w:val="0"/>
          <w:sz w:val="32"/>
          <w:szCs w:val="32"/>
          <w:highlight w:val="none"/>
        </w:rPr>
        <w:t>日</w:t>
      </w:r>
    </w:p>
    <w:p>
      <w:pPr>
        <w:rPr>
          <w:color w:val="auto"/>
          <w:highlight w:val="none"/>
        </w:rPr>
      </w:pPr>
    </w:p>
    <w:p>
      <w:pPr>
        <w:rPr>
          <w:color w:val="auto"/>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3F2F1"/>
    <w:multiLevelType w:val="singleLevel"/>
    <w:tmpl w:val="DF63F2F1"/>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E41A1F"/>
    <w:rsid w:val="017B2F92"/>
    <w:rsid w:val="020E507E"/>
    <w:rsid w:val="02732F8E"/>
    <w:rsid w:val="02CB7F49"/>
    <w:rsid w:val="0304067F"/>
    <w:rsid w:val="03063B82"/>
    <w:rsid w:val="037800D1"/>
    <w:rsid w:val="04267087"/>
    <w:rsid w:val="04267B2D"/>
    <w:rsid w:val="043445F5"/>
    <w:rsid w:val="044C330C"/>
    <w:rsid w:val="05397FD9"/>
    <w:rsid w:val="057A5F58"/>
    <w:rsid w:val="05CA273A"/>
    <w:rsid w:val="05D94925"/>
    <w:rsid w:val="070B125C"/>
    <w:rsid w:val="070E6657"/>
    <w:rsid w:val="080E3E4F"/>
    <w:rsid w:val="084451C2"/>
    <w:rsid w:val="08450B28"/>
    <w:rsid w:val="08762705"/>
    <w:rsid w:val="088F5575"/>
    <w:rsid w:val="08E81855"/>
    <w:rsid w:val="09534F5C"/>
    <w:rsid w:val="0A4168EC"/>
    <w:rsid w:val="0AD672A7"/>
    <w:rsid w:val="0B247F12"/>
    <w:rsid w:val="0B506FA0"/>
    <w:rsid w:val="0B7C3034"/>
    <w:rsid w:val="0B841FFD"/>
    <w:rsid w:val="0BC727C6"/>
    <w:rsid w:val="0BD56A2F"/>
    <w:rsid w:val="0C0A3890"/>
    <w:rsid w:val="0C730102"/>
    <w:rsid w:val="0CCA615D"/>
    <w:rsid w:val="0CD20198"/>
    <w:rsid w:val="0CEC568C"/>
    <w:rsid w:val="0CED4443"/>
    <w:rsid w:val="0D0504FA"/>
    <w:rsid w:val="0D6E5FD0"/>
    <w:rsid w:val="0DB10079"/>
    <w:rsid w:val="0E0C6E19"/>
    <w:rsid w:val="0E320E7D"/>
    <w:rsid w:val="0E9208E7"/>
    <w:rsid w:val="0EDF64BB"/>
    <w:rsid w:val="0EE213FB"/>
    <w:rsid w:val="10587512"/>
    <w:rsid w:val="105D0E37"/>
    <w:rsid w:val="10725009"/>
    <w:rsid w:val="10876750"/>
    <w:rsid w:val="10916BDA"/>
    <w:rsid w:val="11036B00"/>
    <w:rsid w:val="11301FEB"/>
    <w:rsid w:val="118A2253"/>
    <w:rsid w:val="11B6451D"/>
    <w:rsid w:val="121E62E8"/>
    <w:rsid w:val="122E65E4"/>
    <w:rsid w:val="13AE7D5A"/>
    <w:rsid w:val="159D49D2"/>
    <w:rsid w:val="168C6E8D"/>
    <w:rsid w:val="1697741D"/>
    <w:rsid w:val="16AD7698"/>
    <w:rsid w:val="170560FA"/>
    <w:rsid w:val="176B2C78"/>
    <w:rsid w:val="17E51656"/>
    <w:rsid w:val="19A215AC"/>
    <w:rsid w:val="1A132B78"/>
    <w:rsid w:val="1A731DC4"/>
    <w:rsid w:val="1AC437A4"/>
    <w:rsid w:val="1B153D26"/>
    <w:rsid w:val="1BEB54C3"/>
    <w:rsid w:val="1C3C6084"/>
    <w:rsid w:val="1C8C02F2"/>
    <w:rsid w:val="1CF74DC1"/>
    <w:rsid w:val="1D3E1AFE"/>
    <w:rsid w:val="1E330118"/>
    <w:rsid w:val="1E6432D4"/>
    <w:rsid w:val="1E89232D"/>
    <w:rsid w:val="1EB61656"/>
    <w:rsid w:val="1EED2DCA"/>
    <w:rsid w:val="20155842"/>
    <w:rsid w:val="20407429"/>
    <w:rsid w:val="20C94425"/>
    <w:rsid w:val="20CF3CE4"/>
    <w:rsid w:val="20DD55C0"/>
    <w:rsid w:val="20EC674C"/>
    <w:rsid w:val="21072BBC"/>
    <w:rsid w:val="214F03B6"/>
    <w:rsid w:val="227D77A3"/>
    <w:rsid w:val="22922CB8"/>
    <w:rsid w:val="22DB78DD"/>
    <w:rsid w:val="23EF1C03"/>
    <w:rsid w:val="24401AC5"/>
    <w:rsid w:val="244D65B8"/>
    <w:rsid w:val="2492221D"/>
    <w:rsid w:val="24B42D8E"/>
    <w:rsid w:val="24E9569E"/>
    <w:rsid w:val="250855AF"/>
    <w:rsid w:val="253A41A3"/>
    <w:rsid w:val="254C6CA7"/>
    <w:rsid w:val="258B383C"/>
    <w:rsid w:val="25E14A26"/>
    <w:rsid w:val="263B7010"/>
    <w:rsid w:val="26431A21"/>
    <w:rsid w:val="26AC1994"/>
    <w:rsid w:val="26B4291F"/>
    <w:rsid w:val="26BD282A"/>
    <w:rsid w:val="26E769FA"/>
    <w:rsid w:val="274676FC"/>
    <w:rsid w:val="27E33035"/>
    <w:rsid w:val="27ED28E8"/>
    <w:rsid w:val="286D65BC"/>
    <w:rsid w:val="28780D72"/>
    <w:rsid w:val="28D33A0A"/>
    <w:rsid w:val="28D9041B"/>
    <w:rsid w:val="293B2E83"/>
    <w:rsid w:val="2A073E09"/>
    <w:rsid w:val="2A4450FA"/>
    <w:rsid w:val="2AA70950"/>
    <w:rsid w:val="2AFC4894"/>
    <w:rsid w:val="2B3A05DE"/>
    <w:rsid w:val="2B6901C6"/>
    <w:rsid w:val="2B8E3883"/>
    <w:rsid w:val="2C2D7820"/>
    <w:rsid w:val="2D3B6DC2"/>
    <w:rsid w:val="2D480265"/>
    <w:rsid w:val="2D977453"/>
    <w:rsid w:val="2DBA7981"/>
    <w:rsid w:val="2E2943BA"/>
    <w:rsid w:val="2EF22236"/>
    <w:rsid w:val="2F3F4014"/>
    <w:rsid w:val="2FED29FE"/>
    <w:rsid w:val="300E1D4A"/>
    <w:rsid w:val="303E6F6E"/>
    <w:rsid w:val="30B05F05"/>
    <w:rsid w:val="310F3573"/>
    <w:rsid w:val="313553C8"/>
    <w:rsid w:val="31483F51"/>
    <w:rsid w:val="320F63B0"/>
    <w:rsid w:val="32560D23"/>
    <w:rsid w:val="327D3DE9"/>
    <w:rsid w:val="32D560F7"/>
    <w:rsid w:val="334A2B75"/>
    <w:rsid w:val="33A76F60"/>
    <w:rsid w:val="341E7629"/>
    <w:rsid w:val="34E71864"/>
    <w:rsid w:val="35CF524D"/>
    <w:rsid w:val="35F117C8"/>
    <w:rsid w:val="366614CD"/>
    <w:rsid w:val="38284F1B"/>
    <w:rsid w:val="38602659"/>
    <w:rsid w:val="3883612D"/>
    <w:rsid w:val="38AB582B"/>
    <w:rsid w:val="39B0409D"/>
    <w:rsid w:val="3AFC544C"/>
    <w:rsid w:val="3BE45FB7"/>
    <w:rsid w:val="3BF21AC7"/>
    <w:rsid w:val="3C013037"/>
    <w:rsid w:val="3C5D1E98"/>
    <w:rsid w:val="3C610C36"/>
    <w:rsid w:val="3CDB2766"/>
    <w:rsid w:val="3CE32852"/>
    <w:rsid w:val="3FDF4D23"/>
    <w:rsid w:val="3FE75868"/>
    <w:rsid w:val="41083B3B"/>
    <w:rsid w:val="41270465"/>
    <w:rsid w:val="41781F5F"/>
    <w:rsid w:val="41DB2FFE"/>
    <w:rsid w:val="42F779C3"/>
    <w:rsid w:val="43502DA9"/>
    <w:rsid w:val="43C26223"/>
    <w:rsid w:val="43D8307E"/>
    <w:rsid w:val="44507CD3"/>
    <w:rsid w:val="446A634B"/>
    <w:rsid w:val="44AF5181"/>
    <w:rsid w:val="450862B9"/>
    <w:rsid w:val="455A018C"/>
    <w:rsid w:val="46B02CAB"/>
    <w:rsid w:val="46CE3131"/>
    <w:rsid w:val="47706622"/>
    <w:rsid w:val="48EE27BA"/>
    <w:rsid w:val="490C7E26"/>
    <w:rsid w:val="493059DD"/>
    <w:rsid w:val="494F7907"/>
    <w:rsid w:val="4ADF73DC"/>
    <w:rsid w:val="4B1B26BD"/>
    <w:rsid w:val="4B315A3D"/>
    <w:rsid w:val="4C0055E5"/>
    <w:rsid w:val="4C3677AE"/>
    <w:rsid w:val="4C706B3A"/>
    <w:rsid w:val="4CC82987"/>
    <w:rsid w:val="4D3B1641"/>
    <w:rsid w:val="4ECB68D5"/>
    <w:rsid w:val="4F247767"/>
    <w:rsid w:val="4F3B332E"/>
    <w:rsid w:val="4F5A7795"/>
    <w:rsid w:val="4FEC63D6"/>
    <w:rsid w:val="51C15CED"/>
    <w:rsid w:val="52285DEB"/>
    <w:rsid w:val="525F17E0"/>
    <w:rsid w:val="52AD62F0"/>
    <w:rsid w:val="52C44284"/>
    <w:rsid w:val="53A94D0A"/>
    <w:rsid w:val="54021060"/>
    <w:rsid w:val="546308FE"/>
    <w:rsid w:val="549052FD"/>
    <w:rsid w:val="55907708"/>
    <w:rsid w:val="56164D4F"/>
    <w:rsid w:val="56243E20"/>
    <w:rsid w:val="568F22BA"/>
    <w:rsid w:val="56FE59C9"/>
    <w:rsid w:val="570D735E"/>
    <w:rsid w:val="571B2674"/>
    <w:rsid w:val="579E184B"/>
    <w:rsid w:val="5854137A"/>
    <w:rsid w:val="589917F1"/>
    <w:rsid w:val="58E0315C"/>
    <w:rsid w:val="59B241EC"/>
    <w:rsid w:val="5A5E27F6"/>
    <w:rsid w:val="5A704801"/>
    <w:rsid w:val="5A8C5E4D"/>
    <w:rsid w:val="5AC60A34"/>
    <w:rsid w:val="5AED2A9A"/>
    <w:rsid w:val="5B7D1307"/>
    <w:rsid w:val="5B9E79CC"/>
    <w:rsid w:val="5D9E1657"/>
    <w:rsid w:val="5DEF70AD"/>
    <w:rsid w:val="5E225DE5"/>
    <w:rsid w:val="5E257683"/>
    <w:rsid w:val="5E7802BC"/>
    <w:rsid w:val="5EAB0A16"/>
    <w:rsid w:val="5EE078B0"/>
    <w:rsid w:val="5F0D5523"/>
    <w:rsid w:val="5F2346ED"/>
    <w:rsid w:val="5FE65EE3"/>
    <w:rsid w:val="61086613"/>
    <w:rsid w:val="61686204"/>
    <w:rsid w:val="61716CEE"/>
    <w:rsid w:val="62917095"/>
    <w:rsid w:val="62DF21E4"/>
    <w:rsid w:val="630E06E5"/>
    <w:rsid w:val="637B1F71"/>
    <w:rsid w:val="638650D4"/>
    <w:rsid w:val="63C6393F"/>
    <w:rsid w:val="63D760BA"/>
    <w:rsid w:val="6408782B"/>
    <w:rsid w:val="6489147F"/>
    <w:rsid w:val="64FA572F"/>
    <w:rsid w:val="65322CBF"/>
    <w:rsid w:val="65827499"/>
    <w:rsid w:val="65B35574"/>
    <w:rsid w:val="65C658ED"/>
    <w:rsid w:val="68BE7F21"/>
    <w:rsid w:val="68CC52CB"/>
    <w:rsid w:val="68DE4FFE"/>
    <w:rsid w:val="691318F3"/>
    <w:rsid w:val="691B0000"/>
    <w:rsid w:val="694B58D7"/>
    <w:rsid w:val="69C21C4F"/>
    <w:rsid w:val="69CE4E15"/>
    <w:rsid w:val="6A6908F7"/>
    <w:rsid w:val="6B165840"/>
    <w:rsid w:val="6B3E7E06"/>
    <w:rsid w:val="6B6C0BDE"/>
    <w:rsid w:val="6B7F3246"/>
    <w:rsid w:val="6BF904A6"/>
    <w:rsid w:val="6C992139"/>
    <w:rsid w:val="6CB5251A"/>
    <w:rsid w:val="6CD429A0"/>
    <w:rsid w:val="6D147885"/>
    <w:rsid w:val="6E1B25FD"/>
    <w:rsid w:val="6EF07839"/>
    <w:rsid w:val="6F32398A"/>
    <w:rsid w:val="6F63000B"/>
    <w:rsid w:val="6FCF0C72"/>
    <w:rsid w:val="711C739F"/>
    <w:rsid w:val="71500A63"/>
    <w:rsid w:val="717C1858"/>
    <w:rsid w:val="71DD525F"/>
    <w:rsid w:val="72B56DCF"/>
    <w:rsid w:val="72C934BE"/>
    <w:rsid w:val="72E964BC"/>
    <w:rsid w:val="72F0059F"/>
    <w:rsid w:val="735C7C42"/>
    <w:rsid w:val="74D07EF1"/>
    <w:rsid w:val="74EB59B8"/>
    <w:rsid w:val="759B3A01"/>
    <w:rsid w:val="75B570E6"/>
    <w:rsid w:val="75BF3AC1"/>
    <w:rsid w:val="76091AB6"/>
    <w:rsid w:val="7706409E"/>
    <w:rsid w:val="7797777E"/>
    <w:rsid w:val="77F14E21"/>
    <w:rsid w:val="780A1873"/>
    <w:rsid w:val="787D11B8"/>
    <w:rsid w:val="78A771BA"/>
    <w:rsid w:val="78AC6820"/>
    <w:rsid w:val="792C5912"/>
    <w:rsid w:val="7B5F523F"/>
    <w:rsid w:val="7B6A670A"/>
    <w:rsid w:val="7BF42EE8"/>
    <w:rsid w:val="7C8045F9"/>
    <w:rsid w:val="7CBA4FE2"/>
    <w:rsid w:val="7D06612B"/>
    <w:rsid w:val="7D5F203D"/>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TML Address1"/>
    <w:basedOn w:val="1"/>
    <w:unhideWhenUsed/>
    <w:qFormat/>
    <w:uiPriority w:val="0"/>
    <w:pPr>
      <w:spacing w:beforeLines="0" w:afterLines="0"/>
    </w:pPr>
    <w:rPr>
      <w:rFonts w:hint="default" w:ascii="Calibri" w:hAnsi="Calibri"/>
      <w:i/>
      <w:sz w:val="21"/>
      <w:szCs w:val="24"/>
    </w:rPr>
  </w:style>
  <w:style w:type="character" w:customStyle="1" w:styleId="11">
    <w:name w:val="font11"/>
    <w:basedOn w:val="9"/>
    <w:qFormat/>
    <w:uiPriority w:val="0"/>
    <w:rPr>
      <w:rFonts w:hint="eastAsia" w:ascii="宋体" w:hAnsi="宋体" w:eastAsia="宋体" w:cs="宋体"/>
      <w:color w:val="000000"/>
      <w:sz w:val="24"/>
      <w:szCs w:val="24"/>
      <w:u w:val="none"/>
    </w:rPr>
  </w:style>
  <w:style w:type="character" w:customStyle="1" w:styleId="12">
    <w:name w:val="font51"/>
    <w:basedOn w:val="9"/>
    <w:qFormat/>
    <w:uiPriority w:val="0"/>
    <w:rPr>
      <w:rFonts w:hint="default" w:ascii="Times New Roman" w:hAnsi="Times New Roman" w:cs="Times New Roman"/>
      <w:color w:val="000000"/>
      <w:sz w:val="24"/>
      <w:szCs w:val="24"/>
      <w:u w:val="none"/>
    </w:rPr>
  </w:style>
  <w:style w:type="paragraph" w:customStyle="1" w:styleId="13">
    <w:name w:val="正文-公1"/>
    <w:basedOn w:val="14"/>
    <w:next w:val="1"/>
    <w:qFormat/>
    <w:uiPriority w:val="0"/>
    <w:pPr>
      <w:ind w:firstLine="200" w:firstLineChars="200"/>
    </w:pPr>
  </w:style>
  <w:style w:type="paragraph" w:customStyle="1" w:styleId="14">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3"/>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2366</Words>
  <Characters>2972</Characters>
  <Lines>0</Lines>
  <Paragraphs>0</Paragraphs>
  <TotalTime>0</TotalTime>
  <ScaleCrop>false</ScaleCrop>
  <LinksUpToDate>false</LinksUpToDate>
  <CharactersWithSpaces>3197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2025-03-12T05:31:00Z</cp:lastPrinted>
  <dcterms:modified xsi:type="dcterms:W3CDTF">2025-05-30T09:49:45Z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B5529E2C2E56477180E9375A50B5685F_13</vt:lpwstr>
  </property>
  <property fmtid="{D5CDD505-2E9C-101B-9397-08002B2CF9AE}" pid="4" name="KSOTemplateDocerSaveRecord">
    <vt:lpwstr>eyJoZGlkIjoiMGQyMGMzOWI0Y2E4NzVkODBjNTY2NTZkZDk5YTRmZTIiLCJ1c2VySWQiOiIyODEyNDA0NzIifQ==</vt:lpwstr>
  </property>
</Properties>
</file>