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中国人民解放军新疆维吾尔自治区</w:t>
      </w:r>
      <w:r>
        <w:rPr>
          <w:rFonts w:hint="eastAsia" w:ascii="方正小标宋_GBK" w:hAnsi="宋体" w:eastAsia="方正小标宋_GBK"/>
          <w:kern w:val="0"/>
          <w:sz w:val="44"/>
          <w:szCs w:val="44"/>
        </w:rPr>
        <w:t>呼图壁县人民武装部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rPr>
        <w:t>中国人民解放军新疆维吾尔自治区呼图壁县人民武装部</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rPr>
        <w:t>中国人民解放军新疆维吾尔自治区呼图壁县人民武装部</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660" w:lineRule="exact"/>
        <w:ind w:firstLine="616" w:firstLineChars="200"/>
        <w:rPr>
          <w:rFonts w:ascii="仿宋_GB2312" w:hAnsi="宋体" w:eastAsia="仿宋_GB2312" w:cs="宋体"/>
          <w:bCs/>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 w:eastAsia="仿宋_GB2312"/>
          <w:sz w:val="32"/>
          <w:szCs w:val="32"/>
        </w:rPr>
        <w:t>是昌吉军分区和县政府双重领导的国防动员军事</w:t>
      </w:r>
      <w:r>
        <w:rPr>
          <w:rFonts w:hint="eastAsia" w:ascii="仿宋_GB2312" w:hAnsi="仿宋" w:eastAsia="仿宋_GB2312"/>
          <w:sz w:val="32"/>
          <w:szCs w:val="32"/>
          <w:lang w:eastAsia="zh-CN"/>
        </w:rPr>
        <w:t>单位</w:t>
      </w:r>
      <w:r>
        <w:rPr>
          <w:rFonts w:hint="eastAsia" w:ascii="仿宋_GB2312" w:hAnsi="仿宋" w:eastAsia="仿宋_GB2312"/>
          <w:sz w:val="32"/>
          <w:szCs w:val="32"/>
        </w:rPr>
        <w:t>，人民武装部全年主要开展是组织民兵训练工作、专武干部培训，军事训练工作、组织民兵参加维稳</w:t>
      </w:r>
      <w:r>
        <w:rPr>
          <w:rFonts w:hint="eastAsia" w:ascii="仿宋_GB2312" w:hAnsi="仿宋" w:eastAsia="仿宋_GB2312"/>
          <w:sz w:val="32"/>
          <w:szCs w:val="32"/>
          <w:lang w:eastAsia="zh-CN"/>
        </w:rPr>
        <w:t>执勤</w:t>
      </w:r>
      <w:r>
        <w:rPr>
          <w:rFonts w:hint="eastAsia" w:ascii="仿宋_GB2312" w:hAnsi="仿宋" w:eastAsia="仿宋_GB2312"/>
          <w:sz w:val="32"/>
          <w:szCs w:val="32"/>
        </w:rPr>
        <w:t>工作、地方扶贫帮困工作、抢险救灾工作、征兵工作、国防动员教育、地方经济建设等工作。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napToGrid w:val="0"/>
        <w:spacing w:line="660" w:lineRule="exact"/>
        <w:ind w:firstLine="616" w:firstLineChars="200"/>
        <w:rPr>
          <w:rFonts w:hint="eastAsia" w:ascii="仿宋_GB2312" w:hAnsi="仿宋" w:eastAsia="仿宋_GB2312"/>
          <w:sz w:val="32"/>
          <w:szCs w:val="32"/>
          <w:lang w:eastAsia="zh-CN"/>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室，分别是：军事科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政工科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保障科</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增加1人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Times New Roman"/>
          <w:color w:val="auto"/>
          <w:kern w:val="0"/>
          <w:sz w:val="24"/>
          <w:highlight w:val="none"/>
          <w:lang w:eastAsia="zh-CN"/>
        </w:rPr>
        <w:t xml:space="preserve">编制部门：中国人民解放军新疆维吾尔自治区呼图壁县人民武装部    </w:t>
      </w:r>
      <w:r>
        <w:rPr>
          <w:rFonts w:hint="eastAsia" w:ascii="仿宋_GB2312" w:hAnsi="宋体" w:eastAsia="仿宋_GB2312"/>
          <w:color w:val="auto"/>
          <w:kern w:val="0"/>
          <w:sz w:val="24"/>
          <w:highlight w:val="none"/>
        </w:rPr>
        <w:t>单位：万元</w:t>
      </w:r>
      <w:r>
        <w:rPr>
          <w:rFonts w:hint="eastAsia" w:ascii="仿宋_GB2312" w:hAnsi="宋体" w:eastAsia="仿宋_GB2312" w:cs="Times New Roman"/>
          <w:color w:val="auto"/>
          <w:kern w:val="0"/>
          <w:sz w:val="24"/>
          <w:highlight w:val="none"/>
          <w:lang w:eastAsia="zh-CN"/>
        </w:rPr>
        <w:t xml:space="preserve">    </w:t>
      </w:r>
      <w:r>
        <w:rPr>
          <w:rFonts w:hint="eastAsia" w:ascii="仿宋_GB2312" w:hAnsi="宋体" w:eastAsia="仿宋_GB2312"/>
          <w:color w:val="auto"/>
          <w:kern w:val="0"/>
          <w:sz w:val="24"/>
          <w:highlight w:val="none"/>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198.16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13.75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8.05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8.90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228.86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lang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9"/>
        <w:tblW w:w="10584" w:type="dxa"/>
        <w:tblInd w:w="-816" w:type="dxa"/>
        <w:tblLayout w:type="fixed"/>
        <w:tblCellMar>
          <w:top w:w="0" w:type="dxa"/>
          <w:left w:w="108" w:type="dxa"/>
          <w:bottom w:w="0" w:type="dxa"/>
          <w:right w:w="108" w:type="dxa"/>
        </w:tblCellMar>
      </w:tblPr>
      <w:tblGrid>
        <w:gridCol w:w="504"/>
        <w:gridCol w:w="396"/>
        <w:gridCol w:w="408"/>
        <w:gridCol w:w="1368"/>
        <w:gridCol w:w="768"/>
        <w:gridCol w:w="720"/>
        <w:gridCol w:w="744"/>
        <w:gridCol w:w="660"/>
        <w:gridCol w:w="348"/>
        <w:gridCol w:w="636"/>
        <w:gridCol w:w="576"/>
        <w:gridCol w:w="840"/>
        <w:gridCol w:w="636"/>
        <w:gridCol w:w="504"/>
        <w:gridCol w:w="624"/>
        <w:gridCol w:w="852"/>
      </w:tblGrid>
      <w:tr>
        <w:tblPrEx>
          <w:tblCellMar>
            <w:top w:w="0" w:type="dxa"/>
            <w:left w:w="108" w:type="dxa"/>
            <w:bottom w:w="0" w:type="dxa"/>
            <w:right w:w="108" w:type="dxa"/>
          </w:tblCellMar>
        </w:tblPrEx>
        <w:trPr>
          <w:trHeight w:val="456" w:hRule="atLeast"/>
        </w:trPr>
        <w:tc>
          <w:tcPr>
            <w:tcW w:w="130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2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0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30" w:hRule="atLeast"/>
        </w:trPr>
        <w:tc>
          <w:tcPr>
            <w:tcW w:w="504"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96"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8"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6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6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7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5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201</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一般公共服务支出</w:t>
            </w:r>
          </w:p>
        </w:tc>
        <w:tc>
          <w:tcPr>
            <w:tcW w:w="76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201</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03</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政府办公厅（室）及相关机构事务</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201</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03</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50</w:t>
            </w: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事业运行</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201</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03</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99</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lang w:val="en-US" w:eastAsia="zh-CN"/>
              </w:rPr>
              <w:t>其他政府办公厅（室）及相关机构事务支出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208</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lang w:eastAsia="zh-CN"/>
              </w:rPr>
              <w:t>社会保障和就业支出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13.75</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208</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lang w:eastAsia="zh-CN"/>
              </w:rPr>
              <w:t>行政事业单位养老支出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13.75</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208</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05</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02</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lang w:val="en-US" w:eastAsia="zh-CN"/>
              </w:rPr>
              <w:t>事业单位离退休</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3.11</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3.11</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3.11</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74"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208</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rPr>
              <w:t>机关事业单位基本 养老保险缴费支出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10.64</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10.64</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10.64</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210</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卫生健康支出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94"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210</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11</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行政事业单位医疗</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210</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11</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02</w:t>
            </w: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事业</w:t>
            </w:r>
            <w:r>
              <w:rPr>
                <w:rFonts w:hint="eastAsia" w:ascii="仿宋_GB2312" w:hAnsi="仿宋_GB2312" w:eastAsia="仿宋_GB2312" w:cs="仿宋_GB2312"/>
                <w:color w:val="000000"/>
                <w:sz w:val="16"/>
                <w:szCs w:val="16"/>
              </w:rPr>
              <w:t>单位医疗</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210</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11</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03</w:t>
            </w: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rPr>
              <w:t>公务员医疗补助</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210</w:t>
            </w:r>
            <w:r>
              <w:rPr>
                <w:rFonts w:hint="eastAsia" w:ascii="仿宋_GB2312" w:hAnsi="仿宋_GB2312" w:eastAsia="仿宋_GB2312" w:cs="仿宋_GB2312"/>
                <w:color w:val="000000"/>
                <w:sz w:val="16"/>
                <w:szCs w:val="16"/>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11</w:t>
            </w: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val="en-US" w:eastAsia="zh-CN"/>
              </w:rPr>
              <w:t>99</w:t>
            </w:r>
            <w:r>
              <w:rPr>
                <w:rFonts w:hint="eastAsia" w:ascii="仿宋_GB2312" w:hAnsi="仿宋_GB2312" w:eastAsia="仿宋_GB2312" w:cs="仿宋_GB2312"/>
                <w:color w:val="000000"/>
                <w:sz w:val="16"/>
                <w:szCs w:val="16"/>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lang w:eastAsia="zh-CN"/>
              </w:rPr>
              <w:t>其他行政事业单位医疗支出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lang w:val="en-US" w:eastAsia="zh-CN"/>
              </w:rPr>
              <w:t>221</w:t>
            </w:r>
            <w:r>
              <w:rPr>
                <w:rFonts w:hint="eastAsia" w:ascii="仿宋_GB2312" w:hAnsi="仿宋_GB2312" w:eastAsia="仿宋_GB2312" w:cs="仿宋_GB2312"/>
                <w:color w:val="000000"/>
                <w:sz w:val="15"/>
                <w:szCs w:val="15"/>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lang w:eastAsia="zh-CN"/>
              </w:rPr>
              <w:t>住房保障支出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lang w:val="en-US" w:eastAsia="zh-CN"/>
              </w:rPr>
              <w:t>221</w:t>
            </w:r>
            <w:r>
              <w:rPr>
                <w:rFonts w:hint="eastAsia" w:ascii="仿宋_GB2312" w:hAnsi="仿宋_GB2312" w:eastAsia="仿宋_GB2312" w:cs="仿宋_GB2312"/>
                <w:color w:val="000000"/>
                <w:sz w:val="15"/>
                <w:szCs w:val="15"/>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lang w:val="en-US" w:eastAsia="zh-CN"/>
              </w:rPr>
              <w:t>02</w:t>
            </w:r>
            <w:r>
              <w:rPr>
                <w:rFonts w:hint="eastAsia" w:ascii="仿宋_GB2312" w:hAnsi="仿宋_GB2312" w:eastAsia="仿宋_GB2312" w:cs="仿宋_GB2312"/>
                <w:color w:val="000000"/>
                <w:sz w:val="15"/>
                <w:szCs w:val="15"/>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lang w:eastAsia="zh-CN"/>
              </w:rPr>
              <w:t>住房改革支出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lang w:val="en-US" w:eastAsia="zh-CN"/>
              </w:rPr>
              <w:t>221</w:t>
            </w:r>
            <w:r>
              <w:rPr>
                <w:rFonts w:hint="eastAsia" w:ascii="仿宋_GB2312" w:hAnsi="仿宋_GB2312" w:eastAsia="仿宋_GB2312" w:cs="仿宋_GB2312"/>
                <w:color w:val="000000"/>
                <w:sz w:val="15"/>
                <w:szCs w:val="15"/>
              </w:rPr>
              <w:t>　</w:t>
            </w:r>
          </w:p>
        </w:tc>
        <w:tc>
          <w:tcPr>
            <w:tcW w:w="396"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lang w:val="en-US" w:eastAsia="zh-CN"/>
              </w:rPr>
              <w:t>02</w:t>
            </w:r>
            <w:r>
              <w:rPr>
                <w:rFonts w:hint="eastAsia" w:ascii="仿宋_GB2312" w:hAnsi="仿宋_GB2312" w:eastAsia="仿宋_GB2312" w:cs="仿宋_GB2312"/>
                <w:color w:val="000000"/>
                <w:sz w:val="15"/>
                <w:szCs w:val="15"/>
              </w:rPr>
              <w:t>　</w:t>
            </w:r>
          </w:p>
        </w:tc>
        <w:tc>
          <w:tcPr>
            <w:tcW w:w="408"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lang w:val="en-US" w:eastAsia="zh-CN"/>
              </w:rPr>
              <w:t>01</w:t>
            </w:r>
            <w:r>
              <w:rPr>
                <w:rFonts w:hint="eastAsia" w:ascii="仿宋_GB2312" w:hAnsi="仿宋_GB2312" w:eastAsia="仿宋_GB2312" w:cs="仿宋_GB2312"/>
                <w:color w:val="000000"/>
                <w:sz w:val="15"/>
                <w:szCs w:val="15"/>
              </w:rPr>
              <w:t>　</w:t>
            </w:r>
          </w:p>
        </w:tc>
        <w:tc>
          <w:tcPr>
            <w:tcW w:w="1368" w:type="dxa"/>
            <w:tcBorders>
              <w:top w:val="single" w:color="auto" w:sz="4" w:space="0"/>
              <w:left w:val="single" w:color="auto" w:sz="4" w:space="0"/>
              <w:bottom w:val="single" w:color="auto" w:sz="4" w:space="0"/>
              <w:right w:val="single" w:color="auto" w:sz="4" w:space="0"/>
            </w:tcBorders>
            <w:vAlign w:val="center"/>
          </w:tcPr>
          <w:p>
            <w:pPr>
              <w:rPr>
                <w:rFonts w:hint="eastAsia" w:ascii="仿宋_GB2312" w:eastAsia="仿宋_GB2312"/>
                <w:b/>
                <w:bCs/>
                <w:color w:val="auto"/>
                <w:sz w:val="16"/>
                <w:szCs w:val="16"/>
                <w:highlight w:val="none"/>
              </w:rPr>
            </w:pPr>
            <w:r>
              <w:rPr>
                <w:rFonts w:hint="eastAsia" w:ascii="仿宋_GB2312" w:hAnsi="仿宋_GB2312" w:eastAsia="仿宋_GB2312" w:cs="仿宋_GB2312"/>
                <w:color w:val="000000"/>
                <w:sz w:val="15"/>
                <w:szCs w:val="15"/>
              </w:rPr>
              <w:t>住房公积金</w:t>
            </w:r>
          </w:p>
        </w:tc>
        <w:tc>
          <w:tcPr>
            <w:tcW w:w="76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368"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w:t>
            </w:r>
          </w:p>
        </w:tc>
        <w:tc>
          <w:tcPr>
            <w:tcW w:w="768"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720"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7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660"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34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3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57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0"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2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9"/>
        <w:tblW w:w="9420" w:type="dxa"/>
        <w:tblInd w:w="-240" w:type="dxa"/>
        <w:tblLayout w:type="fixed"/>
        <w:tblCellMar>
          <w:top w:w="0" w:type="dxa"/>
          <w:left w:w="108" w:type="dxa"/>
          <w:bottom w:w="0" w:type="dxa"/>
          <w:right w:w="108" w:type="dxa"/>
        </w:tblCellMar>
      </w:tblPr>
      <w:tblGrid>
        <w:gridCol w:w="486"/>
        <w:gridCol w:w="417"/>
        <w:gridCol w:w="417"/>
        <w:gridCol w:w="2566"/>
        <w:gridCol w:w="1830"/>
        <w:gridCol w:w="1831"/>
        <w:gridCol w:w="1873"/>
      </w:tblGrid>
      <w:tr>
        <w:tblPrEx>
          <w:tblCellMar>
            <w:top w:w="0" w:type="dxa"/>
            <w:left w:w="108" w:type="dxa"/>
            <w:bottom w:w="0" w:type="dxa"/>
            <w:right w:w="108" w:type="dxa"/>
          </w:tblCellMar>
        </w:tblPrEx>
        <w:trPr>
          <w:trHeight w:val="328" w:hRule="atLeast"/>
        </w:trPr>
        <w:tc>
          <w:tcPr>
            <w:tcW w:w="388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一般公共服务支出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198.16</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198.16</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事业运行</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98.16</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100.00</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社会保障和就业支出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行政事业单位养老支出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事业单位离退休</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3.11</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3.11</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rPr>
              <w:t>机关事业单位基本 养老保险缴费支出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10.64</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10.64</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卫生健康支出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8.05</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8.05</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行政事业单位医疗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8.05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8.05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事业</w:t>
            </w:r>
            <w:r>
              <w:rPr>
                <w:rFonts w:hint="eastAsia" w:ascii="仿宋_GB2312" w:hAnsi="仿宋_GB2312" w:eastAsia="仿宋_GB2312" w:cs="仿宋_GB2312"/>
                <w:color w:val="000000"/>
                <w:sz w:val="18"/>
                <w:szCs w:val="18"/>
              </w:rPr>
              <w:t>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5.32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5.32</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公务员医疗补助</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2.66</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2.66</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其他行政事业单位医疗支出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住房保障支出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住房改革支出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66" w:type="dxa"/>
            <w:tcBorders>
              <w:top w:val="nil"/>
              <w:left w:val="nil"/>
              <w:bottom w:val="single" w:color="auto" w:sz="4" w:space="0"/>
              <w:right w:val="single" w:color="auto" w:sz="4" w:space="0"/>
            </w:tcBorders>
            <w:vAlign w:val="center"/>
          </w:tcPr>
          <w:p>
            <w:pPr>
              <w:ind w:firstLine="720" w:firstLineChars="400"/>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住房公积金</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 xml:space="preserve">  228.86</w:t>
            </w:r>
          </w:p>
        </w:tc>
        <w:tc>
          <w:tcPr>
            <w:tcW w:w="1831"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 xml:space="preserve">  128.86</w:t>
            </w:r>
          </w:p>
        </w:tc>
        <w:tc>
          <w:tcPr>
            <w:tcW w:w="1873"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lang w:val="en-US" w:eastAsia="zh-CN"/>
              </w:rPr>
              <w:t>100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szCs w:val="24"/>
          <w:highlight w:val="none"/>
        </w:rPr>
        <w:t xml:space="preserve">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198.16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198.16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228.86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5"/>
                <w:szCs w:val="15"/>
                <w:highlight w:val="none"/>
              </w:rPr>
            </w:pPr>
            <w:r>
              <w:rPr>
                <w:rFonts w:hint="eastAsia" w:ascii="宋体" w:hAnsi="宋体" w:cs="宋体"/>
                <w:b/>
                <w:bCs/>
                <w:color w:val="auto"/>
                <w:kern w:val="0"/>
                <w:sz w:val="20"/>
                <w:szCs w:val="20"/>
                <w:highlight w:val="none"/>
                <w:lang w:val="en-US" w:eastAsia="zh-CN"/>
              </w:rPr>
              <w:t>228.86</w:t>
            </w:r>
            <w:r>
              <w:rPr>
                <w:rFonts w:hint="eastAsia" w:ascii="宋体" w:hAnsi="宋体" w:cs="宋体"/>
                <w:b/>
                <w:bCs/>
                <w:color w:val="auto"/>
                <w:kern w:val="0"/>
                <w:sz w:val="20"/>
                <w:szCs w:val="20"/>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5"/>
                <w:szCs w:val="15"/>
                <w:highlight w:val="none"/>
              </w:rPr>
            </w:pPr>
            <w:r>
              <w:rPr>
                <w:rFonts w:hint="eastAsia" w:ascii="宋体" w:hAnsi="宋体" w:cs="宋体"/>
                <w:b/>
                <w:bCs/>
                <w:color w:val="auto"/>
                <w:kern w:val="0"/>
                <w:sz w:val="20"/>
                <w:szCs w:val="20"/>
                <w:highlight w:val="none"/>
                <w:lang w:val="en-US" w:eastAsia="zh-CN"/>
              </w:rPr>
              <w:t>228.86</w:t>
            </w:r>
            <w:r>
              <w:rPr>
                <w:rFonts w:hint="eastAsia" w:ascii="宋体" w:hAnsi="宋体"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CellMar>
            <w:top w:w="0" w:type="dxa"/>
            <w:left w:w="108" w:type="dxa"/>
            <w:bottom w:w="0" w:type="dxa"/>
            <w:right w:w="108" w:type="dxa"/>
          </w:tblCellMar>
        </w:tblPrEx>
        <w:trPr>
          <w:trHeight w:val="462" w:hRule="atLeast"/>
        </w:trPr>
        <w:tc>
          <w:tcPr>
            <w:tcW w:w="9214"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hint="eastAsia" w:ascii="仿宋_GB2312" w:hAnsi="宋体" w:eastAsia="仿宋_GB2312" w:cs="宋体"/>
                <w:b/>
                <w:color w:val="auto"/>
                <w:kern w:val="0"/>
                <w:sz w:val="20"/>
                <w:szCs w:val="20"/>
                <w:highlight w:val="none"/>
                <w:lang w:eastAsia="zh-CN"/>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eastAsia="zh-CN"/>
              </w:rPr>
              <w:t>一般公共服务支出</w:t>
            </w:r>
          </w:p>
        </w:tc>
        <w:tc>
          <w:tcPr>
            <w:tcW w:w="16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kern w:val="0"/>
                <w:sz w:val="20"/>
                <w:szCs w:val="20"/>
                <w:highlight w:val="yellow"/>
              </w:rPr>
            </w:pPr>
            <w:r>
              <w:rPr>
                <w:rFonts w:hint="eastAsia" w:ascii="仿宋_GB2312" w:hAnsi="仿宋_GB2312" w:eastAsia="仿宋_GB2312" w:cs="仿宋_GB2312"/>
                <w:color w:val="000000"/>
                <w:sz w:val="18"/>
                <w:szCs w:val="18"/>
                <w:highlight w:val="none"/>
                <w:lang w:val="en-US" w:eastAsia="zh-CN"/>
              </w:rPr>
              <w:t>198.16</w:t>
            </w:r>
          </w:p>
        </w:tc>
        <w:tc>
          <w:tcPr>
            <w:tcW w:w="183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　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68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198.16</w:t>
            </w:r>
          </w:p>
        </w:tc>
        <w:tc>
          <w:tcPr>
            <w:tcW w:w="1839"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　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事业运行</w:t>
            </w:r>
          </w:p>
        </w:tc>
        <w:tc>
          <w:tcPr>
            <w:tcW w:w="168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681"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p>
        </w:tc>
        <w:tc>
          <w:tcPr>
            <w:tcW w:w="1699" w:type="dxa"/>
            <w:tcBorders>
              <w:top w:val="nil"/>
              <w:left w:val="nil"/>
              <w:bottom w:val="single" w:color="auto" w:sz="4" w:space="0"/>
              <w:right w:val="single" w:color="auto" w:sz="4" w:space="0"/>
            </w:tcBorders>
            <w:vAlign w:val="center"/>
          </w:tcPr>
          <w:p>
            <w:pPr>
              <w:widowControl/>
              <w:ind w:firstLine="600" w:firstLineChars="3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社会保障和就业支出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13.75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13.75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行政事业单位养老支出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13.75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13.75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事业单位离退休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3.11</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3.11</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rPr>
              <w:t>机关事业单位基本 养老保险缴费支出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10.64</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10.64</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卫生健康支出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8.05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8.05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行政事业单位医疗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8.05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8.05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事业</w:t>
            </w:r>
            <w:r>
              <w:rPr>
                <w:rFonts w:hint="eastAsia" w:ascii="仿宋_GB2312" w:hAnsi="仿宋_GB2312" w:eastAsia="仿宋_GB2312" w:cs="仿宋_GB2312"/>
                <w:color w:val="000000"/>
                <w:sz w:val="18"/>
                <w:szCs w:val="18"/>
              </w:rPr>
              <w:t>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5.32</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5.32</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2.66</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2.66</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其他行政事业单位医疗支出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0.07</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0.07</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住房保障支出</w:t>
            </w:r>
          </w:p>
        </w:tc>
        <w:tc>
          <w:tcPr>
            <w:tcW w:w="1681" w:type="dxa"/>
            <w:tcBorders>
              <w:top w:val="nil"/>
              <w:left w:val="nil"/>
              <w:bottom w:val="single" w:color="auto" w:sz="4" w:space="0"/>
              <w:right w:val="single" w:color="auto" w:sz="4" w:space="0"/>
            </w:tcBorders>
            <w:vAlign w:val="center"/>
          </w:tcPr>
          <w:p>
            <w:pPr>
              <w:jc w:val="center"/>
              <w:rPr>
                <w:rFonts w:hint="default" w:ascii="宋体" w:hAnsi="宋体" w:cs="宋体"/>
                <w:color w:val="auto"/>
                <w:kern w:val="0"/>
                <w:sz w:val="20"/>
                <w:szCs w:val="20"/>
                <w:highlight w:val="none"/>
                <w:lang w:val="en-US"/>
              </w:rPr>
            </w:pPr>
            <w:r>
              <w:rPr>
                <w:rFonts w:hint="eastAsia" w:ascii="仿宋_GB2312" w:hAnsi="仿宋_GB2312" w:eastAsia="仿宋_GB2312" w:cs="仿宋_GB2312"/>
                <w:color w:val="000000"/>
                <w:sz w:val="18"/>
                <w:szCs w:val="18"/>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住房改革支出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vAlign w:val="center"/>
          </w:tcPr>
          <w:p>
            <w:pPr>
              <w:ind w:firstLine="720" w:firstLineChars="400"/>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228.86</w:t>
            </w:r>
          </w:p>
        </w:tc>
        <w:tc>
          <w:tcPr>
            <w:tcW w:w="183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128.86</w:t>
            </w:r>
          </w:p>
        </w:tc>
        <w:tc>
          <w:tcPr>
            <w:tcW w:w="169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102.03</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sz w:val="18"/>
                <w:szCs w:val="18"/>
              </w:rPr>
              <w:t>基本工资</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26.88</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26.88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18"/>
                <w:szCs w:val="18"/>
              </w:rPr>
              <w:t>津贴补贴</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23.62</w:t>
            </w:r>
          </w:p>
        </w:tc>
        <w:tc>
          <w:tcPr>
            <w:tcW w:w="1701" w:type="dxa"/>
            <w:tcBorders>
              <w:top w:val="nil"/>
              <w:left w:val="nil"/>
              <w:bottom w:val="single" w:color="auto" w:sz="4" w:space="0"/>
              <w:right w:val="single" w:color="auto" w:sz="4" w:space="0"/>
            </w:tcBorders>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23.62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奖金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绩效工资</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08</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机关事业单位基本养老保险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10</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11</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12</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取暖费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20.37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工会经费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3.78</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退休费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生活补助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奖励金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128.86</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105.81</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 xml:space="preserve">  23.05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9"/>
        <w:gridCol w:w="477"/>
        <w:gridCol w:w="417"/>
        <w:gridCol w:w="417"/>
        <w:gridCol w:w="825"/>
        <w:gridCol w:w="1367"/>
        <w:gridCol w:w="724"/>
        <w:gridCol w:w="555"/>
        <w:gridCol w:w="686"/>
        <w:gridCol w:w="475"/>
        <w:gridCol w:w="630"/>
        <w:gridCol w:w="618"/>
        <w:gridCol w:w="419"/>
        <w:gridCol w:w="618"/>
        <w:gridCol w:w="420"/>
        <w:gridCol w:w="420"/>
        <w:gridCol w:w="387"/>
        <w:gridCol w:w="76"/>
      </w:tblGrid>
      <w:tr>
        <w:tblPrEx>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76" w:type="dxa"/>
          <w:trHeight w:val="405" w:hRule="atLeast"/>
        </w:trPr>
        <w:tc>
          <w:tcPr>
            <w:tcW w:w="9455" w:type="dxa"/>
            <w:gridSpan w:val="16"/>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5"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67"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8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3"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5"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36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2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3"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p>
        </w:tc>
        <w:tc>
          <w:tcPr>
            <w:tcW w:w="417" w:type="dxa"/>
            <w:vAlign w:val="center"/>
          </w:tcPr>
          <w:p>
            <w:pPr>
              <w:jc w:val="center"/>
              <w:rPr>
                <w:rFonts w:hint="eastAsia" w:ascii="仿宋_GB2312" w:hAnsi="宋体" w:eastAsia="仿宋_GB2312"/>
                <w:color w:val="auto"/>
                <w:kern w:val="0"/>
                <w:sz w:val="32"/>
                <w:szCs w:val="32"/>
                <w:highlight w:val="none"/>
                <w:lang w:eastAsia="zh-Hans"/>
              </w:rPr>
            </w:pPr>
          </w:p>
        </w:tc>
        <w:tc>
          <w:tcPr>
            <w:tcW w:w="417" w:type="dxa"/>
            <w:vAlign w:val="center"/>
          </w:tcPr>
          <w:p>
            <w:pPr>
              <w:jc w:val="center"/>
              <w:rPr>
                <w:rFonts w:ascii="仿宋_GB2312" w:hAnsi="宋体" w:eastAsia="仿宋_GB2312"/>
                <w:color w:val="auto"/>
                <w:kern w:val="0"/>
                <w:sz w:val="32"/>
                <w:szCs w:val="32"/>
                <w:highlight w:val="none"/>
              </w:rPr>
            </w:pP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一般公共服务支出</w:t>
            </w: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p>
        </w:tc>
        <w:tc>
          <w:tcPr>
            <w:tcW w:w="417" w:type="dxa"/>
            <w:vAlign w:val="center"/>
          </w:tcPr>
          <w:p>
            <w:pPr>
              <w:jc w:val="center"/>
              <w:rPr>
                <w:rFonts w:ascii="仿宋_GB2312" w:hAnsi="宋体" w:eastAsia="仿宋_GB2312"/>
                <w:color w:val="auto"/>
                <w:kern w:val="0"/>
                <w:sz w:val="32"/>
                <w:szCs w:val="32"/>
                <w:highlight w:val="none"/>
              </w:rPr>
            </w:pP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367" w:type="dxa"/>
            <w:vAlign w:val="center"/>
          </w:tcPr>
          <w:p>
            <w:pPr>
              <w:widowControl/>
              <w:jc w:val="center"/>
              <w:outlineLvl w:val="1"/>
              <w:rPr>
                <w:rFonts w:ascii="仿宋_GB2312" w:hAnsi="宋体" w:eastAsia="仿宋_GB2312"/>
                <w:color w:val="auto"/>
                <w:kern w:val="0"/>
                <w:sz w:val="22"/>
                <w:szCs w:val="22"/>
                <w:highlight w:val="none"/>
              </w:rPr>
            </w:pPr>
          </w:p>
        </w:tc>
        <w:tc>
          <w:tcPr>
            <w:tcW w:w="724"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22"/>
                <w:szCs w:val="22"/>
                <w:highlight w:val="none"/>
              </w:rPr>
            </w:pPr>
          </w:p>
        </w:tc>
        <w:tc>
          <w:tcPr>
            <w:tcW w:w="686"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99</w:t>
            </w: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367"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18"/>
                <w:szCs w:val="18"/>
                <w:lang w:val="en-US" w:eastAsia="zh-CN"/>
              </w:rPr>
              <w:t>完全不予公开</w:t>
            </w:r>
          </w:p>
        </w:tc>
        <w:tc>
          <w:tcPr>
            <w:tcW w:w="724" w:type="dxa"/>
            <w:vAlign w:val="center"/>
          </w:tcPr>
          <w:p>
            <w:pPr>
              <w:widowControl/>
              <w:jc w:val="center"/>
              <w:outlineLvl w:val="1"/>
              <w:rPr>
                <w:rFonts w:hint="eastAsia" w:ascii="仿宋_GB2312" w:hAnsi="宋体" w:eastAsia="仿宋_GB2312"/>
                <w:color w:val="auto"/>
                <w:kern w:val="0"/>
                <w:sz w:val="22"/>
                <w:szCs w:val="22"/>
                <w:highlight w:val="none"/>
                <w:lang w:val="en-US" w:eastAsia="zh-CN"/>
              </w:rPr>
            </w:pPr>
          </w:p>
          <w:p>
            <w:pPr>
              <w:widowControl/>
              <w:jc w:val="center"/>
              <w:outlineLvl w:val="1"/>
              <w:rPr>
                <w:rFonts w:hint="eastAsia" w:ascii="仿宋_GB2312" w:hAnsi="宋体" w:eastAsia="仿宋_GB2312"/>
                <w:color w:val="auto"/>
                <w:kern w:val="0"/>
                <w:sz w:val="22"/>
                <w:szCs w:val="22"/>
                <w:highlight w:val="none"/>
                <w:lang w:val="en-US" w:eastAsia="zh-CN"/>
              </w:rPr>
            </w:pPr>
          </w:p>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hint="eastAsia" w:ascii="仿宋_GB2312" w:hAnsi="宋体" w:eastAsia="仿宋_GB2312"/>
                <w:color w:val="auto"/>
                <w:kern w:val="0"/>
                <w:sz w:val="32"/>
                <w:szCs w:val="32"/>
                <w:highlight w:val="none"/>
                <w:lang w:val="en-US" w:eastAsia="zh-CN"/>
              </w:rPr>
            </w:pPr>
          </w:p>
          <w:p>
            <w:pPr>
              <w:widowControl/>
              <w:jc w:val="center"/>
              <w:outlineLvl w:val="1"/>
              <w:rPr>
                <w:rFonts w:hint="eastAsia" w:ascii="仿宋_GB2312" w:hAnsi="宋体" w:eastAsia="仿宋_GB2312"/>
                <w:color w:val="auto"/>
                <w:kern w:val="0"/>
                <w:sz w:val="21"/>
                <w:szCs w:val="21"/>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4" w:type="dxa"/>
            <w:vAlign w:val="center"/>
          </w:tcPr>
          <w:p>
            <w:pPr>
              <w:widowControl/>
              <w:jc w:val="center"/>
              <w:outlineLvl w:val="1"/>
              <w:rPr>
                <w:rFonts w:hint="eastAsia" w:ascii="仿宋_GB2312" w:hAnsi="宋体" w:eastAsia="仿宋_GB2312"/>
                <w:b/>
                <w:bCs/>
                <w:color w:val="auto"/>
                <w:kern w:val="0"/>
                <w:szCs w:val="21"/>
                <w:highlight w:val="none"/>
                <w:lang w:val="en-US" w:eastAsia="zh-CN"/>
              </w:rPr>
            </w:pPr>
          </w:p>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100</w:t>
            </w:r>
          </w:p>
        </w:tc>
        <w:tc>
          <w:tcPr>
            <w:tcW w:w="555" w:type="dxa"/>
            <w:vAlign w:val="center"/>
          </w:tcPr>
          <w:p>
            <w:pPr>
              <w:widowControl/>
              <w:jc w:val="center"/>
              <w:outlineLvl w:val="1"/>
              <w:rPr>
                <w:rFonts w:ascii="仿宋_GB2312" w:hAnsi="宋体" w:eastAsia="仿宋_GB2312"/>
                <w:b/>
                <w:bCs/>
                <w:color w:val="auto"/>
                <w:kern w:val="0"/>
                <w:sz w:val="32"/>
                <w:szCs w:val="32"/>
                <w:highlight w:val="none"/>
              </w:rPr>
            </w:pPr>
          </w:p>
        </w:tc>
        <w:tc>
          <w:tcPr>
            <w:tcW w:w="686" w:type="dxa"/>
            <w:vAlign w:val="center"/>
          </w:tcPr>
          <w:p>
            <w:pPr>
              <w:widowControl/>
              <w:jc w:val="center"/>
              <w:outlineLvl w:val="1"/>
              <w:rPr>
                <w:rFonts w:hint="eastAsia" w:ascii="仿宋_GB2312" w:hAnsi="宋体" w:eastAsia="仿宋_GB2312"/>
                <w:b/>
                <w:bCs/>
                <w:color w:val="auto"/>
                <w:kern w:val="0"/>
                <w:szCs w:val="21"/>
                <w:highlight w:val="none"/>
                <w:lang w:val="en-US" w:eastAsia="zh-CN"/>
              </w:rPr>
            </w:pPr>
          </w:p>
          <w:p>
            <w:pPr>
              <w:widowControl/>
              <w:jc w:val="center"/>
              <w:outlineLvl w:val="1"/>
              <w:rPr>
                <w:rFonts w:hint="default" w:ascii="仿宋_GB2312" w:hAnsi="宋体" w:eastAsia="仿宋_GB2312"/>
                <w:b/>
                <w:bCs/>
                <w:color w:val="auto"/>
                <w:kern w:val="0"/>
                <w:sz w:val="32"/>
                <w:szCs w:val="32"/>
                <w:highlight w:val="none"/>
                <w:lang w:val="en-US" w:eastAsia="zh-CN"/>
              </w:rPr>
            </w:pPr>
            <w:r>
              <w:rPr>
                <w:rFonts w:hint="eastAsia" w:ascii="仿宋_GB2312" w:hAnsi="宋体" w:eastAsia="仿宋_GB2312"/>
                <w:b/>
                <w:bCs/>
                <w:color w:val="auto"/>
                <w:kern w:val="0"/>
                <w:szCs w:val="21"/>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中国人民解放军新疆维吾尔自治区呼图壁县人民武装部</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单位：万元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中国人民解放军新疆维吾尔自治区呼图壁县人民武装部2025年没有政府性基金预算支出安排，此表为空表。</w:t>
      </w: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中国人民解放军新疆维吾尔自治区呼图壁县人民武装部</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单位：万元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中国人民解放军新疆维吾尔自治区呼图壁县人民武装部2025年没有国有资本经营预算支出安排，此表为空表。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28"/>
          <w:highlight w:val="none"/>
          <w:lang w:val="en-US" w:eastAsia="zh-CN"/>
        </w:rPr>
        <w:t>中国人民解放军新疆维吾尔自治区呼图壁县人民武装部2025年没有</w:t>
      </w:r>
      <w:r>
        <w:rPr>
          <w:rFonts w:hint="eastAsia" w:ascii="仿宋_GB2312" w:hAnsi="宋体" w:eastAsia="仿宋_GB2312"/>
          <w:b/>
          <w:color w:val="auto"/>
          <w:kern w:val="0"/>
          <w:sz w:val="28"/>
          <w:szCs w:val="28"/>
          <w:highlight w:val="none"/>
          <w:lang w:val="en-US" w:eastAsia="zh-Hans"/>
        </w:rPr>
        <w:t>财政拨款</w:t>
      </w:r>
      <w:r>
        <w:rPr>
          <w:rFonts w:hint="eastAsia" w:ascii="仿宋_GB2312" w:hAnsi="宋体" w:eastAsia="仿宋_GB2312"/>
          <w:b/>
          <w:color w:val="auto"/>
          <w:kern w:val="0"/>
          <w:sz w:val="28"/>
          <w:szCs w:val="28"/>
          <w:highlight w:val="none"/>
          <w:lang w:val="en-US" w:eastAsia="zh-CN"/>
        </w:rPr>
        <w:t>“三公”经费支出安排，此表为空表。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color w:val="auto"/>
          <w:kern w:val="0"/>
          <w:sz w:val="24"/>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val="0"/>
        <w:snapToGrid w:val="0"/>
        <w:jc w:val="left"/>
        <w:textAlignment w:val="auto"/>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宋体" w:eastAsia="仿宋_GB2312"/>
          <w:b/>
          <w:color w:val="auto"/>
          <w:kern w:val="0"/>
          <w:sz w:val="28"/>
          <w:szCs w:val="28"/>
          <w:highlight w:val="none"/>
          <w:lang w:val="en-US" w:eastAsia="zh-CN"/>
        </w:rPr>
        <w:t>中国人民解放军新疆维吾尔自治区呼图壁县人民武装部2025年没有上年结转结余资金，此表为空表。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一、关于中国人民解放军新疆维吾尔自治区呼图壁县人民武装部</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中国人民解放军新疆维吾尔自治区呼图壁县人民武装部收入预算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政府性基金预算0.00万元，占0.00%，比上年预算增加0.00万元，增长0.00%，主要原因是上级一般公共预算安排的转移支付资金未安排。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国有资本经营预算0.00万元，占0.00%，比上年预算增加0.00万元，增长0.00%，主要原因是上级政府性基金安排的资金未安排。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128.86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56.31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人员增加，相关预算增加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43.69</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增加0万元，增长0 %，主要原因是此项经费为每年全县固定支出，所以此项目金额无变动</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198.16</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lang w:val="en-US" w:eastAsia="zh-CN"/>
        </w:rPr>
        <w:t>保障机关运行的商品和服务支出；</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13.75万元，主要用于在职职工机关养老保险支出；卫生健康支出8.05万元，主要用于在职及退休职工基本医疗、公务员医疗补助、大病医疗支出；住房保障支出8.9万元，主要用于在职职工住房公积金支出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228.86</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128.86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人员增加，相关预算增加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比上年预算增加0.00万元，增长0.00%。主要原因</w:t>
      </w:r>
      <w:r>
        <w:rPr>
          <w:rFonts w:hint="eastAsia" w:ascii="仿宋_GB2312" w:hAnsi="宋体" w:eastAsia="仿宋_GB2312" w:cs="宋体"/>
          <w:color w:val="auto"/>
          <w:kern w:val="0"/>
          <w:sz w:val="32"/>
          <w:szCs w:val="32"/>
          <w:highlight w:val="none"/>
          <w:lang w:val="en-US" w:eastAsia="zh-CN"/>
        </w:rPr>
        <w:t>是此项经费为每年全县固定支出，所以此项目金额无变动</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1、一般公共服务支出（类）198.16万元，占86.59%。</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宋体" w:eastAsia="仿宋_GB2312" w:cs="宋体"/>
          <w:kern w:val="0"/>
          <w:sz w:val="32"/>
          <w:szCs w:val="32"/>
          <w:lang w:eastAsia="zh-CN"/>
        </w:rPr>
        <w:t>社会保障和就业支出（类）</w:t>
      </w:r>
      <w:r>
        <w:rPr>
          <w:rFonts w:hint="eastAsia" w:ascii="仿宋_GB2312" w:hAnsi="宋体" w:eastAsia="仿宋_GB2312" w:cs="宋体"/>
          <w:kern w:val="0"/>
          <w:sz w:val="32"/>
          <w:szCs w:val="32"/>
          <w:lang w:val="en-US" w:eastAsia="zh-CN"/>
        </w:rPr>
        <w:t>13.75万元，占6.01%。</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3、卫生健康支出（类）8.05万元，占3.52%。</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4、住房保障支出（类）8.9万元，占3.89%。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1、一般公共服务支出（类）政府办公厅（室）</w:t>
      </w:r>
      <w:r>
        <w:rPr>
          <w:rFonts w:hint="eastAsia" w:ascii="仿宋_GB2312" w:hAnsi="宋体" w:eastAsia="仿宋_GB2312" w:cs="宋体"/>
          <w:kern w:val="0"/>
          <w:sz w:val="32"/>
          <w:szCs w:val="32"/>
          <w:highlight w:val="none"/>
          <w:lang w:val="en-US" w:eastAsia="zh-CN"/>
        </w:rPr>
        <w:t>及相关机构事务（款）事业运行（项）：2025年预算数为98.16万元，比上年预算数增加0.11万元，增长0.11%，主要原因是人员增加。</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一般公共服务支出（类）政府办公厅（室）及相关机构事务（款）其他政府办公厅（室）及相关机构事务（项）：2025年预算数为100万元，比上年预算增加0万元，增长0%。主要原因是根据相关工作要求，县级需每年安排此项</w:t>
      </w:r>
      <w:bookmarkStart w:id="1" w:name="_GoBack"/>
      <w:bookmarkEnd w:id="1"/>
      <w:r>
        <w:rPr>
          <w:rFonts w:hint="eastAsia" w:ascii="仿宋_GB2312" w:hAnsi="宋体" w:eastAsia="仿宋_GB2312" w:cs="宋体"/>
          <w:kern w:val="0"/>
          <w:sz w:val="32"/>
          <w:szCs w:val="32"/>
          <w:highlight w:val="none"/>
          <w:lang w:val="en-US" w:eastAsia="zh-CN"/>
        </w:rPr>
        <w:t>经费预算100万元。</w:t>
      </w:r>
    </w:p>
    <w:p>
      <w:pPr>
        <w:pStyle w:val="2"/>
        <w:ind w:left="0" w:leftChars="0"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社会保障和就业支出（类）机关事业单位基本养老保险缴费支出（款）事业单位离退休（项）：2025年预算数为3.11万元，比上年预算数增加3.11万元，增长100%，主要原因是本年科目调整，上年未使用此科目列支事业退休人员经费。</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社会保障和就业支出（类）机关事业单位基本养老保险缴费支出（款）机关事业单位基本养老保险缴费支出（项）：2025年预算数为10.64万元，比上年预算数减少0.42万元，下降3.80%，主要原因是退休1人，新招录1人，人员变动，工资变化，机关养老缴费支出减少。</w:t>
      </w:r>
    </w:p>
    <w:p>
      <w:pPr>
        <w:pStyle w:val="2"/>
        <w:numPr>
          <w:ilvl w:val="0"/>
          <w:numId w:val="1"/>
        </w:numPr>
        <w:ind w:left="-10" w:leftChars="0" w:firstLine="640" w:firstLineChars="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卫生健康支出（类）行政事业单位医疗支出（款）事业单位医疗（项）：2025年预算数为5.32万元，比上年预算数增加5.32万元，增长100%，主要原因是上年未使用此科目列支在职人员医疗缴费，本年科目调整。</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公务员医疗补助（项）：2025年预算数为2.66万元，比上年预算增加1.14万元，增长75.00%，主要原因是本年公务员缴费比例调整为社保基数的4%，上年为社保缴费基数的2.2%，导致公务员医疗缴费支出增加。</w:t>
      </w:r>
    </w:p>
    <w:p>
      <w:pPr>
        <w:pStyle w:val="2"/>
        <w:numPr>
          <w:ilvl w:val="0"/>
          <w:numId w:val="0"/>
        </w:numPr>
        <w:rPr>
          <w:rFonts w:hint="default" w:ascii="仿宋_GB2312" w:hAnsi="宋体" w:eastAsia="仿宋_GB2312" w:cs="宋体"/>
          <w:kern w:val="0"/>
          <w:sz w:val="32"/>
          <w:szCs w:val="32"/>
          <w:highlight w:val="yellow"/>
          <w:lang w:val="en-US" w:eastAsia="zh-CN" w:bidi="ar-SA"/>
        </w:rPr>
      </w:pPr>
      <w:r>
        <w:rPr>
          <w:rFonts w:hint="eastAsia" w:ascii="仿宋_GB2312" w:hAnsi="宋体" w:eastAsia="仿宋_GB2312" w:cs="宋体"/>
          <w:kern w:val="0"/>
          <w:sz w:val="32"/>
          <w:szCs w:val="32"/>
          <w:highlight w:val="none"/>
          <w:lang w:val="en-US" w:eastAsia="zh-CN"/>
        </w:rPr>
        <w:t>7、住房保障支出（类）住房改革支出（款）住房公积金（项）：2025年预算数为8.9万元，比上年预算数减少0.32万元，下降3.47%，主要原因是退休1人，新招录1人，人员变动，工资变化，住房保障支出减少。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128.86</w:t>
      </w:r>
      <w:r>
        <w:rPr>
          <w:rFonts w:hint="eastAsia" w:ascii="仿宋_GB2312" w:hAnsi="宋体" w:eastAsia="仿宋_GB2312" w:cs="宋体"/>
          <w:color w:val="auto"/>
          <w:spacing w:val="-6"/>
          <w:kern w:val="0"/>
          <w:sz w:val="32"/>
          <w:szCs w:val="32"/>
          <w:highlight w:val="none"/>
        </w:rPr>
        <w:t>万元， 其中：</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105.81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rPr>
        <w:t>万元，主要包括：水费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取暖费、工会经费。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pStyle w:val="2"/>
        <w:numPr>
          <w:ilvl w:val="0"/>
          <w:numId w:val="0"/>
        </w:numPr>
        <w:ind w:leftChars="400"/>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：呼财预字[2025]5号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：2025年1月</w:t>
      </w:r>
      <w:r>
        <w:rPr>
          <w:rFonts w:hint="eastAsia" w:ascii="仿宋_GB2312" w:hAnsi="黑体" w:eastAsia="仿宋_GB2312"/>
          <w:color w:val="auto"/>
          <w:sz w:val="32"/>
          <w:szCs w:val="32"/>
          <w:highlight w:val="none"/>
          <w:lang w:val="en-US" w:eastAsia="zh-CN"/>
        </w:rPr>
        <w:t>1日</w:t>
      </w:r>
      <w:r>
        <w:rPr>
          <w:rFonts w:hint="eastAsia" w:ascii="仿宋_GB2312" w:hAnsi="黑体" w:eastAsia="仿宋_GB2312"/>
          <w:color w:val="auto"/>
          <w:sz w:val="32"/>
          <w:szCs w:val="32"/>
          <w:highlight w:val="none"/>
        </w:rPr>
        <w:t>-2025年12月</w:t>
      </w:r>
      <w:r>
        <w:rPr>
          <w:rFonts w:hint="eastAsia" w:ascii="仿宋_GB2312" w:hAnsi="黑体" w:eastAsia="仿宋_GB2312"/>
          <w:color w:val="auto"/>
          <w:sz w:val="32"/>
          <w:szCs w:val="32"/>
          <w:highlight w:val="none"/>
          <w:lang w:val="en-US" w:eastAsia="zh-CN"/>
        </w:rPr>
        <w:t>31</w:t>
      </w:r>
      <w:r>
        <w:rPr>
          <w:rFonts w:hint="eastAsia" w:ascii="仿宋_GB2312" w:hAnsi="宋体" w:eastAsia="仿宋_GB2312" w:cs="宋体"/>
          <w:kern w:val="0"/>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2024年、2025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均</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val="en-US" w:eastAsia="zh-CN"/>
        </w:rPr>
        <w:t>此项</w:t>
      </w:r>
      <w:r>
        <w:rPr>
          <w:rFonts w:hint="eastAsia" w:ascii="仿宋_GB2312" w:hAnsi="宋体" w:eastAsia="仿宋_GB2312" w:cs="宋体"/>
          <w:kern w:val="0"/>
          <w:sz w:val="32"/>
          <w:szCs w:val="32"/>
        </w:rPr>
        <w:t>预算；公务用车购置费增加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2024年、2025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均</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val="en-US" w:eastAsia="zh-CN"/>
        </w:rPr>
        <w:t>此项</w:t>
      </w:r>
      <w:r>
        <w:rPr>
          <w:rFonts w:hint="eastAsia" w:ascii="仿宋_GB2312" w:hAnsi="宋体" w:eastAsia="仿宋_GB2312" w:cs="宋体"/>
          <w:kern w:val="0"/>
          <w:sz w:val="32"/>
          <w:szCs w:val="32"/>
        </w:rPr>
        <w:t>预算；公务用车运行费增加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2024年、2025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均</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val="en-US" w:eastAsia="zh-CN"/>
        </w:rPr>
        <w:t>此项</w:t>
      </w:r>
      <w:r>
        <w:rPr>
          <w:rFonts w:hint="eastAsia" w:ascii="仿宋_GB2312" w:hAnsi="宋体" w:eastAsia="仿宋_GB2312" w:cs="宋体"/>
          <w:kern w:val="0"/>
          <w:sz w:val="32"/>
          <w:szCs w:val="32"/>
        </w:rPr>
        <w:t>预算；公务接待费增加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2024年、2025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均</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val="en-US" w:eastAsia="zh-CN"/>
        </w:rPr>
        <w:t>此项</w:t>
      </w:r>
      <w:r>
        <w:rPr>
          <w:rFonts w:hint="eastAsia" w:ascii="仿宋_GB2312" w:hAnsi="宋体" w:eastAsia="仿宋_GB2312" w:cs="宋体"/>
          <w:kern w:val="0"/>
          <w:sz w:val="32"/>
          <w:szCs w:val="32"/>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23.05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8.99</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长63.94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增加了民兵训练基地取暖费用，导致运行经费增加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年，中国人民解放军新疆维吾尔自治区呼图壁县人民武装部政府采购预算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年，中国人民解放军新疆维吾尔自治区呼图壁县人民武装部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kern w:val="0"/>
          <w:sz w:val="32"/>
          <w:szCs w:val="32"/>
        </w:rPr>
        <w:t>占用使用国有资产总体情况为</w:t>
      </w:r>
    </w:p>
    <w:p>
      <w:pPr>
        <w:widowControl/>
        <w:spacing w:line="580"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房屋4028 平方米，价值 247.54万元。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整体预算绩效目标1个，涉及预算金额228.86万元；当年预算安排项目共1个，其中: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涉及预算金额100万元；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643" w:firstLineChars="2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仿宋_GB2312" w:hAnsi="宋体" w:eastAsia="仿宋_GB2312" w:cs="仿宋_GB2312"/>
                <w:b w:val="0"/>
                <w:bCs/>
                <w:color w:val="000000"/>
                <w:kern w:val="0"/>
                <w:sz w:val="24"/>
                <w:szCs w:val="24"/>
                <w:highlight w:val="none"/>
                <w:lang w:val="en-US" w:eastAsia="zh-CN" w:bidi="ar"/>
              </w:rPr>
              <w:t>中国人民解放军新疆维吾尔自治区呼图壁县人民武装部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吕钢峰</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13364903858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sz w:val="18"/>
                <w:szCs w:val="18"/>
                <w:lang w:val="en-US" w:eastAsia="zh-CN"/>
              </w:rPr>
              <w:t>本年完成300名民兵训练，完成春秋两季征兵任务，做好本地区民兵、预备役工作，提高本地区民兵组织建设、政治教育、军事训练和武器装备管理水平。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228.86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开展民兵训练次数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&gt;=8次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组织实施国防动员活动次数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开展征兵工作次数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开展征兵宣传工作时间</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2024年1月-12月</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预征入伍青年人数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=35人</w:t>
            </w:r>
          </w:p>
        </w:tc>
        <w:tc>
          <w:tcPr>
            <w:tcW w:w="2114" w:type="dxa"/>
            <w:tcBorders>
              <w:top w:val="single" w:color="000000" w:sz="4" w:space="0"/>
              <w:left w:val="single" w:color="000000" w:sz="4" w:space="0"/>
              <w:bottom w:val="single" w:color="000000" w:sz="4" w:space="0"/>
              <w:right w:val="single" w:color="000000" w:sz="4" w:space="0"/>
            </w:tcBorders>
            <w:vAlign w:val="center"/>
          </w:tcPr>
          <w:p>
            <w:pPr>
              <w:ind w:firstLine="600" w:firstLineChars="300"/>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各项任务达标率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本年度财政安排项目</w:t>
      </w:r>
      <w:r>
        <w:rPr>
          <w:rFonts w:hint="eastAsia" w:ascii="仿宋_GB2312" w:eastAsia="仿宋_GB2312" w:cs="Times New Roman"/>
          <w:kern w:val="2"/>
          <w:sz w:val="32"/>
          <w:szCs w:val="32"/>
          <w:highlight w:val="none"/>
          <w:lang w:val="en-US" w:eastAsia="zh-CN" w:bidi="ar-SA"/>
        </w:rPr>
        <w:t>1</w:t>
      </w:r>
      <w:r>
        <w:rPr>
          <w:rFonts w:hint="eastAsia" w:ascii="仿宋_GB2312" w:hAnsi="Times New Roman" w:eastAsia="仿宋_GB2312" w:cs="Times New Roman"/>
          <w:kern w:val="2"/>
          <w:sz w:val="32"/>
          <w:szCs w:val="32"/>
          <w:highlight w:val="none"/>
          <w:lang w:val="en-US" w:eastAsia="zh-CN" w:bidi="ar-SA"/>
        </w:rPr>
        <w:t>个，未公开</w:t>
      </w:r>
      <w:r>
        <w:rPr>
          <w:rFonts w:hint="eastAsia" w:ascii="仿宋_GB2312" w:eastAsia="仿宋_GB2312" w:cs="Times New Roman"/>
          <w:kern w:val="2"/>
          <w:sz w:val="32"/>
          <w:szCs w:val="32"/>
          <w:highlight w:val="none"/>
          <w:lang w:val="en-US" w:eastAsia="zh-CN" w:bidi="ar-SA"/>
        </w:rPr>
        <w:t>1</w:t>
      </w:r>
      <w:r>
        <w:rPr>
          <w:rFonts w:hint="eastAsia" w:ascii="仿宋_GB2312" w:hAnsi="Times New Roman" w:eastAsia="仿宋_GB2312" w:cs="Times New Roman"/>
          <w:kern w:val="2"/>
          <w:sz w:val="32"/>
          <w:szCs w:val="32"/>
          <w:highlight w:val="none"/>
          <w:lang w:val="en-US" w:eastAsia="zh-CN" w:bidi="ar-SA"/>
        </w:rPr>
        <w:t>个，涉及金额</w:t>
      </w:r>
      <w:r>
        <w:rPr>
          <w:rFonts w:hint="eastAsia" w:ascii="仿宋_GB2312" w:eastAsia="仿宋_GB2312" w:cs="Times New Roman"/>
          <w:kern w:val="2"/>
          <w:sz w:val="32"/>
          <w:szCs w:val="32"/>
          <w:highlight w:val="none"/>
          <w:lang w:val="en-US" w:eastAsia="zh-CN" w:bidi="ar-SA"/>
        </w:rPr>
        <w:t>100</w:t>
      </w:r>
      <w:r>
        <w:rPr>
          <w:rFonts w:hint="eastAsia" w:ascii="仿宋_GB2312" w:hAnsi="Times New Roman" w:eastAsia="仿宋_GB2312" w:cs="Times New Roman"/>
          <w:kern w:val="2"/>
          <w:sz w:val="32"/>
          <w:szCs w:val="32"/>
          <w:highlight w:val="none"/>
          <w:lang w:val="en-US" w:eastAsia="zh-CN" w:bidi="ar-SA"/>
        </w:rPr>
        <w:t>万元，</w:t>
      </w:r>
      <w:r>
        <w:rPr>
          <w:rFonts w:hint="eastAsia" w:ascii="仿宋_GB2312" w:eastAsia="仿宋_GB2312" w:cs="Times New Roman"/>
          <w:kern w:val="2"/>
          <w:sz w:val="32"/>
          <w:szCs w:val="32"/>
          <w:highlight w:val="none"/>
          <w:lang w:val="en-US" w:eastAsia="zh-CN" w:bidi="ar-SA"/>
        </w:rPr>
        <w:t>此项目为SM项目，不公开绩效目标表。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仿宋_GB2312" w:hAnsi="Times New Roman" w:eastAsia="仿宋_GB2312" w:cs="Times New Roman"/>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9FCB7"/>
    <w:multiLevelType w:val="singleLevel"/>
    <w:tmpl w:val="0A09FCB7"/>
    <w:lvl w:ilvl="0" w:tentative="0">
      <w:start w:val="7"/>
      <w:numFmt w:val="chineseCounting"/>
      <w:suff w:val="nothing"/>
      <w:lvlText w:val="%1、"/>
      <w:lvlJc w:val="left"/>
      <w:rPr>
        <w:rFonts w:hint="eastAsia"/>
      </w:rPr>
    </w:lvl>
  </w:abstractNum>
  <w:abstractNum w:abstractNumId="1">
    <w:nsid w:val="17050BC8"/>
    <w:multiLevelType w:val="singleLevel"/>
    <w:tmpl w:val="17050BC8"/>
    <w:lvl w:ilvl="0" w:tentative="0">
      <w:start w:val="5"/>
      <w:numFmt w:val="chineseCounting"/>
      <w:suff w:val="nothing"/>
      <w:lvlText w:val="（%1）"/>
      <w:lvlJc w:val="left"/>
      <w:rPr>
        <w:rFonts w:hint="eastAsia"/>
      </w:rPr>
    </w:lvl>
  </w:abstractNum>
  <w:abstractNum w:abstractNumId="2">
    <w:nsid w:val="621DBD17"/>
    <w:multiLevelType w:val="singleLevel"/>
    <w:tmpl w:val="621DBD17"/>
    <w:lvl w:ilvl="0" w:tentative="0">
      <w:start w:val="4"/>
      <w:numFmt w:val="decimal"/>
      <w:suff w:val="nothing"/>
      <w:lvlText w:val="%1、"/>
      <w:lvlJc w:val="left"/>
      <w:pPr>
        <w:ind w:left="-1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E41A1F"/>
    <w:rsid w:val="015754F6"/>
    <w:rsid w:val="017B2F92"/>
    <w:rsid w:val="01890E69"/>
    <w:rsid w:val="020E507E"/>
    <w:rsid w:val="02732F8E"/>
    <w:rsid w:val="02CB7F49"/>
    <w:rsid w:val="037800D1"/>
    <w:rsid w:val="04267087"/>
    <w:rsid w:val="04267B2D"/>
    <w:rsid w:val="044C330C"/>
    <w:rsid w:val="05397FD9"/>
    <w:rsid w:val="057A5F58"/>
    <w:rsid w:val="05CA273A"/>
    <w:rsid w:val="070E6657"/>
    <w:rsid w:val="080E3E4F"/>
    <w:rsid w:val="084451C2"/>
    <w:rsid w:val="08450B28"/>
    <w:rsid w:val="08681E03"/>
    <w:rsid w:val="08762705"/>
    <w:rsid w:val="088F5575"/>
    <w:rsid w:val="08E81855"/>
    <w:rsid w:val="0A4168EC"/>
    <w:rsid w:val="0AD672A7"/>
    <w:rsid w:val="0B247F12"/>
    <w:rsid w:val="0B7C3034"/>
    <w:rsid w:val="0B841FFD"/>
    <w:rsid w:val="0BD56A2F"/>
    <w:rsid w:val="0C0A3890"/>
    <w:rsid w:val="0C221FBD"/>
    <w:rsid w:val="0CD20198"/>
    <w:rsid w:val="0CEC568C"/>
    <w:rsid w:val="0D6E5FD0"/>
    <w:rsid w:val="0E320E7D"/>
    <w:rsid w:val="0E711374"/>
    <w:rsid w:val="0E9208E7"/>
    <w:rsid w:val="10587512"/>
    <w:rsid w:val="105D0E37"/>
    <w:rsid w:val="10916BDA"/>
    <w:rsid w:val="11036B00"/>
    <w:rsid w:val="11301FEB"/>
    <w:rsid w:val="11B6451D"/>
    <w:rsid w:val="121E62E8"/>
    <w:rsid w:val="1697741D"/>
    <w:rsid w:val="17153277"/>
    <w:rsid w:val="17C31EA1"/>
    <w:rsid w:val="18DA3EDB"/>
    <w:rsid w:val="19A215AC"/>
    <w:rsid w:val="1A132B78"/>
    <w:rsid w:val="1A934268"/>
    <w:rsid w:val="1AC437A4"/>
    <w:rsid w:val="1B153D26"/>
    <w:rsid w:val="1BEB54C3"/>
    <w:rsid w:val="1C3C6084"/>
    <w:rsid w:val="1C8C02F2"/>
    <w:rsid w:val="1D3E1AFE"/>
    <w:rsid w:val="1E6432D4"/>
    <w:rsid w:val="1E89232D"/>
    <w:rsid w:val="1EB61656"/>
    <w:rsid w:val="1EBF49AE"/>
    <w:rsid w:val="20407429"/>
    <w:rsid w:val="20CF3CE4"/>
    <w:rsid w:val="20DD55C0"/>
    <w:rsid w:val="22353CA2"/>
    <w:rsid w:val="22922CB8"/>
    <w:rsid w:val="22D64BAD"/>
    <w:rsid w:val="22DB78DD"/>
    <w:rsid w:val="244D65B8"/>
    <w:rsid w:val="2492221D"/>
    <w:rsid w:val="24B42D8E"/>
    <w:rsid w:val="250855AF"/>
    <w:rsid w:val="258B383C"/>
    <w:rsid w:val="263B7010"/>
    <w:rsid w:val="26B4291F"/>
    <w:rsid w:val="26BD282A"/>
    <w:rsid w:val="26E769FA"/>
    <w:rsid w:val="286D65BC"/>
    <w:rsid w:val="28D9041B"/>
    <w:rsid w:val="293B2E83"/>
    <w:rsid w:val="2A1758D5"/>
    <w:rsid w:val="2AD10FC0"/>
    <w:rsid w:val="2AFC4894"/>
    <w:rsid w:val="2B3A05DE"/>
    <w:rsid w:val="2B6901C6"/>
    <w:rsid w:val="2D14002F"/>
    <w:rsid w:val="2D480265"/>
    <w:rsid w:val="2D977453"/>
    <w:rsid w:val="2E2943BA"/>
    <w:rsid w:val="2EF22236"/>
    <w:rsid w:val="2FED29FE"/>
    <w:rsid w:val="2FF41FDE"/>
    <w:rsid w:val="300E1D4A"/>
    <w:rsid w:val="30B05F05"/>
    <w:rsid w:val="310F3573"/>
    <w:rsid w:val="32D560F7"/>
    <w:rsid w:val="33A76F60"/>
    <w:rsid w:val="33AA3731"/>
    <w:rsid w:val="341E7629"/>
    <w:rsid w:val="35052887"/>
    <w:rsid w:val="35F117C8"/>
    <w:rsid w:val="38284F1B"/>
    <w:rsid w:val="3936665A"/>
    <w:rsid w:val="39B0409D"/>
    <w:rsid w:val="3BE45FB7"/>
    <w:rsid w:val="3BF21AC7"/>
    <w:rsid w:val="3C013037"/>
    <w:rsid w:val="3CB04B0A"/>
    <w:rsid w:val="3FDF4D23"/>
    <w:rsid w:val="41083B3B"/>
    <w:rsid w:val="4110724E"/>
    <w:rsid w:val="41270465"/>
    <w:rsid w:val="41DB2FFE"/>
    <w:rsid w:val="42F779C3"/>
    <w:rsid w:val="43502DA9"/>
    <w:rsid w:val="43B75EE2"/>
    <w:rsid w:val="43C26223"/>
    <w:rsid w:val="43D8307E"/>
    <w:rsid w:val="4436451B"/>
    <w:rsid w:val="44507CD3"/>
    <w:rsid w:val="44AF5181"/>
    <w:rsid w:val="455A018C"/>
    <w:rsid w:val="46B02CAB"/>
    <w:rsid w:val="46CE3131"/>
    <w:rsid w:val="493059DD"/>
    <w:rsid w:val="494F7907"/>
    <w:rsid w:val="4ADF73DC"/>
    <w:rsid w:val="4B1B26BD"/>
    <w:rsid w:val="4B315A3D"/>
    <w:rsid w:val="4B8471E0"/>
    <w:rsid w:val="4BB816B0"/>
    <w:rsid w:val="4C0055E5"/>
    <w:rsid w:val="4C3677AE"/>
    <w:rsid w:val="4C706B3A"/>
    <w:rsid w:val="4CA46E0E"/>
    <w:rsid w:val="4F3B332E"/>
    <w:rsid w:val="51956F72"/>
    <w:rsid w:val="51C15CED"/>
    <w:rsid w:val="52285DEB"/>
    <w:rsid w:val="52AD62F0"/>
    <w:rsid w:val="53A94D0A"/>
    <w:rsid w:val="546308FE"/>
    <w:rsid w:val="555D5DAC"/>
    <w:rsid w:val="56FE59C9"/>
    <w:rsid w:val="570D735E"/>
    <w:rsid w:val="571B2674"/>
    <w:rsid w:val="580E5802"/>
    <w:rsid w:val="585D1018"/>
    <w:rsid w:val="589917F1"/>
    <w:rsid w:val="59B241EC"/>
    <w:rsid w:val="5A5E27F6"/>
    <w:rsid w:val="5A704801"/>
    <w:rsid w:val="5A8C5E4D"/>
    <w:rsid w:val="5AED2A9A"/>
    <w:rsid w:val="5C4E0C1B"/>
    <w:rsid w:val="5D9E1657"/>
    <w:rsid w:val="5E225DE5"/>
    <w:rsid w:val="5E257683"/>
    <w:rsid w:val="5E7802BC"/>
    <w:rsid w:val="5EE078B0"/>
    <w:rsid w:val="5F0D5523"/>
    <w:rsid w:val="5F2346ED"/>
    <w:rsid w:val="61086613"/>
    <w:rsid w:val="61686204"/>
    <w:rsid w:val="626272EE"/>
    <w:rsid w:val="62917095"/>
    <w:rsid w:val="630E06E5"/>
    <w:rsid w:val="6408782B"/>
    <w:rsid w:val="65322CBF"/>
    <w:rsid w:val="65B35574"/>
    <w:rsid w:val="65C658ED"/>
    <w:rsid w:val="6824267E"/>
    <w:rsid w:val="68CC52CB"/>
    <w:rsid w:val="68DE4FFE"/>
    <w:rsid w:val="691B0000"/>
    <w:rsid w:val="694B58D7"/>
    <w:rsid w:val="69CE4E15"/>
    <w:rsid w:val="6B3E7E06"/>
    <w:rsid w:val="6B7F3246"/>
    <w:rsid w:val="6B8920E3"/>
    <w:rsid w:val="6BF904A6"/>
    <w:rsid w:val="6CB5251A"/>
    <w:rsid w:val="6CD429A0"/>
    <w:rsid w:val="6D6E5988"/>
    <w:rsid w:val="6E35417E"/>
    <w:rsid w:val="6EF07839"/>
    <w:rsid w:val="6F63000B"/>
    <w:rsid w:val="6FCF0C72"/>
    <w:rsid w:val="71500A63"/>
    <w:rsid w:val="717C1858"/>
    <w:rsid w:val="722C0B88"/>
    <w:rsid w:val="72B56DCF"/>
    <w:rsid w:val="72E964BC"/>
    <w:rsid w:val="735C7C42"/>
    <w:rsid w:val="74D07EF1"/>
    <w:rsid w:val="75B570E6"/>
    <w:rsid w:val="75BF3AC1"/>
    <w:rsid w:val="7706409E"/>
    <w:rsid w:val="7797777E"/>
    <w:rsid w:val="780A1873"/>
    <w:rsid w:val="787D11B8"/>
    <w:rsid w:val="78A771BA"/>
    <w:rsid w:val="78AC6820"/>
    <w:rsid w:val="792C5912"/>
    <w:rsid w:val="79BE0E0D"/>
    <w:rsid w:val="7B6E2211"/>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2215</Words>
  <Characters>2688</Characters>
  <Lines>0</Lines>
  <Paragraphs>0</Paragraphs>
  <TotalTime>2</TotalTime>
  <ScaleCrop>false</ScaleCrop>
  <LinksUpToDate>false</LinksUpToDate>
  <CharactersWithSpaces>3164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2025-05-30T04:59:04Z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33F036782A994A4FAFA003BF7F23800F_13</vt:lpwstr>
  </property>
  <property fmtid="{D5CDD505-2E9C-101B-9397-08002B2CF9AE}" pid="4" name="KSOTemplateDocerSaveRecord">
    <vt:lpwstr>eyJoZGlkIjoiN2EyMTIxNTJlMjY2NjM5NjdjYmYwZjVhYjA4ZGEwODEiLCJ1c2VySWQiOiI0MjYzNjAxNTMifQ==</vt:lpwstr>
  </property>
</Properties>
</file>