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5"/>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呼图壁县机关事务服务中心</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2025年呼图壁县机关事务服务中心部门概况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一、关于呼图壁县机关事务服务中心2025年收支预算情况的总体说明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二、关于呼图壁县机关事务服务中心2025年收入预算情况说明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三、关于呼图壁县机关事务服务中心2025年支出预算情况说明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四、关于呼图壁县机关事务服务中心2025年财政拨款收支预算情况的总体说明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关于呼图壁县机关事务服务中心2025年一般公共预算当年拨款情况说明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关于呼图壁县机关事务服务中心2025年一般公共预算基本支出情况说明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关于呼图壁县机关事务服务中心2025年一般公共预算项目支出情况说明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八、关于呼图壁县机关事务服务中心2025年政府性基金预算拨款情况说明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九、关于呼图壁县机关事务服务中心2025年国有资本经营预算拨款情况说明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十、关于呼图壁县机关事务服务中心2025年财政拨款“三公”经费预算情况说明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十一、关于呼图壁县机关事务服务中心2025年上年结转结余预算情况说明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2025年呼图壁县机关事务服务中心部门概况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仿宋_GB2312" w:hAnsi="黑体" w:eastAsia="仿宋_GB2312" w:cs="宋体"/>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1.负责县级机关的管理、保障、服务工作。</w:t>
      </w:r>
    </w:p>
    <w:p>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2.负责拟订接待工作的有关制度、规定和接待服务标准；承办县四套班子的重大接待服务工作</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负责县级机关办公场所会议室管理；负责县机关食堂的管理工作。</w:t>
      </w:r>
    </w:p>
    <w:p>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3.负责县级机关办公场所的环境卫生、庭院绿化、安全保卫、公用设施管理等工作。</w:t>
      </w:r>
    </w:p>
    <w:p>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4.负责县级机关基本建设管理。</w:t>
      </w:r>
    </w:p>
    <w:p>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 xml:space="preserve">5.负责县级机关、事业单位、社会团体有关节约能源监督管理工作。 </w:t>
      </w:r>
    </w:p>
    <w:p>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6.承办县委、县人民政府交办的其他事项。</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呼图壁县机关事务服务中心</w:t>
      </w:r>
      <w:r>
        <w:rPr>
          <w:rFonts w:hint="eastAsia" w:ascii="仿宋_GB2312" w:hAnsi="黑体" w:eastAsia="仿宋_GB2312" w:cs="宋体"/>
          <w:bCs/>
          <w:kern w:val="0"/>
          <w:sz w:val="32"/>
          <w:szCs w:val="32"/>
        </w:rPr>
        <w:t>无下属预算单位，下设3个处室，分别是：</w:t>
      </w:r>
      <w:r>
        <w:rPr>
          <w:rFonts w:hint="eastAsia" w:ascii="仿宋_GB2312" w:hAnsi="宋体" w:eastAsia="仿宋_GB2312" w:cs="宋体"/>
          <w:kern w:val="0"/>
          <w:sz w:val="32"/>
          <w:szCs w:val="32"/>
        </w:rPr>
        <w:t>接待办、行政办、财务室。</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呼图壁县机关事务服务中心编制数11，实有人数</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人，其中：在职5人，减少5人；退休1人，增加0人；离休0人，增加0人。</w:t>
      </w:r>
    </w:p>
    <w:p>
      <w:pPr>
        <w:widowControl/>
        <w:spacing w:line="540" w:lineRule="exact"/>
        <w:ind w:firstLine="640"/>
        <w:jc w:val="left"/>
        <w:rPr>
          <w:rFonts w:ascii="仿宋_GB2312" w:hAnsi="宋体" w:eastAsia="仿宋_GB2312" w:cs="宋体"/>
          <w:kern w:val="0"/>
          <w:sz w:val="32"/>
          <w:szCs w:val="32"/>
        </w:rPr>
      </w:pPr>
    </w:p>
    <w:p>
      <w:pPr>
        <w:pStyle w:val="5"/>
      </w:pPr>
    </w:p>
    <w:p>
      <w:pPr>
        <w:pStyle w:val="5"/>
      </w:pPr>
    </w:p>
    <w:p>
      <w:pPr>
        <w:pStyle w:val="5"/>
      </w:pPr>
    </w:p>
    <w:p>
      <w:pPr>
        <w:pStyle w:val="5"/>
      </w:pPr>
    </w:p>
    <w:p>
      <w:pPr>
        <w:pStyle w:val="5"/>
      </w:pPr>
    </w:p>
    <w:p>
      <w:pPr>
        <w:pStyle w:val="5"/>
      </w:pPr>
    </w:p>
    <w:p>
      <w:pPr>
        <w:pStyle w:val="5"/>
      </w:pPr>
    </w:p>
    <w:p>
      <w:pPr>
        <w:pStyle w:val="5"/>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2025年</w:t>
      </w:r>
      <w:r>
        <w:rPr>
          <w:rFonts w:hint="eastAsia" w:ascii="黑体" w:hAnsi="黑体" w:eastAsia="黑体"/>
          <w:kern w:val="0"/>
          <w:sz w:val="32"/>
          <w:szCs w:val="32"/>
        </w:rPr>
        <w:t>部门预算公开表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 xml:space="preserve">编制部门：呼图壁县机关事务服务中心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8813" w:type="dxa"/>
        <w:tblInd w:w="93" w:type="dxa"/>
        <w:tblLayout w:type="fixed"/>
        <w:tblCellMar>
          <w:top w:w="0" w:type="dxa"/>
          <w:left w:w="108" w:type="dxa"/>
          <w:bottom w:w="0" w:type="dxa"/>
          <w:right w:w="108" w:type="dxa"/>
        </w:tblCellMar>
      </w:tblPr>
      <w:tblGrid>
        <w:gridCol w:w="3220"/>
        <w:gridCol w:w="1122"/>
        <w:gridCol w:w="2740"/>
        <w:gridCol w:w="1731"/>
      </w:tblGrid>
      <w:tr>
        <w:tblPrEx>
          <w:tblCellMar>
            <w:top w:w="0" w:type="dxa"/>
            <w:left w:w="108" w:type="dxa"/>
            <w:bottom w:w="0" w:type="dxa"/>
            <w:right w:w="108" w:type="dxa"/>
          </w:tblCellMar>
        </w:tblPrEx>
        <w:trPr>
          <w:trHeight w:val="367" w:hRule="atLeast"/>
        </w:trPr>
        <w:tc>
          <w:tcPr>
            <w:tcW w:w="4342"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471"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2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74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3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718.96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671.88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636.96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636.96</w:t>
            </w: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84"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20.60　</w:t>
            </w:r>
          </w:p>
        </w:tc>
      </w:tr>
      <w:tr>
        <w:tblPrEx>
          <w:tblCellMar>
            <w:top w:w="0" w:type="dxa"/>
            <w:left w:w="108" w:type="dxa"/>
            <w:bottom w:w="0" w:type="dxa"/>
            <w:right w:w="108" w:type="dxa"/>
          </w:tblCellMar>
        </w:tblPrEx>
        <w:trPr>
          <w:trHeight w:val="321"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04"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12.98</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22"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22"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82.00</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22"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82.00</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13.49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03"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740"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2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74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3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22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2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740"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3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75" w:hRule="atLeast"/>
        </w:trPr>
        <w:tc>
          <w:tcPr>
            <w:tcW w:w="3220"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2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718.96</w:t>
            </w:r>
          </w:p>
        </w:tc>
        <w:tc>
          <w:tcPr>
            <w:tcW w:w="2740"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3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718.96</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jc w:val="left"/>
        <w:outlineLvl w:val="1"/>
        <w:rPr>
          <w:rFonts w:ascii="仿宋_GB2312" w:hAnsi="宋体" w:eastAsia="仿宋_GB2312"/>
          <w:kern w:val="0"/>
          <w:sz w:val="24"/>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编制部门：呼图壁县机关事务服务中心                         单位：万元</w:t>
      </w:r>
    </w:p>
    <w:tbl>
      <w:tblPr>
        <w:tblStyle w:val="7"/>
        <w:tblW w:w="9816" w:type="dxa"/>
        <w:tblInd w:w="-450" w:type="dxa"/>
        <w:tblLayout w:type="fixed"/>
        <w:tblCellMar>
          <w:top w:w="0" w:type="dxa"/>
          <w:left w:w="108" w:type="dxa"/>
          <w:bottom w:w="0" w:type="dxa"/>
          <w:right w:w="108" w:type="dxa"/>
        </w:tblCellMar>
      </w:tblPr>
      <w:tblGrid>
        <w:gridCol w:w="558"/>
        <w:gridCol w:w="427"/>
        <w:gridCol w:w="426"/>
        <w:gridCol w:w="1557"/>
        <w:gridCol w:w="851"/>
        <w:gridCol w:w="850"/>
        <w:gridCol w:w="709"/>
        <w:gridCol w:w="717"/>
        <w:gridCol w:w="426"/>
        <w:gridCol w:w="710"/>
        <w:gridCol w:w="283"/>
        <w:gridCol w:w="711"/>
        <w:gridCol w:w="271"/>
        <w:gridCol w:w="723"/>
        <w:gridCol w:w="284"/>
        <w:gridCol w:w="313"/>
      </w:tblGrid>
      <w:tr>
        <w:tblPrEx>
          <w:tblCellMar>
            <w:top w:w="0" w:type="dxa"/>
            <w:left w:w="108" w:type="dxa"/>
            <w:bottom w:w="0" w:type="dxa"/>
            <w:right w:w="108" w:type="dxa"/>
          </w:tblCellMar>
        </w:tblPrEx>
        <w:trPr>
          <w:trHeight w:val="523" w:hRule="atLeast"/>
        </w:trPr>
        <w:tc>
          <w:tcPr>
            <w:tcW w:w="141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55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ind w:left="-250" w:leftChars="-119" w:firstLine="155" w:firstLineChars="77"/>
              <w:jc w:val="center"/>
              <w:rPr>
                <w:rFonts w:ascii="仿宋_GB2312" w:hAnsi="宋体" w:eastAsia="仿宋_GB2312" w:cs="宋体"/>
                <w:b/>
                <w:sz w:val="20"/>
                <w:szCs w:val="20"/>
              </w:rPr>
            </w:pPr>
            <w:r>
              <w:rPr>
                <w:rFonts w:hint="eastAsia" w:ascii="仿宋_GB2312" w:eastAsia="仿宋_GB2312"/>
                <w:b/>
                <w:sz w:val="20"/>
                <w:szCs w:val="20"/>
              </w:rPr>
              <w:t>总计</w:t>
            </w:r>
          </w:p>
        </w:tc>
        <w:tc>
          <w:tcPr>
            <w:tcW w:w="4406"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27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72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2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31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1797" w:hRule="atLeast"/>
        </w:trPr>
        <w:tc>
          <w:tcPr>
            <w:tcW w:w="558" w:type="dxa"/>
            <w:tcBorders>
              <w:left w:val="single" w:color="auto" w:sz="4" w:space="0"/>
              <w:bottom w:val="single" w:color="auto" w:sz="4" w:space="0"/>
              <w:right w:val="single" w:color="auto" w:sz="4" w:space="0"/>
            </w:tcBorders>
            <w:vAlign w:val="center"/>
          </w:tcPr>
          <w:p>
            <w:pPr>
              <w:ind w:right="34"/>
              <w:rPr>
                <w:rFonts w:ascii="仿宋_GB2312" w:eastAsia="仿宋_GB2312"/>
                <w:b/>
                <w:sz w:val="20"/>
                <w:szCs w:val="20"/>
              </w:rPr>
            </w:pPr>
            <w:r>
              <w:rPr>
                <w:rFonts w:hint="eastAsia" w:ascii="仿宋_GB2312" w:eastAsia="仿宋_GB2312"/>
                <w:b/>
                <w:sz w:val="20"/>
                <w:szCs w:val="20"/>
              </w:rPr>
              <w:t>类</w:t>
            </w:r>
          </w:p>
        </w:tc>
        <w:tc>
          <w:tcPr>
            <w:tcW w:w="427" w:type="dxa"/>
            <w:tcBorders>
              <w:left w:val="nil"/>
              <w:bottom w:val="single" w:color="auto" w:sz="4" w:space="0"/>
              <w:right w:val="single" w:color="auto" w:sz="4" w:space="0"/>
            </w:tcBorders>
            <w:vAlign w:val="center"/>
          </w:tcPr>
          <w:p>
            <w:pPr>
              <w:rPr>
                <w:rFonts w:ascii="仿宋_GB2312" w:eastAsia="仿宋_GB2312"/>
                <w:b/>
                <w:sz w:val="20"/>
                <w:szCs w:val="20"/>
              </w:rPr>
            </w:pPr>
            <w:r>
              <w:rPr>
                <w:rFonts w:hint="eastAsia" w:ascii="仿宋_GB2312" w:eastAsia="仿宋_GB2312"/>
                <w:b/>
                <w:sz w:val="20"/>
                <w:szCs w:val="20"/>
              </w:rPr>
              <w:t>款</w:t>
            </w:r>
          </w:p>
        </w:tc>
        <w:tc>
          <w:tcPr>
            <w:tcW w:w="426" w:type="dxa"/>
            <w:tcBorders>
              <w:left w:val="nil"/>
              <w:bottom w:val="single" w:color="auto" w:sz="4" w:space="0"/>
              <w:right w:val="single" w:color="auto" w:sz="4" w:space="0"/>
            </w:tcBorders>
            <w:vAlign w:val="center"/>
          </w:tcPr>
          <w:p>
            <w:pPr>
              <w:rPr>
                <w:rFonts w:ascii="仿宋_GB2312" w:eastAsia="仿宋_GB2312"/>
                <w:b/>
                <w:sz w:val="20"/>
                <w:szCs w:val="20"/>
              </w:rPr>
            </w:pPr>
            <w:r>
              <w:rPr>
                <w:rFonts w:hint="eastAsia" w:ascii="仿宋_GB2312" w:eastAsia="仿宋_GB2312"/>
                <w:b/>
                <w:sz w:val="20"/>
                <w:szCs w:val="20"/>
              </w:rPr>
              <w:t>项</w:t>
            </w:r>
          </w:p>
        </w:tc>
        <w:tc>
          <w:tcPr>
            <w:tcW w:w="155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09"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717"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26"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71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283"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11"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27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2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2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1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kern w:val="2"/>
                <w:sz w:val="15"/>
                <w:szCs w:val="15"/>
                <w:lang w:val="en-US" w:eastAsia="zh-CN" w:bidi="ar-SA"/>
              </w:rPr>
            </w:pPr>
            <w:r>
              <w:rPr>
                <w:rFonts w:hint="eastAsia" w:ascii="仿宋_GB2312" w:hAnsi="宋体" w:eastAsia="仿宋_GB2312" w:cs="宋体"/>
                <w:sz w:val="15"/>
                <w:szCs w:val="15"/>
              </w:rPr>
              <w:t>201　</w:t>
            </w:r>
          </w:p>
        </w:tc>
        <w:tc>
          <w:tcPr>
            <w:tcW w:w="42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kern w:val="2"/>
                <w:sz w:val="15"/>
                <w:szCs w:val="15"/>
                <w:lang w:val="en-US" w:eastAsia="zh-CN" w:bidi="ar-SA"/>
              </w:rPr>
            </w:pPr>
            <w:r>
              <w:rPr>
                <w:rFonts w:hint="eastAsia" w:ascii="仿宋_GB2312" w:hAnsi="宋体" w:eastAsia="仿宋_GB2312" w:cs="宋体"/>
                <w:sz w:val="15"/>
                <w:szCs w:val="15"/>
              </w:rPr>
              <w:t>　</w:t>
            </w:r>
          </w:p>
        </w:tc>
        <w:tc>
          <w:tcPr>
            <w:tcW w:w="426"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kern w:val="2"/>
                <w:sz w:val="15"/>
                <w:szCs w:val="15"/>
                <w:lang w:val="en-US" w:eastAsia="zh-CN" w:bidi="ar-SA"/>
              </w:rPr>
            </w:pPr>
            <w:r>
              <w:rPr>
                <w:rFonts w:hint="eastAsia" w:ascii="仿宋_GB2312" w:hAnsi="宋体" w:eastAsia="仿宋_GB2312" w:cs="宋体"/>
                <w:sz w:val="15"/>
                <w:szCs w:val="15"/>
              </w:rPr>
              <w:t>　</w:t>
            </w:r>
          </w:p>
        </w:tc>
        <w:tc>
          <w:tcPr>
            <w:tcW w:w="1557" w:type="dxa"/>
            <w:tcBorders>
              <w:top w:val="nil"/>
              <w:left w:val="nil"/>
              <w:bottom w:val="single" w:color="auto" w:sz="4" w:space="0"/>
              <w:right w:val="single" w:color="auto" w:sz="4" w:space="0"/>
            </w:tcBorders>
            <w:vAlign w:val="center"/>
          </w:tcPr>
          <w:p>
            <w:pPr>
              <w:rPr>
                <w:rFonts w:hint="eastAsia" w:ascii="仿宋_GB2312" w:hAnsi="宋体" w:eastAsia="仿宋_GB2312" w:cs="宋体"/>
                <w:kern w:val="2"/>
                <w:sz w:val="15"/>
                <w:szCs w:val="15"/>
                <w:lang w:val="en-US" w:eastAsia="zh-CN" w:bidi="ar-SA"/>
              </w:rPr>
            </w:pPr>
            <w:r>
              <w:rPr>
                <w:rFonts w:hint="eastAsia" w:ascii="仿宋_GB2312" w:hAnsi="宋体" w:eastAsia="仿宋_GB2312" w:cs="宋体"/>
                <w:sz w:val="15"/>
                <w:szCs w:val="15"/>
              </w:rPr>
              <w:t>一般公共服务支出</w:t>
            </w:r>
          </w:p>
        </w:tc>
        <w:tc>
          <w:tcPr>
            <w:tcW w:w="851"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kern w:val="2"/>
                <w:sz w:val="15"/>
                <w:szCs w:val="15"/>
                <w:lang w:val="en-US" w:eastAsia="zh-CN" w:bidi="ar-SA"/>
              </w:rPr>
            </w:pPr>
            <w:r>
              <w:rPr>
                <w:rFonts w:hint="eastAsia" w:ascii="仿宋_GB2312" w:eastAsia="仿宋_GB2312"/>
                <w:sz w:val="15"/>
                <w:szCs w:val="15"/>
              </w:rPr>
              <w:t>671.88　</w:t>
            </w:r>
          </w:p>
        </w:tc>
        <w:tc>
          <w:tcPr>
            <w:tcW w:w="850"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kern w:val="2"/>
                <w:sz w:val="15"/>
                <w:szCs w:val="15"/>
                <w:lang w:val="en-US" w:eastAsia="zh-CN" w:bidi="ar-SA"/>
              </w:rPr>
            </w:pPr>
            <w:r>
              <w:rPr>
                <w:rFonts w:hint="eastAsia" w:ascii="仿宋_GB2312" w:eastAsia="仿宋_GB2312"/>
                <w:sz w:val="15"/>
                <w:szCs w:val="15"/>
              </w:rPr>
              <w:t>616.18</w:t>
            </w:r>
          </w:p>
        </w:tc>
        <w:tc>
          <w:tcPr>
            <w:tcW w:w="709"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kern w:val="2"/>
                <w:sz w:val="15"/>
                <w:szCs w:val="15"/>
                <w:lang w:val="en-US" w:eastAsia="zh-CN" w:bidi="ar-SA"/>
              </w:rPr>
            </w:pPr>
            <w:r>
              <w:rPr>
                <w:rFonts w:hint="eastAsia" w:ascii="仿宋_GB2312" w:eastAsia="仿宋_GB2312"/>
                <w:sz w:val="15"/>
                <w:szCs w:val="15"/>
              </w:rPr>
              <w:t>616.18</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hint="eastAsia" w:ascii="仿宋_GB2312" w:eastAsia="仿宋_GB2312"/>
                <w:sz w:val="15"/>
                <w:szCs w:val="15"/>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15"/>
                <w:szCs w:val="15"/>
              </w:rPr>
            </w:pPr>
          </w:p>
        </w:tc>
        <w:tc>
          <w:tcPr>
            <w:tcW w:w="283" w:type="dxa"/>
            <w:tcBorders>
              <w:top w:val="nil"/>
              <w:left w:val="nil"/>
              <w:bottom w:val="single" w:color="auto" w:sz="4" w:space="0"/>
              <w:right w:val="single" w:color="auto" w:sz="4" w:space="0"/>
            </w:tcBorders>
            <w:vAlign w:val="center"/>
          </w:tcPr>
          <w:p>
            <w:pPr>
              <w:jc w:val="right"/>
              <w:rPr>
                <w:rFonts w:hint="eastAsia" w:ascii="仿宋_GB2312" w:eastAsia="仿宋_GB2312"/>
                <w:sz w:val="15"/>
                <w:szCs w:val="15"/>
              </w:rPr>
            </w:pPr>
          </w:p>
        </w:tc>
        <w:tc>
          <w:tcPr>
            <w:tcW w:w="711" w:type="dxa"/>
            <w:tcBorders>
              <w:top w:val="nil"/>
              <w:left w:val="nil"/>
              <w:bottom w:val="single" w:color="auto" w:sz="4" w:space="0"/>
              <w:right w:val="single" w:color="auto" w:sz="4" w:space="0"/>
            </w:tcBorders>
            <w:vAlign w:val="center"/>
          </w:tcPr>
          <w:p>
            <w:pPr>
              <w:jc w:val="right"/>
              <w:rPr>
                <w:rFonts w:hint="eastAsia" w:ascii="仿宋_GB2312" w:eastAsia="仿宋_GB2312"/>
                <w:sz w:val="15"/>
                <w:szCs w:val="15"/>
              </w:rPr>
            </w:pP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sz w:val="15"/>
                <w:szCs w:val="15"/>
              </w:rPr>
            </w:pPr>
            <w:r>
              <w:rPr>
                <w:rFonts w:hint="eastAsia" w:ascii="仿宋_GB2312" w:eastAsia="仿宋_GB2312"/>
                <w:sz w:val="15"/>
                <w:szCs w:val="15"/>
              </w:rPr>
              <w:t>55.70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　</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03　</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　</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政府办公厅（室）及相关机构事务</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671.88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616.18</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616.18</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55.70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　</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03　</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03　</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eastAsia="仿宋_GB2312"/>
                <w:sz w:val="15"/>
                <w:szCs w:val="15"/>
              </w:rPr>
              <w:t>机关服务</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480.00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480.00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480.00　</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201</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03</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50</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eastAsia="仿宋_GB2312"/>
                <w:sz w:val="15"/>
                <w:szCs w:val="15"/>
              </w:rPr>
              <w:t>事业运行</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191.88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136.18</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136.18</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55.70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社会保障和就业支出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20.60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8.40</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8.40</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12.20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行政事业单位养老支出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20.60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8.40</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8.40</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12.20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事业单位离退休</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0.62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0.62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0.62　</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208　</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　</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05　</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机关事业单位基本养老保险缴费支出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19.98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7.78</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7.78</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12.20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　</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　</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卫生健康支出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12.98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5.88</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5.88</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7.10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　</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　</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　</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行政事业单位医疗</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12.98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5.88</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5.88</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7.10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　</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　</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　</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事业单位医疗</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9.89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3.89</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3.89</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6.00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03</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hAnsi="宋体" w:eastAsia="仿宋_GB2312" w:cs="宋体"/>
                <w:sz w:val="15"/>
                <w:szCs w:val="15"/>
              </w:rPr>
              <w:t>公务员医疗补助</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3.05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1.95</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1.95</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1.10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210</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11</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99</w:t>
            </w:r>
          </w:p>
        </w:tc>
        <w:tc>
          <w:tcPr>
            <w:tcW w:w="1557" w:type="dxa"/>
            <w:tcBorders>
              <w:top w:val="nil"/>
              <w:left w:val="nil"/>
              <w:bottom w:val="single" w:color="auto" w:sz="4" w:space="0"/>
              <w:right w:val="single" w:color="auto" w:sz="4" w:space="0"/>
            </w:tcBorders>
            <w:vAlign w:val="center"/>
          </w:tcPr>
          <w:p>
            <w:pPr>
              <w:rPr>
                <w:rFonts w:ascii="仿宋_GB2312" w:eastAsia="仿宋_GB2312"/>
                <w:sz w:val="15"/>
                <w:szCs w:val="15"/>
              </w:rPr>
            </w:pPr>
            <w:r>
              <w:rPr>
                <w:rFonts w:hint="eastAsia" w:ascii="仿宋_GB2312" w:eastAsia="仿宋_GB2312"/>
                <w:sz w:val="15"/>
                <w:szCs w:val="15"/>
              </w:rPr>
              <w:t>其他行政事业单位医疗支出</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0.05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0.05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0.05　</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r>
              <w:rPr>
                <w:rFonts w:hint="eastAsia" w:ascii="仿宋_GB2312" w:eastAsia="仿宋_GB2312"/>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221</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eastAsia="仿宋_GB2312"/>
                <w:sz w:val="15"/>
                <w:szCs w:val="15"/>
              </w:rPr>
              <w:t>住房保障支出</w:t>
            </w: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13.49</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6.49</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6.49</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710"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283"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711"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7.00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221</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eastAsia="仿宋_GB2312"/>
                <w:sz w:val="15"/>
                <w:szCs w:val="15"/>
              </w:rPr>
              <w:t>住房改革支出</w:t>
            </w: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13.49</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6.49</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6.49</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710"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283"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711"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7.00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221</w:t>
            </w:r>
          </w:p>
        </w:tc>
        <w:tc>
          <w:tcPr>
            <w:tcW w:w="42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02</w:t>
            </w:r>
          </w:p>
        </w:tc>
        <w:tc>
          <w:tcPr>
            <w:tcW w:w="42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5"/>
                <w:szCs w:val="15"/>
              </w:rPr>
            </w:pPr>
            <w:r>
              <w:rPr>
                <w:rFonts w:hint="eastAsia" w:ascii="仿宋_GB2312" w:hAnsi="宋体" w:eastAsia="仿宋_GB2312" w:cs="宋体"/>
                <w:sz w:val="15"/>
                <w:szCs w:val="15"/>
              </w:rPr>
              <w:t>01</w:t>
            </w:r>
          </w:p>
        </w:tc>
        <w:tc>
          <w:tcPr>
            <w:tcW w:w="1557" w:type="dxa"/>
            <w:tcBorders>
              <w:top w:val="nil"/>
              <w:left w:val="nil"/>
              <w:bottom w:val="single" w:color="auto" w:sz="4" w:space="0"/>
              <w:right w:val="single" w:color="auto" w:sz="4" w:space="0"/>
            </w:tcBorders>
            <w:vAlign w:val="center"/>
          </w:tcPr>
          <w:p>
            <w:pPr>
              <w:rPr>
                <w:rFonts w:ascii="仿宋_GB2312" w:hAnsi="宋体" w:eastAsia="仿宋_GB2312" w:cs="宋体"/>
                <w:sz w:val="15"/>
                <w:szCs w:val="15"/>
              </w:rPr>
            </w:pPr>
            <w:r>
              <w:rPr>
                <w:rFonts w:hint="eastAsia" w:ascii="仿宋_GB2312" w:eastAsia="仿宋_GB2312"/>
                <w:sz w:val="15"/>
                <w:szCs w:val="15"/>
              </w:rPr>
              <w:t>住房公积金</w:t>
            </w:r>
          </w:p>
        </w:tc>
        <w:tc>
          <w:tcPr>
            <w:tcW w:w="851"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13.49</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6.49</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6.49</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710"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283"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711" w:type="dxa"/>
            <w:tcBorders>
              <w:top w:val="nil"/>
              <w:left w:val="nil"/>
              <w:bottom w:val="single" w:color="auto" w:sz="4" w:space="0"/>
              <w:right w:val="single" w:color="auto" w:sz="4" w:space="0"/>
            </w:tcBorders>
            <w:vAlign w:val="center"/>
          </w:tcPr>
          <w:p>
            <w:pPr>
              <w:jc w:val="right"/>
              <w:rPr>
                <w:rFonts w:ascii="仿宋_GB2312" w:eastAsia="仿宋_GB2312"/>
                <w:sz w:val="15"/>
                <w:szCs w:val="15"/>
              </w:rPr>
            </w:pP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r>
              <w:rPr>
                <w:rFonts w:hint="eastAsia" w:ascii="仿宋_GB2312" w:eastAsia="仿宋_GB2312"/>
                <w:sz w:val="15"/>
                <w:szCs w:val="15"/>
              </w:rPr>
              <w:t>7.00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349" w:hRule="atLeast"/>
        </w:trPr>
        <w:tc>
          <w:tcPr>
            <w:tcW w:w="55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1557"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15"/>
                <w:szCs w:val="15"/>
              </w:rPr>
            </w:pPr>
            <w:r>
              <w:rPr>
                <w:rFonts w:hint="eastAsia" w:ascii="仿宋_GB2312" w:eastAsia="仿宋_GB2312"/>
                <w:b/>
                <w:bCs/>
                <w:sz w:val="15"/>
                <w:szCs w:val="15"/>
              </w:rPr>
              <w:t>合  计</w:t>
            </w:r>
            <w:r>
              <w:rPr>
                <w:rFonts w:hint="eastAsia" w:ascii="仿宋_GB2312" w:eastAsia="仿宋_GB2312"/>
                <w:b/>
                <w:sz w:val="15"/>
                <w:szCs w:val="15"/>
              </w:rPr>
              <w:t>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718.96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636.96</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636.96</w:t>
            </w:r>
          </w:p>
        </w:tc>
        <w:tc>
          <w:tcPr>
            <w:tcW w:w="717"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p>
        </w:tc>
        <w:tc>
          <w:tcPr>
            <w:tcW w:w="426"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283"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711" w:type="dxa"/>
            <w:tcBorders>
              <w:top w:val="nil"/>
              <w:left w:val="nil"/>
              <w:bottom w:val="single" w:color="auto" w:sz="4" w:space="0"/>
              <w:right w:val="single" w:color="auto" w:sz="4" w:space="0"/>
            </w:tcBorders>
            <w:vAlign w:val="center"/>
          </w:tcPr>
          <w:p>
            <w:pPr>
              <w:jc w:val="right"/>
              <w:rPr>
                <w:rFonts w:ascii="仿宋_GB2312" w:hAnsi="宋体" w:eastAsia="仿宋_GB2312" w:cs="宋体"/>
                <w:b/>
                <w:sz w:val="15"/>
                <w:szCs w:val="15"/>
              </w:rPr>
            </w:pPr>
            <w:r>
              <w:rPr>
                <w:rFonts w:hint="eastAsia" w:ascii="仿宋_GB2312" w:eastAsia="仿宋_GB2312"/>
                <w:b/>
                <w:sz w:val="15"/>
                <w:szCs w:val="15"/>
              </w:rPr>
              <w:t>　</w:t>
            </w:r>
          </w:p>
        </w:tc>
        <w:tc>
          <w:tcPr>
            <w:tcW w:w="271" w:type="dxa"/>
            <w:tcBorders>
              <w:top w:val="nil"/>
              <w:left w:val="single" w:color="auto" w:sz="4" w:space="0"/>
              <w:bottom w:val="single" w:color="auto" w:sz="4" w:space="0"/>
              <w:right w:val="single" w:color="auto" w:sz="4" w:space="0"/>
            </w:tcBorders>
            <w:vAlign w:val="center"/>
          </w:tcPr>
          <w:p>
            <w:pPr>
              <w:jc w:val="right"/>
              <w:rPr>
                <w:rFonts w:ascii="仿宋_GB2312" w:eastAsia="仿宋_GB2312"/>
                <w:b/>
                <w:sz w:val="15"/>
                <w:szCs w:val="15"/>
              </w:rPr>
            </w:pPr>
          </w:p>
        </w:tc>
        <w:tc>
          <w:tcPr>
            <w:tcW w:w="723" w:type="dxa"/>
            <w:tcBorders>
              <w:top w:val="nil"/>
              <w:left w:val="single" w:color="auto" w:sz="4" w:space="0"/>
              <w:bottom w:val="single" w:color="auto" w:sz="4" w:space="0"/>
              <w:right w:val="single" w:color="auto" w:sz="4" w:space="0"/>
            </w:tcBorders>
            <w:vAlign w:val="center"/>
          </w:tcPr>
          <w:p>
            <w:pPr>
              <w:jc w:val="right"/>
              <w:rPr>
                <w:rFonts w:ascii="仿宋_GB2312" w:eastAsia="仿宋_GB2312"/>
                <w:b/>
                <w:sz w:val="15"/>
                <w:szCs w:val="15"/>
              </w:rPr>
            </w:pPr>
            <w:r>
              <w:rPr>
                <w:rFonts w:hint="eastAsia" w:ascii="仿宋_GB2312" w:eastAsia="仿宋_GB2312"/>
                <w:b/>
                <w:sz w:val="15"/>
                <w:szCs w:val="15"/>
              </w:rPr>
              <w:t>82.00</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b/>
                <w:sz w:val="15"/>
                <w:szCs w:val="15"/>
              </w:rPr>
            </w:pPr>
          </w:p>
        </w:tc>
        <w:tc>
          <w:tcPr>
            <w:tcW w:w="313" w:type="dxa"/>
            <w:tcBorders>
              <w:top w:val="nil"/>
              <w:left w:val="single" w:color="auto" w:sz="4" w:space="0"/>
              <w:bottom w:val="single" w:color="auto" w:sz="4" w:space="0"/>
              <w:right w:val="single" w:color="auto" w:sz="4" w:space="0"/>
            </w:tcBorders>
            <w:vAlign w:val="center"/>
          </w:tcPr>
          <w:p>
            <w:pPr>
              <w:jc w:val="right"/>
              <w:rPr>
                <w:rFonts w:ascii="仿宋_GB2312" w:eastAsia="仿宋_GB2312"/>
                <w:b/>
                <w:sz w:val="20"/>
                <w:szCs w:val="20"/>
              </w:rPr>
            </w:pP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pStyle w:val="5"/>
        <w:rPr>
          <w:rFonts w:hint="eastAsia" w:ascii="宋体" w:hAnsi="宋体" w:cs="宋体"/>
          <w:kern w:val="0"/>
          <w:sz w:val="20"/>
          <w:szCs w:val="20"/>
        </w:rPr>
      </w:pPr>
    </w:p>
    <w:p>
      <w:pPr>
        <w:pStyle w:val="5"/>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编制部门：呼图壁县机关事务服务中心                     单位：万元</w:t>
      </w:r>
    </w:p>
    <w:tbl>
      <w:tblPr>
        <w:tblStyle w:val="7"/>
        <w:tblW w:w="9181" w:type="dxa"/>
        <w:tblInd w:w="-240" w:type="dxa"/>
        <w:tblLayout w:type="fixed"/>
        <w:tblCellMar>
          <w:top w:w="0" w:type="dxa"/>
          <w:left w:w="108" w:type="dxa"/>
          <w:bottom w:w="0" w:type="dxa"/>
          <w:right w:w="108" w:type="dxa"/>
        </w:tblCellMar>
      </w:tblPr>
      <w:tblGrid>
        <w:gridCol w:w="486"/>
        <w:gridCol w:w="417"/>
        <w:gridCol w:w="417"/>
        <w:gridCol w:w="2905"/>
        <w:gridCol w:w="1652"/>
        <w:gridCol w:w="1652"/>
        <w:gridCol w:w="1652"/>
      </w:tblGrid>
      <w:tr>
        <w:tblPrEx>
          <w:tblCellMar>
            <w:top w:w="0" w:type="dxa"/>
            <w:left w:w="108" w:type="dxa"/>
            <w:bottom w:w="0" w:type="dxa"/>
            <w:right w:w="108" w:type="dxa"/>
          </w:tblCellMar>
        </w:tblPrEx>
        <w:trPr>
          <w:trHeight w:val="346" w:hRule="atLeast"/>
        </w:trPr>
        <w:tc>
          <w:tcPr>
            <w:tcW w:w="422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495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506" w:hRule="atLeast"/>
        </w:trPr>
        <w:tc>
          <w:tcPr>
            <w:tcW w:w="13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90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65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65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65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90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65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65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65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一般公共服务支出</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671.88</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仿宋_GB2312" w:eastAsia="仿宋_GB2312"/>
                <w:sz w:val="20"/>
                <w:szCs w:val="20"/>
              </w:rPr>
              <w:t>191.88</w:t>
            </w: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480.00</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政府办公厅（室）及相关机构事务</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671.88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仿宋_GB2312" w:eastAsia="仿宋_GB2312"/>
                <w:sz w:val="20"/>
                <w:szCs w:val="20"/>
              </w:rPr>
              <w:t>191.88</w:t>
            </w: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480.00</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机关服务</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480.00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480.00</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50</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191.88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r>
              <w:rPr>
                <w:rFonts w:hint="eastAsia" w:ascii="仿宋_GB2312" w:eastAsia="仿宋_GB2312"/>
                <w:sz w:val="20"/>
                <w:szCs w:val="20"/>
              </w:rPr>
              <w:t>191.88</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社会保障和就业支出</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20.60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20.60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行政事业单位养老支出</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20.60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20.60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事业单位离退休</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0.62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0.62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机关事业单位基本养老保险缴费支出</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19.98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19.98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卫生健康支出</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12.98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12.98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行政事业单位医疗</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12.98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12.98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　</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事业单位医疗</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9.89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9.89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公务员医疗补助</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3.05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3.05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99</w:t>
            </w:r>
          </w:p>
        </w:tc>
        <w:tc>
          <w:tcPr>
            <w:tcW w:w="2905" w:type="dxa"/>
            <w:tcBorders>
              <w:top w:val="nil"/>
              <w:left w:val="nil"/>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其他行政事业单位医疗支出</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0.05　</w:t>
            </w:r>
          </w:p>
        </w:tc>
        <w:tc>
          <w:tcPr>
            <w:tcW w:w="16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0.05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住房保障支出</w:t>
            </w:r>
          </w:p>
        </w:tc>
        <w:tc>
          <w:tcPr>
            <w:tcW w:w="165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13.49</w:t>
            </w:r>
          </w:p>
        </w:tc>
        <w:tc>
          <w:tcPr>
            <w:tcW w:w="165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13.49</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住房改革支出</w:t>
            </w:r>
          </w:p>
        </w:tc>
        <w:tc>
          <w:tcPr>
            <w:tcW w:w="165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13.49</w:t>
            </w:r>
          </w:p>
        </w:tc>
        <w:tc>
          <w:tcPr>
            <w:tcW w:w="165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13.49</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01</w:t>
            </w:r>
          </w:p>
        </w:tc>
        <w:tc>
          <w:tcPr>
            <w:tcW w:w="290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住房公积金</w:t>
            </w:r>
          </w:p>
        </w:tc>
        <w:tc>
          <w:tcPr>
            <w:tcW w:w="165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13.49</w:t>
            </w:r>
          </w:p>
        </w:tc>
        <w:tc>
          <w:tcPr>
            <w:tcW w:w="165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13.49</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9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9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9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9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9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Cs/>
                <w:kern w:val="0"/>
                <w:sz w:val="20"/>
                <w:szCs w:val="20"/>
              </w:rPr>
            </w:pPr>
            <w:r>
              <w:rPr>
                <w:rFonts w:hint="eastAsia" w:ascii="宋体" w:hAnsi="宋体" w:cs="宋体"/>
                <w:bCs/>
                <w:kern w:val="0"/>
                <w:sz w:val="20"/>
                <w:szCs w:val="20"/>
              </w:rPr>
              <w:t>　</w:t>
            </w: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905" w:type="dxa"/>
            <w:tcBorders>
              <w:top w:val="nil"/>
              <w:left w:val="nil"/>
              <w:bottom w:val="single" w:color="auto" w:sz="4" w:space="0"/>
              <w:right w:val="single" w:color="auto" w:sz="4" w:space="0"/>
            </w:tcBorders>
            <w:vAlign w:val="center"/>
          </w:tcPr>
          <w:p/>
        </w:tc>
        <w:tc>
          <w:tcPr>
            <w:tcW w:w="1652" w:type="dxa"/>
            <w:tcBorders>
              <w:top w:val="nil"/>
              <w:left w:val="nil"/>
              <w:bottom w:val="single" w:color="auto" w:sz="4" w:space="0"/>
              <w:right w:val="single" w:color="auto" w:sz="4" w:space="0"/>
            </w:tcBorders>
            <w:vAlign w:val="center"/>
          </w:tcPr>
          <w:p>
            <w:pPr>
              <w:jc w:val="right"/>
              <w:rPr>
                <w:sz w:val="20"/>
                <w:szCs w:val="20"/>
              </w:rPr>
            </w:pPr>
          </w:p>
        </w:tc>
        <w:tc>
          <w:tcPr>
            <w:tcW w:w="1652" w:type="dxa"/>
            <w:tcBorders>
              <w:top w:val="nil"/>
              <w:left w:val="nil"/>
              <w:bottom w:val="single" w:color="auto" w:sz="4" w:space="0"/>
              <w:right w:val="single" w:color="auto" w:sz="4" w:space="0"/>
            </w:tcBorders>
            <w:vAlign w:val="center"/>
          </w:tcPr>
          <w:p>
            <w:pPr>
              <w:jc w:val="right"/>
              <w:rPr>
                <w:sz w:val="20"/>
                <w:szCs w:val="20"/>
              </w:rPr>
            </w:pPr>
          </w:p>
        </w:tc>
        <w:tc>
          <w:tcPr>
            <w:tcW w:w="1652" w:type="dxa"/>
            <w:tcBorders>
              <w:top w:val="nil"/>
              <w:left w:val="nil"/>
              <w:bottom w:val="single" w:color="auto" w:sz="4" w:space="0"/>
              <w:right w:val="single" w:color="auto" w:sz="4" w:space="0"/>
            </w:tcBorders>
            <w:vAlign w:val="center"/>
          </w:tcPr>
          <w:p>
            <w:pPr>
              <w:jc w:val="right"/>
              <w:rPr>
                <w:sz w:val="20"/>
                <w:szCs w:val="20"/>
              </w:rPr>
            </w:pPr>
          </w:p>
        </w:tc>
      </w:tr>
      <w:tr>
        <w:tblPrEx>
          <w:tblCellMar>
            <w:top w:w="0" w:type="dxa"/>
            <w:left w:w="108" w:type="dxa"/>
            <w:bottom w:w="0" w:type="dxa"/>
            <w:right w:w="108" w:type="dxa"/>
          </w:tblCellMar>
        </w:tblPrEx>
        <w:trPr>
          <w:trHeight w:val="427"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b/>
                <w:kern w:val="0"/>
                <w:sz w:val="22"/>
                <w:szCs w:val="22"/>
              </w:rPr>
            </w:pPr>
            <w:r>
              <w:rPr>
                <w:rFonts w:hint="eastAsia" w:ascii="宋体" w:hAnsi="宋体" w:cs="宋体"/>
                <w:b/>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kern w:val="0"/>
                <w:sz w:val="22"/>
                <w:szCs w:val="22"/>
              </w:rPr>
            </w:pPr>
            <w:r>
              <w:rPr>
                <w:rFonts w:hint="eastAsia" w:ascii="宋体" w:hAnsi="宋体" w:cs="宋体"/>
                <w:b/>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kern w:val="0"/>
                <w:sz w:val="24"/>
              </w:rPr>
            </w:pPr>
            <w:r>
              <w:rPr>
                <w:rFonts w:hint="eastAsia" w:ascii="宋体" w:hAnsi="宋体" w:cs="宋体"/>
                <w:b/>
                <w:kern w:val="0"/>
                <w:sz w:val="24"/>
              </w:rPr>
              <w:t>　</w:t>
            </w:r>
          </w:p>
        </w:tc>
        <w:tc>
          <w:tcPr>
            <w:tcW w:w="29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kern w:val="0"/>
                <w:sz w:val="22"/>
                <w:szCs w:val="22"/>
              </w:rPr>
            </w:pPr>
            <w:r>
              <w:rPr>
                <w:rFonts w:hint="eastAsia" w:ascii="仿宋_GB2312" w:hAnsi="仿宋_GB2312" w:eastAsia="仿宋_GB2312" w:cs="仿宋_GB2312"/>
                <w:b/>
                <w:bCs/>
                <w:kern w:val="0"/>
                <w:sz w:val="20"/>
                <w:szCs w:val="20"/>
              </w:rPr>
              <w:t>合  计</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kern w:val="0"/>
                <w:sz w:val="20"/>
                <w:szCs w:val="20"/>
              </w:rPr>
            </w:pPr>
            <w:r>
              <w:rPr>
                <w:rFonts w:hint="eastAsia" w:ascii="宋体" w:hAnsi="宋体" w:cs="宋体"/>
                <w:b/>
                <w:kern w:val="0"/>
                <w:sz w:val="20"/>
                <w:szCs w:val="20"/>
              </w:rPr>
              <w:t>　718.96</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kern w:val="0"/>
                <w:sz w:val="20"/>
                <w:szCs w:val="20"/>
              </w:rPr>
            </w:pPr>
            <w:r>
              <w:rPr>
                <w:rFonts w:hint="eastAsia" w:ascii="宋体" w:hAnsi="宋体" w:cs="宋体"/>
                <w:b/>
                <w:kern w:val="0"/>
                <w:sz w:val="20"/>
                <w:szCs w:val="20"/>
              </w:rPr>
              <w:t>238.96　</w:t>
            </w:r>
          </w:p>
        </w:tc>
        <w:tc>
          <w:tcPr>
            <w:tcW w:w="165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kern w:val="0"/>
                <w:sz w:val="20"/>
                <w:szCs w:val="20"/>
              </w:rPr>
            </w:pPr>
            <w:r>
              <w:rPr>
                <w:rFonts w:hint="eastAsia" w:ascii="宋体" w:hAnsi="宋体" w:cs="宋体"/>
                <w:b/>
                <w:kern w:val="0"/>
                <w:sz w:val="20"/>
                <w:szCs w:val="20"/>
              </w:rPr>
              <w:t>480　</w:t>
            </w: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pStyle w:val="5"/>
      </w:pP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编制部门：呼图壁县机关事务服务中心                      单位：万元</w:t>
      </w:r>
    </w:p>
    <w:tbl>
      <w:tblPr>
        <w:tblStyle w:val="7"/>
        <w:tblW w:w="9180" w:type="dxa"/>
        <w:tblInd w:w="-240" w:type="dxa"/>
        <w:tblLayout w:type="fixed"/>
        <w:tblCellMar>
          <w:top w:w="0" w:type="dxa"/>
          <w:left w:w="108" w:type="dxa"/>
          <w:bottom w:w="0" w:type="dxa"/>
          <w:right w:w="108" w:type="dxa"/>
        </w:tblCellMar>
      </w:tblPr>
      <w:tblGrid>
        <w:gridCol w:w="1881"/>
        <w:gridCol w:w="888"/>
        <w:gridCol w:w="2506"/>
        <w:gridCol w:w="874"/>
        <w:gridCol w:w="827"/>
        <w:gridCol w:w="1102"/>
        <w:gridCol w:w="1102"/>
      </w:tblGrid>
      <w:tr>
        <w:tblPrEx>
          <w:tblCellMar>
            <w:top w:w="0" w:type="dxa"/>
            <w:left w:w="108" w:type="dxa"/>
            <w:bottom w:w="0" w:type="dxa"/>
            <w:right w:w="108" w:type="dxa"/>
          </w:tblCellMar>
        </w:tblPrEx>
        <w:trPr>
          <w:trHeight w:val="299" w:hRule="atLeast"/>
        </w:trPr>
        <w:tc>
          <w:tcPr>
            <w:tcW w:w="2769"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411"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24" w:hRule="atLeast"/>
        </w:trPr>
        <w:tc>
          <w:tcPr>
            <w:tcW w:w="1881"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888"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0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87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27"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0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02"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636.96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616.18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616.18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636.96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1"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8.40　8.40</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8.40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5.88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5.88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6.49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6.49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888"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0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87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7" w:hRule="exact"/>
        </w:trPr>
        <w:tc>
          <w:tcPr>
            <w:tcW w:w="188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636.96　</w:t>
            </w:r>
          </w:p>
        </w:tc>
        <w:tc>
          <w:tcPr>
            <w:tcW w:w="250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支  出  总  计</w:t>
            </w:r>
          </w:p>
        </w:tc>
        <w:tc>
          <w:tcPr>
            <w:tcW w:w="87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kern w:val="0"/>
                <w:sz w:val="18"/>
                <w:szCs w:val="18"/>
              </w:rPr>
            </w:pPr>
            <w:r>
              <w:rPr>
                <w:rFonts w:hint="eastAsia" w:ascii="宋体" w:hAnsi="宋体" w:cs="宋体"/>
                <w:b/>
                <w:kern w:val="0"/>
                <w:sz w:val="18"/>
                <w:szCs w:val="18"/>
              </w:rPr>
              <w:t>636.96</w:t>
            </w:r>
          </w:p>
        </w:tc>
        <w:tc>
          <w:tcPr>
            <w:tcW w:w="8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kern w:val="0"/>
                <w:sz w:val="18"/>
                <w:szCs w:val="18"/>
              </w:rPr>
            </w:pPr>
            <w:r>
              <w:rPr>
                <w:rFonts w:hint="eastAsia" w:ascii="宋体" w:hAnsi="宋体" w:cs="宋体"/>
                <w:b/>
                <w:kern w:val="0"/>
                <w:sz w:val="18"/>
                <w:szCs w:val="18"/>
              </w:rPr>
              <w:t>636.96</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7"/>
        <w:tblW w:w="9050" w:type="dxa"/>
        <w:tblInd w:w="-34" w:type="dxa"/>
        <w:tblLayout w:type="fixed"/>
        <w:tblCellMar>
          <w:top w:w="0" w:type="dxa"/>
          <w:left w:w="108" w:type="dxa"/>
          <w:bottom w:w="0" w:type="dxa"/>
          <w:right w:w="108" w:type="dxa"/>
        </w:tblCellMar>
      </w:tblPr>
      <w:tblGrid>
        <w:gridCol w:w="536"/>
        <w:gridCol w:w="490"/>
        <w:gridCol w:w="493"/>
        <w:gridCol w:w="3175"/>
        <w:gridCol w:w="1113"/>
        <w:gridCol w:w="197"/>
        <w:gridCol w:w="1522"/>
        <w:gridCol w:w="1524"/>
      </w:tblGrid>
      <w:tr>
        <w:tblPrEx>
          <w:tblCellMar>
            <w:top w:w="0" w:type="dxa"/>
            <w:left w:w="108" w:type="dxa"/>
            <w:bottom w:w="0" w:type="dxa"/>
            <w:right w:w="108" w:type="dxa"/>
          </w:tblCellMar>
        </w:tblPrEx>
        <w:trPr>
          <w:trHeight w:val="499" w:hRule="atLeast"/>
        </w:trPr>
        <w:tc>
          <w:tcPr>
            <w:tcW w:w="9050" w:type="dxa"/>
            <w:gridSpan w:val="8"/>
            <w:tcBorders>
              <w:top w:val="nil"/>
              <w:left w:val="nil"/>
              <w:bottom w:val="nil"/>
              <w:right w:val="nil"/>
            </w:tcBorders>
            <w:vAlign w:val="center"/>
          </w:tcPr>
          <w:p>
            <w:pPr>
              <w:widowControl/>
              <w:jc w:val="center"/>
              <w:rPr>
                <w:rFonts w:ascii="仿宋_GB2312" w:hAnsi="宋体" w:eastAsia="仿宋_GB2312"/>
                <w:b/>
                <w:kern w:val="0"/>
                <w:sz w:val="20"/>
                <w:szCs w:val="20"/>
              </w:rPr>
            </w:pPr>
            <w:r>
              <w:rPr>
                <w:rFonts w:hint="eastAsia" w:ascii="仿宋_GB2312" w:hAnsi="宋体" w:eastAsia="仿宋_GB2312"/>
                <w:b/>
                <w:kern w:val="0"/>
                <w:sz w:val="32"/>
                <w:szCs w:val="32"/>
              </w:rPr>
              <w:t>一般公共预算支出情况表</w:t>
            </w:r>
          </w:p>
          <w:p>
            <w:pPr>
              <w:pStyle w:val="5"/>
            </w:pPr>
          </w:p>
        </w:tc>
      </w:tr>
      <w:tr>
        <w:tblPrEx>
          <w:tblCellMar>
            <w:top w:w="0" w:type="dxa"/>
            <w:left w:w="108" w:type="dxa"/>
            <w:bottom w:w="0" w:type="dxa"/>
            <w:right w:w="108" w:type="dxa"/>
          </w:tblCellMar>
        </w:tblPrEx>
        <w:trPr>
          <w:trHeight w:val="315" w:hRule="atLeast"/>
        </w:trPr>
        <w:tc>
          <w:tcPr>
            <w:tcW w:w="4694" w:type="dxa"/>
            <w:gridSpan w:val="4"/>
            <w:tcBorders>
              <w:top w:val="nil"/>
              <w:left w:val="nil"/>
              <w:bottom w:val="nil"/>
              <w:right w:val="nil"/>
            </w:tcBorders>
            <w:vAlign w:val="center"/>
          </w:tcPr>
          <w:p>
            <w:pPr>
              <w:widowControl/>
              <w:ind w:firstLine="240" w:firstLineChars="100"/>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呼图壁县机关事务服务中心</w:t>
            </w:r>
          </w:p>
        </w:tc>
        <w:tc>
          <w:tcPr>
            <w:tcW w:w="1113" w:type="dxa"/>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243" w:type="dxa"/>
            <w:gridSpan w:val="3"/>
            <w:tcBorders>
              <w:top w:val="nil"/>
              <w:left w:val="nil"/>
              <w:bottom w:val="nil"/>
              <w:right w:val="nil"/>
            </w:tcBorders>
            <w:vAlign w:val="center"/>
          </w:tcPr>
          <w:p>
            <w:pPr>
              <w:widowControl/>
              <w:ind w:right="480" w:firstLine="720" w:firstLineChars="3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49" w:hRule="atLeast"/>
        </w:trPr>
        <w:tc>
          <w:tcPr>
            <w:tcW w:w="469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356"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515" w:hRule="atLeast"/>
        </w:trPr>
        <w:tc>
          <w:tcPr>
            <w:tcW w:w="151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31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31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52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52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32" w:hRule="atLeast"/>
        </w:trPr>
        <w:tc>
          <w:tcPr>
            <w:tcW w:w="53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49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31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31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52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52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　</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一般公共服务支出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hAnsi="宋体" w:eastAsia="仿宋_GB2312" w:cs="宋体"/>
                <w:sz w:val="18"/>
                <w:szCs w:val="18"/>
              </w:rPr>
              <w:t>616.18</w:t>
            </w:r>
          </w:p>
        </w:tc>
        <w:tc>
          <w:tcPr>
            <w:tcW w:w="1522"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136.18</w:t>
            </w:r>
          </w:p>
        </w:tc>
        <w:tc>
          <w:tcPr>
            <w:tcW w:w="1524"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480.00</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　</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政府办公厅（室）及相关机构事务</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616.18</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136.18</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480.00</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　</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机关服务</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480.00　</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480.00</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201</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50</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136.18</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136.18</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社会保障和就业支出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8.40</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8.40</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行政事业单位养老支出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8.40</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8.40</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事业单位离退休</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0.62　</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0.62</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208　</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05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机关事业单位基本养老保险缴费支出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7.78</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7.78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卫生健康支出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5.88</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5.88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　</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行政事业单位医疗</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5.88</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5.88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　</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　</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　</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事业单位医疗</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3.89</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3.89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03</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公务员医疗补助</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1.95</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1.95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210</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11</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99</w:t>
            </w:r>
          </w:p>
        </w:tc>
        <w:tc>
          <w:tcPr>
            <w:tcW w:w="3175" w:type="dxa"/>
            <w:tcBorders>
              <w:top w:val="nil"/>
              <w:left w:val="nil"/>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其他行政事业单位医疗支出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0.05　</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0.05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住房保障支出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6.49</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6.49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住房改革支出</w:t>
            </w:r>
          </w:p>
        </w:tc>
        <w:tc>
          <w:tcPr>
            <w:tcW w:w="1310" w:type="dxa"/>
            <w:gridSpan w:val="2"/>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6.49</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6.49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221</w:t>
            </w:r>
          </w:p>
        </w:tc>
        <w:tc>
          <w:tcPr>
            <w:tcW w:w="49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02</w:t>
            </w:r>
          </w:p>
        </w:tc>
        <w:tc>
          <w:tcPr>
            <w:tcW w:w="4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01</w:t>
            </w:r>
          </w:p>
        </w:tc>
        <w:tc>
          <w:tcPr>
            <w:tcW w:w="3175"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住房公积金</w:t>
            </w:r>
          </w:p>
        </w:tc>
        <w:tc>
          <w:tcPr>
            <w:tcW w:w="1310" w:type="dxa"/>
            <w:gridSpan w:val="2"/>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6.49</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6.49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3175"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31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49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3175"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31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9" w:hRule="atLeast"/>
        </w:trPr>
        <w:tc>
          <w:tcPr>
            <w:tcW w:w="53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c>
          <w:tcPr>
            <w:tcW w:w="490" w:type="dxa"/>
            <w:tcBorders>
              <w:top w:val="nil"/>
              <w:left w:val="nil"/>
              <w:bottom w:val="single" w:color="auto" w:sz="4" w:space="0"/>
              <w:right w:val="single" w:color="auto" w:sz="4" w:space="0"/>
            </w:tcBorders>
            <w:vAlign w:val="center"/>
          </w:tcPr>
          <w:p>
            <w:pPr>
              <w:widowControl/>
              <w:jc w:val="left"/>
              <w:rPr>
                <w:rFonts w:ascii="宋体" w:hAnsi="宋体" w:cs="宋体"/>
                <w:b/>
                <w:kern w:val="0"/>
                <w:sz w:val="20"/>
                <w:szCs w:val="20"/>
              </w:rPr>
            </w:pPr>
          </w:p>
        </w:tc>
        <w:tc>
          <w:tcPr>
            <w:tcW w:w="493" w:type="dxa"/>
            <w:tcBorders>
              <w:top w:val="nil"/>
              <w:left w:val="nil"/>
              <w:bottom w:val="single" w:color="auto" w:sz="4" w:space="0"/>
              <w:right w:val="single" w:color="auto" w:sz="4" w:space="0"/>
            </w:tcBorders>
            <w:vAlign w:val="center"/>
          </w:tcPr>
          <w:p>
            <w:pPr>
              <w:widowControl/>
              <w:jc w:val="left"/>
              <w:rPr>
                <w:rFonts w:ascii="宋体" w:hAnsi="宋体" w:cs="宋体"/>
                <w:b/>
                <w:kern w:val="0"/>
                <w:sz w:val="20"/>
                <w:szCs w:val="20"/>
              </w:rPr>
            </w:pPr>
          </w:p>
        </w:tc>
        <w:tc>
          <w:tcPr>
            <w:tcW w:w="3175" w:type="dxa"/>
            <w:tcBorders>
              <w:top w:val="nil"/>
              <w:left w:val="nil"/>
              <w:bottom w:val="single" w:color="auto" w:sz="4" w:space="0"/>
              <w:right w:val="single" w:color="auto" w:sz="4" w:space="0"/>
            </w:tcBorders>
            <w:vAlign w:val="center"/>
          </w:tcPr>
          <w:p>
            <w:pPr>
              <w:widowControl/>
              <w:jc w:val="center"/>
              <w:rPr>
                <w:rFonts w:ascii="宋体" w:hAnsi="宋体" w:cs="宋体"/>
                <w:b/>
                <w:kern w:val="0"/>
                <w:sz w:val="20"/>
                <w:szCs w:val="20"/>
              </w:rPr>
            </w:pPr>
            <w:r>
              <w:rPr>
                <w:rFonts w:hint="eastAsia" w:ascii="仿宋_GB2312" w:hAnsi="仿宋_GB2312" w:eastAsia="仿宋_GB2312" w:cs="仿宋_GB2312"/>
                <w:b/>
                <w:bCs/>
                <w:kern w:val="0"/>
                <w:sz w:val="20"/>
                <w:szCs w:val="20"/>
              </w:rPr>
              <w:t>合  计</w:t>
            </w:r>
          </w:p>
        </w:tc>
        <w:tc>
          <w:tcPr>
            <w:tcW w:w="1310"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636.96</w:t>
            </w:r>
          </w:p>
        </w:tc>
        <w:tc>
          <w:tcPr>
            <w:tcW w:w="1522"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156.96</w:t>
            </w:r>
          </w:p>
        </w:tc>
        <w:tc>
          <w:tcPr>
            <w:tcW w:w="1524"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480.00</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7"/>
        <w:tblW w:w="9194" w:type="dxa"/>
        <w:tblInd w:w="-148" w:type="dxa"/>
        <w:tblLayout w:type="fixed"/>
        <w:tblCellMar>
          <w:top w:w="0" w:type="dxa"/>
          <w:left w:w="108" w:type="dxa"/>
          <w:bottom w:w="0" w:type="dxa"/>
          <w:right w:w="108" w:type="dxa"/>
        </w:tblCellMar>
      </w:tblPr>
      <w:tblGrid>
        <w:gridCol w:w="745"/>
        <w:gridCol w:w="569"/>
        <w:gridCol w:w="2850"/>
        <w:gridCol w:w="981"/>
        <w:gridCol w:w="695"/>
        <w:gridCol w:w="963"/>
        <w:gridCol w:w="713"/>
        <w:gridCol w:w="1678"/>
      </w:tblGrid>
      <w:tr>
        <w:tblPrEx>
          <w:tblCellMar>
            <w:top w:w="0" w:type="dxa"/>
            <w:left w:w="108" w:type="dxa"/>
            <w:bottom w:w="0" w:type="dxa"/>
            <w:right w:w="108" w:type="dxa"/>
          </w:tblCellMar>
        </w:tblPrEx>
        <w:trPr>
          <w:trHeight w:val="395" w:hRule="atLeast"/>
        </w:trPr>
        <w:tc>
          <w:tcPr>
            <w:tcW w:w="9194" w:type="dxa"/>
            <w:gridSpan w:val="8"/>
            <w:tcBorders>
              <w:top w:val="nil"/>
              <w:left w:val="nil"/>
              <w:bottom w:val="nil"/>
              <w:right w:val="nil"/>
            </w:tcBorders>
            <w:vAlign w:val="center"/>
          </w:tcPr>
          <w:p>
            <w:pPr>
              <w:widowControl/>
              <w:jc w:val="center"/>
              <w:rPr>
                <w:rFonts w:ascii="仿宋_GB2312" w:hAnsi="宋体" w:eastAsia="仿宋_GB2312"/>
                <w:b/>
                <w:kern w:val="0"/>
                <w:sz w:val="20"/>
                <w:szCs w:val="20"/>
              </w:rPr>
            </w:pPr>
            <w:r>
              <w:rPr>
                <w:rFonts w:hint="eastAsia" w:ascii="仿宋_GB2312" w:hAnsi="宋体" w:eastAsia="仿宋_GB2312"/>
                <w:b/>
                <w:kern w:val="0"/>
                <w:sz w:val="32"/>
                <w:szCs w:val="32"/>
              </w:rPr>
              <w:t>一般公共预算基本支出情况表</w:t>
            </w:r>
          </w:p>
          <w:p>
            <w:pPr>
              <w:pStyle w:val="5"/>
            </w:pPr>
          </w:p>
        </w:tc>
      </w:tr>
      <w:tr>
        <w:tblPrEx>
          <w:tblCellMar>
            <w:top w:w="0" w:type="dxa"/>
            <w:left w:w="108" w:type="dxa"/>
            <w:bottom w:w="0" w:type="dxa"/>
            <w:right w:w="108" w:type="dxa"/>
          </w:tblCellMar>
        </w:tblPrEx>
        <w:trPr>
          <w:trHeight w:val="427" w:hRule="atLeast"/>
        </w:trPr>
        <w:tc>
          <w:tcPr>
            <w:tcW w:w="5145"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呼图壁县机关事务服务中心</w:t>
            </w:r>
          </w:p>
        </w:tc>
        <w:tc>
          <w:tcPr>
            <w:tcW w:w="1658"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391" w:type="dxa"/>
            <w:gridSpan w:val="2"/>
            <w:tcBorders>
              <w:top w:val="nil"/>
              <w:left w:val="nil"/>
              <w:bottom w:val="nil"/>
              <w:right w:val="nil"/>
            </w:tcBorders>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395" w:hRule="atLeast"/>
        </w:trPr>
        <w:tc>
          <w:tcPr>
            <w:tcW w:w="416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030"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522" w:hRule="atLeast"/>
        </w:trPr>
        <w:tc>
          <w:tcPr>
            <w:tcW w:w="131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5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676"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676"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678"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8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6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5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676"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676"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678"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工资福利支出</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74.69</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74.69</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01</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基本工资</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19.45</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19.45</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02</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津贴补贴</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6.31</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6.31</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03</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奖金</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15.74</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15.74</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07</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绩效工资</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12.59</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12.59</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08</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机关事业单位基本养老保险缴费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7.78</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7.78</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职工基本医疗保险缴费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3.89</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3.89</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公务员医疗补助缴费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1.95</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1.95</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其他社会保障缴费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0.49</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0.49</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301</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住房公积金</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6.49</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6.49</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302</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商品和服务支出</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81.37</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81.37</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302</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07</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邮电费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0.95</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0.95</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302</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08</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取暖费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41.22</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41.22</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302</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劳务费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11.06</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11.06</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302</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工会经费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0.94</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0.94</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302</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31</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公务用车运行维护费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27.20</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27.20</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303</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对个人和家庭的补助</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0.90</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0.90</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303</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02</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退休费</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0.62</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0.62</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303</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05</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生活补助</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0.01</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0.01</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303</w:t>
            </w: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09</w:t>
            </w: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奖励金</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0.27</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ascii="宋体" w:hAnsi="宋体" w:cs="宋体"/>
                <w:kern w:val="0"/>
                <w:sz w:val="20"/>
                <w:szCs w:val="20"/>
              </w:rPr>
              <w:t>0.27</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24" w:hRule="atLeast"/>
        </w:trPr>
        <w:tc>
          <w:tcPr>
            <w:tcW w:w="7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kern w:val="0"/>
                <w:sz w:val="18"/>
                <w:szCs w:val="18"/>
              </w:rPr>
            </w:pPr>
          </w:p>
        </w:tc>
        <w:tc>
          <w:tcPr>
            <w:tcW w:w="569" w:type="dxa"/>
            <w:tcBorders>
              <w:top w:val="nil"/>
              <w:left w:val="nil"/>
              <w:bottom w:val="single" w:color="auto" w:sz="4" w:space="0"/>
              <w:right w:val="single" w:color="auto" w:sz="4" w:space="0"/>
            </w:tcBorders>
            <w:vAlign w:val="center"/>
          </w:tcPr>
          <w:p>
            <w:pPr>
              <w:widowControl/>
              <w:jc w:val="center"/>
              <w:rPr>
                <w:rFonts w:ascii="宋体" w:hAnsi="宋体" w:cs="宋体"/>
                <w:b/>
                <w:kern w:val="0"/>
                <w:sz w:val="18"/>
                <w:szCs w:val="18"/>
              </w:rPr>
            </w:pPr>
          </w:p>
        </w:tc>
        <w:tc>
          <w:tcPr>
            <w:tcW w:w="2850" w:type="dxa"/>
            <w:tcBorders>
              <w:top w:val="nil"/>
              <w:left w:val="nil"/>
              <w:bottom w:val="single" w:color="auto" w:sz="4" w:space="0"/>
              <w:right w:val="single" w:color="auto"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  计</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156.96</w:t>
            </w:r>
          </w:p>
        </w:tc>
        <w:tc>
          <w:tcPr>
            <w:tcW w:w="1676"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75.59</w:t>
            </w:r>
          </w:p>
        </w:tc>
        <w:tc>
          <w:tcPr>
            <w:tcW w:w="1678"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81.37</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7"/>
        <w:tblW w:w="9405" w:type="dxa"/>
        <w:tblInd w:w="-360" w:type="dxa"/>
        <w:tblLayout w:type="fixed"/>
        <w:tblCellMar>
          <w:top w:w="0" w:type="dxa"/>
          <w:left w:w="108" w:type="dxa"/>
          <w:bottom w:w="0" w:type="dxa"/>
          <w:right w:w="108" w:type="dxa"/>
        </w:tblCellMar>
      </w:tblPr>
      <w:tblGrid>
        <w:gridCol w:w="12"/>
        <w:gridCol w:w="504"/>
        <w:gridCol w:w="418"/>
        <w:gridCol w:w="418"/>
        <w:gridCol w:w="817"/>
        <w:gridCol w:w="987"/>
        <w:gridCol w:w="822"/>
        <w:gridCol w:w="418"/>
        <w:gridCol w:w="822"/>
        <w:gridCol w:w="481"/>
        <w:gridCol w:w="481"/>
        <w:gridCol w:w="402"/>
        <w:gridCol w:w="217"/>
        <w:gridCol w:w="721"/>
        <w:gridCol w:w="619"/>
        <w:gridCol w:w="418"/>
        <w:gridCol w:w="418"/>
        <w:gridCol w:w="373"/>
        <w:gridCol w:w="57"/>
      </w:tblGrid>
      <w:tr>
        <w:tblPrEx>
          <w:tblCellMar>
            <w:top w:w="0" w:type="dxa"/>
            <w:left w:w="108" w:type="dxa"/>
            <w:bottom w:w="0" w:type="dxa"/>
            <w:right w:w="108" w:type="dxa"/>
          </w:tblCellMar>
        </w:tblPrEx>
        <w:trPr>
          <w:gridBefore w:val="1"/>
          <w:gridAfter w:val="1"/>
          <w:wBefore w:w="12" w:type="dxa"/>
          <w:wAfter w:w="57" w:type="dxa"/>
          <w:trHeight w:val="392" w:hRule="atLeast"/>
        </w:trPr>
        <w:tc>
          <w:tcPr>
            <w:tcW w:w="9336" w:type="dxa"/>
            <w:gridSpan w:val="17"/>
            <w:tcBorders>
              <w:top w:val="nil"/>
              <w:left w:val="nil"/>
              <w:bottom w:val="nil"/>
              <w:right w:val="nil"/>
            </w:tcBorders>
            <w:vAlign w:val="center"/>
          </w:tcPr>
          <w:p>
            <w:pPr>
              <w:widowControl/>
              <w:jc w:val="center"/>
              <w:rPr>
                <w:rFonts w:ascii="仿宋_GB2312" w:hAnsi="宋体" w:eastAsia="仿宋_GB2312"/>
                <w:b/>
                <w:kern w:val="0"/>
                <w:sz w:val="20"/>
                <w:szCs w:val="20"/>
              </w:rPr>
            </w:pPr>
            <w:r>
              <w:rPr>
                <w:rFonts w:hint="eastAsia" w:ascii="仿宋_GB2312" w:hAnsi="宋体" w:eastAsia="仿宋_GB2312"/>
                <w:b/>
                <w:kern w:val="0"/>
                <w:sz w:val="32"/>
                <w:szCs w:val="32"/>
              </w:rPr>
              <w:t>一般公共预算项目支出情况表</w:t>
            </w:r>
          </w:p>
          <w:p>
            <w:pPr>
              <w:pStyle w:val="5"/>
            </w:pPr>
          </w:p>
        </w:tc>
      </w:tr>
      <w:tr>
        <w:tblPrEx>
          <w:tblCellMar>
            <w:top w:w="0" w:type="dxa"/>
            <w:left w:w="108" w:type="dxa"/>
            <w:bottom w:w="0" w:type="dxa"/>
            <w:right w:w="108" w:type="dxa"/>
          </w:tblCellMar>
        </w:tblPrEx>
        <w:trPr>
          <w:gridBefore w:val="1"/>
          <w:gridAfter w:val="1"/>
          <w:wBefore w:w="12" w:type="dxa"/>
          <w:wAfter w:w="57" w:type="dxa"/>
          <w:trHeight w:val="423" w:hRule="atLeast"/>
        </w:trPr>
        <w:tc>
          <w:tcPr>
            <w:tcW w:w="5206" w:type="dxa"/>
            <w:gridSpan w:val="8"/>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呼图壁县机关事务服务中心</w:t>
            </w:r>
          </w:p>
        </w:tc>
        <w:tc>
          <w:tcPr>
            <w:tcW w:w="1364"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766" w:type="dxa"/>
            <w:gridSpan w:val="6"/>
            <w:tcBorders>
              <w:top w:val="nil"/>
              <w:left w:val="nil"/>
              <w:bottom w:val="nil"/>
              <w:right w:val="nil"/>
            </w:tcBorders>
            <w:vAlign w:val="center"/>
          </w:tcPr>
          <w:p>
            <w:pPr>
              <w:widowControl/>
              <w:ind w:firstLine="360" w:firstLineChars="15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52"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1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987"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2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4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2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48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48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9"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72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30"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516"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8"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8"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17"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98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2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2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8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8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9"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2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30"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201　</w:t>
            </w:r>
          </w:p>
        </w:tc>
        <w:tc>
          <w:tcPr>
            <w:tcW w:w="418" w:type="dxa"/>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vAlign w:val="center"/>
          </w:tcPr>
          <w:p>
            <w:pPr>
              <w:widowControl/>
              <w:rPr>
                <w:rFonts w:ascii="宋体" w:hAnsi="宋体" w:cs="宋体"/>
                <w:kern w:val="0"/>
                <w:sz w:val="18"/>
                <w:szCs w:val="18"/>
              </w:rPr>
            </w:pPr>
            <w:r>
              <w:rPr>
                <w:rFonts w:hint="eastAsia" w:ascii="宋体" w:hAnsi="宋体" w:cs="宋体"/>
                <w:kern w:val="0"/>
                <w:sz w:val="18"/>
                <w:szCs w:val="18"/>
              </w:rPr>
              <w:t>一般公共服务支出</w:t>
            </w:r>
          </w:p>
        </w:tc>
        <w:tc>
          <w:tcPr>
            <w:tcW w:w="987" w:type="dxa"/>
          </w:tcPr>
          <w:p>
            <w:pPr>
              <w:widowControl/>
              <w:jc w:val="left"/>
              <w:outlineLvl w:val="1"/>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480.00</w:t>
            </w:r>
          </w:p>
        </w:tc>
        <w:tc>
          <w:tcPr>
            <w:tcW w:w="418" w:type="dxa"/>
          </w:tcPr>
          <w:p>
            <w:pPr>
              <w:widowControl/>
              <w:jc w:val="right"/>
              <w:outlineLvl w:val="1"/>
              <w:rPr>
                <w:rFonts w:ascii="宋体" w:hAnsi="宋体" w:cs="宋体"/>
                <w:kern w:val="0"/>
                <w:sz w:val="18"/>
                <w:szCs w:val="18"/>
              </w:rPr>
            </w:pPr>
          </w:p>
        </w:tc>
        <w:tc>
          <w:tcPr>
            <w:tcW w:w="822"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460.00</w:t>
            </w:r>
          </w:p>
        </w:tc>
        <w:tc>
          <w:tcPr>
            <w:tcW w:w="481" w:type="dxa"/>
          </w:tcPr>
          <w:p>
            <w:pPr>
              <w:widowControl/>
              <w:jc w:val="right"/>
              <w:outlineLvl w:val="1"/>
              <w:rPr>
                <w:rFonts w:ascii="宋体" w:hAnsi="宋体" w:cs="宋体"/>
                <w:kern w:val="0"/>
                <w:sz w:val="18"/>
                <w:szCs w:val="18"/>
              </w:rPr>
            </w:pPr>
          </w:p>
        </w:tc>
        <w:tc>
          <w:tcPr>
            <w:tcW w:w="481" w:type="dxa"/>
          </w:tcPr>
          <w:p>
            <w:pPr>
              <w:widowControl/>
              <w:jc w:val="right"/>
              <w:outlineLvl w:val="1"/>
              <w:rPr>
                <w:rFonts w:ascii="宋体" w:hAnsi="宋体" w:cs="宋体"/>
                <w:kern w:val="0"/>
                <w:sz w:val="18"/>
                <w:szCs w:val="18"/>
              </w:rPr>
            </w:pPr>
          </w:p>
        </w:tc>
        <w:tc>
          <w:tcPr>
            <w:tcW w:w="619" w:type="dxa"/>
            <w:gridSpan w:val="2"/>
          </w:tcPr>
          <w:p>
            <w:pPr>
              <w:widowControl/>
              <w:jc w:val="right"/>
              <w:outlineLvl w:val="1"/>
              <w:rPr>
                <w:rFonts w:ascii="宋体" w:hAnsi="宋体" w:cs="宋体"/>
                <w:kern w:val="0"/>
                <w:sz w:val="18"/>
                <w:szCs w:val="18"/>
              </w:rPr>
            </w:pPr>
          </w:p>
        </w:tc>
        <w:tc>
          <w:tcPr>
            <w:tcW w:w="721"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20.00</w:t>
            </w:r>
          </w:p>
        </w:tc>
        <w:tc>
          <w:tcPr>
            <w:tcW w:w="619" w:type="dxa"/>
          </w:tcPr>
          <w:p>
            <w:pPr>
              <w:widowControl/>
              <w:jc w:val="right"/>
              <w:outlineLvl w:val="1"/>
              <w:rPr>
                <w:rFonts w:ascii="宋体" w:hAnsi="宋体" w:cs="宋体"/>
                <w:kern w:val="0"/>
                <w:sz w:val="18"/>
                <w:szCs w:val="18"/>
              </w:rPr>
            </w:pPr>
          </w:p>
        </w:tc>
        <w:tc>
          <w:tcPr>
            <w:tcW w:w="418" w:type="dxa"/>
          </w:tcPr>
          <w:p>
            <w:pPr>
              <w:widowControl/>
              <w:jc w:val="right"/>
              <w:outlineLvl w:val="1"/>
              <w:rPr>
                <w:rFonts w:ascii="仿宋_GB2312" w:hAnsi="宋体" w:eastAsia="仿宋_GB2312"/>
                <w:kern w:val="0"/>
                <w:sz w:val="20"/>
                <w:szCs w:val="20"/>
              </w:rPr>
            </w:pPr>
          </w:p>
        </w:tc>
        <w:tc>
          <w:tcPr>
            <w:tcW w:w="418" w:type="dxa"/>
          </w:tcPr>
          <w:p>
            <w:pPr>
              <w:widowControl/>
              <w:jc w:val="right"/>
              <w:outlineLvl w:val="1"/>
              <w:rPr>
                <w:rFonts w:ascii="仿宋_GB2312" w:hAnsi="宋体" w:eastAsia="仿宋_GB2312"/>
                <w:kern w:val="0"/>
                <w:sz w:val="20"/>
                <w:szCs w:val="20"/>
              </w:rPr>
            </w:pPr>
          </w:p>
        </w:tc>
        <w:tc>
          <w:tcPr>
            <w:tcW w:w="430" w:type="dxa"/>
            <w:gridSpan w:val="2"/>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201　</w:t>
            </w:r>
          </w:p>
        </w:tc>
        <w:tc>
          <w:tcPr>
            <w:tcW w:w="418" w:type="dxa"/>
            <w:vAlign w:val="center"/>
          </w:tcPr>
          <w:p>
            <w:pPr>
              <w:widowControl/>
              <w:jc w:val="center"/>
              <w:rPr>
                <w:rFonts w:ascii="宋体" w:hAnsi="宋体" w:cs="宋体"/>
                <w:kern w:val="0"/>
                <w:sz w:val="18"/>
                <w:szCs w:val="18"/>
              </w:rPr>
            </w:pPr>
            <w:r>
              <w:rPr>
                <w:rFonts w:hint="eastAsia" w:ascii="宋体" w:hAnsi="宋体" w:cs="宋体"/>
                <w:kern w:val="0"/>
                <w:sz w:val="18"/>
                <w:szCs w:val="18"/>
              </w:rPr>
              <w:t>03　</w:t>
            </w:r>
          </w:p>
        </w:tc>
        <w:tc>
          <w:tcPr>
            <w:tcW w:w="418" w:type="dxa"/>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vAlign w:val="center"/>
          </w:tcPr>
          <w:p>
            <w:pPr>
              <w:widowControl/>
              <w:rPr>
                <w:rFonts w:ascii="宋体" w:hAnsi="宋体" w:cs="宋体"/>
                <w:kern w:val="0"/>
                <w:sz w:val="18"/>
                <w:szCs w:val="18"/>
              </w:rPr>
            </w:pPr>
            <w:r>
              <w:rPr>
                <w:rFonts w:hint="eastAsia" w:ascii="宋体" w:hAnsi="宋体" w:cs="宋体"/>
                <w:kern w:val="0"/>
                <w:sz w:val="18"/>
                <w:szCs w:val="18"/>
              </w:rPr>
              <w:t>政府办公厅（室）及相关机构事务</w:t>
            </w:r>
          </w:p>
        </w:tc>
        <w:tc>
          <w:tcPr>
            <w:tcW w:w="987" w:type="dxa"/>
          </w:tcPr>
          <w:p>
            <w:pPr>
              <w:widowControl/>
              <w:jc w:val="left"/>
              <w:outlineLvl w:val="1"/>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480.00</w:t>
            </w:r>
          </w:p>
        </w:tc>
        <w:tc>
          <w:tcPr>
            <w:tcW w:w="418" w:type="dxa"/>
          </w:tcPr>
          <w:p>
            <w:pPr>
              <w:widowControl/>
              <w:jc w:val="right"/>
              <w:outlineLvl w:val="1"/>
              <w:rPr>
                <w:rFonts w:ascii="宋体" w:hAnsi="宋体" w:cs="宋体"/>
                <w:kern w:val="0"/>
                <w:sz w:val="18"/>
                <w:szCs w:val="18"/>
              </w:rPr>
            </w:pPr>
          </w:p>
        </w:tc>
        <w:tc>
          <w:tcPr>
            <w:tcW w:w="822"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460.00</w:t>
            </w:r>
          </w:p>
        </w:tc>
        <w:tc>
          <w:tcPr>
            <w:tcW w:w="481" w:type="dxa"/>
          </w:tcPr>
          <w:p>
            <w:pPr>
              <w:widowControl/>
              <w:jc w:val="right"/>
              <w:outlineLvl w:val="1"/>
              <w:rPr>
                <w:rFonts w:ascii="宋体" w:hAnsi="宋体" w:cs="宋体"/>
                <w:kern w:val="0"/>
                <w:sz w:val="18"/>
                <w:szCs w:val="18"/>
              </w:rPr>
            </w:pPr>
          </w:p>
        </w:tc>
        <w:tc>
          <w:tcPr>
            <w:tcW w:w="481" w:type="dxa"/>
          </w:tcPr>
          <w:p>
            <w:pPr>
              <w:widowControl/>
              <w:jc w:val="right"/>
              <w:outlineLvl w:val="1"/>
              <w:rPr>
                <w:rFonts w:ascii="宋体" w:hAnsi="宋体" w:cs="宋体"/>
                <w:kern w:val="0"/>
                <w:sz w:val="18"/>
                <w:szCs w:val="18"/>
              </w:rPr>
            </w:pPr>
          </w:p>
        </w:tc>
        <w:tc>
          <w:tcPr>
            <w:tcW w:w="619" w:type="dxa"/>
            <w:gridSpan w:val="2"/>
          </w:tcPr>
          <w:p>
            <w:pPr>
              <w:widowControl/>
              <w:jc w:val="right"/>
              <w:outlineLvl w:val="1"/>
              <w:rPr>
                <w:rFonts w:ascii="宋体" w:hAnsi="宋体" w:cs="宋体"/>
                <w:kern w:val="0"/>
                <w:sz w:val="18"/>
                <w:szCs w:val="18"/>
              </w:rPr>
            </w:pPr>
          </w:p>
        </w:tc>
        <w:tc>
          <w:tcPr>
            <w:tcW w:w="721"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20.00</w:t>
            </w:r>
          </w:p>
        </w:tc>
        <w:tc>
          <w:tcPr>
            <w:tcW w:w="619" w:type="dxa"/>
          </w:tcPr>
          <w:p>
            <w:pPr>
              <w:widowControl/>
              <w:jc w:val="right"/>
              <w:outlineLvl w:val="1"/>
              <w:rPr>
                <w:rFonts w:ascii="宋体" w:hAnsi="宋体" w:cs="宋体"/>
                <w:kern w:val="0"/>
                <w:sz w:val="18"/>
                <w:szCs w:val="18"/>
              </w:rPr>
            </w:pPr>
          </w:p>
        </w:tc>
        <w:tc>
          <w:tcPr>
            <w:tcW w:w="418" w:type="dxa"/>
          </w:tcPr>
          <w:p>
            <w:pPr>
              <w:widowControl/>
              <w:jc w:val="right"/>
              <w:outlineLvl w:val="1"/>
              <w:rPr>
                <w:rFonts w:ascii="仿宋_GB2312" w:hAnsi="宋体" w:eastAsia="仿宋_GB2312"/>
                <w:kern w:val="0"/>
                <w:sz w:val="20"/>
                <w:szCs w:val="20"/>
              </w:rPr>
            </w:pPr>
          </w:p>
        </w:tc>
        <w:tc>
          <w:tcPr>
            <w:tcW w:w="418" w:type="dxa"/>
          </w:tcPr>
          <w:p>
            <w:pPr>
              <w:widowControl/>
              <w:jc w:val="right"/>
              <w:outlineLvl w:val="1"/>
              <w:rPr>
                <w:rFonts w:ascii="仿宋_GB2312" w:hAnsi="宋体" w:eastAsia="仿宋_GB2312"/>
                <w:kern w:val="0"/>
                <w:sz w:val="20"/>
                <w:szCs w:val="20"/>
              </w:rPr>
            </w:pPr>
          </w:p>
        </w:tc>
        <w:tc>
          <w:tcPr>
            <w:tcW w:w="430" w:type="dxa"/>
            <w:gridSpan w:val="2"/>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vAlign w:val="center"/>
          </w:tcPr>
          <w:p>
            <w:pPr>
              <w:widowControl/>
              <w:jc w:val="center"/>
              <w:rPr>
                <w:rFonts w:ascii="宋体" w:hAnsi="宋体" w:cs="宋体"/>
                <w:kern w:val="0"/>
                <w:sz w:val="18"/>
                <w:szCs w:val="18"/>
              </w:rPr>
            </w:pPr>
            <w:r>
              <w:rPr>
                <w:rFonts w:hint="eastAsia" w:ascii="宋体" w:hAnsi="宋体" w:cs="宋体"/>
                <w:kern w:val="0"/>
                <w:sz w:val="18"/>
                <w:szCs w:val="18"/>
              </w:rPr>
              <w:t>201　</w:t>
            </w:r>
          </w:p>
        </w:tc>
        <w:tc>
          <w:tcPr>
            <w:tcW w:w="418" w:type="dxa"/>
            <w:vAlign w:val="center"/>
          </w:tcPr>
          <w:p>
            <w:pPr>
              <w:widowControl/>
              <w:jc w:val="center"/>
              <w:rPr>
                <w:rFonts w:ascii="宋体" w:hAnsi="宋体" w:cs="宋体"/>
                <w:kern w:val="0"/>
                <w:sz w:val="18"/>
                <w:szCs w:val="18"/>
              </w:rPr>
            </w:pPr>
            <w:r>
              <w:rPr>
                <w:rFonts w:hint="eastAsia" w:ascii="宋体" w:hAnsi="宋体" w:cs="宋体"/>
                <w:kern w:val="0"/>
                <w:sz w:val="18"/>
                <w:szCs w:val="18"/>
              </w:rPr>
              <w:t>03　</w:t>
            </w:r>
          </w:p>
        </w:tc>
        <w:tc>
          <w:tcPr>
            <w:tcW w:w="418" w:type="dxa"/>
            <w:vAlign w:val="center"/>
          </w:tcPr>
          <w:p>
            <w:pPr>
              <w:widowControl/>
              <w:jc w:val="center"/>
              <w:rPr>
                <w:rFonts w:ascii="宋体" w:hAnsi="宋体" w:cs="宋体"/>
                <w:kern w:val="0"/>
                <w:sz w:val="18"/>
                <w:szCs w:val="18"/>
              </w:rPr>
            </w:pPr>
            <w:r>
              <w:rPr>
                <w:rFonts w:hint="eastAsia" w:ascii="宋体" w:hAnsi="宋体" w:cs="宋体"/>
                <w:kern w:val="0"/>
                <w:sz w:val="18"/>
                <w:szCs w:val="18"/>
              </w:rPr>
              <w:t>03　</w:t>
            </w:r>
          </w:p>
        </w:tc>
        <w:tc>
          <w:tcPr>
            <w:tcW w:w="817" w:type="dxa"/>
            <w:vAlign w:val="center"/>
          </w:tcPr>
          <w:p>
            <w:pPr>
              <w:widowControl/>
              <w:rPr>
                <w:rFonts w:ascii="宋体" w:hAnsi="宋体" w:cs="宋体"/>
                <w:kern w:val="0"/>
                <w:sz w:val="18"/>
                <w:szCs w:val="18"/>
              </w:rPr>
            </w:pPr>
            <w:r>
              <w:rPr>
                <w:rFonts w:hint="eastAsia" w:ascii="宋体" w:hAnsi="宋体" w:cs="宋体"/>
                <w:kern w:val="0"/>
                <w:sz w:val="18"/>
                <w:szCs w:val="18"/>
              </w:rPr>
              <w:t>机关服务</w:t>
            </w:r>
          </w:p>
        </w:tc>
        <w:tc>
          <w:tcPr>
            <w:tcW w:w="987" w:type="dxa"/>
          </w:tcPr>
          <w:p>
            <w:pPr>
              <w:widowControl/>
              <w:jc w:val="left"/>
              <w:outlineLvl w:val="1"/>
              <w:rPr>
                <w:rFonts w:ascii="宋体" w:hAnsi="宋体" w:cs="宋体"/>
                <w:kern w:val="0"/>
                <w:sz w:val="18"/>
                <w:szCs w:val="18"/>
              </w:rPr>
            </w:pPr>
            <w:r>
              <w:rPr>
                <w:rFonts w:hint="eastAsia" w:ascii="宋体" w:hAnsi="宋体" w:cs="宋体"/>
                <w:kern w:val="0"/>
                <w:sz w:val="18"/>
                <w:szCs w:val="18"/>
              </w:rPr>
              <w:t>运转经费（2025年非定额）　</w:t>
            </w:r>
          </w:p>
        </w:tc>
        <w:tc>
          <w:tcPr>
            <w:tcW w:w="822"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480.00</w:t>
            </w:r>
          </w:p>
        </w:tc>
        <w:tc>
          <w:tcPr>
            <w:tcW w:w="418" w:type="dxa"/>
          </w:tcPr>
          <w:p>
            <w:pPr>
              <w:widowControl/>
              <w:jc w:val="right"/>
              <w:outlineLvl w:val="1"/>
              <w:rPr>
                <w:rFonts w:ascii="宋体" w:hAnsi="宋体" w:cs="宋体"/>
                <w:kern w:val="0"/>
                <w:sz w:val="18"/>
                <w:szCs w:val="18"/>
              </w:rPr>
            </w:pPr>
          </w:p>
        </w:tc>
        <w:tc>
          <w:tcPr>
            <w:tcW w:w="822"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460.00</w:t>
            </w:r>
          </w:p>
        </w:tc>
        <w:tc>
          <w:tcPr>
            <w:tcW w:w="481" w:type="dxa"/>
          </w:tcPr>
          <w:p>
            <w:pPr>
              <w:widowControl/>
              <w:jc w:val="right"/>
              <w:outlineLvl w:val="1"/>
              <w:rPr>
                <w:rFonts w:ascii="宋体" w:hAnsi="宋体" w:cs="宋体"/>
                <w:kern w:val="0"/>
                <w:sz w:val="18"/>
                <w:szCs w:val="18"/>
              </w:rPr>
            </w:pPr>
          </w:p>
        </w:tc>
        <w:tc>
          <w:tcPr>
            <w:tcW w:w="481" w:type="dxa"/>
          </w:tcPr>
          <w:p>
            <w:pPr>
              <w:widowControl/>
              <w:jc w:val="right"/>
              <w:outlineLvl w:val="1"/>
              <w:rPr>
                <w:rFonts w:ascii="宋体" w:hAnsi="宋体" w:cs="宋体"/>
                <w:kern w:val="0"/>
                <w:sz w:val="18"/>
                <w:szCs w:val="18"/>
              </w:rPr>
            </w:pPr>
          </w:p>
        </w:tc>
        <w:tc>
          <w:tcPr>
            <w:tcW w:w="619" w:type="dxa"/>
            <w:gridSpan w:val="2"/>
          </w:tcPr>
          <w:p>
            <w:pPr>
              <w:widowControl/>
              <w:jc w:val="right"/>
              <w:outlineLvl w:val="1"/>
              <w:rPr>
                <w:rFonts w:ascii="宋体" w:hAnsi="宋体" w:cs="宋体"/>
                <w:kern w:val="0"/>
                <w:sz w:val="18"/>
                <w:szCs w:val="18"/>
              </w:rPr>
            </w:pPr>
          </w:p>
        </w:tc>
        <w:tc>
          <w:tcPr>
            <w:tcW w:w="721" w:type="dxa"/>
          </w:tcPr>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p>
          <w:p>
            <w:pPr>
              <w:widowControl/>
              <w:jc w:val="right"/>
              <w:outlineLvl w:val="1"/>
              <w:rPr>
                <w:rFonts w:ascii="宋体" w:hAnsi="宋体" w:cs="宋体"/>
                <w:kern w:val="0"/>
                <w:sz w:val="18"/>
                <w:szCs w:val="18"/>
              </w:rPr>
            </w:pPr>
            <w:r>
              <w:rPr>
                <w:rFonts w:hint="eastAsia" w:ascii="宋体" w:hAnsi="宋体" w:cs="宋体"/>
                <w:kern w:val="0"/>
                <w:sz w:val="18"/>
                <w:szCs w:val="18"/>
              </w:rPr>
              <w:t>20.00</w:t>
            </w:r>
          </w:p>
        </w:tc>
        <w:tc>
          <w:tcPr>
            <w:tcW w:w="619" w:type="dxa"/>
          </w:tcPr>
          <w:p>
            <w:pPr>
              <w:widowControl/>
              <w:jc w:val="right"/>
              <w:outlineLvl w:val="1"/>
              <w:rPr>
                <w:rFonts w:ascii="宋体" w:hAnsi="宋体" w:cs="宋体"/>
                <w:kern w:val="0"/>
                <w:sz w:val="18"/>
                <w:szCs w:val="18"/>
              </w:rPr>
            </w:pPr>
          </w:p>
        </w:tc>
        <w:tc>
          <w:tcPr>
            <w:tcW w:w="418" w:type="dxa"/>
          </w:tcPr>
          <w:p>
            <w:pPr>
              <w:widowControl/>
              <w:jc w:val="right"/>
              <w:outlineLvl w:val="1"/>
              <w:rPr>
                <w:rFonts w:ascii="仿宋_GB2312" w:hAnsi="宋体" w:eastAsia="仿宋_GB2312"/>
                <w:kern w:val="0"/>
                <w:sz w:val="20"/>
                <w:szCs w:val="20"/>
              </w:rPr>
            </w:pPr>
          </w:p>
        </w:tc>
        <w:tc>
          <w:tcPr>
            <w:tcW w:w="418" w:type="dxa"/>
          </w:tcPr>
          <w:p>
            <w:pPr>
              <w:widowControl/>
              <w:jc w:val="right"/>
              <w:outlineLvl w:val="1"/>
              <w:rPr>
                <w:rFonts w:ascii="仿宋_GB2312" w:hAnsi="宋体" w:eastAsia="仿宋_GB2312"/>
                <w:kern w:val="0"/>
                <w:sz w:val="20"/>
                <w:szCs w:val="20"/>
              </w:rPr>
            </w:pPr>
          </w:p>
        </w:tc>
        <w:tc>
          <w:tcPr>
            <w:tcW w:w="430" w:type="dxa"/>
            <w:gridSpan w:val="2"/>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1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987"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822"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8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gridSpan w:val="2"/>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21"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619" w:type="dxa"/>
          </w:tcPr>
          <w:p>
            <w:pPr>
              <w:widowControl/>
              <w:jc w:val="center"/>
              <w:rPr>
                <w:rFonts w:ascii="宋体" w:hAnsi="宋体" w:cs="宋体"/>
                <w:kern w:val="0"/>
                <w:sz w:val="18"/>
                <w:szCs w:val="18"/>
              </w:rPr>
            </w:pPr>
            <w:r>
              <w:rPr>
                <w:rFonts w:hint="eastAsia" w:ascii="宋体" w:hAnsi="宋体" w:cs="宋体"/>
                <w:kern w:val="0"/>
                <w:sz w:val="18"/>
                <w:szCs w:val="18"/>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18" w:type="dxa"/>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c>
          <w:tcPr>
            <w:tcW w:w="430" w:type="dxa"/>
            <w:gridSpan w:val="2"/>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16" w:type="dxa"/>
            <w:gridSpan w:val="2"/>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418"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418"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817"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987" w:type="dxa"/>
            <w:vAlign w:val="center"/>
          </w:tcPr>
          <w:p>
            <w:pPr>
              <w:widowControl/>
              <w:jc w:val="center"/>
              <w:rPr>
                <w:rFonts w:ascii="宋体" w:hAnsi="宋体" w:cs="宋体"/>
                <w:b/>
                <w:kern w:val="0"/>
                <w:sz w:val="18"/>
                <w:szCs w:val="18"/>
              </w:rPr>
            </w:pPr>
            <w:r>
              <w:rPr>
                <w:rFonts w:hint="eastAsia" w:ascii="宋体" w:hAnsi="宋体" w:cs="宋体"/>
                <w:b/>
                <w:kern w:val="0"/>
                <w:sz w:val="18"/>
                <w:szCs w:val="18"/>
              </w:rPr>
              <w:t>合 计</w:t>
            </w:r>
          </w:p>
        </w:tc>
        <w:tc>
          <w:tcPr>
            <w:tcW w:w="822" w:type="dxa"/>
            <w:vAlign w:val="center"/>
          </w:tcPr>
          <w:p>
            <w:pPr>
              <w:widowControl/>
              <w:jc w:val="center"/>
              <w:rPr>
                <w:rFonts w:ascii="宋体" w:hAnsi="宋体" w:cs="宋体"/>
                <w:b/>
                <w:kern w:val="0"/>
                <w:sz w:val="18"/>
                <w:szCs w:val="18"/>
              </w:rPr>
            </w:pPr>
            <w:r>
              <w:rPr>
                <w:rFonts w:hint="eastAsia" w:ascii="宋体" w:hAnsi="宋体" w:cs="宋体"/>
                <w:b/>
                <w:kern w:val="0"/>
                <w:sz w:val="18"/>
                <w:szCs w:val="18"/>
              </w:rPr>
              <w:t>480.00</w:t>
            </w:r>
          </w:p>
        </w:tc>
        <w:tc>
          <w:tcPr>
            <w:tcW w:w="418"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822" w:type="dxa"/>
          </w:tcPr>
          <w:p>
            <w:pPr>
              <w:widowControl/>
              <w:jc w:val="center"/>
              <w:rPr>
                <w:rFonts w:ascii="宋体" w:hAnsi="宋体" w:cs="宋体"/>
                <w:b/>
                <w:kern w:val="0"/>
                <w:sz w:val="18"/>
                <w:szCs w:val="18"/>
              </w:rPr>
            </w:pPr>
          </w:p>
          <w:p>
            <w:pPr>
              <w:widowControl/>
              <w:jc w:val="center"/>
              <w:rPr>
                <w:rFonts w:ascii="宋体" w:hAnsi="宋体" w:cs="宋体"/>
                <w:b/>
                <w:kern w:val="0"/>
                <w:sz w:val="18"/>
                <w:szCs w:val="18"/>
              </w:rPr>
            </w:pPr>
            <w:r>
              <w:rPr>
                <w:rFonts w:hint="eastAsia" w:ascii="宋体" w:hAnsi="宋体" w:cs="宋体"/>
                <w:b/>
                <w:kern w:val="0"/>
                <w:sz w:val="18"/>
                <w:szCs w:val="18"/>
              </w:rPr>
              <w:t>460.00</w:t>
            </w:r>
          </w:p>
          <w:p>
            <w:pPr>
              <w:pStyle w:val="5"/>
              <w:jc w:val="center"/>
              <w:rPr>
                <w:rFonts w:ascii="宋体" w:hAnsi="宋体" w:cs="宋体"/>
                <w:b/>
                <w:kern w:val="0"/>
                <w:szCs w:val="18"/>
              </w:rPr>
            </w:pPr>
          </w:p>
        </w:tc>
        <w:tc>
          <w:tcPr>
            <w:tcW w:w="481"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481"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619" w:type="dxa"/>
            <w:gridSpan w:val="2"/>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721" w:type="dxa"/>
          </w:tcPr>
          <w:p>
            <w:pPr>
              <w:widowControl/>
              <w:jc w:val="center"/>
              <w:rPr>
                <w:rFonts w:ascii="宋体" w:hAnsi="宋体" w:cs="宋体"/>
                <w:b/>
                <w:kern w:val="0"/>
                <w:sz w:val="18"/>
                <w:szCs w:val="18"/>
              </w:rPr>
            </w:pPr>
          </w:p>
          <w:p>
            <w:pPr>
              <w:pStyle w:val="5"/>
              <w:jc w:val="center"/>
              <w:rPr>
                <w:rFonts w:ascii="宋体" w:hAnsi="宋体" w:cs="宋体"/>
                <w:b/>
                <w:kern w:val="0"/>
                <w:szCs w:val="18"/>
              </w:rPr>
            </w:pPr>
            <w:r>
              <w:rPr>
                <w:rFonts w:hint="eastAsia" w:ascii="宋体" w:hAnsi="宋体" w:cs="宋体"/>
                <w:b/>
                <w:kern w:val="0"/>
                <w:szCs w:val="18"/>
              </w:rPr>
              <w:t>20.00</w:t>
            </w:r>
          </w:p>
        </w:tc>
        <w:tc>
          <w:tcPr>
            <w:tcW w:w="619" w:type="dxa"/>
          </w:tcPr>
          <w:p>
            <w:pPr>
              <w:widowControl/>
              <w:jc w:val="center"/>
              <w:rPr>
                <w:rFonts w:ascii="宋体" w:hAnsi="宋体" w:cs="宋体"/>
                <w:b/>
                <w:kern w:val="0"/>
                <w:sz w:val="18"/>
                <w:szCs w:val="18"/>
              </w:rPr>
            </w:pPr>
            <w:r>
              <w:rPr>
                <w:rFonts w:hint="eastAsia" w:ascii="宋体" w:hAnsi="宋体" w:cs="宋体"/>
                <w:b/>
                <w:kern w:val="0"/>
                <w:sz w:val="18"/>
                <w:szCs w:val="18"/>
              </w:rPr>
              <w:t>　</w:t>
            </w:r>
          </w:p>
        </w:tc>
        <w:tc>
          <w:tcPr>
            <w:tcW w:w="418" w:type="dxa"/>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　</w:t>
            </w:r>
          </w:p>
        </w:tc>
        <w:tc>
          <w:tcPr>
            <w:tcW w:w="418" w:type="dxa"/>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　</w:t>
            </w:r>
          </w:p>
        </w:tc>
        <w:tc>
          <w:tcPr>
            <w:tcW w:w="430" w:type="dxa"/>
            <w:gridSpan w:val="2"/>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　</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20"/>
          <w:szCs w:val="20"/>
        </w:rPr>
      </w:pPr>
      <w:r>
        <w:rPr>
          <w:rFonts w:hint="eastAsia" w:ascii="仿宋_GB2312" w:hAnsi="宋体" w:eastAsia="仿宋_GB2312"/>
          <w:b/>
          <w:kern w:val="0"/>
          <w:sz w:val="32"/>
          <w:szCs w:val="32"/>
        </w:rPr>
        <w:t>政府性基金预算支出情况表</w:t>
      </w:r>
    </w:p>
    <w:p>
      <w:pPr>
        <w:pStyle w:val="5"/>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编制部门：呼图壁县机关事务服务中心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b/>
                <w:kern w:val="0"/>
                <w:sz w:val="24"/>
              </w:rPr>
            </w:pPr>
            <w:r>
              <w:rPr>
                <w:rFonts w:hint="eastAsia" w:ascii="宋体" w:hAnsi="宋体" w:cs="宋体"/>
                <w:b/>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kern w:val="0"/>
                <w:sz w:val="24"/>
              </w:rPr>
            </w:pPr>
            <w:r>
              <w:rPr>
                <w:rFonts w:hint="eastAsia" w:ascii="宋体" w:hAnsi="宋体" w:cs="宋体"/>
                <w:b/>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24"/>
              </w:rPr>
            </w:pPr>
            <w:r>
              <w:rPr>
                <w:rFonts w:hint="eastAsia" w:ascii="仿宋_GB2312" w:hAnsi="宋体" w:eastAsia="仿宋_GB2312" w:cs="宋体"/>
                <w:b/>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kern w:val="0"/>
                <w:sz w:val="24"/>
              </w:rPr>
            </w:pPr>
            <w:r>
              <w:rPr>
                <w:rFonts w:hint="eastAsia" w:ascii="仿宋_GB2312" w:hAnsi="宋体" w:eastAsia="仿宋_GB2312" w:cs="宋体"/>
                <w:b/>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kern w:val="0"/>
                <w:sz w:val="24"/>
              </w:rPr>
            </w:pPr>
            <w:r>
              <w:rPr>
                <w:rFonts w:hint="eastAsia" w:ascii="仿宋_GB2312" w:hAnsi="宋体" w:eastAsia="仿宋_GB2312" w:cs="宋体"/>
                <w:b/>
                <w:kern w:val="0"/>
                <w:sz w:val="24"/>
              </w:rPr>
              <w:t>　</w:t>
            </w:r>
          </w:p>
        </w:tc>
      </w:tr>
    </w:tbl>
    <w:p>
      <w:pPr>
        <w:widowControl/>
        <w:spacing w:line="320" w:lineRule="exact"/>
        <w:outlineLvl w:val="1"/>
        <w:rPr>
          <w:rFonts w:ascii="仿宋_GB2312" w:hAnsi="宋体" w:eastAsia="仿宋_GB2312"/>
          <w:b/>
          <w:kern w:val="0"/>
          <w:sz w:val="24"/>
        </w:rPr>
      </w:pPr>
      <w:r>
        <w:rPr>
          <w:rFonts w:hint="eastAsia" w:ascii="仿宋_GB2312" w:hAnsi="宋体" w:eastAsia="仿宋_GB2312"/>
          <w:b/>
          <w:kern w:val="0"/>
          <w:sz w:val="24"/>
        </w:rPr>
        <w:t>呼图壁县机关事务服务中心2025年没有使用政府性基金预算拨款安排支出，政府性基金预算支出情况表为空表。</w:t>
      </w:r>
    </w:p>
    <w:p>
      <w:pPr>
        <w:pStyle w:val="5"/>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20"/>
          <w:szCs w:val="20"/>
        </w:rPr>
      </w:pPr>
      <w:r>
        <w:rPr>
          <w:rFonts w:hint="eastAsia" w:ascii="仿宋_GB2312" w:hAnsi="宋体" w:eastAsia="仿宋_GB2312"/>
          <w:b/>
          <w:kern w:val="0"/>
          <w:sz w:val="32"/>
          <w:szCs w:val="32"/>
        </w:rPr>
        <w:t>国有资本经营预算支出情况表</w:t>
      </w:r>
    </w:p>
    <w:p>
      <w:pPr>
        <w:pStyle w:val="5"/>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编制部门：呼图壁县机关事务服务中心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4"/>
        </w:rPr>
      </w:pPr>
      <w:r>
        <w:rPr>
          <w:rFonts w:hint="eastAsia" w:ascii="仿宋_GB2312" w:hAnsi="宋体" w:eastAsia="仿宋_GB2312"/>
          <w:b/>
          <w:kern w:val="0"/>
          <w:sz w:val="24"/>
        </w:rPr>
        <w:t>呼图壁县机关事务服务中心2025年没有使用国有资本经营预算拨款安排的支出，国有资本经营预算支出情况表为空表。</w:t>
      </w: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20"/>
          <w:szCs w:val="20"/>
        </w:rPr>
      </w:pPr>
      <w:r>
        <w:rPr>
          <w:rFonts w:hint="eastAsia" w:ascii="仿宋_GB2312" w:hAnsi="宋体" w:eastAsia="仿宋_GB2312"/>
          <w:b/>
          <w:kern w:val="0"/>
          <w:sz w:val="32"/>
          <w:szCs w:val="32"/>
        </w:rPr>
        <w:t>财政拨款“三公”经费支出情况表</w:t>
      </w:r>
    </w:p>
    <w:p>
      <w:pPr>
        <w:pStyle w:val="5"/>
      </w:pPr>
    </w:p>
    <w:p>
      <w:pPr>
        <w:widowControl/>
        <w:rPr>
          <w:rFonts w:ascii="仿宋_GB2312" w:hAnsi="宋体" w:eastAsia="仿宋_GB2312"/>
          <w:b/>
          <w:kern w:val="0"/>
          <w:sz w:val="32"/>
          <w:szCs w:val="32"/>
        </w:rPr>
      </w:pPr>
      <w:r>
        <w:rPr>
          <w:rFonts w:hint="eastAsia" w:ascii="仿宋_GB2312" w:hAnsi="宋体" w:eastAsia="仿宋_GB2312"/>
          <w:kern w:val="0"/>
          <w:sz w:val="24"/>
        </w:rPr>
        <w:t>编制部门：呼图壁县机关事务服务中心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2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“三公”经费支出内容</w:t>
            </w:r>
          </w:p>
        </w:tc>
        <w:tc>
          <w:tcPr>
            <w:tcW w:w="1215"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4530" w:type="dxa"/>
            <w:gridSpan w:val="3"/>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spacing w:line="280" w:lineRule="exact"/>
              <w:jc w:val="center"/>
              <w:rPr>
                <w:rFonts w:ascii="仿宋_GB2312" w:hAnsi="宋体" w:eastAsia="仿宋_GB2312" w:cs="宋体"/>
                <w:b/>
                <w:bCs/>
                <w:kern w:val="0"/>
                <w:sz w:val="20"/>
                <w:szCs w:val="20"/>
              </w:rPr>
            </w:pPr>
          </w:p>
        </w:tc>
        <w:tc>
          <w:tcPr>
            <w:tcW w:w="1215" w:type="dxa"/>
            <w:vMerge w:val="continue"/>
          </w:tcPr>
          <w:p>
            <w:pPr>
              <w:widowControl/>
              <w:spacing w:line="280" w:lineRule="exact"/>
              <w:jc w:val="center"/>
              <w:rPr>
                <w:rFonts w:ascii="仿宋_GB2312" w:hAnsi="宋体" w:eastAsia="仿宋_GB2312" w:cs="宋体"/>
                <w:b/>
                <w:bCs/>
                <w:kern w:val="0"/>
                <w:sz w:val="20"/>
                <w:szCs w:val="20"/>
              </w:rPr>
            </w:pPr>
          </w:p>
        </w:tc>
        <w:tc>
          <w:tcPr>
            <w:tcW w:w="13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21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w:t>
            </w: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性基金</w:t>
            </w:r>
          </w:p>
        </w:tc>
        <w:tc>
          <w:tcPr>
            <w:tcW w:w="2006"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w:t>
            </w: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3818"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215" w:type="dxa"/>
          </w:tcPr>
          <w:p>
            <w:pPr>
              <w:widowControl/>
              <w:spacing w:line="280" w:lineRule="exact"/>
              <w:jc w:val="right"/>
              <w:rPr>
                <w:rFonts w:ascii="仿宋_GB2312" w:hAnsi="宋体" w:eastAsia="仿宋_GB2312" w:cs="宋体"/>
                <w:b/>
                <w:bCs/>
                <w:kern w:val="0"/>
                <w:sz w:val="20"/>
                <w:szCs w:val="20"/>
              </w:rPr>
            </w:pPr>
          </w:p>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54.20</w:t>
            </w:r>
          </w:p>
        </w:tc>
        <w:tc>
          <w:tcPr>
            <w:tcW w:w="1314" w:type="dxa"/>
          </w:tcPr>
          <w:p>
            <w:pPr>
              <w:widowControl/>
              <w:spacing w:line="280" w:lineRule="exact"/>
              <w:jc w:val="right"/>
              <w:rPr>
                <w:rFonts w:ascii="仿宋_GB2312" w:hAnsi="宋体" w:eastAsia="仿宋_GB2312" w:cs="宋体"/>
                <w:b/>
                <w:bCs/>
                <w:kern w:val="0"/>
                <w:sz w:val="20"/>
                <w:szCs w:val="20"/>
              </w:rPr>
            </w:pPr>
          </w:p>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54.20</w:t>
            </w:r>
          </w:p>
        </w:tc>
        <w:tc>
          <w:tcPr>
            <w:tcW w:w="1210" w:type="dxa"/>
          </w:tcPr>
          <w:p>
            <w:pPr>
              <w:widowControl/>
              <w:spacing w:line="280" w:lineRule="exact"/>
              <w:jc w:val="right"/>
              <w:rPr>
                <w:rFonts w:ascii="仿宋_GB2312" w:hAnsi="宋体" w:eastAsia="仿宋_GB2312" w:cs="宋体"/>
                <w:b/>
                <w:bCs/>
                <w:kern w:val="0"/>
                <w:sz w:val="20"/>
                <w:szCs w:val="20"/>
              </w:rPr>
            </w:pPr>
          </w:p>
        </w:tc>
        <w:tc>
          <w:tcPr>
            <w:tcW w:w="2006" w:type="dxa"/>
          </w:tcPr>
          <w:p>
            <w:pPr>
              <w:widowControl/>
              <w:spacing w:line="280" w:lineRule="exact"/>
              <w:jc w:val="right"/>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818" w:type="dxa"/>
            <w:vAlign w:val="center"/>
          </w:tcPr>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因公出国（境）费</w:t>
            </w:r>
          </w:p>
        </w:tc>
        <w:tc>
          <w:tcPr>
            <w:tcW w:w="1215" w:type="dxa"/>
          </w:tcPr>
          <w:p>
            <w:pPr>
              <w:widowControl/>
              <w:spacing w:line="280" w:lineRule="exact"/>
              <w:jc w:val="right"/>
              <w:rPr>
                <w:rFonts w:ascii="仿宋_GB2312" w:hAnsi="宋体" w:eastAsia="仿宋_GB2312" w:cs="宋体"/>
                <w:bCs/>
                <w:kern w:val="0"/>
                <w:sz w:val="20"/>
                <w:szCs w:val="20"/>
              </w:rPr>
            </w:pPr>
          </w:p>
        </w:tc>
        <w:tc>
          <w:tcPr>
            <w:tcW w:w="1314" w:type="dxa"/>
          </w:tcPr>
          <w:p>
            <w:pPr>
              <w:widowControl/>
              <w:spacing w:line="280" w:lineRule="exact"/>
              <w:jc w:val="right"/>
              <w:rPr>
                <w:rFonts w:ascii="仿宋_GB2312" w:hAnsi="宋体" w:eastAsia="仿宋_GB2312" w:cs="宋体"/>
                <w:bCs/>
                <w:kern w:val="0"/>
                <w:sz w:val="20"/>
                <w:szCs w:val="20"/>
              </w:rPr>
            </w:pPr>
          </w:p>
        </w:tc>
        <w:tc>
          <w:tcPr>
            <w:tcW w:w="1210" w:type="dxa"/>
          </w:tcPr>
          <w:p>
            <w:pPr>
              <w:widowControl/>
              <w:spacing w:line="280" w:lineRule="exact"/>
              <w:jc w:val="right"/>
              <w:rPr>
                <w:rFonts w:ascii="仿宋_GB2312" w:hAnsi="宋体" w:eastAsia="仿宋_GB2312" w:cs="宋体"/>
                <w:b/>
                <w:bCs/>
                <w:kern w:val="0"/>
                <w:sz w:val="20"/>
                <w:szCs w:val="20"/>
              </w:rPr>
            </w:pPr>
          </w:p>
        </w:tc>
        <w:tc>
          <w:tcPr>
            <w:tcW w:w="2006" w:type="dxa"/>
          </w:tcPr>
          <w:p>
            <w:pPr>
              <w:widowControl/>
              <w:spacing w:line="280" w:lineRule="exact"/>
              <w:jc w:val="right"/>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3818" w:type="dxa"/>
            <w:vAlign w:val="center"/>
          </w:tcPr>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公务接待费</w:t>
            </w:r>
          </w:p>
        </w:tc>
        <w:tc>
          <w:tcPr>
            <w:tcW w:w="1215" w:type="dxa"/>
          </w:tcPr>
          <w:p>
            <w:pPr>
              <w:widowControl/>
              <w:spacing w:line="280" w:lineRule="exact"/>
              <w:jc w:val="right"/>
              <w:rPr>
                <w:rFonts w:ascii="仿宋_GB2312" w:hAnsi="宋体" w:eastAsia="仿宋_GB2312" w:cs="宋体"/>
                <w:bCs/>
                <w:kern w:val="0"/>
                <w:sz w:val="20"/>
                <w:szCs w:val="20"/>
              </w:rPr>
            </w:pPr>
          </w:p>
          <w:p>
            <w:pPr>
              <w:widowControl/>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27.00</w:t>
            </w:r>
          </w:p>
        </w:tc>
        <w:tc>
          <w:tcPr>
            <w:tcW w:w="1314" w:type="dxa"/>
          </w:tcPr>
          <w:p>
            <w:pPr>
              <w:widowControl/>
              <w:spacing w:line="280" w:lineRule="exact"/>
              <w:jc w:val="right"/>
              <w:rPr>
                <w:rFonts w:ascii="仿宋_GB2312" w:hAnsi="宋体" w:eastAsia="仿宋_GB2312" w:cs="宋体"/>
                <w:bCs/>
                <w:kern w:val="0"/>
                <w:sz w:val="20"/>
                <w:szCs w:val="20"/>
              </w:rPr>
            </w:pPr>
          </w:p>
          <w:p>
            <w:pPr>
              <w:widowControl/>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27.00</w:t>
            </w:r>
          </w:p>
        </w:tc>
        <w:tc>
          <w:tcPr>
            <w:tcW w:w="1210" w:type="dxa"/>
          </w:tcPr>
          <w:p>
            <w:pPr>
              <w:widowControl/>
              <w:spacing w:line="280" w:lineRule="exact"/>
              <w:jc w:val="right"/>
              <w:rPr>
                <w:rFonts w:ascii="仿宋_GB2312" w:hAnsi="宋体" w:eastAsia="仿宋_GB2312" w:cs="宋体"/>
                <w:b/>
                <w:bCs/>
                <w:kern w:val="0"/>
                <w:sz w:val="20"/>
                <w:szCs w:val="20"/>
              </w:rPr>
            </w:pPr>
          </w:p>
        </w:tc>
        <w:tc>
          <w:tcPr>
            <w:tcW w:w="2006" w:type="dxa"/>
          </w:tcPr>
          <w:p>
            <w:pPr>
              <w:widowControl/>
              <w:spacing w:line="280" w:lineRule="exact"/>
              <w:jc w:val="right"/>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公务用车购置及运行费</w:t>
            </w:r>
          </w:p>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（小计）</w:t>
            </w:r>
          </w:p>
        </w:tc>
        <w:tc>
          <w:tcPr>
            <w:tcW w:w="1215" w:type="dxa"/>
          </w:tcPr>
          <w:p>
            <w:pPr>
              <w:widowControl/>
              <w:spacing w:line="280" w:lineRule="exact"/>
              <w:jc w:val="right"/>
              <w:rPr>
                <w:rFonts w:ascii="仿宋_GB2312" w:hAnsi="宋体" w:eastAsia="仿宋_GB2312" w:cs="宋体"/>
                <w:bCs/>
                <w:kern w:val="0"/>
                <w:sz w:val="20"/>
                <w:szCs w:val="20"/>
              </w:rPr>
            </w:pPr>
          </w:p>
          <w:p>
            <w:pPr>
              <w:widowControl/>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27.20</w:t>
            </w:r>
          </w:p>
        </w:tc>
        <w:tc>
          <w:tcPr>
            <w:tcW w:w="1314" w:type="dxa"/>
          </w:tcPr>
          <w:p>
            <w:pPr>
              <w:widowControl/>
              <w:spacing w:line="280" w:lineRule="exact"/>
              <w:jc w:val="right"/>
              <w:rPr>
                <w:rFonts w:ascii="仿宋_GB2312" w:hAnsi="宋体" w:eastAsia="仿宋_GB2312" w:cs="宋体"/>
                <w:bCs/>
                <w:kern w:val="0"/>
                <w:sz w:val="20"/>
                <w:szCs w:val="20"/>
              </w:rPr>
            </w:pPr>
          </w:p>
          <w:p>
            <w:pPr>
              <w:widowControl/>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27.20</w:t>
            </w:r>
          </w:p>
        </w:tc>
        <w:tc>
          <w:tcPr>
            <w:tcW w:w="1210" w:type="dxa"/>
          </w:tcPr>
          <w:p>
            <w:pPr>
              <w:widowControl/>
              <w:spacing w:line="280" w:lineRule="exact"/>
              <w:jc w:val="right"/>
              <w:rPr>
                <w:rFonts w:ascii="仿宋_GB2312" w:hAnsi="宋体" w:eastAsia="仿宋_GB2312" w:cs="宋体"/>
                <w:b/>
                <w:bCs/>
                <w:kern w:val="0"/>
                <w:sz w:val="20"/>
                <w:szCs w:val="20"/>
              </w:rPr>
            </w:pPr>
          </w:p>
        </w:tc>
        <w:tc>
          <w:tcPr>
            <w:tcW w:w="2006" w:type="dxa"/>
          </w:tcPr>
          <w:p>
            <w:pPr>
              <w:widowControl/>
              <w:spacing w:line="280" w:lineRule="exact"/>
              <w:jc w:val="right"/>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3818" w:type="dxa"/>
            <w:vAlign w:val="center"/>
          </w:tcPr>
          <w:p>
            <w:pPr>
              <w:widowControl/>
              <w:spacing w:line="280" w:lineRule="exact"/>
              <w:jc w:val="center"/>
              <w:rPr>
                <w:rFonts w:ascii="仿宋_GB2312" w:hAnsi="宋体" w:eastAsia="仿宋_GB2312" w:cs="宋体"/>
                <w:bCs/>
                <w:kern w:val="0"/>
                <w:sz w:val="20"/>
                <w:szCs w:val="20"/>
              </w:rPr>
            </w:pPr>
          </w:p>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其中：公务用车购置费</w:t>
            </w:r>
          </w:p>
        </w:tc>
        <w:tc>
          <w:tcPr>
            <w:tcW w:w="1215" w:type="dxa"/>
            <w:vAlign w:val="center"/>
          </w:tcPr>
          <w:p>
            <w:pPr>
              <w:widowControl/>
              <w:spacing w:line="280" w:lineRule="exact"/>
              <w:jc w:val="center"/>
              <w:rPr>
                <w:rFonts w:ascii="仿宋_GB2312" w:hAnsi="宋体" w:eastAsia="仿宋_GB2312" w:cs="宋体"/>
                <w:bCs/>
                <w:kern w:val="0"/>
                <w:sz w:val="20"/>
                <w:szCs w:val="20"/>
              </w:rPr>
            </w:pPr>
          </w:p>
        </w:tc>
        <w:tc>
          <w:tcPr>
            <w:tcW w:w="1314" w:type="dxa"/>
            <w:vAlign w:val="center"/>
          </w:tcPr>
          <w:p>
            <w:pPr>
              <w:widowControl/>
              <w:spacing w:line="280" w:lineRule="exact"/>
              <w:jc w:val="center"/>
              <w:rPr>
                <w:rFonts w:ascii="仿宋_GB2312" w:hAnsi="宋体" w:eastAsia="仿宋_GB2312" w:cs="宋体"/>
                <w:bCs/>
                <w:kern w:val="0"/>
                <w:sz w:val="20"/>
                <w:szCs w:val="20"/>
              </w:rPr>
            </w:pPr>
          </w:p>
        </w:tc>
        <w:tc>
          <w:tcPr>
            <w:tcW w:w="1210" w:type="dxa"/>
            <w:vAlign w:val="center"/>
          </w:tcPr>
          <w:p>
            <w:pPr>
              <w:widowControl/>
              <w:spacing w:line="280" w:lineRule="exact"/>
              <w:jc w:val="center"/>
              <w:rPr>
                <w:rFonts w:ascii="仿宋_GB2312" w:hAnsi="宋体" w:eastAsia="仿宋_GB2312" w:cs="宋体"/>
                <w:b/>
                <w:bCs/>
                <w:kern w:val="0"/>
                <w:sz w:val="20"/>
                <w:szCs w:val="20"/>
              </w:rPr>
            </w:pPr>
          </w:p>
        </w:tc>
        <w:tc>
          <w:tcPr>
            <w:tcW w:w="2006" w:type="dxa"/>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3818" w:type="dxa"/>
          </w:tcPr>
          <w:p>
            <w:pPr>
              <w:widowControl/>
              <w:spacing w:line="280" w:lineRule="exact"/>
              <w:jc w:val="center"/>
              <w:rPr>
                <w:rFonts w:ascii="仿宋_GB2312" w:hAnsi="宋体" w:eastAsia="仿宋_GB2312" w:cs="宋体"/>
                <w:bCs/>
                <w:kern w:val="0"/>
                <w:sz w:val="20"/>
                <w:szCs w:val="20"/>
              </w:rPr>
            </w:pPr>
          </w:p>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公务用车运行费</w:t>
            </w:r>
          </w:p>
        </w:tc>
        <w:tc>
          <w:tcPr>
            <w:tcW w:w="1215" w:type="dxa"/>
          </w:tcPr>
          <w:p>
            <w:pPr>
              <w:widowControl/>
              <w:wordWrap w:val="0"/>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 xml:space="preserve">  </w:t>
            </w:r>
          </w:p>
          <w:p>
            <w:pPr>
              <w:widowControl/>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27.20</w:t>
            </w:r>
          </w:p>
        </w:tc>
        <w:tc>
          <w:tcPr>
            <w:tcW w:w="1314" w:type="dxa"/>
          </w:tcPr>
          <w:p>
            <w:pPr>
              <w:widowControl/>
              <w:wordWrap w:val="0"/>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 xml:space="preserve">  </w:t>
            </w:r>
          </w:p>
          <w:p>
            <w:pPr>
              <w:widowControl/>
              <w:spacing w:line="280" w:lineRule="exact"/>
              <w:jc w:val="right"/>
              <w:rPr>
                <w:rFonts w:ascii="仿宋_GB2312" w:hAnsi="宋体" w:eastAsia="仿宋_GB2312" w:cs="宋体"/>
                <w:bCs/>
                <w:kern w:val="0"/>
                <w:sz w:val="20"/>
                <w:szCs w:val="20"/>
              </w:rPr>
            </w:pPr>
            <w:r>
              <w:rPr>
                <w:rFonts w:hint="eastAsia" w:ascii="仿宋_GB2312" w:hAnsi="宋体" w:eastAsia="仿宋_GB2312" w:cs="宋体"/>
                <w:bCs/>
                <w:kern w:val="0"/>
                <w:sz w:val="20"/>
                <w:szCs w:val="20"/>
              </w:rPr>
              <w:t>27.20</w:t>
            </w:r>
          </w:p>
        </w:tc>
        <w:tc>
          <w:tcPr>
            <w:tcW w:w="1210" w:type="dxa"/>
          </w:tcPr>
          <w:p>
            <w:pPr>
              <w:widowControl/>
              <w:spacing w:line="280" w:lineRule="exact"/>
              <w:jc w:val="right"/>
              <w:rPr>
                <w:rFonts w:ascii="仿宋_GB2312" w:hAnsi="宋体" w:eastAsia="仿宋_GB2312" w:cs="宋体"/>
                <w:b/>
                <w:bCs/>
                <w:kern w:val="0"/>
                <w:sz w:val="20"/>
                <w:szCs w:val="20"/>
              </w:rPr>
            </w:pPr>
          </w:p>
        </w:tc>
        <w:tc>
          <w:tcPr>
            <w:tcW w:w="2006" w:type="dxa"/>
          </w:tcPr>
          <w:p>
            <w:pPr>
              <w:widowControl/>
              <w:spacing w:line="280" w:lineRule="exact"/>
              <w:jc w:val="right"/>
              <w:rPr>
                <w:rFonts w:ascii="仿宋_GB2312" w:hAnsi="宋体" w:eastAsia="仿宋_GB2312" w:cs="宋体"/>
                <w:b/>
                <w:bCs/>
                <w:kern w:val="0"/>
                <w:sz w:val="20"/>
                <w:szCs w:val="20"/>
              </w:rPr>
            </w:pPr>
          </w:p>
        </w:tc>
      </w:tr>
    </w:tbl>
    <w:p>
      <w:pPr>
        <w:widowControl/>
        <w:spacing w:line="320" w:lineRule="exact"/>
        <w:outlineLvl w:val="1"/>
        <w:rPr>
          <w:rFonts w:ascii="仿宋_GB2312" w:hAnsi="宋体" w:eastAsia="仿宋_GB2312"/>
          <w:b/>
          <w:color w:val="FF0000"/>
          <w:kern w:val="0"/>
          <w:sz w:val="28"/>
          <w:szCs w:val="32"/>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pStyle w:val="5"/>
      </w:pPr>
    </w:p>
    <w:p>
      <w:pPr>
        <w:spacing w:line="600" w:lineRule="exact"/>
        <w:rPr>
          <w:rFonts w:ascii="仿宋" w:hAnsi="仿宋" w:eastAsia="仿宋" w:cs="仿宋_GB2312"/>
          <w:bCs/>
          <w:kern w:val="0"/>
          <w:sz w:val="28"/>
          <w:szCs w:val="28"/>
        </w:rPr>
      </w:pPr>
    </w:p>
    <w:p>
      <w:pPr>
        <w:pStyle w:val="5"/>
      </w:pPr>
    </w:p>
    <w:p>
      <w:pPr>
        <w:pStyle w:val="5"/>
        <w:rPr>
          <w:rFonts w:hint="eastAsia"/>
        </w:rPr>
      </w:pPr>
    </w:p>
    <w:p>
      <w:pPr>
        <w:pStyle w:val="5"/>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891" w:firstLineChars="900"/>
        <w:rPr>
          <w:rFonts w:ascii="仿宋_GB2312" w:hAnsi="宋体" w:eastAsia="仿宋_GB2312"/>
          <w:b/>
          <w:kern w:val="0"/>
          <w:sz w:val="20"/>
          <w:szCs w:val="20"/>
        </w:rPr>
      </w:pPr>
      <w:r>
        <w:rPr>
          <w:rFonts w:hint="eastAsia" w:ascii="仿宋_GB2312" w:hAnsi="宋体" w:eastAsia="仿宋_GB2312"/>
          <w:b/>
          <w:kern w:val="0"/>
          <w:sz w:val="32"/>
          <w:szCs w:val="32"/>
        </w:rPr>
        <w:t>上年结转结余情况明细表</w:t>
      </w:r>
    </w:p>
    <w:p>
      <w:pPr>
        <w:pStyle w:val="5"/>
      </w:pPr>
    </w:p>
    <w:p>
      <w:pPr>
        <w:widowControl/>
        <w:rPr>
          <w:rFonts w:ascii="仿宋_GB2312" w:hAnsi="宋体" w:eastAsia="仿宋_GB2312"/>
          <w:b/>
          <w:kern w:val="0"/>
          <w:sz w:val="32"/>
          <w:szCs w:val="32"/>
        </w:rPr>
      </w:pPr>
      <w:r>
        <w:rPr>
          <w:rFonts w:hint="eastAsia" w:ascii="仿宋_GB2312" w:hAnsi="宋体" w:eastAsia="仿宋_GB2312"/>
          <w:kern w:val="0"/>
          <w:sz w:val="24"/>
        </w:rPr>
        <w:t>编制部门：呼图壁县机关事务服务中心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r>
              <w:rPr>
                <w:rFonts w:hint="eastAsia" w:ascii="仿宋_GB2312" w:hAnsi="宋体" w:eastAsia="仿宋_GB2312" w:cs="宋体"/>
                <w:b/>
                <w:bCs/>
                <w:kern w:val="0"/>
                <w:sz w:val="20"/>
                <w:szCs w:val="20"/>
              </w:rPr>
              <w:t>总计</w:t>
            </w: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320" w:lineRule="exact"/>
        <w:outlineLvl w:val="1"/>
        <w:rPr>
          <w:rFonts w:ascii="仿宋_GB2312" w:hAnsi="宋体" w:eastAsia="仿宋_GB2312"/>
          <w:b/>
          <w:kern w:val="0"/>
          <w:sz w:val="24"/>
        </w:rPr>
      </w:pPr>
      <w:r>
        <w:rPr>
          <w:rFonts w:hint="eastAsia" w:ascii="仿宋_GB2312" w:hAnsi="宋体" w:eastAsia="仿宋_GB2312"/>
          <w:b/>
          <w:kern w:val="0"/>
          <w:sz w:val="24"/>
        </w:rPr>
        <w:t>呼图壁县机关事务服务中心2025年没有上年结转结余预算安排的支出，上年结转结余情况明细表为空表。</w:t>
      </w:r>
    </w:p>
    <w:p>
      <w:pPr>
        <w:widowControl/>
        <w:spacing w:line="280" w:lineRule="exact"/>
        <w:jc w:val="left"/>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sectPr>
          <w:footerReference r:id="rId5" w:type="default"/>
          <w:pgSz w:w="11906" w:h="16838"/>
          <w:pgMar w:top="2098" w:right="1531" w:bottom="1984" w:left="1531" w:header="851" w:footer="992" w:gutter="0"/>
          <w:pgNumType w:fmt="numberInDash"/>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2025年部门预算情况说明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一、关于呼图壁县机关事务服务中心2025年收支预算情况的总体说明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按照全口径预算的原则，呼图壁县机关事务服务中心2025年所有收入和支出均纳入部门预算管理。收支总预算    718.96万元。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二、关于呼图壁县机关事务服务中心2025年收入预算情况说明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呼图壁县机关事务服务中心收入预算718.96万元，其中：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636.96万元，占88.59%，比上年预算减少170.53万元，下降21.12%，主要原因：一是调出1人；二是按照呼图壁县招商引资服务中心与呼图壁县商务和工业信息化局工作职能（三定方案），县招商引资服务中心已于2025年1月1日起由呼图壁县机关事务服务中心整体划转至呼图壁县商务和工业信息化局（4名干部人员经费及100万元招商引资非定额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政府性基金预算0.00万元，占0.00%，比上年预算增加0.00万元，增长0.00%，主要原因是呼图壁县机关事务服务中心政府性基金预算未安排。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上级政府性基金安排的转移支付资金未安排。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国有资本经营预算0.00万元，占0.00%，比上年预算增加0.00万元，增长0.00%，主要原因是呼图壁县机关事务服务中心国有资本经营预算未安排。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单位资金82万元，占11.41%，比上年预算减少164万元，下降66.67%，主要原因：</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单位资金社保、公积金减少，并且</w:t>
      </w:r>
      <w:bookmarkStart w:id="1" w:name="_GoBack"/>
      <w:bookmarkEnd w:id="1"/>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福建援疆指挥部拨付的工作经费。</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三、关于呼图壁县机关事务服务中心2025年支出预算情况说明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呼图壁县机关事务服务中心2025年支出预算718.96万元，其中：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基本支出238.96万元，占33.24%，比上年预算减少234.53万元，下降49.53%，主要原因：调出1人及4人划转至呼图壁县商务和工业信息化局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项目支出480万元，占66.76%，比上年预算减少100万元，下降17.24%，主要原因是：减少了100万元招商引资非定额经费，划转至呼图壁县商务和工业信息化局。</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四、关于呼图壁县机关事务服务中心2025年财政拨款收支预算情况的总体说明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2025年财政拨款收支总预算636.96万元。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收入预算包括：一般公共预算拨款636.96万元。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w:t>
      </w:r>
      <w:r>
        <w:rPr>
          <w:rFonts w:hint="eastAsia" w:ascii="仿宋_GB2312" w:hAnsi="宋体" w:eastAsia="仿宋_GB2312" w:cs="宋体"/>
          <w:kern w:val="0"/>
          <w:sz w:val="32"/>
          <w:szCs w:val="32"/>
          <w:lang w:val="en-US" w:eastAsia="zh-CN"/>
        </w:rPr>
        <w:t>616.18</w:t>
      </w:r>
      <w:r>
        <w:rPr>
          <w:rFonts w:hint="eastAsia" w:ascii="仿宋_GB2312" w:hAnsi="宋体" w:eastAsia="仿宋_GB2312" w:cs="宋体"/>
          <w:kern w:val="0"/>
          <w:sz w:val="32"/>
          <w:szCs w:val="32"/>
        </w:rPr>
        <w:t>万元，主要用于人员经费、单位日常工作运转经费；社会保障和就业支出</w:t>
      </w:r>
      <w:r>
        <w:rPr>
          <w:rFonts w:hint="eastAsia" w:ascii="仿宋_GB2312" w:hAnsi="宋体" w:eastAsia="仿宋_GB2312" w:cs="宋体"/>
          <w:kern w:val="0"/>
          <w:sz w:val="32"/>
          <w:szCs w:val="32"/>
          <w:lang w:val="en-US" w:eastAsia="zh-CN"/>
        </w:rPr>
        <w:t>8.4</w:t>
      </w:r>
      <w:r>
        <w:rPr>
          <w:rFonts w:hint="eastAsia" w:ascii="仿宋_GB2312" w:hAnsi="宋体" w:eastAsia="仿宋_GB2312" w:cs="宋体"/>
          <w:kern w:val="0"/>
          <w:sz w:val="32"/>
          <w:szCs w:val="32"/>
        </w:rPr>
        <w:t>万元，主要用于机关事业单位基本养老保险缴费支出；卫生健康支出</w:t>
      </w:r>
      <w:r>
        <w:rPr>
          <w:rFonts w:hint="eastAsia" w:ascii="仿宋_GB2312" w:hAnsi="宋体" w:eastAsia="仿宋_GB2312" w:cs="宋体"/>
          <w:kern w:val="0"/>
          <w:sz w:val="32"/>
          <w:szCs w:val="32"/>
          <w:lang w:val="en-US" w:eastAsia="zh-CN"/>
        </w:rPr>
        <w:t>5.88</w:t>
      </w:r>
      <w:r>
        <w:rPr>
          <w:rFonts w:hint="eastAsia" w:ascii="仿宋_GB2312" w:hAnsi="宋体" w:eastAsia="仿宋_GB2312" w:cs="宋体"/>
          <w:kern w:val="0"/>
          <w:sz w:val="32"/>
          <w:szCs w:val="32"/>
        </w:rPr>
        <w:t>万元，主要用于事业单位医疗、公务员医疗补助及其他行政事业单位医疗支出；住房保障支出</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.49万元，主要用于单位住房公积金支出。</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关于呼图壁县机关事务服务中心2025年一般公共预算当年拨款情况说明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呼图壁县机关事务服务中心2025年一般公共预算拨款合计636.96万元，其中：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基本支出156.96万元，比上年预算减少70.53万元，下降31</w:t>
      </w:r>
      <w:r>
        <w:rPr>
          <w:rFonts w:hint="eastAsia" w:ascii="仿宋_GB2312" w:hAnsi="仿宋_GB2312" w:eastAsia="仿宋_GB2312" w:cs="仿宋_GB2312"/>
          <w:kern w:val="0"/>
          <w:sz w:val="32"/>
          <w:szCs w:val="32"/>
          <w:lang w:val="en-US" w:eastAsia="zh-CN"/>
        </w:rPr>
        <w:t>.00</w:t>
      </w:r>
      <w:r>
        <w:rPr>
          <w:rFonts w:hint="eastAsia" w:ascii="仿宋_GB2312" w:hAnsi="仿宋_GB2312" w:eastAsia="仿宋_GB2312" w:cs="仿宋_GB2312"/>
          <w:kern w:val="0"/>
          <w:sz w:val="32"/>
          <w:szCs w:val="32"/>
        </w:rPr>
        <w:t>%。主要原因：</w:t>
      </w:r>
      <w:r>
        <w:rPr>
          <w:rFonts w:hint="eastAsia" w:ascii="仿宋_GB2312" w:hAnsi="宋体" w:eastAsia="仿宋_GB2312" w:cs="宋体"/>
          <w:kern w:val="0"/>
          <w:sz w:val="32"/>
          <w:szCs w:val="32"/>
        </w:rPr>
        <w:t>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项目支出480万元，比上年预算减少100万元，下降17.24%。主要原因是：</w:t>
      </w:r>
      <w:r>
        <w:rPr>
          <w:rFonts w:hint="eastAsia" w:ascii="仿宋_GB2312" w:hAnsi="宋体" w:eastAsia="仿宋_GB2312" w:cs="宋体"/>
          <w:kern w:val="0"/>
          <w:sz w:val="32"/>
          <w:szCs w:val="32"/>
        </w:rPr>
        <w:t>减少了100万元招商引资非定额经费，划转至呼图壁县商务和工业信息化局。</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1.一般公共服务支出（类）616.18万元，占96.74%。</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2.社会保障和就业支出（类）8.4万元，占1.32%。</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3.卫生健康支出（类）5.88万元，占0.92%。</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4.住房保障支出（类）6.49万元，占1.02%</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一般公共服务支出（类）政府</w:t>
      </w:r>
      <w:r>
        <w:rPr>
          <w:rFonts w:hint="eastAsia" w:ascii="仿宋_GB2312" w:hAnsi="宋体" w:eastAsia="仿宋_GB2312" w:cs="宋体"/>
          <w:color w:val="auto"/>
          <w:kern w:val="0"/>
          <w:sz w:val="32"/>
          <w:szCs w:val="32"/>
        </w:rPr>
        <w:t>办公厅（室）及相关机构事务（款）机关服务（项）</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2025</w:t>
      </w:r>
      <w:r>
        <w:rPr>
          <w:rFonts w:ascii="仿宋_GB2312" w:hAnsi="宋体" w:eastAsia="仿宋_GB2312" w:cs="宋体"/>
          <w:color w:val="auto"/>
          <w:kern w:val="0"/>
          <w:sz w:val="32"/>
          <w:szCs w:val="32"/>
        </w:rPr>
        <w:t>年预算数为</w:t>
      </w:r>
      <w:r>
        <w:rPr>
          <w:rFonts w:hint="eastAsia" w:ascii="仿宋_GB2312" w:hAnsi="宋体" w:eastAsia="仿宋_GB2312" w:cs="宋体"/>
          <w:color w:val="auto"/>
          <w:kern w:val="0"/>
          <w:sz w:val="32"/>
          <w:szCs w:val="32"/>
        </w:rPr>
        <w:t>480</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 xml:space="preserve">比上年预算减少100万元，下降17.24%，主要原因是：减少了100万元招商引资非定额经费，划转至呼图壁县商务和工业信息化局。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rPr>
        <w:t>2.</w:t>
      </w:r>
      <w:r>
        <w:rPr>
          <w:rFonts w:hint="eastAsia" w:ascii="仿宋_GB2312" w:hAnsi="宋体" w:eastAsia="仿宋_GB2312" w:cs="宋体"/>
          <w:color w:val="auto"/>
          <w:kern w:val="0"/>
          <w:sz w:val="32"/>
          <w:szCs w:val="32"/>
        </w:rPr>
        <w:t>一般公共服务支出（类）政府办公厅（室）及相关机</w:t>
      </w:r>
      <w:r>
        <w:rPr>
          <w:rFonts w:hint="eastAsia" w:ascii="仿宋_GB2312" w:hAnsi="宋体" w:eastAsia="仿宋_GB2312" w:cs="宋体"/>
          <w:kern w:val="0"/>
          <w:sz w:val="32"/>
          <w:szCs w:val="32"/>
        </w:rPr>
        <w:t>构事务（款）事业运行（项）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2025</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136.18</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比上年预算减少53.71万元，下降28.28%，主要原因是：调出1人及4人划转至呼图壁县商务和工业信息化局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3.社会保障和就业支出（类）行政事业单位养老支出（款）事业单位离退休（项）：2025年预算数为0.62万元，比上年预算减少0.28万元，下降31.11%，主要原因是：退休人员医疗认定完成，减少退休医疗保险缴纳。</w:t>
      </w:r>
    </w:p>
    <w:p>
      <w:pPr>
        <w:spacing w:line="600" w:lineRule="exact"/>
        <w:ind w:firstLine="640" w:firstLineChars="200"/>
        <w:rPr>
          <w:rFonts w:ascii="仿宋_GB2312" w:hAnsi="仿宋_GB2312" w:eastAsia="仿宋_GB2312" w:cs="仿宋_GB2312"/>
          <w:kern w:val="0"/>
          <w:sz w:val="32"/>
          <w:szCs w:val="32"/>
        </w:rPr>
      </w:pPr>
      <w:r>
        <w:rPr>
          <w:rFonts w:hint="eastAsia" w:ascii="楷体_GB2312" w:hAnsi="宋体" w:eastAsia="楷体_GB2312" w:cs="宋体"/>
          <w:kern w:val="0"/>
          <w:sz w:val="32"/>
          <w:szCs w:val="32"/>
        </w:rPr>
        <w:t>4.</w:t>
      </w:r>
      <w:r>
        <w:rPr>
          <w:rFonts w:hint="eastAsia" w:ascii="仿宋_GB2312" w:hAnsi="宋体" w:eastAsia="仿宋_GB2312" w:cs="宋体"/>
          <w:kern w:val="0"/>
          <w:sz w:val="32"/>
          <w:szCs w:val="32"/>
        </w:rPr>
        <w:t>社会保障和就业支出（类）行政事业单位养老支出（款）机关事业单位基本养老保险缴费支出（项）：2025年预算数为7.78万元，比上年预算减少7.02万元，下降47.43%，主要原因是：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5.卫生健康支出（类）行政事业单位</w:t>
      </w:r>
      <w:r>
        <w:rPr>
          <w:rFonts w:hint="eastAsia" w:ascii="仿宋_GB2312" w:hAnsi="宋体" w:eastAsia="仿宋_GB2312" w:cs="宋体"/>
          <w:kern w:val="0"/>
          <w:sz w:val="32"/>
          <w:szCs w:val="32"/>
          <w:highlight w:val="none"/>
        </w:rPr>
        <w:t>医疗（款）</w:t>
      </w:r>
      <w:r>
        <w:rPr>
          <w:rFonts w:hint="eastAsia" w:ascii="仿宋_GB2312" w:hAnsi="宋体" w:eastAsia="仿宋_GB2312" w:cs="宋体"/>
          <w:kern w:val="0"/>
          <w:sz w:val="32"/>
          <w:szCs w:val="32"/>
        </w:rPr>
        <w:t>事业单位医疗（项）：2025年预算数为3.89万元，比上年预算减少3.51万元，下降47.43%，主要原因是：调出1人及4人划转至呼图壁县商务和工业信息化局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6.卫生健康支出（类）行政事业单位医疗（款）公务员医疗补助（项）：2025年预算数为1.95万元，比上年预算减少0.08万元，下降3.94%，主要原因是：调出1人及4人划转至呼图壁县商务和工业信息化局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7.卫生健康支出（类）行政事业单位医疗（款）其他行政事业单位医疗支出（项）：2025年预算数为0.05万元，比上年预算减少0.01万元，下降16.67%，主要原因是：调出1人及4人划转至呼图壁县商务和工业信息化局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0" w:firstLineChars="200"/>
      </w:pPr>
      <w:r>
        <w:rPr>
          <w:rFonts w:hint="eastAsia" w:ascii="仿宋_GB2312" w:hAnsi="宋体" w:eastAsia="仿宋_GB2312" w:cs="宋体"/>
          <w:kern w:val="0"/>
          <w:sz w:val="32"/>
          <w:szCs w:val="32"/>
        </w:rPr>
        <w:t>8.住房保障支出（类）住房改革支出（款）住房公积金（项）：2025年预算数为6.49万元，比上年预算减少5.92万元，下降47.7</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%，主要原因是：调出1人及4人划转至呼图壁县商务和工业信息化局</w:t>
      </w:r>
      <w:r>
        <w:rPr>
          <w:rFonts w:hint="eastAsia" w:ascii="仿宋_GB2312" w:hAnsi="仿宋_GB2312" w:eastAsia="仿宋_GB2312" w:cs="仿宋_GB2312"/>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关于呼图壁县机关事务服务中心2025年一般公共预算基本支出情况说明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呼图壁县机关事务服务中心</w:t>
      </w:r>
      <w:r>
        <w:rPr>
          <w:rFonts w:hint="eastAsia" w:ascii="仿宋_GB2312" w:hAnsi="宋体" w:eastAsia="仿宋_GB2312" w:cs="宋体"/>
          <w:spacing w:val="-6"/>
          <w:kern w:val="0"/>
          <w:sz w:val="32"/>
          <w:szCs w:val="32"/>
        </w:rPr>
        <w:t>2025年一般公共预算基本支出156</w:t>
      </w:r>
      <w:r>
        <w:rPr>
          <w:rFonts w:hint="eastAsia" w:ascii="仿宋_GB2312" w:hAnsi="宋体" w:eastAsia="仿宋_GB2312" w:cs="宋体"/>
          <w:spacing w:val="-6"/>
          <w:kern w:val="0"/>
          <w:sz w:val="32"/>
          <w:szCs w:val="32"/>
          <w:lang w:val="en-US" w:eastAsia="zh-CN"/>
        </w:rPr>
        <w:t>.</w:t>
      </w:r>
      <w:r>
        <w:rPr>
          <w:rFonts w:hint="eastAsia" w:ascii="仿宋_GB2312" w:hAnsi="宋体" w:eastAsia="仿宋_GB2312" w:cs="宋体"/>
          <w:spacing w:val="-6"/>
          <w:kern w:val="0"/>
          <w:sz w:val="32"/>
          <w:szCs w:val="32"/>
        </w:rPr>
        <w:t>96万元， 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sz w:val="32"/>
          <w:szCs w:val="32"/>
        </w:rPr>
        <w:t>人员经费75.59万元，主要包括：基本工资、津贴补贴、奖金、绩效工资、机关事业单位基本养老保险缴费、职工基本医疗保险缴费、公务员医疗补助缴费、其他社会保障缴费、住房公积金、退休费、生活补助、奖励金</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公用经费81.37万元，主要包括：邮电费、取暖费、劳务费、工会经费、公务用车运行维护费。</w:t>
      </w:r>
    </w:p>
    <w:p>
      <w:pPr>
        <w:spacing w:line="600" w:lineRule="exact"/>
        <w:ind w:firstLine="643" w:firstLineChars="200"/>
        <w:rPr>
          <w:rFonts w:ascii="仿宋_GB2312" w:hAnsi="黑体" w:eastAsia="仿宋_GB2312"/>
          <w:b/>
          <w:color w:val="FF000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关于呼图壁县机关事务服务中心2025年一般公共预算项目支出情况说明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：运转经费（2025年非定额）</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呼党财</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sz w:val="32"/>
          <w:szCs w:val="32"/>
          <w:lang w:val="en-US" w:eastAsia="zh-CN"/>
        </w:rPr>
        <w:t>1</w:t>
      </w:r>
      <w:r>
        <w:rPr>
          <w:rFonts w:hint="eastAsia" w:ascii="仿宋_GB2312" w:hAnsi="黑体" w:eastAsia="仿宋_GB2312"/>
          <w:sz w:val="32"/>
          <w:szCs w:val="32"/>
        </w:rPr>
        <w:t>号</w:t>
      </w:r>
      <w:r>
        <w:rPr>
          <w:rFonts w:hint="eastAsia" w:ascii="仿宋_GB2312" w:hAnsi="黑体" w:eastAsia="仿宋_GB2312"/>
          <w:sz w:val="32"/>
          <w:szCs w:val="32"/>
          <w:lang w:val="en-US" w:eastAsia="zh-CN"/>
        </w:rPr>
        <w:t>2025年呼图壁县委财经委员会第一次会议纪要</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480万元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呼图壁县机关事务服务中心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办公费</w:t>
      </w:r>
      <w:r>
        <w:rPr>
          <w:rFonts w:hint="eastAsia" w:ascii="仿宋_GB2312" w:hAnsi="宋体" w:eastAsia="仿宋_GB2312" w:cs="宋体"/>
          <w:kern w:val="0"/>
          <w:sz w:val="32"/>
          <w:szCs w:val="32"/>
          <w:lang w:val="en-US" w:eastAsia="zh-CN"/>
        </w:rPr>
        <w:t>60万元、邮电费6万元、电费15万元、水费10万元、印刷费4万元、劳务费196万元、差旅费2万元、公务接待费27万元、委托业务费30万元、维修（护）费110万元、设备购置费20万元。</w:t>
      </w:r>
    </w:p>
    <w:p>
      <w:pPr>
        <w:spacing w:line="60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2025年1月</w:t>
      </w:r>
      <w:r>
        <w:rPr>
          <w:rFonts w:hint="eastAsia" w:ascii="仿宋_GB2312" w:hAnsi="宋体" w:eastAsia="仿宋_GB2312" w:cs="宋体"/>
          <w:kern w:val="0"/>
          <w:sz w:val="32"/>
          <w:szCs w:val="32"/>
          <w:lang w:val="en-US" w:eastAsia="zh-CN"/>
        </w:rPr>
        <w:t>1日</w:t>
      </w:r>
      <w:r>
        <w:rPr>
          <w:rFonts w:hint="eastAsia" w:ascii="仿宋_GB2312" w:hAnsi="宋体" w:eastAsia="仿宋_GB2312" w:cs="宋体"/>
          <w:kern w:val="0"/>
          <w:sz w:val="32"/>
          <w:szCs w:val="32"/>
        </w:rPr>
        <w:t>-2025年12月</w:t>
      </w:r>
      <w:r>
        <w:rPr>
          <w:rFonts w:hint="eastAsia" w:ascii="仿宋_GB2312" w:hAnsi="宋体" w:eastAsia="仿宋_GB2312" w:cs="宋体"/>
          <w:kern w:val="0"/>
          <w:sz w:val="32"/>
          <w:szCs w:val="32"/>
          <w:lang w:val="en-US" w:eastAsia="zh-CN"/>
        </w:rPr>
        <w:t>31日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八、关于呼图壁县机关事务服务中心2025年政府性基金预算拨款情况说明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呼图壁县机关事务服务中心2025年没有使用政府性基金预算拨款安排的支出，政府性基金预算支出情况表为空表。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九、关于呼图壁县机关事务服务中心2025年国有资本经营预算拨款情况说明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呼图壁县机关事务服务中心2025年没有使用国有资本经营预算拨款安排的支出，国有资本经营预算支出情况表为空表。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十、关于呼图壁县机关事务服务中心2025年财政拨款“三公”经费预算情况说明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呼图壁县机关事务服务中心2025年财政拨款“三公”经费数为54.2万元，其中：因公出国（境）费 0万元，公务用车购置费0万元，公务用车运行费27.2万元，公务接待费27万元。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2025年财政拨款“三公”经费比上年预算减少46.3万元，下降46.07%，其中：因公出国（境）费增加0万元，增长0%</w:t>
      </w:r>
      <w:r>
        <w:rPr>
          <w:rFonts w:hint="eastAsia" w:ascii="仿宋_GB2312" w:hAnsi="宋体" w:eastAsia="仿宋_GB2312" w:cs="宋体"/>
          <w:color w:val="auto"/>
          <w:kern w:val="0"/>
          <w:sz w:val="32"/>
          <w:szCs w:val="32"/>
        </w:rPr>
        <w:t>，主要原因</w:t>
      </w:r>
      <w:r>
        <w:rPr>
          <w:rFonts w:hint="eastAsia" w:ascii="仿宋_GB2312" w:hAnsi="宋体" w:eastAsia="仿宋_GB2312" w:cs="宋体"/>
          <w:color w:val="auto"/>
          <w:kern w:val="0"/>
          <w:sz w:val="32"/>
          <w:szCs w:val="32"/>
          <w:lang w:val="en-US" w:eastAsia="zh-CN"/>
        </w:rPr>
        <w:t>是</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eastAsia="zh-CN"/>
        </w:rPr>
        <w:t>和</w:t>
      </w:r>
      <w:r>
        <w:rPr>
          <w:rFonts w:hint="eastAsia" w:ascii="仿宋_GB2312" w:hAnsi="宋体" w:eastAsia="仿宋_GB2312" w:cs="宋体"/>
          <w:color w:val="auto"/>
          <w:kern w:val="0"/>
          <w:sz w:val="32"/>
          <w:szCs w:val="32"/>
          <w:lang w:val="en-US" w:eastAsia="zh-CN"/>
        </w:rPr>
        <w:t>2025年均</w:t>
      </w:r>
      <w:r>
        <w:rPr>
          <w:rFonts w:hint="eastAsia" w:ascii="仿宋_GB2312" w:hAnsi="宋体" w:eastAsia="仿宋_GB2312" w:cs="宋体"/>
          <w:color w:val="auto"/>
          <w:kern w:val="0"/>
          <w:sz w:val="32"/>
          <w:szCs w:val="32"/>
        </w:rPr>
        <w:t>未安排因公出国（境）费；</w:t>
      </w:r>
      <w:r>
        <w:rPr>
          <w:rFonts w:hint="eastAsia" w:ascii="仿宋_GB2312" w:hAnsi="宋体" w:eastAsia="仿宋_GB2312" w:cs="宋体"/>
          <w:kern w:val="0"/>
          <w:sz w:val="32"/>
          <w:szCs w:val="32"/>
        </w:rPr>
        <w:t>公务用车购置费增加0万元，增长0%，主要原因</w:t>
      </w:r>
      <w:r>
        <w:rPr>
          <w:rFonts w:hint="eastAsia" w:ascii="仿宋_GB2312" w:hAnsi="宋体" w:eastAsia="仿宋_GB2312" w:cs="宋体"/>
          <w:kern w:val="0"/>
          <w:sz w:val="32"/>
          <w:szCs w:val="32"/>
          <w:lang w:val="en-US" w:eastAsia="zh-CN"/>
        </w:rPr>
        <w:t>是</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eastAsia="zh-CN"/>
        </w:rPr>
        <w:t>和</w:t>
      </w:r>
      <w:r>
        <w:rPr>
          <w:rFonts w:hint="eastAsia" w:ascii="仿宋_GB2312" w:hAnsi="宋体" w:eastAsia="仿宋_GB2312" w:cs="宋体"/>
          <w:color w:val="auto"/>
          <w:kern w:val="0"/>
          <w:sz w:val="32"/>
          <w:szCs w:val="32"/>
          <w:lang w:val="en-US" w:eastAsia="zh-CN"/>
        </w:rPr>
        <w:t>2025年均</w:t>
      </w:r>
      <w:r>
        <w:rPr>
          <w:rFonts w:hint="eastAsia" w:ascii="仿宋_GB2312" w:hAnsi="宋体" w:eastAsia="仿宋_GB2312" w:cs="宋体"/>
          <w:kern w:val="0"/>
          <w:sz w:val="32"/>
          <w:szCs w:val="32"/>
        </w:rPr>
        <w:t>未安排公务用车购置费；公务用车运行费减少8万元，下降22.73%，主要原因是县招商引资服务中心于2025年起整体划转至呼图壁县商务和工业信息化局</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2025年</w:t>
      </w:r>
      <w:r>
        <w:rPr>
          <w:rFonts w:hint="eastAsia" w:ascii="仿宋_GB2312" w:hAnsi="宋体" w:eastAsia="仿宋_GB2312" w:cs="宋体"/>
          <w:kern w:val="0"/>
          <w:sz w:val="32"/>
          <w:szCs w:val="32"/>
          <w:lang w:eastAsia="zh-CN"/>
        </w:rPr>
        <w:t>预算时减少了招商引资服务中心的公务用车运行费</w:t>
      </w:r>
      <w:r>
        <w:rPr>
          <w:rFonts w:hint="eastAsia" w:ascii="仿宋_GB2312" w:hAnsi="宋体" w:eastAsia="仿宋_GB2312" w:cs="宋体"/>
          <w:kern w:val="0"/>
          <w:sz w:val="32"/>
          <w:szCs w:val="32"/>
        </w:rPr>
        <w:t>；公务接待费减少38.3万元，下降58.65%，主要原因是县招商引资服务中心于2025年起整体划转至呼图壁县商务和工业信息化局</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2025年</w:t>
      </w:r>
      <w:r>
        <w:rPr>
          <w:rFonts w:hint="eastAsia" w:ascii="仿宋_GB2312" w:hAnsi="宋体" w:eastAsia="仿宋_GB2312" w:cs="宋体"/>
          <w:kern w:val="0"/>
          <w:sz w:val="32"/>
          <w:szCs w:val="32"/>
          <w:lang w:eastAsia="zh-CN"/>
        </w:rPr>
        <w:t>预算时减少了招商引资服务中心的公务接待费</w:t>
      </w:r>
    </w:p>
    <w:p>
      <w:pPr>
        <w:spacing w:line="600" w:lineRule="exact"/>
        <w:ind w:firstLine="643" w:firstLineChars="200"/>
        <w:rPr>
          <w:rFonts w:ascii="仿宋_GB2312" w:hAnsi="仿宋_GB2312" w:eastAsia="仿宋_GB2312" w:cs="仿宋_GB2312"/>
          <w:color w:val="FF0000"/>
          <w:kern w:val="0"/>
          <w:sz w:val="32"/>
          <w:szCs w:val="32"/>
        </w:rPr>
      </w:pPr>
      <w:r>
        <w:rPr>
          <w:rFonts w:hint="eastAsia" w:ascii="楷体_GB2312" w:hAnsi="楷体_GB2312" w:eastAsia="楷体_GB2312" w:cs="楷体_GB2312"/>
          <w:b/>
          <w:bCs/>
          <w:kern w:val="0"/>
          <w:sz w:val="32"/>
          <w:szCs w:val="32"/>
        </w:rPr>
        <w:t>十一、关于呼图壁县机关事务服务中心2025年上年结转结余预算情况说明</w:t>
      </w:r>
    </w:p>
    <w:p>
      <w:pPr>
        <w:spacing w:line="600" w:lineRule="exact"/>
        <w:ind w:firstLine="640" w:firstLineChars="200"/>
        <w:rPr>
          <w:rFonts w:ascii="仿宋_GB2312" w:hAnsi="仿宋_GB2312" w:eastAsia="仿宋_GB2312" w:cs="仿宋_GB2312"/>
          <w:b/>
          <w:color w:val="FF0000"/>
          <w:kern w:val="0"/>
          <w:sz w:val="32"/>
          <w:szCs w:val="32"/>
        </w:rPr>
      </w:pPr>
      <w:r>
        <w:rPr>
          <w:rFonts w:hint="eastAsia" w:ascii="仿宋_GB2312" w:hAnsi="仿宋_GB2312" w:eastAsia="仿宋_GB2312" w:cs="仿宋_GB2312"/>
          <w:kern w:val="0"/>
          <w:sz w:val="32"/>
          <w:szCs w:val="32"/>
        </w:rPr>
        <w:t>呼图壁县机关事务服务中心2025年没有上年结转结余预算安排的支出，上年结转结余情况明细表为空表。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呼图壁县机关事务服务中心2025年的事业单位运行经费财政拨款预算81.37万元，比上年预算增加11.89万元，增长17.11%。主要原因是增加</w:t>
      </w:r>
      <w:r>
        <w:rPr>
          <w:rFonts w:hint="eastAsia" w:ascii="仿宋_GB2312" w:hAnsi="宋体" w:eastAsia="仿宋_GB2312" w:cs="宋体"/>
          <w:kern w:val="0"/>
          <w:sz w:val="32"/>
          <w:szCs w:val="32"/>
        </w:rPr>
        <w:t>编外人员</w:t>
      </w:r>
      <w:r>
        <w:rPr>
          <w:rFonts w:hint="eastAsia" w:ascii="仿宋_GB2312" w:hAnsi="仿宋_GB2312" w:eastAsia="仿宋_GB2312" w:cs="仿宋_GB2312"/>
          <w:kern w:val="0"/>
          <w:sz w:val="32"/>
          <w:szCs w:val="32"/>
        </w:rPr>
        <w:t>劳务费，</w:t>
      </w:r>
      <w:r>
        <w:rPr>
          <w:rFonts w:hint="eastAsia" w:ascii="仿宋_GB2312" w:hAnsi="宋体" w:eastAsia="仿宋_GB2312" w:cs="宋体"/>
          <w:kern w:val="0"/>
          <w:sz w:val="32"/>
          <w:szCs w:val="32"/>
        </w:rPr>
        <w:t>2025年将编外人员工资由</w:t>
      </w:r>
      <w:r>
        <w:rPr>
          <w:rFonts w:hint="eastAsia" w:ascii="仿宋_GB2312" w:hAnsi="仿宋_GB2312" w:eastAsia="仿宋_GB2312" w:cs="仿宋_GB2312"/>
          <w:kern w:val="0"/>
          <w:sz w:val="32"/>
          <w:szCs w:val="32"/>
        </w:rPr>
        <w:t>其他工资福利支出调整为劳务费。</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2025年，呼图壁县机关事务服务中心政府采购预算   235.2万元，其中：政府采购货物预算115万元，政府采购工程预算0万元，政府采购服务预算120.2万元。</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kern w:val="0"/>
          <w:sz w:val="32"/>
          <w:szCs w:val="32"/>
        </w:rPr>
        <w:t>2025年，呼图壁县机关事务服务中心</w:t>
      </w:r>
      <w:r>
        <w:rPr>
          <w:rFonts w:hint="eastAsia" w:ascii="仿宋_GB2312" w:hAnsi="仿宋_GB2312" w:eastAsia="仿宋_GB2312" w:cs="仿宋_GB2312"/>
          <w:sz w:val="32"/>
        </w:rPr>
        <w:t>面向中小企业预留政府采购项目预算金额221.2万元，小微企业预留政府采购项目预算金额219.2万元。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截至2024年底，呼图壁县机关事务服务中心占用使用国有资产总体情况为：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1.房屋5770.4平方米，价值851.71万元。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2.车辆17辆，价值264.53万元；其中：一般公务用车17辆，价值264.53万元；执法执勤用车0辆，价值0万元；其他车辆0辆，价值0万元。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3.办公家具价值85.68万元。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4.其他资产价值193.79万元。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部门价值50万元以上大型设备0台，部门价值100万元以上大型设备0台。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2025年部门预算未安排购置车辆经费，安排购置50万元以上大型设备0台，单位价值100万元以上大型设备0台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kern w:val="0"/>
          <w:sz w:val="32"/>
          <w:szCs w:val="32"/>
        </w:rPr>
      </w:pPr>
      <w:bookmarkStart w:id="0" w:name="OLE_LINK1"/>
      <w:r>
        <w:rPr>
          <w:rFonts w:eastAsia="仿宋_GB2312"/>
          <w:kern w:val="0"/>
          <w:sz w:val="32"/>
          <w:szCs w:val="32"/>
        </w:rPr>
        <w:t>2025</w:t>
      </w:r>
      <w:r>
        <w:rPr>
          <w:rFonts w:hint="eastAsia" w:ascii="仿宋_GB2312" w:hAnsi="仿宋_GB2312" w:eastAsia="仿宋_GB2312" w:cs="仿宋_GB2312"/>
          <w:kern w:val="0"/>
          <w:sz w:val="32"/>
          <w:szCs w:val="32"/>
        </w:rPr>
        <w:t xml:space="preserve">年，本部门预算绩效管理整体预算绩效目标1个，涉及预算金额718.96万元；当年预算安排项目共1个，其中:财政拨款项目涉及预算金额480万元；非财政拨款项目涉及预算金额0万元。具体情况见下表：  </w:t>
      </w:r>
    </w:p>
    <w:bookmarkEnd w:id="0"/>
    <w:tbl>
      <w:tblPr>
        <w:tblStyle w:val="7"/>
        <w:tblpPr w:leftFromText="180" w:rightFromText="180" w:vertAnchor="text" w:horzAnchor="page" w:tblpX="1210" w:tblpY="-1043"/>
        <w:tblOverlap w:val="never"/>
        <w:tblW w:w="9340" w:type="dxa"/>
        <w:tblInd w:w="0" w:type="dxa"/>
        <w:tblLayout w:type="fixed"/>
        <w:tblCellMar>
          <w:top w:w="0" w:type="dxa"/>
          <w:left w:w="108" w:type="dxa"/>
          <w:bottom w:w="0" w:type="dxa"/>
          <w:right w:w="108" w:type="dxa"/>
        </w:tblCellMar>
      </w:tblPr>
      <w:tblGrid>
        <w:gridCol w:w="1080"/>
        <w:gridCol w:w="1125"/>
        <w:gridCol w:w="2205"/>
        <w:gridCol w:w="1162"/>
        <w:gridCol w:w="2003"/>
        <w:gridCol w:w="622"/>
        <w:gridCol w:w="1143"/>
      </w:tblGrid>
      <w:tr>
        <w:tblPrEx>
          <w:tblCellMar>
            <w:top w:w="0" w:type="dxa"/>
            <w:left w:w="108" w:type="dxa"/>
            <w:bottom w:w="0" w:type="dxa"/>
            <w:right w:w="108" w:type="dxa"/>
          </w:tblCellMar>
        </w:tblPrEx>
        <w:trPr>
          <w:trHeight w:val="668" w:hRule="atLeast"/>
        </w:trPr>
        <w:tc>
          <w:tcPr>
            <w:tcW w:w="9340" w:type="dxa"/>
            <w:gridSpan w:val="7"/>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部门整体绩效目标表</w:t>
            </w:r>
          </w:p>
        </w:tc>
      </w:tr>
      <w:tr>
        <w:tblPrEx>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（2025年）</w:t>
            </w:r>
          </w:p>
        </w:tc>
      </w:tr>
      <w:tr>
        <w:tblPrEx>
          <w:tblCellMar>
            <w:top w:w="0" w:type="dxa"/>
            <w:left w:w="108" w:type="dxa"/>
            <w:bottom w:w="0" w:type="dxa"/>
            <w:right w:w="108" w:type="dxa"/>
          </w:tblCellMar>
        </w:tblPrEx>
        <w:trPr>
          <w:trHeight w:val="484" w:hRule="atLeast"/>
        </w:trPr>
        <w:tc>
          <w:tcPr>
            <w:tcW w:w="2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单位名称（盖章）</w:t>
            </w:r>
          </w:p>
        </w:tc>
        <w:tc>
          <w:tcPr>
            <w:tcW w:w="7135" w:type="dxa"/>
            <w:gridSpan w:val="5"/>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kern w:val="0"/>
                <w:sz w:val="18"/>
                <w:szCs w:val="18"/>
              </w:rPr>
              <w:t>呼图壁县机关事务服务中心</w:t>
            </w:r>
          </w:p>
        </w:tc>
      </w:tr>
      <w:tr>
        <w:tblPrEx>
          <w:tblCellMar>
            <w:top w:w="0" w:type="dxa"/>
            <w:left w:w="108" w:type="dxa"/>
            <w:bottom w:w="0" w:type="dxa"/>
            <w:right w:w="108" w:type="dxa"/>
          </w:tblCellMar>
        </w:tblPrEx>
        <w:trPr>
          <w:trHeight w:val="439" w:hRule="atLeast"/>
        </w:trPr>
        <w:tc>
          <w:tcPr>
            <w:tcW w:w="2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单位联系人</w:t>
            </w:r>
          </w:p>
        </w:tc>
        <w:tc>
          <w:tcPr>
            <w:tcW w:w="336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孙妮妮</w:t>
            </w:r>
          </w:p>
        </w:tc>
        <w:tc>
          <w:tcPr>
            <w:tcW w:w="20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76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13709943200</w:t>
            </w:r>
          </w:p>
        </w:tc>
      </w:tr>
      <w:tr>
        <w:tblPrEx>
          <w:tblCellMar>
            <w:top w:w="0" w:type="dxa"/>
            <w:left w:w="108" w:type="dxa"/>
            <w:bottom w:w="0" w:type="dxa"/>
            <w:right w:w="108" w:type="dxa"/>
          </w:tblCellMar>
        </w:tblPrEx>
        <w:trPr>
          <w:trHeight w:val="1344" w:hRule="atLeast"/>
        </w:trPr>
        <w:tc>
          <w:tcPr>
            <w:tcW w:w="2205"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7135"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400" w:firstLineChars="200"/>
              <w:jc w:val="left"/>
              <w:textAlignment w:val="center"/>
              <w:rPr>
                <w:rFonts w:ascii="宋体" w:hAnsi="宋体" w:cs="宋体"/>
                <w:color w:val="000000"/>
                <w:sz w:val="20"/>
                <w:szCs w:val="20"/>
              </w:rPr>
            </w:pPr>
            <w:r>
              <w:rPr>
                <w:rFonts w:hint="eastAsia" w:ascii="宋体" w:hAnsi="宋体" w:cs="宋体"/>
                <w:color w:val="000000"/>
                <w:kern w:val="0"/>
                <w:sz w:val="20"/>
                <w:szCs w:val="20"/>
              </w:rPr>
              <w:t>2025年我单位整体完成人员工资、社保及公积金等发放、办公用房管理、公务用车管理、公共机构节能等内容，通过项目的实施，推进公共机构节能改造，推进绿色机关日常监管，组织专业队伍对用能系统和设备进行运行调节、巡视检查和维护保养。推进“节约型机关”建设，负责县级机关的管理、保障、服务工作；承办县四套班子的重大接待服务工作；做好机关食堂的管理工作；县级机关办公场所的环境卫生、庭院绿化、安全保卫、公用设施管理等工作。</w:t>
            </w:r>
          </w:p>
        </w:tc>
      </w:tr>
      <w:tr>
        <w:tblPrEx>
          <w:tblCellMar>
            <w:top w:w="0" w:type="dxa"/>
            <w:left w:w="108" w:type="dxa"/>
            <w:bottom w:w="0" w:type="dxa"/>
            <w:right w:w="108" w:type="dxa"/>
          </w:tblCellMar>
        </w:tblPrEx>
        <w:trPr>
          <w:trHeight w:val="676" w:hRule="atLeast"/>
        </w:trPr>
        <w:tc>
          <w:tcPr>
            <w:tcW w:w="220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336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76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CellMar>
            <w:top w:w="0" w:type="dxa"/>
            <w:left w:w="108" w:type="dxa"/>
            <w:bottom w:w="0" w:type="dxa"/>
            <w:right w:w="108" w:type="dxa"/>
          </w:tblCellMar>
        </w:tblPrEx>
        <w:trPr>
          <w:trHeight w:val="554" w:hRule="atLeast"/>
        </w:trPr>
        <w:tc>
          <w:tcPr>
            <w:tcW w:w="220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20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768"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0</w:t>
            </w:r>
          </w:p>
        </w:tc>
      </w:tr>
      <w:tr>
        <w:tblPrEx>
          <w:tblCellMar>
            <w:top w:w="0" w:type="dxa"/>
            <w:left w:w="108" w:type="dxa"/>
            <w:bottom w:w="0" w:type="dxa"/>
            <w:right w:w="108" w:type="dxa"/>
          </w:tblCellMar>
        </w:tblPrEx>
        <w:trPr>
          <w:trHeight w:val="604" w:hRule="atLeast"/>
        </w:trPr>
        <w:tc>
          <w:tcPr>
            <w:tcW w:w="220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20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768"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636.96</w:t>
            </w:r>
          </w:p>
        </w:tc>
      </w:tr>
      <w:tr>
        <w:tblPrEx>
          <w:tblCellMar>
            <w:top w:w="0" w:type="dxa"/>
            <w:left w:w="108" w:type="dxa"/>
            <w:bottom w:w="0" w:type="dxa"/>
            <w:right w:w="108" w:type="dxa"/>
          </w:tblCellMar>
        </w:tblPrEx>
        <w:trPr>
          <w:trHeight w:val="487" w:hRule="atLeast"/>
        </w:trPr>
        <w:tc>
          <w:tcPr>
            <w:tcW w:w="220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768"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82</w:t>
            </w:r>
          </w:p>
        </w:tc>
      </w:tr>
      <w:tr>
        <w:tblPrEx>
          <w:tblCellMar>
            <w:top w:w="0" w:type="dxa"/>
            <w:left w:w="108" w:type="dxa"/>
            <w:bottom w:w="0" w:type="dxa"/>
            <w:right w:w="108" w:type="dxa"/>
          </w:tblCellMar>
        </w:tblPrEx>
        <w:trPr>
          <w:trHeight w:val="1064"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1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CellMar>
            <w:top w:w="0" w:type="dxa"/>
            <w:left w:w="108" w:type="dxa"/>
            <w:bottom w:w="0" w:type="dxa"/>
            <w:right w:w="108" w:type="dxa"/>
          </w:tblCellMar>
        </w:tblPrEx>
        <w:trPr>
          <w:trHeight w:val="402"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12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16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14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312"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16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14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501" w:hRule="atLeast"/>
        </w:trPr>
        <w:tc>
          <w:tcPr>
            <w:tcW w:w="108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125" w:type="dxa"/>
            <w:vMerge w:val="restart"/>
            <w:tcBorders>
              <w:top w:val="single" w:color="000000" w:sz="4" w:space="0"/>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公共机构食堂反食品浪费成效在线评估</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&gt;=4次</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13</w:t>
            </w:r>
          </w:p>
        </w:tc>
      </w:tr>
      <w:tr>
        <w:tblPrEx>
          <w:tblCellMar>
            <w:top w:w="0" w:type="dxa"/>
            <w:left w:w="108" w:type="dxa"/>
            <w:bottom w:w="0" w:type="dxa"/>
            <w:right w:w="108" w:type="dxa"/>
          </w:tblCellMar>
        </w:tblPrEx>
        <w:trPr>
          <w:trHeight w:val="347"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125"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公务用车指导检查</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&gt;=4次</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15</w:t>
            </w:r>
          </w:p>
        </w:tc>
      </w:tr>
      <w:tr>
        <w:tblPrEx>
          <w:tblCellMar>
            <w:top w:w="0" w:type="dxa"/>
            <w:left w:w="108" w:type="dxa"/>
            <w:bottom w:w="0" w:type="dxa"/>
            <w:right w:w="108" w:type="dxa"/>
          </w:tblCellMar>
        </w:tblPrEx>
        <w:trPr>
          <w:trHeight w:val="392"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125"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办公用房信息上报</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=1次</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11</w:t>
            </w:r>
          </w:p>
        </w:tc>
      </w:tr>
      <w:tr>
        <w:tblPrEx>
          <w:tblCellMar>
            <w:top w:w="0" w:type="dxa"/>
            <w:left w:w="108" w:type="dxa"/>
            <w:bottom w:w="0" w:type="dxa"/>
            <w:right w:w="108" w:type="dxa"/>
          </w:tblCellMar>
        </w:tblPrEx>
        <w:trPr>
          <w:trHeight w:val="407"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125"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公务用车信息上报</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=1次</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12</w:t>
            </w:r>
          </w:p>
        </w:tc>
      </w:tr>
      <w:tr>
        <w:tblPrEx>
          <w:tblCellMar>
            <w:top w:w="0" w:type="dxa"/>
            <w:left w:w="108" w:type="dxa"/>
            <w:bottom w:w="0" w:type="dxa"/>
            <w:right w:w="108" w:type="dxa"/>
          </w:tblCellMar>
        </w:tblPrEx>
        <w:trPr>
          <w:trHeight w:val="407"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125"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保障车辆数量</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=17辆</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14</w:t>
            </w:r>
          </w:p>
        </w:tc>
      </w:tr>
      <w:tr>
        <w:tblPrEx>
          <w:tblCellMar>
            <w:top w:w="0" w:type="dxa"/>
            <w:left w:w="108" w:type="dxa"/>
            <w:bottom w:w="0" w:type="dxa"/>
            <w:right w:w="108" w:type="dxa"/>
          </w:tblCellMar>
        </w:tblPrEx>
        <w:trPr>
          <w:trHeight w:val="407"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质量指标</w:t>
            </w: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公务用车、公务用房信息上报完成率</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&gt;=100%</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15</w:t>
            </w:r>
          </w:p>
        </w:tc>
      </w:tr>
      <w:tr>
        <w:tblPrEx>
          <w:tblCellMar>
            <w:top w:w="0" w:type="dxa"/>
            <w:left w:w="108" w:type="dxa"/>
            <w:bottom w:w="0" w:type="dxa"/>
            <w:right w:w="108" w:type="dxa"/>
          </w:tblCellMar>
        </w:tblPrEx>
        <w:trPr>
          <w:trHeight w:val="407" w:hRule="atLeast"/>
        </w:trPr>
        <w:tc>
          <w:tcPr>
            <w:tcW w:w="108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时效指标</w:t>
            </w: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公务接待及时率</w:t>
            </w: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&gt;=100%</w:t>
            </w: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ascii="Arial" w:hAnsi="Arial" w:cs="Arial"/>
                <w:color w:val="2B2B2B"/>
                <w:kern w:val="0"/>
                <w:sz w:val="20"/>
                <w:szCs w:val="20"/>
              </w:rPr>
              <w:t>呼图壁县机关事务服务中心2025年工作计划</w:t>
            </w:r>
          </w:p>
        </w:tc>
        <w:tc>
          <w:tcPr>
            <w:tcW w:w="114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10</w:t>
            </w:r>
          </w:p>
        </w:tc>
      </w:tr>
      <w:tr>
        <w:tblPrEx>
          <w:tblCellMar>
            <w:top w:w="0" w:type="dxa"/>
            <w:left w:w="108" w:type="dxa"/>
            <w:bottom w:w="0" w:type="dxa"/>
            <w:right w:w="108" w:type="dxa"/>
          </w:tblCellMar>
        </w:tblPrEx>
        <w:trPr>
          <w:trHeight w:val="372"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16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14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469"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12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16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14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570" w:hRule="atLeast"/>
        </w:trPr>
        <w:tc>
          <w:tcPr>
            <w:tcW w:w="1080"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20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16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6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14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bl>
    <w:tbl>
      <w:tblPr>
        <w:tblStyle w:val="7"/>
        <w:tblpPr w:leftFromText="180" w:rightFromText="180" w:vertAnchor="text" w:horzAnchor="page" w:tblpX="1103" w:tblpY="515"/>
        <w:tblOverlap w:val="never"/>
        <w:tblW w:w="9220" w:type="dxa"/>
        <w:tblInd w:w="0" w:type="dxa"/>
        <w:tblLayout w:type="fixed"/>
        <w:tblCellMar>
          <w:top w:w="0" w:type="dxa"/>
          <w:left w:w="108" w:type="dxa"/>
          <w:bottom w:w="0" w:type="dxa"/>
          <w:right w:w="108" w:type="dxa"/>
        </w:tblCellMar>
      </w:tblPr>
      <w:tblGrid>
        <w:gridCol w:w="1016"/>
        <w:gridCol w:w="1341"/>
        <w:gridCol w:w="1085"/>
        <w:gridCol w:w="1120"/>
        <w:gridCol w:w="870"/>
        <w:gridCol w:w="766"/>
        <w:gridCol w:w="491"/>
        <w:gridCol w:w="362"/>
        <w:gridCol w:w="583"/>
        <w:gridCol w:w="987"/>
        <w:gridCol w:w="599"/>
      </w:tblGrid>
      <w:tr>
        <w:tblPrEx>
          <w:tblCellMar>
            <w:top w:w="0" w:type="dxa"/>
            <w:left w:w="108" w:type="dxa"/>
            <w:bottom w:w="0" w:type="dxa"/>
            <w:right w:w="108" w:type="dxa"/>
          </w:tblCellMar>
        </w:tblPrEx>
        <w:trPr>
          <w:trHeight w:val="90" w:hRule="atLeast"/>
        </w:trPr>
        <w:tc>
          <w:tcPr>
            <w:tcW w:w="9220" w:type="dxa"/>
            <w:gridSpan w:val="11"/>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CellMar>
            <w:top w:w="0" w:type="dxa"/>
            <w:left w:w="108" w:type="dxa"/>
            <w:bottom w:w="0" w:type="dxa"/>
            <w:right w:w="108" w:type="dxa"/>
          </w:tblCellMar>
        </w:tblPrEx>
        <w:trPr>
          <w:trHeight w:val="90" w:hRule="atLeast"/>
        </w:trPr>
        <w:tc>
          <w:tcPr>
            <w:tcW w:w="9220" w:type="dxa"/>
            <w:gridSpan w:val="11"/>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5年）</w:t>
            </w:r>
          </w:p>
        </w:tc>
      </w:tr>
      <w:tr>
        <w:tblPrEx>
          <w:tblCellMar>
            <w:top w:w="0" w:type="dxa"/>
            <w:left w:w="108" w:type="dxa"/>
            <w:bottom w:w="0" w:type="dxa"/>
            <w:right w:w="108" w:type="dxa"/>
          </w:tblCellMar>
        </w:tblPrEx>
        <w:trPr>
          <w:trHeight w:val="90" w:hRule="atLeast"/>
        </w:trPr>
        <w:tc>
          <w:tcPr>
            <w:tcW w:w="23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6863"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kern w:val="0"/>
                <w:sz w:val="18"/>
                <w:szCs w:val="18"/>
              </w:rPr>
              <w:t>呼图壁县机关事务服务中心</w:t>
            </w:r>
          </w:p>
        </w:tc>
      </w:tr>
      <w:tr>
        <w:tblPrEx>
          <w:tblCellMar>
            <w:top w:w="0" w:type="dxa"/>
            <w:left w:w="108" w:type="dxa"/>
            <w:bottom w:w="0" w:type="dxa"/>
            <w:right w:w="108" w:type="dxa"/>
          </w:tblCellMar>
        </w:tblPrEx>
        <w:trPr>
          <w:trHeight w:val="90" w:hRule="atLeast"/>
        </w:trPr>
        <w:tc>
          <w:tcPr>
            <w:tcW w:w="23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841"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运转经费（2025年非定额）</w:t>
            </w:r>
          </w:p>
        </w:tc>
        <w:tc>
          <w:tcPr>
            <w:tcW w:w="143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58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邢亚男</w:t>
            </w:r>
          </w:p>
        </w:tc>
      </w:tr>
      <w:tr>
        <w:tblPrEx>
          <w:tblCellMar>
            <w:top w:w="0" w:type="dxa"/>
            <w:left w:w="108" w:type="dxa"/>
            <w:bottom w:w="0" w:type="dxa"/>
            <w:right w:w="108" w:type="dxa"/>
          </w:tblCellMar>
        </w:tblPrEx>
        <w:trPr>
          <w:trHeight w:val="90" w:hRule="atLeast"/>
        </w:trPr>
        <w:tc>
          <w:tcPr>
            <w:tcW w:w="23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0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199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480</w:t>
            </w:r>
          </w:p>
        </w:tc>
        <w:tc>
          <w:tcPr>
            <w:tcW w:w="766"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49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480</w:t>
            </w:r>
          </w:p>
        </w:tc>
        <w:tc>
          <w:tcPr>
            <w:tcW w:w="9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586"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0</w:t>
            </w:r>
          </w:p>
        </w:tc>
      </w:tr>
      <w:tr>
        <w:tblPrEx>
          <w:tblCellMar>
            <w:top w:w="0" w:type="dxa"/>
            <w:left w:w="108" w:type="dxa"/>
            <w:bottom w:w="0" w:type="dxa"/>
            <w:right w:w="108" w:type="dxa"/>
          </w:tblCellMar>
        </w:tblPrEx>
        <w:trPr>
          <w:trHeight w:val="90" w:hRule="atLeast"/>
        </w:trPr>
        <w:tc>
          <w:tcPr>
            <w:tcW w:w="23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6863" w:type="dxa"/>
            <w:gridSpan w:val="9"/>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rPr>
            </w:pPr>
            <w:r>
              <w:rPr>
                <w:rFonts w:hint="eastAsia" w:ascii="宋体" w:hAnsi="宋体" w:cs="宋体"/>
                <w:color w:val="000000"/>
                <w:sz w:val="18"/>
                <w:szCs w:val="18"/>
              </w:rPr>
              <w:t xml:space="preserve">   本项目拟投入480万元用于完成办公用房管理、公务用车管理、公共机构节能等内容，通过项目的实施，促进了机关事务管理工作的发展，完善了机关内部的运行保障体系，改善了机关整体的服务环境。运转经费为人员、物资、设备等提供必要支持，使得各项事务管理流程更为规范高效，进而完善了从办公设施维护到公务出行安排等一系列保障体系。同时，也能够不断优化服务细节，如办公环境整洁舒适、会议安排的周到有序等，改善了机关的服务环境，提升机关整体形象与运行效率。</w:t>
            </w:r>
          </w:p>
        </w:tc>
      </w:tr>
      <w:tr>
        <w:tblPrEx>
          <w:tblCellMar>
            <w:top w:w="0" w:type="dxa"/>
            <w:left w:w="108" w:type="dxa"/>
            <w:bottom w:w="0" w:type="dxa"/>
            <w:right w:w="108" w:type="dxa"/>
          </w:tblCellMar>
        </w:tblPrEx>
        <w:trPr>
          <w:trHeight w:val="90" w:hRule="atLeast"/>
        </w:trPr>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7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58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9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5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90" w:hRule="atLeast"/>
        </w:trPr>
        <w:tc>
          <w:tcPr>
            <w:tcW w:w="101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341"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公共机构食堂反食品浪费成效在线评估次数</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&gt;=4次</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=4次</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6</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4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公务用车指导检查</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&gt;=4次</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=4次</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4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办公用房信息上报</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=1次</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=1次</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7</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41" w:type="dxa"/>
            <w:vMerge w:val="continue"/>
            <w:tcBorders>
              <w:left w:val="single" w:color="000000" w:sz="4" w:space="0"/>
              <w:bottom w:val="nil"/>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保障车辆数量</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=17辆</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=17辆</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41"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公房信息上报完成率</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8</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公务人员接待及时性</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公务接待标准</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&lt;=120元/人/天</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=120元/人/天</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社会成本指标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9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r>
      <w:tr>
        <w:tblPrEx>
          <w:tblCellMar>
            <w:top w:w="0" w:type="dxa"/>
            <w:left w:w="108" w:type="dxa"/>
            <w:bottom w:w="0" w:type="dxa"/>
            <w:right w:w="108" w:type="dxa"/>
          </w:tblCellMar>
        </w:tblPrEx>
        <w:trPr>
          <w:trHeight w:val="90" w:hRule="atLeast"/>
        </w:trPr>
        <w:tc>
          <w:tcPr>
            <w:tcW w:w="1016"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生态成本指标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9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r>
      <w:tr>
        <w:tblPrEx>
          <w:tblCellMar>
            <w:top w:w="0" w:type="dxa"/>
            <w:left w:w="108" w:type="dxa"/>
            <w:bottom w:w="0" w:type="dxa"/>
            <w:right w:w="108" w:type="dxa"/>
          </w:tblCellMar>
        </w:tblPrEx>
        <w:trPr>
          <w:trHeight w:val="90" w:hRule="atLeast"/>
        </w:trPr>
        <w:tc>
          <w:tcPr>
            <w:tcW w:w="1016" w:type="dxa"/>
            <w:vMerge w:val="restart"/>
            <w:tcBorders>
              <w:top w:val="single" w:color="000000" w:sz="4" w:space="0"/>
              <w:left w:val="single" w:color="000000" w:sz="4" w:space="0"/>
              <w:right w:val="single" w:color="000000" w:sz="4" w:space="0"/>
            </w:tcBorders>
            <w:vAlign w:val="center"/>
          </w:tcPr>
          <w:p>
            <w:pPr>
              <w:widowControl/>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稳步推进“节约型机关”建设，确保机关建设节能环保</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效果</w:t>
            </w:r>
          </w:p>
          <w:p>
            <w:pPr>
              <w:rPr>
                <w:rFonts w:ascii="宋体" w:hAnsi="宋体" w:cs="宋体"/>
                <w:color w:val="000000"/>
                <w:sz w:val="18"/>
                <w:szCs w:val="18"/>
              </w:rPr>
            </w:pPr>
            <w:r>
              <w:rPr>
                <w:rFonts w:hint="eastAsia" w:ascii="宋体" w:hAnsi="宋体" w:cs="宋体"/>
                <w:color w:val="000000"/>
                <w:sz w:val="18"/>
                <w:szCs w:val="18"/>
              </w:rPr>
              <w:t>显著</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w:t>
            </w:r>
          </w:p>
          <w:p>
            <w:pPr>
              <w:rPr>
                <w:rFonts w:ascii="宋体" w:hAnsi="宋体" w:cs="宋体"/>
                <w:color w:val="000000"/>
                <w:sz w:val="18"/>
                <w:szCs w:val="18"/>
              </w:rPr>
            </w:pPr>
            <w:r>
              <w:rPr>
                <w:rFonts w:hint="eastAsia" w:ascii="宋体" w:hAnsi="宋体" w:cs="宋体"/>
                <w:color w:val="000000"/>
                <w:sz w:val="18"/>
                <w:szCs w:val="18"/>
              </w:rPr>
              <w:t>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效果</w:t>
            </w:r>
          </w:p>
          <w:p>
            <w:pPr>
              <w:rPr>
                <w:rFonts w:ascii="宋体" w:hAnsi="宋体" w:cs="宋体"/>
                <w:color w:val="000000"/>
                <w:sz w:val="18"/>
                <w:szCs w:val="18"/>
              </w:rPr>
            </w:pPr>
            <w:r>
              <w:rPr>
                <w:rFonts w:hint="eastAsia" w:ascii="宋体" w:hAnsi="宋体" w:cs="宋体"/>
                <w:color w:val="000000"/>
                <w:sz w:val="18"/>
                <w:szCs w:val="18"/>
              </w:rPr>
              <w:t>显著</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90" w:hRule="atLeast"/>
        </w:trPr>
        <w:tc>
          <w:tcPr>
            <w:tcW w:w="1016" w:type="dxa"/>
            <w:vMerge w:val="continue"/>
            <w:tcBorders>
              <w:left w:val="single" w:color="000000" w:sz="4" w:space="0"/>
              <w:right w:val="single" w:color="000000" w:sz="4" w:space="0"/>
            </w:tcBorders>
            <w:vAlign w:val="center"/>
          </w:tcPr>
          <w:p>
            <w:pPr>
              <w:widowControl/>
              <w:textAlignment w:val="center"/>
              <w:rPr>
                <w:rFonts w:ascii="宋体" w:hAnsi="宋体" w:cs="宋体"/>
                <w:color w:val="000000"/>
                <w:kern w:val="0"/>
                <w:sz w:val="18"/>
                <w:szCs w:val="18"/>
              </w:rPr>
            </w:pP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7"/>
                <w:szCs w:val="17"/>
              </w:rPr>
            </w:pPr>
            <w:r>
              <w:rPr>
                <w:rFonts w:hint="eastAsia" w:ascii="宋体" w:hAnsi="宋体" w:cs="宋体"/>
                <w:color w:val="000000"/>
                <w:sz w:val="17"/>
                <w:szCs w:val="17"/>
              </w:rPr>
              <w:t>/</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w:t>
            </w:r>
          </w:p>
        </w:tc>
      </w:tr>
      <w:tr>
        <w:tblPrEx>
          <w:tblCellMar>
            <w:top w:w="0" w:type="dxa"/>
            <w:left w:w="108" w:type="dxa"/>
            <w:bottom w:w="0" w:type="dxa"/>
            <w:right w:w="108" w:type="dxa"/>
          </w:tblCellMar>
        </w:tblPrEx>
        <w:trPr>
          <w:trHeight w:val="90" w:hRule="atLeast"/>
        </w:trPr>
        <w:tc>
          <w:tcPr>
            <w:tcW w:w="1016" w:type="dxa"/>
            <w:vMerge w:val="continue"/>
            <w:tcBorders>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生态效益指标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7"/>
                <w:szCs w:val="17"/>
              </w:rPr>
            </w:pPr>
            <w:r>
              <w:rPr>
                <w:rFonts w:hint="eastAsia" w:ascii="宋体" w:hAnsi="宋体" w:cs="宋体"/>
                <w:color w:val="000000"/>
                <w:sz w:val="17"/>
                <w:szCs w:val="17"/>
              </w:rPr>
              <w:t>/</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w:t>
            </w:r>
          </w:p>
        </w:tc>
      </w:tr>
      <w:tr>
        <w:tblPrEx>
          <w:tblCellMar>
            <w:top w:w="0" w:type="dxa"/>
            <w:left w:w="108" w:type="dxa"/>
            <w:bottom w:w="0" w:type="dxa"/>
            <w:right w:w="108" w:type="dxa"/>
          </w:tblCellMar>
        </w:tblPrEx>
        <w:trPr>
          <w:trHeight w:val="90" w:hRule="atLeast"/>
        </w:trPr>
        <w:tc>
          <w:tcPr>
            <w:tcW w:w="10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满意度</w:t>
            </w: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指  标</w:t>
            </w:r>
          </w:p>
        </w:tc>
        <w:tc>
          <w:tcPr>
            <w:tcW w:w="13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2205"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被接待公务人员满意度</w:t>
            </w:r>
          </w:p>
        </w:tc>
        <w:tc>
          <w:tcPr>
            <w:tcW w:w="87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&gt;=95%</w:t>
            </w:r>
          </w:p>
        </w:tc>
        <w:tc>
          <w:tcPr>
            <w:tcW w:w="766"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计划标准</w:t>
            </w:r>
          </w:p>
        </w:tc>
        <w:tc>
          <w:tcPr>
            <w:tcW w:w="853" w:type="dxa"/>
            <w:gridSpan w:val="2"/>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=95%</w:t>
            </w:r>
          </w:p>
        </w:tc>
        <w:tc>
          <w:tcPr>
            <w:tcW w:w="58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8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满意度赋分</w:t>
            </w:r>
          </w:p>
        </w:tc>
        <w:tc>
          <w:tcPr>
            <w:tcW w:w="599"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18"/>
                <w:szCs w:val="18"/>
              </w:rPr>
            </w:pPr>
            <w:r>
              <w:rPr>
                <w:rFonts w:hint="eastAsia" w:ascii="宋体" w:hAnsi="宋体" w:cs="宋体"/>
                <w:color w:val="000000"/>
                <w:sz w:val="18"/>
                <w:szCs w:val="18"/>
              </w:rPr>
              <w:t>工作资料</w:t>
            </w:r>
          </w:p>
        </w:tc>
      </w:tr>
    </w:tbl>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无。</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964" w:firstLineChars="300"/>
        <w:rPr>
          <w:rFonts w:ascii="仿宋_GB2312" w:eastAsia="仿宋_GB2312"/>
          <w:b/>
          <w:color w:val="FF000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呼图壁县机关事务服务中心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日</w:t>
      </w:r>
    </w:p>
    <w:p/>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pPr>
                  <w:pStyle w:val="3"/>
                </w:pPr>
              </w:p>
              <w:p>
                <w:pPr>
                  <w:pStyle w:val="3"/>
                </w:pPr>
                <w:r>
                  <w:fldChar w:fldCharType="begin"/>
                </w:r>
                <w:r>
                  <w:instrText xml:space="preserve"> PAGE  \* MERGEFORMAT </w:instrText>
                </w:r>
                <w:r>
                  <w:fldChar w:fldCharType="separate"/>
                </w:r>
                <w:r>
                  <w:t>- 23 -</w:t>
                </w:r>
                <w:r>
                  <w:fldChar w:fldCharType="end"/>
                </w:r>
              </w:p>
            </w:txbxContent>
          </v:textbox>
        </v:shape>
      </w:pic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I0YjQ2NDZjZjY3YmU2MTQwZjdlNTY5Y2M2YmFmYmMifQ=="/>
  </w:docVars>
  <w:rsids>
    <w:rsidRoot w:val="10587512"/>
    <w:rsid w:val="00005E4D"/>
    <w:rsid w:val="00015038"/>
    <w:rsid w:val="00037E87"/>
    <w:rsid w:val="00045D60"/>
    <w:rsid w:val="00056C78"/>
    <w:rsid w:val="00084B89"/>
    <w:rsid w:val="000A7700"/>
    <w:rsid w:val="001172CD"/>
    <w:rsid w:val="00137767"/>
    <w:rsid w:val="00166BF8"/>
    <w:rsid w:val="00170288"/>
    <w:rsid w:val="00176B60"/>
    <w:rsid w:val="001840B8"/>
    <w:rsid w:val="001841C6"/>
    <w:rsid w:val="001F16FA"/>
    <w:rsid w:val="002533A2"/>
    <w:rsid w:val="002B2EC2"/>
    <w:rsid w:val="002F11AC"/>
    <w:rsid w:val="003614C9"/>
    <w:rsid w:val="00370F12"/>
    <w:rsid w:val="0037650B"/>
    <w:rsid w:val="003A6F17"/>
    <w:rsid w:val="004065F5"/>
    <w:rsid w:val="004A3ECA"/>
    <w:rsid w:val="004C73BE"/>
    <w:rsid w:val="00527286"/>
    <w:rsid w:val="0055079B"/>
    <w:rsid w:val="00551306"/>
    <w:rsid w:val="00573574"/>
    <w:rsid w:val="00573E56"/>
    <w:rsid w:val="005E3E31"/>
    <w:rsid w:val="006458C4"/>
    <w:rsid w:val="006B6F22"/>
    <w:rsid w:val="006E0CAB"/>
    <w:rsid w:val="006E6A71"/>
    <w:rsid w:val="00731270"/>
    <w:rsid w:val="00770721"/>
    <w:rsid w:val="00781406"/>
    <w:rsid w:val="007C17B9"/>
    <w:rsid w:val="007D26DA"/>
    <w:rsid w:val="007D2B28"/>
    <w:rsid w:val="007D5B98"/>
    <w:rsid w:val="007F18E7"/>
    <w:rsid w:val="00811C26"/>
    <w:rsid w:val="008529A5"/>
    <w:rsid w:val="00866127"/>
    <w:rsid w:val="00880891"/>
    <w:rsid w:val="00881573"/>
    <w:rsid w:val="00926D60"/>
    <w:rsid w:val="009326DE"/>
    <w:rsid w:val="009B5611"/>
    <w:rsid w:val="009E5EE3"/>
    <w:rsid w:val="00A238C9"/>
    <w:rsid w:val="00A44AA2"/>
    <w:rsid w:val="00A4657E"/>
    <w:rsid w:val="00AC22AC"/>
    <w:rsid w:val="00AD5524"/>
    <w:rsid w:val="00B07398"/>
    <w:rsid w:val="00B11FD1"/>
    <w:rsid w:val="00B335C1"/>
    <w:rsid w:val="00B4127F"/>
    <w:rsid w:val="00B55772"/>
    <w:rsid w:val="00B87E86"/>
    <w:rsid w:val="00D03DC7"/>
    <w:rsid w:val="00D14414"/>
    <w:rsid w:val="00D43B3E"/>
    <w:rsid w:val="00D452E6"/>
    <w:rsid w:val="00D521FA"/>
    <w:rsid w:val="00D60F2F"/>
    <w:rsid w:val="00D76194"/>
    <w:rsid w:val="00D82180"/>
    <w:rsid w:val="00DE04E4"/>
    <w:rsid w:val="00E036CB"/>
    <w:rsid w:val="00E41A1F"/>
    <w:rsid w:val="00E56664"/>
    <w:rsid w:val="00E73C11"/>
    <w:rsid w:val="00EA0CC3"/>
    <w:rsid w:val="00F36DB9"/>
    <w:rsid w:val="00F4424B"/>
    <w:rsid w:val="00F638B4"/>
    <w:rsid w:val="00F71FBE"/>
    <w:rsid w:val="00F73646"/>
    <w:rsid w:val="00FB6ED1"/>
    <w:rsid w:val="00FE0236"/>
    <w:rsid w:val="017B2F92"/>
    <w:rsid w:val="020E507E"/>
    <w:rsid w:val="02732F8E"/>
    <w:rsid w:val="02CB7F49"/>
    <w:rsid w:val="037800D1"/>
    <w:rsid w:val="04253B72"/>
    <w:rsid w:val="04267087"/>
    <w:rsid w:val="04267B2D"/>
    <w:rsid w:val="042E0493"/>
    <w:rsid w:val="044C330C"/>
    <w:rsid w:val="05397FD9"/>
    <w:rsid w:val="057A5F58"/>
    <w:rsid w:val="05CA273A"/>
    <w:rsid w:val="05F062A9"/>
    <w:rsid w:val="070E6657"/>
    <w:rsid w:val="080E3E4F"/>
    <w:rsid w:val="084451C2"/>
    <w:rsid w:val="08450B28"/>
    <w:rsid w:val="08762705"/>
    <w:rsid w:val="088F5575"/>
    <w:rsid w:val="08E81855"/>
    <w:rsid w:val="09570789"/>
    <w:rsid w:val="0A335EE1"/>
    <w:rsid w:val="0A4168EC"/>
    <w:rsid w:val="0AD672A7"/>
    <w:rsid w:val="0B1A76FD"/>
    <w:rsid w:val="0B247F12"/>
    <w:rsid w:val="0B326916"/>
    <w:rsid w:val="0B7C3034"/>
    <w:rsid w:val="0B806984"/>
    <w:rsid w:val="0B841FFD"/>
    <w:rsid w:val="0BD56A2F"/>
    <w:rsid w:val="0C0A3890"/>
    <w:rsid w:val="0CD20198"/>
    <w:rsid w:val="0CEC568C"/>
    <w:rsid w:val="0D6E5FD0"/>
    <w:rsid w:val="0E320E7D"/>
    <w:rsid w:val="0E9208E7"/>
    <w:rsid w:val="0EB92F54"/>
    <w:rsid w:val="0F8741BB"/>
    <w:rsid w:val="0FBA6977"/>
    <w:rsid w:val="10587512"/>
    <w:rsid w:val="105D0E37"/>
    <w:rsid w:val="10733002"/>
    <w:rsid w:val="10916BDA"/>
    <w:rsid w:val="11032392"/>
    <w:rsid w:val="11036B00"/>
    <w:rsid w:val="11301FEB"/>
    <w:rsid w:val="11B6451D"/>
    <w:rsid w:val="121E62E8"/>
    <w:rsid w:val="138B0B75"/>
    <w:rsid w:val="14473E86"/>
    <w:rsid w:val="14CD21D3"/>
    <w:rsid w:val="14EA4E3D"/>
    <w:rsid w:val="1697741D"/>
    <w:rsid w:val="16F861AE"/>
    <w:rsid w:val="175345FA"/>
    <w:rsid w:val="19265E53"/>
    <w:rsid w:val="19A215AC"/>
    <w:rsid w:val="1A132B78"/>
    <w:rsid w:val="1A1E4472"/>
    <w:rsid w:val="1A6A0F57"/>
    <w:rsid w:val="1AC437A4"/>
    <w:rsid w:val="1AC64820"/>
    <w:rsid w:val="1B153D26"/>
    <w:rsid w:val="1B1B747D"/>
    <w:rsid w:val="1BEB54C3"/>
    <w:rsid w:val="1C2C4969"/>
    <w:rsid w:val="1C3C6084"/>
    <w:rsid w:val="1C7075BB"/>
    <w:rsid w:val="1C8C02F2"/>
    <w:rsid w:val="1D3E1AFE"/>
    <w:rsid w:val="1DAE364E"/>
    <w:rsid w:val="1E6432D4"/>
    <w:rsid w:val="1E89232D"/>
    <w:rsid w:val="1EB61656"/>
    <w:rsid w:val="1F06289A"/>
    <w:rsid w:val="1F0774CD"/>
    <w:rsid w:val="1FE91A60"/>
    <w:rsid w:val="20407429"/>
    <w:rsid w:val="20CF3CE4"/>
    <w:rsid w:val="20DD55C0"/>
    <w:rsid w:val="22922CB8"/>
    <w:rsid w:val="22DB78DD"/>
    <w:rsid w:val="238735C1"/>
    <w:rsid w:val="23E721A0"/>
    <w:rsid w:val="244D65B8"/>
    <w:rsid w:val="2492221D"/>
    <w:rsid w:val="24B42D8E"/>
    <w:rsid w:val="24DD663D"/>
    <w:rsid w:val="250855AF"/>
    <w:rsid w:val="258B383C"/>
    <w:rsid w:val="25D8345D"/>
    <w:rsid w:val="263B7010"/>
    <w:rsid w:val="26B4291F"/>
    <w:rsid w:val="26BD282A"/>
    <w:rsid w:val="26E769FA"/>
    <w:rsid w:val="27547076"/>
    <w:rsid w:val="286D65BC"/>
    <w:rsid w:val="28A5026D"/>
    <w:rsid w:val="28D9041B"/>
    <w:rsid w:val="293B2E83"/>
    <w:rsid w:val="29ED615C"/>
    <w:rsid w:val="2A5121FE"/>
    <w:rsid w:val="2AAC2CF4"/>
    <w:rsid w:val="2AFC4894"/>
    <w:rsid w:val="2B3A05DE"/>
    <w:rsid w:val="2B6901C6"/>
    <w:rsid w:val="2CD77367"/>
    <w:rsid w:val="2D3E1B7B"/>
    <w:rsid w:val="2D480265"/>
    <w:rsid w:val="2D977453"/>
    <w:rsid w:val="2E2943BA"/>
    <w:rsid w:val="2EF22236"/>
    <w:rsid w:val="2F153D1F"/>
    <w:rsid w:val="2F955AD0"/>
    <w:rsid w:val="2FED29FE"/>
    <w:rsid w:val="300E1D4A"/>
    <w:rsid w:val="300F6B41"/>
    <w:rsid w:val="30550CCF"/>
    <w:rsid w:val="30B05F05"/>
    <w:rsid w:val="310F3573"/>
    <w:rsid w:val="31921F65"/>
    <w:rsid w:val="32D560F7"/>
    <w:rsid w:val="333F3019"/>
    <w:rsid w:val="33A76F60"/>
    <w:rsid w:val="341E7629"/>
    <w:rsid w:val="3428472C"/>
    <w:rsid w:val="345968B4"/>
    <w:rsid w:val="349253AC"/>
    <w:rsid w:val="34DA769E"/>
    <w:rsid w:val="34DB551B"/>
    <w:rsid w:val="35771D5C"/>
    <w:rsid w:val="35E32405"/>
    <w:rsid w:val="35F117C8"/>
    <w:rsid w:val="36422FAB"/>
    <w:rsid w:val="36F54FB9"/>
    <w:rsid w:val="38083B97"/>
    <w:rsid w:val="38284F1B"/>
    <w:rsid w:val="389438D9"/>
    <w:rsid w:val="389820A0"/>
    <w:rsid w:val="39B0409D"/>
    <w:rsid w:val="3BE45FB7"/>
    <w:rsid w:val="3BF21AC7"/>
    <w:rsid w:val="3C013037"/>
    <w:rsid w:val="3D2E2FD3"/>
    <w:rsid w:val="3DFF114A"/>
    <w:rsid w:val="3E2065F2"/>
    <w:rsid w:val="3EDA6D0B"/>
    <w:rsid w:val="3F943F71"/>
    <w:rsid w:val="3FDB0223"/>
    <w:rsid w:val="3FDF4D23"/>
    <w:rsid w:val="405827B9"/>
    <w:rsid w:val="41083B3B"/>
    <w:rsid w:val="41270465"/>
    <w:rsid w:val="414451D7"/>
    <w:rsid w:val="41DB2FFE"/>
    <w:rsid w:val="421C2295"/>
    <w:rsid w:val="42F779C3"/>
    <w:rsid w:val="434F7738"/>
    <w:rsid w:val="43502DA9"/>
    <w:rsid w:val="43C26223"/>
    <w:rsid w:val="43D8307E"/>
    <w:rsid w:val="44507CD3"/>
    <w:rsid w:val="44AF5181"/>
    <w:rsid w:val="455A018C"/>
    <w:rsid w:val="459B4B29"/>
    <w:rsid w:val="45BE677E"/>
    <w:rsid w:val="46B02CAB"/>
    <w:rsid w:val="46CB3E3C"/>
    <w:rsid w:val="46CE3131"/>
    <w:rsid w:val="46FB355E"/>
    <w:rsid w:val="48B620CF"/>
    <w:rsid w:val="493059DD"/>
    <w:rsid w:val="494F7907"/>
    <w:rsid w:val="49C750F8"/>
    <w:rsid w:val="4ADF73DC"/>
    <w:rsid w:val="4AF132FD"/>
    <w:rsid w:val="4B1B26BD"/>
    <w:rsid w:val="4B315A3D"/>
    <w:rsid w:val="4C0055E5"/>
    <w:rsid w:val="4C3677AE"/>
    <w:rsid w:val="4C706B3A"/>
    <w:rsid w:val="4D6109AE"/>
    <w:rsid w:val="4E8B05EE"/>
    <w:rsid w:val="4EF925C8"/>
    <w:rsid w:val="4F3B332E"/>
    <w:rsid w:val="4F7E534C"/>
    <w:rsid w:val="4FEB08B0"/>
    <w:rsid w:val="503109F6"/>
    <w:rsid w:val="50AD09B0"/>
    <w:rsid w:val="51C15CED"/>
    <w:rsid w:val="52285DEB"/>
    <w:rsid w:val="52AD62F0"/>
    <w:rsid w:val="53235DFC"/>
    <w:rsid w:val="53A94D0A"/>
    <w:rsid w:val="546308FE"/>
    <w:rsid w:val="56B666E2"/>
    <w:rsid w:val="56D20BBF"/>
    <w:rsid w:val="56FE59C9"/>
    <w:rsid w:val="570D735E"/>
    <w:rsid w:val="571B2674"/>
    <w:rsid w:val="57F048C0"/>
    <w:rsid w:val="589917F1"/>
    <w:rsid w:val="59B241EC"/>
    <w:rsid w:val="5A32356D"/>
    <w:rsid w:val="5A5E27F6"/>
    <w:rsid w:val="5A704801"/>
    <w:rsid w:val="5A8C5E4D"/>
    <w:rsid w:val="5AED2A9A"/>
    <w:rsid w:val="5D9E1657"/>
    <w:rsid w:val="5DFA39C9"/>
    <w:rsid w:val="5E225DE5"/>
    <w:rsid w:val="5E257683"/>
    <w:rsid w:val="5E69510D"/>
    <w:rsid w:val="5E7802BC"/>
    <w:rsid w:val="5EE078B0"/>
    <w:rsid w:val="5F0D5523"/>
    <w:rsid w:val="5F2346ED"/>
    <w:rsid w:val="61086613"/>
    <w:rsid w:val="61686204"/>
    <w:rsid w:val="617B0ED4"/>
    <w:rsid w:val="62917095"/>
    <w:rsid w:val="62A101E6"/>
    <w:rsid w:val="630E06E5"/>
    <w:rsid w:val="639F22EA"/>
    <w:rsid w:val="6408782B"/>
    <w:rsid w:val="65322CBF"/>
    <w:rsid w:val="656733E4"/>
    <w:rsid w:val="65B35574"/>
    <w:rsid w:val="65C658ED"/>
    <w:rsid w:val="67CB182A"/>
    <w:rsid w:val="68CC52CB"/>
    <w:rsid w:val="68DE4FFE"/>
    <w:rsid w:val="691B0000"/>
    <w:rsid w:val="694B58D7"/>
    <w:rsid w:val="69CE4E15"/>
    <w:rsid w:val="6A633B02"/>
    <w:rsid w:val="6AEB6FC8"/>
    <w:rsid w:val="6B3E7E06"/>
    <w:rsid w:val="6B7F3246"/>
    <w:rsid w:val="6BF154B6"/>
    <w:rsid w:val="6BF904A6"/>
    <w:rsid w:val="6CB5251A"/>
    <w:rsid w:val="6CD429A0"/>
    <w:rsid w:val="6EDB5653"/>
    <w:rsid w:val="6EF07839"/>
    <w:rsid w:val="6F63000B"/>
    <w:rsid w:val="6FC37383"/>
    <w:rsid w:val="6FCF0C72"/>
    <w:rsid w:val="705A140E"/>
    <w:rsid w:val="70BE5CD2"/>
    <w:rsid w:val="71500A63"/>
    <w:rsid w:val="717C1858"/>
    <w:rsid w:val="727134BA"/>
    <w:rsid w:val="72B56DCF"/>
    <w:rsid w:val="72E964BC"/>
    <w:rsid w:val="72EE0366"/>
    <w:rsid w:val="735C7C42"/>
    <w:rsid w:val="73F76F00"/>
    <w:rsid w:val="74D07EF1"/>
    <w:rsid w:val="75B570E6"/>
    <w:rsid w:val="75BF3AC1"/>
    <w:rsid w:val="75D94865"/>
    <w:rsid w:val="76136D6F"/>
    <w:rsid w:val="76864574"/>
    <w:rsid w:val="7706409E"/>
    <w:rsid w:val="770E74B9"/>
    <w:rsid w:val="770F464A"/>
    <w:rsid w:val="7797777E"/>
    <w:rsid w:val="780A1873"/>
    <w:rsid w:val="787D11B8"/>
    <w:rsid w:val="78A771BA"/>
    <w:rsid w:val="78AC6820"/>
    <w:rsid w:val="78B00E0E"/>
    <w:rsid w:val="792C5912"/>
    <w:rsid w:val="795A0CA7"/>
    <w:rsid w:val="7A492474"/>
    <w:rsid w:val="7B4949E9"/>
    <w:rsid w:val="7CBA4FE2"/>
    <w:rsid w:val="7D06612B"/>
    <w:rsid w:val="7D1F613D"/>
    <w:rsid w:val="7DBF3AA4"/>
    <w:rsid w:val="7E880152"/>
    <w:rsid w:val="7E8B30DA"/>
    <w:rsid w:val="7EE45CE8"/>
    <w:rsid w:val="7F0B0258"/>
    <w:rsid w:val="7F1F730D"/>
    <w:rsid w:val="7F3471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990</Words>
  <Characters>1048</Characters>
  <Lines>108</Lines>
  <Paragraphs>30</Paragraphs>
  <TotalTime>21</TotalTime>
  <ScaleCrop>false</ScaleCrop>
  <LinksUpToDate>false</LinksUpToDate>
  <CharactersWithSpaces>1107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2025-02-13T09:12:00Z</cp:lastPrinted>
  <dcterms:modified xsi:type="dcterms:W3CDTF">2025-05-30T03:28:06Z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