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黑体" w:hAnsi="黑体" w:eastAsia="黑体"/>
          <w:color w:val="auto"/>
          <w:sz w:val="32"/>
          <w:szCs w:val="32"/>
          <w:highlight w:val="none"/>
        </w:rPr>
      </w:pPr>
    </w:p>
    <w:p>
      <w:pPr>
        <w:spacing w:line="560" w:lineRule="exact"/>
        <w:rPr>
          <w:rFonts w:hint="default" w:ascii="黑体" w:hAnsi="黑体" w:eastAsia="黑体"/>
          <w:color w:val="auto"/>
          <w:sz w:val="32"/>
          <w:szCs w:val="32"/>
          <w:highlight w:val="none"/>
        </w:rPr>
      </w:pPr>
    </w:p>
    <w:p>
      <w:pPr>
        <w:jc w:val="center"/>
        <w:rPr>
          <w:rFonts w:hint="eastAsia" w:ascii="黑体" w:hAnsi="ArialUnicodeMS" w:eastAsia="黑体" w:cs="Times New Roman"/>
          <w:color w:val="000000"/>
          <w:sz w:val="44"/>
          <w:szCs w:val="44"/>
          <w:lang w:val="en-US" w:eastAsia="zh-CN"/>
        </w:rPr>
      </w:pPr>
      <w:r>
        <w:rPr>
          <w:rFonts w:hint="default" w:ascii="黑体" w:hAnsi="ArialUnicodeMS" w:eastAsia="黑体" w:cs="Times New Roman"/>
          <w:color w:val="000000"/>
          <w:sz w:val="44"/>
          <w:szCs w:val="44"/>
          <w:lang w:val="en-US" w:eastAsia="zh-CN"/>
        </w:rPr>
        <w:t>中国共产党呼图壁县委员会党校</w:t>
      </w:r>
      <w:r>
        <w:rPr>
          <w:rFonts w:hint="eastAsia" w:ascii="黑体" w:hAnsi="ArialUnicodeMS" w:eastAsia="黑体" w:cs="Times New Roman"/>
          <w:color w:val="000000"/>
          <w:sz w:val="44"/>
          <w:szCs w:val="44"/>
          <w:lang w:val="en-US" w:eastAsia="zh-CN"/>
        </w:rPr>
        <w:t>2025年部门预算公开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jc w:val="center"/>
        <w:rPr>
          <w:rFonts w:hint="eastAsia" w:ascii="黑体" w:hAnsi="Calibri" w:eastAsia="黑体" w:cs="Times New Roman"/>
          <w:color w:val="000000"/>
          <w:sz w:val="36"/>
          <w:szCs w:val="36"/>
        </w:rPr>
      </w:pPr>
      <w:r>
        <w:rPr>
          <w:rFonts w:hint="eastAsia" w:ascii="黑体" w:hAnsi="Calibri" w:eastAsia="黑体" w:cs="Times New Roman"/>
          <w:color w:val="000000"/>
          <w:sz w:val="36"/>
          <w:szCs w:val="36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spacing w:line="560" w:lineRule="exact"/>
        <w:ind w:firstLine="562" w:firstLineChars="200"/>
        <w:jc w:val="left"/>
        <w:rPr>
          <w:rFonts w:hint="eastAsia" w:ascii="仿宋" w:hAnsi="仿宋" w:eastAsia="仿宋" w:cs="Times New Roman"/>
          <w:b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 xml:space="preserve">第一部分  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lang w:eastAsia="zh-CN"/>
        </w:rPr>
        <w:t>202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lang w:eastAsia="zh-CN"/>
        </w:rPr>
        <w:t>年</w:t>
      </w:r>
      <w:r>
        <w:rPr>
          <w:rFonts w:hint="default" w:ascii="仿宋" w:hAnsi="仿宋" w:eastAsia="仿宋" w:cs="Times New Roman"/>
          <w:b/>
          <w:color w:val="000000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>部门概况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一、主要职能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二、机构设置及人员情况</w:t>
      </w:r>
    </w:p>
    <w:p>
      <w:pPr>
        <w:spacing w:line="560" w:lineRule="exact"/>
        <w:ind w:firstLine="562" w:firstLineChars="200"/>
        <w:jc w:val="left"/>
        <w:rPr>
          <w:rFonts w:hint="eastAsia" w:ascii="仿宋" w:hAnsi="仿宋" w:eastAsia="仿宋" w:cs="Times New Roman"/>
          <w:b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 xml:space="preserve">第二部分  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lang w:eastAsia="zh-CN"/>
        </w:rPr>
        <w:t>202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lang w:eastAsia="zh-CN"/>
        </w:rPr>
        <w:t>年部门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>预算公开表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一、部门收支总体情况表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二、部门收入总体情况表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三、部门支出总体情况表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四、财政拨款收支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预算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总体情况表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五、一般公共预算支出情况表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六、一般公共预算基本支出情况表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七、一般公共预算项目支出情况表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Hans"/>
        </w:rPr>
        <w:t>八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、政府性基金预算支出情况表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Hans"/>
        </w:rPr>
        <w:t>九、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国有资本经营预算支出情况表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  <w:lang w:val="en-US" w:eastAsia="zh-Hans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Hans"/>
        </w:rPr>
        <w:t>十、财政拨款“三公”经费支出情况表</w:t>
      </w:r>
    </w:p>
    <w:p>
      <w:pPr>
        <w:spacing w:line="560" w:lineRule="exact"/>
        <w:ind w:firstLine="560" w:firstLineChars="200"/>
        <w:jc w:val="left"/>
        <w:rPr>
          <w:rFonts w:hint="default" w:ascii="仿宋" w:hAnsi="仿宋" w:eastAsia="仿宋" w:cs="Times New Roman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十一、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Hans"/>
        </w:rPr>
        <w:t>上年结转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结余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Hans"/>
        </w:rPr>
        <w:t>情况明细表</w:t>
      </w:r>
    </w:p>
    <w:p>
      <w:pPr>
        <w:spacing w:line="560" w:lineRule="exact"/>
        <w:ind w:firstLine="562" w:firstLineChars="200"/>
        <w:jc w:val="left"/>
        <w:rPr>
          <w:rFonts w:hint="eastAsia" w:ascii="仿宋" w:hAnsi="仿宋" w:eastAsia="仿宋" w:cs="Times New Roman"/>
          <w:b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 xml:space="preserve">第三部分  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lang w:eastAsia="zh-CN"/>
        </w:rPr>
        <w:t>202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lang w:eastAsia="zh-CN"/>
        </w:rPr>
        <w:t>年部门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>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一、关于</w:t>
      </w:r>
      <w:r>
        <w:rPr>
          <w:rFonts w:hint="default" w:ascii="仿宋" w:hAnsi="仿宋" w:eastAsia="仿宋" w:cs="Times New Roman"/>
          <w:color w:val="000000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202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年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收支预算情况的总体说明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二、关于</w:t>
      </w:r>
      <w:r>
        <w:rPr>
          <w:rFonts w:hint="default" w:ascii="仿宋" w:hAnsi="仿宋" w:eastAsia="仿宋" w:cs="Times New Roman"/>
          <w:color w:val="000000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202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年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收入预算情况说明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三、关于</w:t>
      </w:r>
      <w:r>
        <w:rPr>
          <w:rFonts w:hint="default" w:ascii="仿宋" w:hAnsi="仿宋" w:eastAsia="仿宋" w:cs="Times New Roman"/>
          <w:color w:val="000000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202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年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支出预算情况说明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四、关于</w:t>
      </w:r>
      <w:r>
        <w:rPr>
          <w:rFonts w:hint="default" w:ascii="仿宋" w:hAnsi="仿宋" w:eastAsia="仿宋" w:cs="Times New Roman"/>
          <w:color w:val="000000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202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年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财政拨款收支预算情况的总体说明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五、关于</w:t>
      </w:r>
      <w:r>
        <w:rPr>
          <w:rFonts w:hint="default" w:ascii="仿宋" w:hAnsi="仿宋" w:eastAsia="仿宋" w:cs="Times New Roman"/>
          <w:color w:val="000000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202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年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一般公共预算当年拨款情况说明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六、关于</w:t>
      </w:r>
      <w:r>
        <w:rPr>
          <w:rFonts w:hint="default" w:ascii="仿宋" w:hAnsi="仿宋" w:eastAsia="仿宋" w:cs="Times New Roman"/>
          <w:color w:val="000000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202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年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一般公共预算基本支出情况说明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七、关于</w:t>
      </w:r>
      <w:r>
        <w:rPr>
          <w:rFonts w:hint="default" w:ascii="仿宋" w:hAnsi="仿宋" w:eastAsia="仿宋" w:cs="Times New Roman"/>
          <w:color w:val="000000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202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年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一般公共预算项目支出情况说明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Hans"/>
        </w:rPr>
        <w:t>八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、关于</w:t>
      </w:r>
      <w:r>
        <w:rPr>
          <w:rFonts w:hint="default" w:ascii="仿宋" w:hAnsi="仿宋" w:eastAsia="仿宋" w:cs="Times New Roman"/>
          <w:color w:val="000000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202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年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政府性基金预算拨款情况说明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Hans"/>
        </w:rPr>
        <w:t>九、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关于</w:t>
      </w:r>
      <w:r>
        <w:rPr>
          <w:rFonts w:hint="default" w:ascii="仿宋" w:hAnsi="仿宋" w:eastAsia="仿宋" w:cs="Times New Roman"/>
          <w:color w:val="000000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202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年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国有资本经营预算拨款情况说明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  <w:lang w:val="en-US" w:eastAsia="zh-Hans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Hans"/>
        </w:rPr>
        <w:t>十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、关于</w:t>
      </w:r>
      <w:r>
        <w:rPr>
          <w:rFonts w:hint="default" w:ascii="仿宋" w:hAnsi="仿宋" w:eastAsia="仿宋" w:cs="Times New Roman"/>
          <w:color w:val="000000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202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年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Hans"/>
        </w:rPr>
        <w:t>财政拨款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“三公”经费预算情况说明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十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Hans"/>
        </w:rPr>
        <w:t>一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、关于</w:t>
      </w:r>
      <w:r>
        <w:rPr>
          <w:rFonts w:hint="default" w:ascii="仿宋" w:hAnsi="仿宋" w:eastAsia="仿宋" w:cs="Times New Roman"/>
          <w:color w:val="000000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202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年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上年结转结余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十二、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其他重要事项的情况说明</w:t>
      </w:r>
    </w:p>
    <w:p>
      <w:pPr>
        <w:spacing w:line="560" w:lineRule="exact"/>
        <w:ind w:firstLine="562" w:firstLineChars="200"/>
        <w:jc w:val="left"/>
        <w:rPr>
          <w:rFonts w:hint="eastAsia" w:ascii="仿宋" w:hAnsi="仿宋" w:eastAsia="仿宋" w:cs="Times New Roman"/>
          <w:b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>第四部分  名词解释</w:t>
      </w:r>
    </w:p>
    <w:p>
      <w:pPr>
        <w:pStyle w:val="2"/>
        <w:spacing w:before="156" w:beforeLines="50" w:after="156" w:afterLines="50" w:line="560" w:lineRule="exact"/>
        <w:jc w:val="center"/>
        <w:rPr>
          <w:rFonts w:hint="eastAsia" w:ascii="黑体" w:hAnsi="Times New Roman" w:eastAsia="黑体" w:cs="Times New Roman"/>
          <w:sz w:val="30"/>
          <w:szCs w:val="30"/>
        </w:rPr>
      </w:pPr>
    </w:p>
    <w:p>
      <w:pPr>
        <w:pStyle w:val="2"/>
        <w:spacing w:before="156" w:beforeLines="50" w:after="156" w:afterLines="50" w:line="560" w:lineRule="exact"/>
        <w:jc w:val="center"/>
        <w:rPr>
          <w:rFonts w:hint="eastAsia" w:ascii="黑体" w:hAnsi="Times New Roman" w:eastAsia="黑体" w:cs="Times New Roman"/>
          <w:sz w:val="30"/>
          <w:szCs w:val="30"/>
        </w:rPr>
      </w:pPr>
    </w:p>
    <w:p>
      <w:pPr>
        <w:pStyle w:val="2"/>
        <w:spacing w:before="156" w:beforeLines="50" w:after="156" w:afterLines="50" w:line="560" w:lineRule="exact"/>
        <w:jc w:val="center"/>
        <w:rPr>
          <w:rFonts w:hint="eastAsia" w:ascii="黑体" w:hAnsi="Times New Roman" w:eastAsia="黑体" w:cs="Times New Roman"/>
          <w:sz w:val="30"/>
          <w:szCs w:val="30"/>
        </w:rPr>
      </w:pPr>
    </w:p>
    <w:p>
      <w:pPr>
        <w:pStyle w:val="2"/>
        <w:spacing w:before="156" w:beforeLines="50" w:after="156" w:afterLines="50" w:line="560" w:lineRule="exact"/>
        <w:jc w:val="center"/>
        <w:rPr>
          <w:rFonts w:hint="eastAsia" w:ascii="黑体" w:hAnsi="Times New Roman" w:eastAsia="黑体" w:cs="Times New Roman"/>
          <w:sz w:val="30"/>
          <w:szCs w:val="30"/>
        </w:rPr>
      </w:pPr>
    </w:p>
    <w:p>
      <w:pPr>
        <w:pStyle w:val="2"/>
        <w:spacing w:before="156" w:beforeLines="50" w:after="156" w:afterLines="50" w:line="560" w:lineRule="exact"/>
        <w:jc w:val="center"/>
        <w:rPr>
          <w:rFonts w:hint="eastAsia" w:ascii="黑体" w:hAnsi="Times New Roman" w:eastAsia="黑体" w:cs="Times New Roman"/>
          <w:sz w:val="30"/>
          <w:szCs w:val="30"/>
        </w:rPr>
      </w:pPr>
    </w:p>
    <w:p>
      <w:pPr>
        <w:rPr>
          <w:rFonts w:hint="eastAsia" w:ascii="黑体" w:hAnsi="Times New Roman" w:eastAsia="黑体" w:cs="Times New Roman"/>
          <w:sz w:val="30"/>
          <w:szCs w:val="30"/>
        </w:rPr>
      </w:pPr>
    </w:p>
    <w:p>
      <w:pPr>
        <w:rPr>
          <w:rFonts w:hint="eastAsia" w:ascii="黑体" w:hAnsi="Times New Roman" w:eastAsia="黑体" w:cs="Times New Roman"/>
          <w:sz w:val="30"/>
          <w:szCs w:val="30"/>
        </w:rPr>
      </w:pPr>
    </w:p>
    <w:p>
      <w:pPr>
        <w:pStyle w:val="2"/>
        <w:spacing w:before="156" w:beforeLines="50" w:after="156" w:afterLines="50" w:line="560" w:lineRule="exact"/>
        <w:jc w:val="center"/>
        <w:rPr>
          <w:rFonts w:hint="eastAsia" w:ascii="黑体" w:hAnsi="Times New Roman" w:eastAsia="黑体" w:cs="Times New Roman"/>
          <w:sz w:val="30"/>
          <w:szCs w:val="30"/>
        </w:rPr>
      </w:pPr>
    </w:p>
    <w:p>
      <w:pPr>
        <w:pStyle w:val="2"/>
        <w:spacing w:before="156" w:beforeLines="50" w:after="156" w:afterLines="50" w:line="560" w:lineRule="exact"/>
        <w:jc w:val="center"/>
        <w:rPr>
          <w:rFonts w:hint="default" w:ascii="黑体" w:hAnsi="Times New Roman" w:eastAsia="黑体" w:cs="Times New Roman"/>
          <w:sz w:val="30"/>
          <w:szCs w:val="30"/>
        </w:rPr>
      </w:pPr>
      <w:r>
        <w:rPr>
          <w:rFonts w:hint="eastAsia" w:ascii="黑体" w:hAnsi="Times New Roman" w:eastAsia="黑体" w:cs="Times New Roman"/>
          <w:sz w:val="30"/>
          <w:szCs w:val="30"/>
        </w:rPr>
        <w:t xml:space="preserve">第一部分  </w:t>
      </w:r>
      <w:r>
        <w:rPr>
          <w:rFonts w:hint="eastAsia" w:ascii="黑体" w:hAnsi="Times New Roman" w:eastAsia="黑体" w:cs="Times New Roman"/>
          <w:sz w:val="30"/>
          <w:szCs w:val="30"/>
          <w:lang w:eastAsia="zh-CN"/>
        </w:rPr>
        <w:t>202</w:t>
      </w:r>
      <w:r>
        <w:rPr>
          <w:rFonts w:hint="eastAsia" w:ascii="黑体" w:hAnsi="Times New Roman" w:eastAsia="黑体" w:cs="Times New Roman"/>
          <w:sz w:val="30"/>
          <w:szCs w:val="30"/>
          <w:lang w:val="en-US" w:eastAsia="zh-CN"/>
        </w:rPr>
        <w:t>5</w:t>
      </w:r>
      <w:r>
        <w:rPr>
          <w:rFonts w:hint="eastAsia" w:ascii="黑体" w:hAnsi="Times New Roman" w:eastAsia="黑体" w:cs="Times New Roman"/>
          <w:sz w:val="30"/>
          <w:szCs w:val="30"/>
          <w:lang w:eastAsia="zh-CN"/>
        </w:rPr>
        <w:t>年中国共产党呼图壁县委员会党校</w:t>
      </w:r>
      <w:r>
        <w:rPr>
          <w:rFonts w:hint="eastAsia" w:ascii="黑体" w:hAnsi="Times New Roman" w:eastAsia="黑体" w:cs="Times New Roman"/>
          <w:sz w:val="30"/>
          <w:szCs w:val="30"/>
        </w:rPr>
        <w:t>部门概况</w:t>
      </w:r>
    </w:p>
    <w:p>
      <w:pPr>
        <w:pStyle w:val="3"/>
        <w:numPr>
          <w:ilvl w:val="0"/>
          <w:numId w:val="0"/>
        </w:numPr>
        <w:spacing w:before="0" w:beforeLines="-2147483648" w:after="0" w:afterLines="-2147483648" w:line="560" w:lineRule="exact"/>
        <w:ind w:leftChars="201" w:firstLine="141" w:firstLineChars="50"/>
        <w:rPr>
          <w:rFonts w:hint="eastAsia" w:ascii="仿宋" w:hAnsi="华文楷体" w:eastAsia="仿宋" w:cs="Times New Roman"/>
          <w:bCs w:val="0"/>
          <w:sz w:val="28"/>
          <w:szCs w:val="28"/>
        </w:rPr>
      </w:pPr>
      <w:r>
        <w:rPr>
          <w:rFonts w:hint="eastAsia" w:ascii="仿宋" w:hAnsi="华文楷体" w:eastAsia="仿宋" w:cs="Times New Roman"/>
          <w:bCs w:val="0"/>
          <w:sz w:val="28"/>
          <w:szCs w:val="28"/>
        </w:rPr>
        <w:t>一、主要职能</w:t>
      </w: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1、负责培训全县各级党政领导干部、公务员、国有企业领导人员、事业单位领导人员、年轻干部、理论宣传骨干、高层次人才、基层干部、党员，开展党校系统师资培训；</w:t>
      </w: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2、负责马克思主义基本理论研究，重点研究宣传习近平新时代中国特色社会主义思想；</w:t>
      </w: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3、负责重大理论和现实问题研究，承担县委和政府决策咨询服务；</w:t>
      </w: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4、承办党委和政府以及相关部门举办的专题研讨班；</w:t>
      </w: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5、参与党委关于党校工作政策以及干部培训计划的制定工作；</w:t>
      </w: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6、负责乡镇（场）基层党校业务指导；</w:t>
      </w: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7、完成县委和政府交办的其他任务。</w:t>
      </w:r>
    </w:p>
    <w:p>
      <w:pPr>
        <w:pStyle w:val="3"/>
        <w:numPr>
          <w:ilvl w:val="0"/>
          <w:numId w:val="0"/>
        </w:numPr>
        <w:spacing w:before="0" w:beforeLines="-2147483648" w:after="0" w:afterLines="-2147483648" w:line="560" w:lineRule="exact"/>
        <w:ind w:leftChars="201"/>
        <w:rPr>
          <w:rFonts w:hint="eastAsia" w:ascii="仿宋" w:hAnsi="华文楷体" w:eastAsia="仿宋" w:cs="Times New Roman"/>
          <w:bCs w:val="0"/>
          <w:sz w:val="28"/>
          <w:szCs w:val="28"/>
        </w:rPr>
      </w:pPr>
      <w:r>
        <w:rPr>
          <w:rFonts w:hint="eastAsia" w:ascii="仿宋" w:hAnsi="华文楷体" w:eastAsia="仿宋" w:cs="Times New Roman"/>
          <w:bCs w:val="0"/>
          <w:sz w:val="28"/>
          <w:szCs w:val="28"/>
        </w:rPr>
        <w:t>二、机构设置及人员情况</w:t>
      </w: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default" w:ascii="仿宋" w:hAnsi="仿宋" w:eastAsia="仿宋" w:cs="Times New Roman"/>
          <w:color w:val="000000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无下属预算单位，下设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个处室，分别是：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教务处、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科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研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处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办公室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。</w:t>
      </w: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</w:rPr>
      </w:pPr>
      <w:r>
        <w:rPr>
          <w:rFonts w:hint="default" w:ascii="仿宋" w:hAnsi="仿宋" w:eastAsia="仿宋" w:cs="Times New Roman"/>
          <w:color w:val="000000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编制数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13，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实有人数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人，其中：在职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人，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减少1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人；退休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人，增加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人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；离休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0人，增加0人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。</w:t>
      </w: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</w:rPr>
      </w:pP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</w:rPr>
      </w:pP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</w:rPr>
      </w:pP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</w:rPr>
      </w:pP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</w:rPr>
      </w:pP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ind w:firstLine="1205" w:firstLineChars="400"/>
        <w:jc w:val="center"/>
        <w:textAlignment w:val="auto"/>
        <w:outlineLvl w:val="1"/>
        <w:rPr>
          <w:rFonts w:hint="eastAsia" w:ascii="黑体" w:hAnsi="Times New Roman" w:eastAsia="黑体" w:cs="Times New Roman"/>
          <w:b/>
          <w:kern w:val="44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ind w:firstLine="1205" w:firstLineChars="400"/>
        <w:jc w:val="center"/>
        <w:textAlignment w:val="auto"/>
        <w:outlineLvl w:val="1"/>
        <w:rPr>
          <w:rFonts w:hint="eastAsia" w:ascii="黑体" w:hAnsi="Times New Roman" w:eastAsia="黑体" w:cs="Times New Roman"/>
          <w:b/>
          <w:kern w:val="44"/>
          <w:sz w:val="30"/>
          <w:szCs w:val="30"/>
          <w:lang w:val="en-US" w:eastAsia="zh-CN"/>
        </w:rPr>
      </w:pPr>
      <w:r>
        <w:rPr>
          <w:rFonts w:hint="eastAsia" w:ascii="黑体" w:hAnsi="Times New Roman" w:eastAsia="黑体" w:cs="Times New Roman"/>
          <w:b/>
          <w:kern w:val="44"/>
          <w:sz w:val="30"/>
          <w:szCs w:val="30"/>
          <w:lang w:val="en-US" w:eastAsia="zh-CN"/>
        </w:rPr>
        <w:t>第二部分  2025年部门预算公开表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宋体" w:eastAsia="仿宋" w:cs="Times New Roman"/>
          <w:b/>
          <w:color w:val="000000"/>
          <w:sz w:val="28"/>
          <w:szCs w:val="28"/>
          <w:lang w:eastAsia="zh-CN"/>
        </w:rPr>
        <w:t>部门收支总体情况表</w:t>
      </w:r>
    </w:p>
    <w:p>
      <w:pPr>
        <w:jc w:val="left"/>
        <w:rPr>
          <w:rFonts w:hint="eastAsia" w:ascii="Calibri" w:hAnsi="Calibri" w:eastAsia="宋体" w:cs="Times New Roman"/>
          <w:color w:val="000000"/>
          <w:sz w:val="18"/>
          <w:szCs w:val="18"/>
        </w:rPr>
      </w:pPr>
      <w:r>
        <w:rPr>
          <w:rFonts w:hint="eastAsia" w:ascii="Calibri" w:hAnsi="Calibri" w:eastAsia="宋体" w:cs="Times New Roman"/>
          <w:color w:val="000000"/>
          <w:sz w:val="18"/>
          <w:szCs w:val="18"/>
          <w:lang w:eastAsia="zh-CN"/>
        </w:rPr>
        <w:t>编制</w:t>
      </w:r>
      <w:r>
        <w:rPr>
          <w:rFonts w:hint="eastAsia" w:ascii="Calibri" w:hAnsi="Calibri" w:cs="Times New Roman"/>
          <w:color w:val="000000"/>
          <w:sz w:val="18"/>
          <w:szCs w:val="18"/>
          <w:lang w:val="en-US" w:eastAsia="zh-CN"/>
        </w:rPr>
        <w:t>部门：</w:t>
      </w:r>
      <w:r>
        <w:rPr>
          <w:rFonts w:hint="default" w:ascii="Calibri" w:hAnsi="Calibri" w:eastAsia="宋体" w:cs="Times New Roman"/>
          <w:color w:val="000000"/>
          <w:sz w:val="18"/>
          <w:szCs w:val="18"/>
          <w:lang w:val="en-US" w:eastAsia="zh-CN"/>
        </w:rPr>
        <w:t>中国共产党呼图壁县委员会党校</w:t>
      </w:r>
      <w:r>
        <w:rPr>
          <w:rFonts w:hint="eastAsia" w:ascii="Calibri" w:hAnsi="Calibri" w:cs="Times New Roman"/>
          <w:color w:val="000000"/>
          <w:sz w:val="18"/>
          <w:szCs w:val="18"/>
          <w:lang w:val="en-US" w:eastAsia="zh-CN"/>
        </w:rPr>
        <w:t xml:space="preserve">        </w:t>
      </w:r>
      <w:r>
        <w:rPr>
          <w:rFonts w:hint="default" w:ascii="Calibri" w:hAnsi="Calibri" w:eastAsia="宋体" w:cs="Times New Roman"/>
          <w:color w:val="000000"/>
          <w:sz w:val="18"/>
          <w:szCs w:val="18"/>
          <w:lang w:val="en-US" w:eastAsia="zh-CN"/>
        </w:rPr>
        <w:t xml:space="preserve">                            </w:t>
      </w:r>
      <w:r>
        <w:rPr>
          <w:rFonts w:hint="eastAsia" w:ascii="Calibri" w:hAnsi="Calibri" w:eastAsia="宋体" w:cs="Times New Roman"/>
          <w:color w:val="000000"/>
          <w:sz w:val="18"/>
          <w:szCs w:val="1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color w:val="000000"/>
          <w:sz w:val="18"/>
          <w:szCs w:val="18"/>
        </w:rPr>
        <w:t xml:space="preserve">     单位：万元</w:t>
      </w:r>
    </w:p>
    <w:tbl>
      <w:tblPr>
        <w:tblStyle w:val="13"/>
        <w:tblW w:w="866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457.51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277.51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277.51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2.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政府性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基金预算拨款</w:t>
            </w: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359.04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40.39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210卫生健康支出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17.58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default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180.00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215 资源勘探</w:t>
            </w: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Hans"/>
              </w:rPr>
              <w:t>工业</w:t>
            </w: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default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180.00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  <w:t>40.50</w:t>
            </w: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  <w:t>政府性</w:t>
            </w: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224灾害防治及应急管理支出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230转移性支出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</w:p>
        </w:tc>
      </w:tr>
      <w:tr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457.51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457.51</w:t>
            </w:r>
          </w:p>
        </w:tc>
      </w:tr>
    </w:tbl>
    <w:p>
      <w:pPr>
        <w:jc w:val="left"/>
        <w:rPr>
          <w:rFonts w:hint="eastAsia" w:ascii="Calibri" w:hAnsi="Calibri" w:eastAsia="宋体" w:cs="Times New Roman"/>
          <w:color w:val="000000"/>
          <w:sz w:val="18"/>
          <w:szCs w:val="18"/>
          <w:lang w:val="en-US" w:eastAsia="zh-CN"/>
        </w:rPr>
      </w:pPr>
    </w:p>
    <w:p>
      <w:pPr>
        <w:jc w:val="left"/>
        <w:rPr>
          <w:rFonts w:hint="eastAsia" w:ascii="Calibri" w:hAnsi="Calibri" w:eastAsia="宋体" w:cs="Times New Roman"/>
          <w:color w:val="000000"/>
          <w:sz w:val="18"/>
          <w:szCs w:val="18"/>
          <w:lang w:val="en-US" w:eastAsia="zh-CN"/>
        </w:rPr>
      </w:pPr>
    </w:p>
    <w:p>
      <w:pPr>
        <w:jc w:val="left"/>
        <w:rPr>
          <w:rFonts w:hint="eastAsia" w:ascii="宋体" w:hAnsi="宋体" w:eastAsia="宋体" w:cs="Times New Roman"/>
          <w:color w:val="000000"/>
          <w:sz w:val="18"/>
          <w:szCs w:val="18"/>
          <w:lang w:val="en-US" w:eastAsia="zh-CN"/>
        </w:rPr>
      </w:pPr>
    </w:p>
    <w:p>
      <w:pPr>
        <w:jc w:val="left"/>
        <w:rPr>
          <w:rFonts w:hint="eastAsia" w:ascii="宋体" w:hAnsi="宋体" w:eastAsia="宋体" w:cs="Times New Roman"/>
          <w:color w:val="000000"/>
          <w:sz w:val="18"/>
          <w:szCs w:val="18"/>
          <w:lang w:val="en-US" w:eastAsia="zh-CN"/>
        </w:rPr>
      </w:pPr>
    </w:p>
    <w:p>
      <w:pPr>
        <w:jc w:val="left"/>
        <w:rPr>
          <w:rFonts w:hint="eastAsia" w:ascii="宋体" w:hAnsi="宋体" w:eastAsia="宋体" w:cs="Times New Roman"/>
          <w:color w:val="000000"/>
          <w:sz w:val="18"/>
          <w:szCs w:val="18"/>
          <w:lang w:val="en-US" w:eastAsia="zh-CN"/>
        </w:rPr>
      </w:pPr>
    </w:p>
    <w:p>
      <w:pPr>
        <w:jc w:val="left"/>
        <w:rPr>
          <w:rFonts w:hint="eastAsia" w:ascii="宋体" w:hAnsi="宋体" w:eastAsia="宋体" w:cs="Times New Roman"/>
          <w:color w:val="000000"/>
          <w:sz w:val="18"/>
          <w:szCs w:val="18"/>
          <w:lang w:val="en-US" w:eastAsia="zh-CN"/>
        </w:rPr>
      </w:pPr>
    </w:p>
    <w:p>
      <w:pPr>
        <w:jc w:val="left"/>
        <w:rPr>
          <w:rFonts w:hint="eastAsia" w:ascii="宋体" w:hAnsi="宋体" w:eastAsia="宋体" w:cs="Times New Roman"/>
          <w:color w:val="000000"/>
          <w:sz w:val="18"/>
          <w:szCs w:val="18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18"/>
          <w:szCs w:val="18"/>
          <w:lang w:val="en-US" w:eastAsia="zh-CN"/>
        </w:rPr>
        <w:t>表2</w:t>
      </w:r>
    </w:p>
    <w:p>
      <w:pPr>
        <w:jc w:val="center"/>
        <w:rPr>
          <w:rFonts w:hint="eastAsia" w:ascii="Calibri" w:hAnsi="Calibri" w:eastAsia="宋体" w:cs="Times New Roman"/>
          <w:color w:val="000000"/>
          <w:sz w:val="18"/>
          <w:szCs w:val="18"/>
          <w:lang w:val="en-US" w:eastAsia="zh-CN"/>
        </w:rPr>
      </w:pPr>
      <w:r>
        <w:rPr>
          <w:rFonts w:hint="eastAsia" w:ascii="仿宋" w:hAnsi="宋体" w:eastAsia="仿宋" w:cs="Times New Roman"/>
          <w:b/>
          <w:color w:val="000000"/>
          <w:sz w:val="28"/>
          <w:szCs w:val="28"/>
          <w:lang w:eastAsia="zh-CN"/>
        </w:rPr>
        <w:t>部门</w:t>
      </w:r>
      <w:r>
        <w:rPr>
          <w:rFonts w:hint="eastAsia" w:ascii="仿宋" w:hAnsi="宋体" w:eastAsia="仿宋" w:cs="Times New Roman"/>
          <w:b/>
          <w:color w:val="000000"/>
          <w:sz w:val="28"/>
          <w:szCs w:val="28"/>
        </w:rPr>
        <w:t>收入总体情况表</w:t>
      </w:r>
    </w:p>
    <w:p>
      <w:pPr>
        <w:jc w:val="left"/>
        <w:rPr>
          <w:rFonts w:hint="eastAsia" w:ascii="Calibri" w:hAnsi="Calibri" w:eastAsia="宋体" w:cs="Times New Roman"/>
          <w:color w:val="000000"/>
          <w:sz w:val="18"/>
          <w:szCs w:val="18"/>
        </w:rPr>
      </w:pPr>
      <w:r>
        <w:rPr>
          <w:rFonts w:hint="eastAsia" w:ascii="Calibri" w:hAnsi="Calibri" w:eastAsia="宋体" w:cs="Times New Roman"/>
          <w:color w:val="000000"/>
          <w:sz w:val="18"/>
          <w:szCs w:val="18"/>
          <w:lang w:eastAsia="zh-CN"/>
        </w:rPr>
        <w:t>编</w:t>
      </w:r>
      <w:r>
        <w:rPr>
          <w:rFonts w:hint="eastAsia" w:ascii="Calibri" w:hAnsi="Calibri" w:cs="Times New Roman"/>
          <w:color w:val="000000"/>
          <w:sz w:val="18"/>
          <w:szCs w:val="18"/>
          <w:lang w:val="en-US" w:eastAsia="zh-CN"/>
        </w:rPr>
        <w:t>制部门</w:t>
      </w:r>
      <w:r>
        <w:rPr>
          <w:rFonts w:hint="eastAsia" w:ascii="Calibri" w:hAnsi="Calibri" w:eastAsia="宋体" w:cs="Times New Roman"/>
          <w:color w:val="000000"/>
          <w:sz w:val="18"/>
          <w:szCs w:val="18"/>
          <w:lang w:eastAsia="zh-CN"/>
        </w:rPr>
        <w:t>：：</w:t>
      </w:r>
      <w:r>
        <w:rPr>
          <w:rFonts w:hint="default" w:ascii="Calibri" w:hAnsi="Calibri" w:eastAsia="宋体" w:cs="Times New Roman"/>
          <w:color w:val="000000"/>
          <w:sz w:val="18"/>
          <w:szCs w:val="18"/>
          <w:lang w:val="en-US" w:eastAsia="zh-CN"/>
        </w:rPr>
        <w:t>中国共产党呼图壁县委员会党校</w:t>
      </w:r>
      <w:r>
        <w:rPr>
          <w:rFonts w:hint="eastAsia" w:ascii="Calibri" w:hAnsi="Calibri" w:cs="Times New Roman"/>
          <w:color w:val="000000"/>
          <w:sz w:val="18"/>
          <w:szCs w:val="18"/>
          <w:lang w:val="en-US" w:eastAsia="zh-CN"/>
        </w:rPr>
        <w:t xml:space="preserve">         </w:t>
      </w:r>
      <w:r>
        <w:rPr>
          <w:rFonts w:hint="default" w:ascii="Calibri" w:hAnsi="Calibri" w:eastAsia="宋体" w:cs="Times New Roman"/>
          <w:color w:val="000000"/>
          <w:sz w:val="18"/>
          <w:szCs w:val="18"/>
          <w:lang w:val="en-US" w:eastAsia="zh-CN"/>
        </w:rPr>
        <w:t xml:space="preserve">                                      </w:t>
      </w:r>
      <w:r>
        <w:rPr>
          <w:rFonts w:hint="eastAsia" w:ascii="Calibri" w:hAnsi="Calibri" w:eastAsia="宋体" w:cs="Times New Roman"/>
          <w:color w:val="000000"/>
          <w:sz w:val="18"/>
          <w:szCs w:val="1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color w:val="000000"/>
          <w:sz w:val="18"/>
          <w:szCs w:val="18"/>
        </w:rPr>
        <w:t>单位：万元</w:t>
      </w:r>
    </w:p>
    <w:tbl>
      <w:tblPr>
        <w:tblStyle w:val="13"/>
        <w:tblW w:w="9660" w:type="dxa"/>
        <w:tblInd w:w="-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417"/>
        <w:gridCol w:w="400"/>
        <w:gridCol w:w="650"/>
        <w:gridCol w:w="817"/>
        <w:gridCol w:w="766"/>
        <w:gridCol w:w="817"/>
        <w:gridCol w:w="583"/>
        <w:gridCol w:w="415"/>
        <w:gridCol w:w="719"/>
        <w:gridCol w:w="555"/>
        <w:gridCol w:w="779"/>
        <w:gridCol w:w="583"/>
        <w:gridCol w:w="683"/>
        <w:gridCol w:w="448"/>
        <w:gridCol w:w="50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3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功能分类科目编码</w:t>
            </w:r>
          </w:p>
        </w:tc>
        <w:tc>
          <w:tcPr>
            <w:tcW w:w="6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功能分类科目名称</w:t>
            </w:r>
          </w:p>
        </w:tc>
        <w:tc>
          <w:tcPr>
            <w:tcW w:w="8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总  计</w:t>
            </w:r>
          </w:p>
        </w:tc>
        <w:tc>
          <w:tcPr>
            <w:tcW w:w="463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财  政  拨  款  (  补  助  )</w:t>
            </w:r>
          </w:p>
        </w:tc>
        <w:tc>
          <w:tcPr>
            <w:tcW w:w="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财政专户（教育收费）</w:t>
            </w:r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单位资金</w:t>
            </w:r>
          </w:p>
        </w:tc>
        <w:tc>
          <w:tcPr>
            <w:tcW w:w="4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财政拨款结转</w:t>
            </w:r>
          </w:p>
        </w:tc>
        <w:tc>
          <w:tcPr>
            <w:tcW w:w="5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</w:trPr>
        <w:tc>
          <w:tcPr>
            <w:tcW w:w="5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Hans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Hans"/>
              </w:rPr>
              <w:t>类</w:t>
            </w:r>
          </w:p>
        </w:tc>
        <w:tc>
          <w:tcPr>
            <w:tcW w:w="417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Hans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Hans"/>
              </w:rPr>
              <w:t>款</w:t>
            </w:r>
          </w:p>
        </w:tc>
        <w:tc>
          <w:tcPr>
            <w:tcW w:w="400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Hans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Hans"/>
              </w:rPr>
              <w:t>项</w:t>
            </w:r>
          </w:p>
        </w:tc>
        <w:tc>
          <w:tcPr>
            <w:tcW w:w="65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财政拨款(补助)小计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4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上级政府性基金安排的转移支付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国有资本经营预算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58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50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总计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457.51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277.51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277.51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180.00</w:t>
            </w: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教育支出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359.04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210.54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210.54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148.50</w:t>
            </w: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进修及培训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359.04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210.54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210.54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148.50</w:t>
            </w: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02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干部教育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359.04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210.54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210.54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148.50</w:t>
            </w: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社会保障和就业支出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</w:rPr>
              <w:t>40.39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</w:rPr>
              <w:t>30.39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</w:rPr>
              <w:t>30.39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10.00</w:t>
            </w: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行政事业单位养老支出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</w:rPr>
              <w:t>40.39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</w:rPr>
              <w:t>30.39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</w:rPr>
              <w:t>30.39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10.00</w:t>
            </w: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02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事业单位离退休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7.14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7.14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7.14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机关事业单位基本养老保险缴费支出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23.25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23.25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23.25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06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机关事业单位职业年金缴费支出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10.00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10.00</w:t>
            </w: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卫生健康支出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17.58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17.58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17.58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行政事业单位医疗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17.58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17.58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17.58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行政单位医疗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0.78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0.78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0.78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02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事业单位医疗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10.84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10.84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10.84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03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公务员医疗补助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5.81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5.81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5.81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99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其他行政事业单位医疗支出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0.15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0.15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0.15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住房保障支出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40.50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19.01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19.01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21.50</w:t>
            </w: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住房改革支出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40.50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19.01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19.01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  <w:t>21.50</w:t>
            </w: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住房公积金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40.50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19.01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19.01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  <w:t>21.50</w:t>
            </w: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1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jc w:val="left"/>
        <w:rPr>
          <w:rFonts w:hint="eastAsia" w:ascii="宋体" w:hAnsi="宋体" w:eastAsia="宋体" w:cs="Times New Roman"/>
          <w:color w:val="000000"/>
          <w:sz w:val="18"/>
          <w:szCs w:val="18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18"/>
          <w:szCs w:val="18"/>
          <w:lang w:val="en-US" w:eastAsia="zh-CN"/>
        </w:rPr>
        <w:t>表3</w:t>
      </w:r>
    </w:p>
    <w:p>
      <w:pPr>
        <w:jc w:val="center"/>
        <w:rPr>
          <w:rFonts w:hint="eastAsia" w:ascii="仿宋" w:hAnsi="宋体" w:eastAsia="仿宋" w:cs="Times New Roman"/>
          <w:b/>
          <w:color w:val="000000"/>
          <w:sz w:val="28"/>
          <w:szCs w:val="28"/>
        </w:rPr>
      </w:pPr>
      <w:r>
        <w:rPr>
          <w:rFonts w:hint="eastAsia" w:ascii="仿宋" w:hAnsi="宋体" w:eastAsia="仿宋" w:cs="Times New Roman"/>
          <w:b/>
          <w:color w:val="000000"/>
          <w:sz w:val="28"/>
          <w:szCs w:val="28"/>
          <w:lang w:eastAsia="zh-CN"/>
        </w:rPr>
        <w:t>部门</w:t>
      </w:r>
      <w:r>
        <w:rPr>
          <w:rFonts w:hint="eastAsia" w:ascii="仿宋" w:hAnsi="宋体" w:eastAsia="仿宋" w:cs="Times New Roman"/>
          <w:b/>
          <w:color w:val="000000"/>
          <w:sz w:val="28"/>
          <w:szCs w:val="28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jc w:val="left"/>
        <w:rPr>
          <w:rFonts w:hint="eastAsia" w:ascii="Calibri" w:hAnsi="Calibri" w:eastAsia="宋体" w:cs="Times New Roman"/>
          <w:color w:val="000000"/>
          <w:sz w:val="18"/>
          <w:szCs w:val="18"/>
        </w:rPr>
      </w:pPr>
      <w:r>
        <w:rPr>
          <w:rFonts w:hint="eastAsia" w:ascii="Calibri" w:hAnsi="Calibri" w:eastAsia="宋体" w:cs="Times New Roman"/>
          <w:color w:val="000000"/>
          <w:sz w:val="18"/>
          <w:szCs w:val="18"/>
          <w:lang w:eastAsia="zh-CN"/>
        </w:rPr>
        <w:t>编制</w:t>
      </w:r>
      <w:r>
        <w:rPr>
          <w:rFonts w:hint="eastAsia" w:ascii="Calibri" w:hAnsi="Calibri" w:cs="Times New Roman"/>
          <w:color w:val="000000"/>
          <w:sz w:val="18"/>
          <w:szCs w:val="18"/>
          <w:lang w:val="en-US" w:eastAsia="zh-CN"/>
        </w:rPr>
        <w:t>部门</w:t>
      </w:r>
      <w:r>
        <w:rPr>
          <w:rFonts w:hint="eastAsia" w:ascii="Calibri" w:hAnsi="Calibri" w:eastAsia="宋体" w:cs="Times New Roman"/>
          <w:color w:val="000000"/>
          <w:sz w:val="18"/>
          <w:szCs w:val="18"/>
          <w:lang w:eastAsia="zh-CN"/>
        </w:rPr>
        <w:t>：</w:t>
      </w:r>
      <w:r>
        <w:rPr>
          <w:rFonts w:hint="default" w:ascii="Calibri" w:hAnsi="Calibri" w:eastAsia="宋体" w:cs="Times New Roman"/>
          <w:color w:val="000000"/>
          <w:sz w:val="18"/>
          <w:szCs w:val="18"/>
          <w:lang w:val="en-US" w:eastAsia="zh-CN"/>
        </w:rPr>
        <w:t>中国共产党呼图壁县委员会党校</w:t>
      </w:r>
      <w:r>
        <w:rPr>
          <w:rFonts w:hint="eastAsia" w:ascii="Calibri" w:hAnsi="Calibri" w:cs="Times New Roman"/>
          <w:color w:val="000000"/>
          <w:sz w:val="18"/>
          <w:szCs w:val="18"/>
          <w:lang w:val="en-US" w:eastAsia="zh-CN"/>
        </w:rPr>
        <w:t xml:space="preserve">       </w:t>
      </w:r>
      <w:r>
        <w:rPr>
          <w:rFonts w:hint="default" w:ascii="Calibri" w:hAnsi="Calibri" w:eastAsia="宋体" w:cs="Times New Roman"/>
          <w:color w:val="000000"/>
          <w:sz w:val="18"/>
          <w:szCs w:val="18"/>
          <w:lang w:val="en-US"/>
        </w:rPr>
        <w:t xml:space="preserve">                                     </w:t>
      </w:r>
      <w:r>
        <w:rPr>
          <w:rFonts w:hint="eastAsia" w:ascii="Calibri" w:hAnsi="Calibri" w:eastAsia="宋体" w:cs="Times New Roman"/>
          <w:color w:val="000000"/>
          <w:sz w:val="18"/>
          <w:szCs w:val="18"/>
          <w:lang w:val="en-US" w:eastAsia="zh-CN"/>
        </w:rPr>
        <w:t>单位：万元</w:t>
      </w:r>
    </w:p>
    <w:tbl>
      <w:tblPr>
        <w:tblStyle w:val="13"/>
        <w:tblW w:w="9420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417"/>
        <w:gridCol w:w="417"/>
        <w:gridCol w:w="2555"/>
        <w:gridCol w:w="1822"/>
        <w:gridCol w:w="1823"/>
        <w:gridCol w:w="18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9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功能分类科目编码</w:t>
            </w:r>
          </w:p>
        </w:tc>
        <w:tc>
          <w:tcPr>
            <w:tcW w:w="25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功能分类科目名称</w:t>
            </w:r>
          </w:p>
        </w:tc>
        <w:tc>
          <w:tcPr>
            <w:tcW w:w="182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合  计</w:t>
            </w:r>
          </w:p>
        </w:tc>
        <w:tc>
          <w:tcPr>
            <w:tcW w:w="182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基本支出</w:t>
            </w:r>
          </w:p>
        </w:tc>
        <w:tc>
          <w:tcPr>
            <w:tcW w:w="187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项</w:t>
            </w:r>
          </w:p>
        </w:tc>
        <w:tc>
          <w:tcPr>
            <w:tcW w:w="25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2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7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0"/>
                <w:szCs w:val="20"/>
                <w:lang w:eastAsia="zh-CN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总计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457.51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4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37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.51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eastAsia="zh-CN"/>
              </w:rPr>
              <w:t>教育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359.04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3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9.04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20.00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进修及培训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359.04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3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9.04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20.00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02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eastAsia="zh-CN"/>
              </w:rPr>
              <w:t>干部教育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359.04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3</w:t>
            </w: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9.04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社会保障和就业支出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40.39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40.39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行政事业单位养老支出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40.39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40.39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02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事业单位离退休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7.14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7.14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05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机关事业单位基本养老保险缴费支出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23.25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23.25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06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机关事业单位职业年金缴费支出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10.00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10.00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210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卫生健康支出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17.58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17.58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行政事业单位医疗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17.58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17.58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行政单位医疗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0.78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0.78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02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事业单位医疗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10.84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10.84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03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公务员医疗补助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5.81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5.81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其他行政事业单位医疗支出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0.15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0.15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221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住房保障支出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40.50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40.50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住房改革支出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40.50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40.50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住房公积金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40.50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40.50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457.51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4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37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.51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20.00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jc w:val="left"/>
        <w:rPr>
          <w:rFonts w:hint="eastAsia" w:ascii="宋体" w:hAnsi="宋体" w:eastAsia="宋体" w:cs="Times New Roman"/>
          <w:color w:val="000000"/>
          <w:sz w:val="18"/>
          <w:szCs w:val="18"/>
          <w:lang w:val="en-US" w:eastAsia="zh-CN"/>
        </w:rPr>
      </w:pPr>
    </w:p>
    <w:p>
      <w:pPr>
        <w:jc w:val="left"/>
        <w:rPr>
          <w:rFonts w:hint="eastAsia" w:ascii="宋体" w:hAnsi="宋体" w:eastAsia="宋体" w:cs="Times New Roman"/>
          <w:color w:val="000000"/>
          <w:sz w:val="18"/>
          <w:szCs w:val="18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18"/>
          <w:szCs w:val="18"/>
          <w:lang w:val="en-US" w:eastAsia="zh-CN"/>
        </w:rPr>
        <w:t>表4</w:t>
      </w:r>
    </w:p>
    <w:p>
      <w:pPr>
        <w:jc w:val="center"/>
        <w:rPr>
          <w:rFonts w:hint="eastAsia" w:ascii="仿宋" w:hAnsi="宋体" w:eastAsia="仿宋" w:cs="Times New Roman"/>
          <w:b/>
          <w:color w:val="000000"/>
          <w:sz w:val="28"/>
          <w:szCs w:val="28"/>
        </w:rPr>
      </w:pPr>
      <w:r>
        <w:rPr>
          <w:rFonts w:hint="eastAsia" w:ascii="仿宋" w:hAnsi="宋体" w:eastAsia="仿宋" w:cs="Times New Roman"/>
          <w:b/>
          <w:color w:val="000000"/>
          <w:sz w:val="28"/>
          <w:szCs w:val="28"/>
        </w:rPr>
        <w:t>财政拨款收支预算总体情况表</w:t>
      </w:r>
    </w:p>
    <w:p>
      <w:pPr>
        <w:jc w:val="left"/>
        <w:rPr>
          <w:rFonts w:hint="eastAsia" w:ascii="Calibri" w:hAnsi="Calibri" w:eastAsia="宋体" w:cs="Times New Roman"/>
          <w:color w:val="000000"/>
          <w:sz w:val="18"/>
          <w:szCs w:val="18"/>
        </w:rPr>
      </w:pPr>
      <w:r>
        <w:rPr>
          <w:rFonts w:hint="eastAsia" w:ascii="Calibri" w:hAnsi="Calibri" w:eastAsia="宋体" w:cs="Times New Roman"/>
          <w:color w:val="000000"/>
          <w:sz w:val="18"/>
          <w:szCs w:val="18"/>
          <w:lang w:eastAsia="zh-CN"/>
        </w:rPr>
        <w:t>编制</w:t>
      </w:r>
      <w:r>
        <w:rPr>
          <w:rFonts w:hint="eastAsia" w:ascii="Calibri" w:hAnsi="Calibri" w:cs="Times New Roman"/>
          <w:color w:val="000000"/>
          <w:sz w:val="18"/>
          <w:szCs w:val="18"/>
          <w:lang w:val="en-US" w:eastAsia="zh-CN"/>
        </w:rPr>
        <w:t>部门</w:t>
      </w:r>
      <w:r>
        <w:rPr>
          <w:rFonts w:hint="eastAsia" w:ascii="Calibri" w:hAnsi="Calibri" w:eastAsia="宋体" w:cs="Times New Roman"/>
          <w:color w:val="000000"/>
          <w:sz w:val="18"/>
          <w:szCs w:val="18"/>
          <w:lang w:eastAsia="zh-CN"/>
        </w:rPr>
        <w:t>：</w:t>
      </w:r>
      <w:r>
        <w:rPr>
          <w:rFonts w:hint="default" w:ascii="Calibri" w:hAnsi="Calibri" w:eastAsia="宋体" w:cs="Times New Roman"/>
          <w:color w:val="000000"/>
          <w:sz w:val="18"/>
          <w:szCs w:val="18"/>
          <w:lang w:val="en-US" w:eastAsia="zh-CN"/>
        </w:rPr>
        <w:t>中国共产党呼图壁县委员会党校</w:t>
      </w:r>
      <w:r>
        <w:rPr>
          <w:rFonts w:hint="eastAsia"/>
          <w:color w:val="000000"/>
          <w:sz w:val="18"/>
          <w:szCs w:val="18"/>
          <w:lang w:val="en-US" w:eastAsia="zh-CN"/>
        </w:rPr>
        <w:t xml:space="preserve">           </w:t>
      </w:r>
      <w:r>
        <w:rPr>
          <w:rFonts w:hint="default" w:ascii="Calibri" w:hAnsi="Calibri" w:eastAsia="宋体" w:cs="Times New Roman"/>
          <w:color w:val="000000"/>
          <w:sz w:val="18"/>
          <w:szCs w:val="18"/>
          <w:lang w:val="en-US" w:eastAsia="zh-CN"/>
        </w:rPr>
        <w:t xml:space="preserve">                                 </w:t>
      </w:r>
      <w:r>
        <w:rPr>
          <w:rFonts w:hint="eastAsia" w:ascii="Calibri" w:hAnsi="Calibri" w:eastAsia="宋体" w:cs="Times New Roman"/>
          <w:color w:val="000000"/>
          <w:sz w:val="18"/>
          <w:szCs w:val="1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color w:val="000000"/>
          <w:sz w:val="18"/>
          <w:szCs w:val="18"/>
        </w:rPr>
        <w:t xml:space="preserve"> 单位：万元</w:t>
      </w:r>
    </w:p>
    <w:tbl>
      <w:tblPr>
        <w:tblStyle w:val="13"/>
        <w:tblW w:w="9449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914"/>
        <w:gridCol w:w="2580"/>
        <w:gridCol w:w="900"/>
        <w:gridCol w:w="851"/>
        <w:gridCol w:w="1134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5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  <w:t>项    目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  <w:t>合  计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  <w:t>功  能  分  类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  <w:t>合 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lang w:val="en-US" w:eastAsia="zh-Hans"/>
              </w:rPr>
              <w:t>一、</w:t>
            </w: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81" w:firstLineChars="100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  <w:t>277.51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201 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360" w:firstLineChars="200"/>
              <w:jc w:val="center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277.51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202 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360" w:firstLineChars="200"/>
              <w:jc w:val="center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203 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ind w:firstLine="360" w:firstLineChars="200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204 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205 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210.54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210.54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206 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207 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208 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宋体" w:hAnsi="宋体" w:cs="Times New Roman"/>
                <w:color w:val="000000"/>
                <w:sz w:val="18"/>
                <w:szCs w:val="18"/>
                <w:lang w:val="en-US"/>
              </w:rPr>
              <w:t>30.39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宋体" w:hAnsi="宋体" w:cs="Times New Roman"/>
                <w:color w:val="000000"/>
                <w:sz w:val="18"/>
                <w:szCs w:val="18"/>
                <w:lang w:val="en-US"/>
              </w:rPr>
              <w:t>30.39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209 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210卫生健康支出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17.58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17.58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211 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212 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213 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214 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215 资源勘探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Hans"/>
              </w:rPr>
              <w:t>工业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216 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217 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219 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220 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221 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19.0</w:t>
            </w: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19.0</w:t>
            </w: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222 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223 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224灾害防治及应急管理支出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227 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229 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230转移性支出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231 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232 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233 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  <w:t>收  入  总  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  <w:t>277.51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  <w:t>支  出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  <w:t>277.51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  <w:t>277.51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rPr>
          <w:rFonts w:hint="eastAsia" w:ascii="宋体" w:hAnsi="宋体" w:eastAsia="宋体" w:cs="Times New Roman"/>
          <w:color w:val="000000"/>
          <w:sz w:val="18"/>
          <w:szCs w:val="18"/>
          <w:lang w:val="en-US" w:eastAsia="zh-CN"/>
        </w:rPr>
      </w:pPr>
    </w:p>
    <w:p>
      <w:pPr>
        <w:rPr>
          <w:rFonts w:hint="eastAsia" w:ascii="宋体" w:hAnsi="宋体" w:eastAsia="宋体" w:cs="Times New Roman"/>
          <w:color w:val="000000"/>
          <w:sz w:val="18"/>
          <w:szCs w:val="18"/>
          <w:lang w:val="en-US" w:eastAsia="zh-CN"/>
        </w:rPr>
      </w:pPr>
    </w:p>
    <w:p>
      <w:pPr>
        <w:rPr>
          <w:rFonts w:hint="eastAsia" w:ascii="宋体" w:hAnsi="宋体" w:eastAsia="宋体" w:cs="Times New Roman"/>
          <w:color w:val="000000"/>
          <w:sz w:val="18"/>
          <w:szCs w:val="18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18"/>
          <w:szCs w:val="18"/>
          <w:lang w:val="en-US" w:eastAsia="zh-CN"/>
        </w:rPr>
        <w:t>表5</w:t>
      </w:r>
    </w:p>
    <w:tbl>
      <w:tblPr>
        <w:tblStyle w:val="13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499"/>
        <w:gridCol w:w="502"/>
        <w:gridCol w:w="2494"/>
        <w:gridCol w:w="1677"/>
        <w:gridCol w:w="215"/>
        <w:gridCol w:w="1618"/>
        <w:gridCol w:w="16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宋体" w:eastAsia="仿宋" w:cs="Times New Roman"/>
                <w:b/>
                <w:color w:val="000000"/>
                <w:sz w:val="28"/>
                <w:szCs w:val="28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903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jc w:val="both"/>
              <w:rPr>
                <w:rFonts w:hint="default" w:ascii="Calibri" w:hAnsi="Calibri" w:eastAsia="宋体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eastAsia="zh-CN"/>
              </w:rPr>
              <w:t>编制</w:t>
            </w:r>
            <w:r>
              <w:rPr>
                <w:rFonts w:hint="eastAsia" w:ascii="Calibri" w:hAnsi="Calibri" w:cs="Times New Roman"/>
                <w:color w:val="000000"/>
                <w:sz w:val="18"/>
                <w:szCs w:val="18"/>
                <w:lang w:val="en-US" w:eastAsia="zh-CN"/>
              </w:rPr>
              <w:t>部门</w:t>
            </w: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eastAsia="zh-CN"/>
              </w:rPr>
              <w:t>：</w:t>
            </w:r>
            <w:r>
              <w:rPr>
                <w:rFonts w:hint="default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  <w:t>中国共产党呼图壁县委员会党校</w:t>
            </w:r>
            <w:r>
              <w:rPr>
                <w:rFonts w:hint="eastAsia" w:ascii="Calibri" w:hAnsi="Calibri" w:cs="Times New Roman"/>
                <w:color w:val="000000"/>
                <w:sz w:val="18"/>
                <w:szCs w:val="18"/>
                <w:lang w:val="en-US" w:eastAsia="zh-CN"/>
              </w:rPr>
              <w:t xml:space="preserve">  </w:t>
            </w:r>
          </w:p>
        </w:tc>
        <w:tc>
          <w:tcPr>
            <w:tcW w:w="331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ind w:firstLine="2070" w:firstLineChars="1150"/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520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功能分类科目编码</w:t>
            </w:r>
          </w:p>
        </w:tc>
        <w:tc>
          <w:tcPr>
            <w:tcW w:w="249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功能分类科目名称</w:t>
            </w:r>
          </w:p>
        </w:tc>
        <w:tc>
          <w:tcPr>
            <w:tcW w:w="167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合  计</w:t>
            </w:r>
          </w:p>
        </w:tc>
        <w:tc>
          <w:tcPr>
            <w:tcW w:w="1833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基本支出</w:t>
            </w:r>
          </w:p>
        </w:tc>
        <w:tc>
          <w:tcPr>
            <w:tcW w:w="16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4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0"/>
                <w:szCs w:val="20"/>
                <w:lang w:eastAsia="zh-CN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</w:rPr>
              <w:t>总计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Times New Roman"/>
                <w:b/>
                <w:color w:val="000000"/>
                <w:sz w:val="18"/>
                <w:szCs w:val="18"/>
                <w:lang w:val="en-US"/>
              </w:rPr>
              <w:t>277.51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Times New Roman"/>
                <w:b/>
                <w:color w:val="000000"/>
                <w:sz w:val="18"/>
                <w:szCs w:val="18"/>
                <w:lang w:val="en-US"/>
              </w:rPr>
              <w:t>257.51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　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eastAsia="zh-CN"/>
              </w:rPr>
              <w:t>205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eastAsia="zh-CN"/>
              </w:rPr>
              <w:t>教育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Times New Roman"/>
                <w:b/>
                <w:color w:val="000000"/>
                <w:sz w:val="18"/>
                <w:szCs w:val="18"/>
                <w:lang w:val="en-US"/>
              </w:rPr>
              <w:t>210.54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Times New Roman"/>
                <w:b/>
                <w:color w:val="000000"/>
                <w:sz w:val="18"/>
                <w:szCs w:val="18"/>
                <w:lang w:val="en-US"/>
              </w:rPr>
              <w:t>190.54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20.00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205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进修及培训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Times New Roman"/>
                <w:b/>
                <w:color w:val="000000"/>
                <w:sz w:val="18"/>
                <w:szCs w:val="18"/>
                <w:lang w:val="en-US"/>
              </w:rPr>
              <w:t>210.54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Times New Roman"/>
                <w:b/>
                <w:color w:val="000000"/>
                <w:sz w:val="18"/>
                <w:szCs w:val="18"/>
                <w:lang w:val="en-US"/>
              </w:rPr>
              <w:t>190.54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20.00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205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02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eastAsia="zh-CN"/>
              </w:rPr>
              <w:t>干部教育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Times New Roman"/>
                <w:color w:val="000000"/>
                <w:sz w:val="18"/>
                <w:szCs w:val="18"/>
                <w:lang w:val="en-US"/>
              </w:rPr>
              <w:t>210.54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Times New Roman"/>
                <w:color w:val="000000"/>
                <w:sz w:val="18"/>
                <w:szCs w:val="18"/>
                <w:lang w:val="en-US"/>
              </w:rPr>
              <w:t>190.54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20.00</w:t>
            </w: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社会保障和就业支出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Times New Roman"/>
                <w:b/>
                <w:color w:val="000000"/>
                <w:sz w:val="18"/>
                <w:szCs w:val="18"/>
                <w:lang w:val="en-US" w:eastAsia="zh-CN"/>
              </w:rPr>
              <w:t>30.39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Times New Roman"/>
                <w:b/>
                <w:color w:val="000000"/>
                <w:sz w:val="18"/>
                <w:szCs w:val="18"/>
                <w:lang w:val="en-US" w:eastAsia="zh-CN"/>
              </w:rPr>
              <w:t>30.39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行政事业单位养老支出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Times New Roman"/>
                <w:b/>
                <w:color w:val="000000"/>
                <w:sz w:val="18"/>
                <w:szCs w:val="18"/>
                <w:lang w:val="en-US" w:eastAsia="zh-CN"/>
              </w:rPr>
              <w:t>30.39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Times New Roman"/>
                <w:b/>
                <w:color w:val="000000"/>
                <w:sz w:val="18"/>
                <w:szCs w:val="18"/>
                <w:lang w:val="en-US" w:eastAsia="zh-CN"/>
              </w:rPr>
              <w:t>30.39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05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事业单位离退休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Times New Roman"/>
                <w:color w:val="000000"/>
                <w:sz w:val="18"/>
                <w:szCs w:val="18"/>
                <w:lang w:val="en-US" w:eastAsia="zh-CN"/>
              </w:rPr>
              <w:t>7.14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Times New Roman"/>
                <w:color w:val="000000"/>
                <w:sz w:val="18"/>
                <w:szCs w:val="18"/>
                <w:lang w:val="en-US" w:eastAsia="zh-CN"/>
              </w:rPr>
              <w:t>7.14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06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机关事业单位基本养老保险缴费支出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Times New Roman"/>
                <w:color w:val="000000"/>
                <w:sz w:val="18"/>
                <w:szCs w:val="18"/>
                <w:lang w:val="en-US" w:eastAsia="zh-CN"/>
              </w:rPr>
              <w:t>23.25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Times New Roman"/>
                <w:color w:val="000000"/>
                <w:sz w:val="18"/>
                <w:szCs w:val="18"/>
                <w:lang w:val="en-US" w:eastAsia="zh-CN"/>
              </w:rPr>
              <w:t>23.25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卫生健康支出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17.58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17.58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行政事业单位医疗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17.58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17.58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行政单位医疗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0.78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0.78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02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事业单位医疗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10.84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10.84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03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公务员医疗补助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5.81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5.81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其他行政事业单位医疗支出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0.15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0.15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221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住房保障支出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Times New Roman"/>
                <w:b/>
                <w:color w:val="000000"/>
                <w:sz w:val="18"/>
                <w:szCs w:val="18"/>
                <w:lang w:val="en-US" w:eastAsia="zh-CN"/>
              </w:rPr>
              <w:t>19.01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Times New Roman"/>
                <w:b/>
                <w:color w:val="000000"/>
                <w:sz w:val="18"/>
                <w:szCs w:val="18"/>
                <w:lang w:val="en-US" w:eastAsia="zh-CN"/>
              </w:rPr>
              <w:t>19.01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住房改革支出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Times New Roman"/>
                <w:b/>
                <w:color w:val="000000"/>
                <w:sz w:val="18"/>
                <w:szCs w:val="18"/>
                <w:lang w:val="en-US" w:eastAsia="zh-CN"/>
              </w:rPr>
              <w:t>19.01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Times New Roman"/>
                <w:b/>
                <w:color w:val="000000"/>
                <w:sz w:val="18"/>
                <w:szCs w:val="18"/>
                <w:lang w:val="en-US" w:eastAsia="zh-CN"/>
              </w:rPr>
              <w:t>19.01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住房公积金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Times New Roman"/>
                <w:color w:val="000000"/>
                <w:sz w:val="18"/>
                <w:szCs w:val="18"/>
                <w:lang w:val="en-US" w:eastAsia="zh-CN"/>
              </w:rPr>
              <w:t>19.01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Times New Roman"/>
                <w:color w:val="000000"/>
                <w:sz w:val="18"/>
                <w:szCs w:val="18"/>
                <w:lang w:val="en-US" w:eastAsia="zh-CN"/>
              </w:rPr>
              <w:t>19.01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rPr>
          <w:rFonts w:hint="eastAsia" w:ascii="宋体" w:hAnsi="宋体" w:eastAsia="宋体" w:cs="Times New Roman"/>
          <w:color w:val="000000"/>
          <w:sz w:val="18"/>
          <w:szCs w:val="18"/>
          <w:lang w:val="en-US" w:eastAsia="zh-CN"/>
        </w:rPr>
      </w:pPr>
    </w:p>
    <w:p>
      <w:pPr>
        <w:rPr>
          <w:rFonts w:hint="eastAsia" w:ascii="宋体" w:hAnsi="宋体" w:eastAsia="宋体" w:cs="Times New Roman"/>
          <w:color w:val="000000"/>
          <w:sz w:val="18"/>
          <w:szCs w:val="18"/>
          <w:lang w:val="en-US" w:eastAsia="zh-CN"/>
        </w:rPr>
      </w:pPr>
    </w:p>
    <w:p>
      <w:pPr>
        <w:rPr>
          <w:rFonts w:hint="eastAsia" w:ascii="宋体" w:hAnsi="宋体" w:eastAsia="宋体" w:cs="Times New Roman"/>
          <w:color w:val="000000"/>
          <w:sz w:val="18"/>
          <w:szCs w:val="18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18"/>
          <w:szCs w:val="18"/>
          <w:lang w:val="en-US" w:eastAsia="zh-CN"/>
        </w:rPr>
        <w:t>表6</w:t>
      </w:r>
    </w:p>
    <w:tbl>
      <w:tblPr>
        <w:tblStyle w:val="13"/>
        <w:tblW w:w="9328" w:type="dxa"/>
        <w:tblInd w:w="-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2891"/>
        <w:gridCol w:w="1701"/>
        <w:gridCol w:w="976"/>
        <w:gridCol w:w="72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宋体" w:eastAsia="仿宋" w:cs="Times New Roman"/>
                <w:b/>
                <w:color w:val="000000"/>
                <w:sz w:val="28"/>
                <w:szCs w:val="28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902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eastAsia="zh-CN"/>
              </w:rPr>
              <w:t>编制</w:t>
            </w:r>
            <w:r>
              <w:rPr>
                <w:rFonts w:hint="eastAsia" w:ascii="Calibri" w:hAnsi="Calibri" w:cs="Times New Roman"/>
                <w:color w:val="000000"/>
                <w:sz w:val="18"/>
                <w:szCs w:val="18"/>
                <w:lang w:val="en-US" w:eastAsia="zh-CN"/>
              </w:rPr>
              <w:t>部门</w:t>
            </w: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eastAsia="zh-CN"/>
              </w:rPr>
              <w:t>：</w:t>
            </w:r>
            <w:r>
              <w:rPr>
                <w:rFonts w:hint="default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  <w:t>中国共产党呼图壁县委员会党校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default" w:ascii="Calibri" w:hAnsi="Calibri" w:eastAsia="宋体" w:cs="Times New Roman"/>
                <w:color w:val="000000"/>
                <w:sz w:val="18"/>
                <w:szCs w:val="18"/>
                <w:lang w:val="en-US"/>
              </w:rPr>
              <w:t xml:space="preserve">          </w:t>
            </w: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 xml:space="preserve">科  </w:t>
            </w: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目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经济分类科目名称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款</w:t>
            </w:r>
          </w:p>
        </w:tc>
        <w:tc>
          <w:tcPr>
            <w:tcW w:w="28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总计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257.51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235.38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22.13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  <w:t>工资福利支出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226.66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226.66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基本工资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60.40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60.40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津贴补贴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20.36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20.36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奖金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43.59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43.59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绩效工资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34.06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　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34.06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机关事业单位基本养老保险缴费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23.25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23.25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城镇职工基本医疗保险缴费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11.62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11.62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公务员医疗补助缴费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5.81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　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5.81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其他社会保障缴费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1.40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1.40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住房公积金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19.01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19.01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其他工资福利支出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7.16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7.16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  <w:t>商品和服务支出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　</w:t>
            </w: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  <w:t>22.13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22.13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01　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办公费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0.97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0.97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印刷费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0.12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0.02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0.02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06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电费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0.43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0.43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邮电费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0.41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0.41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取暖费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15.44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15.44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差旅费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0.34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0.34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工会经费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2.81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2.81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公务用车运行维护费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1.60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1.60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  <w:t>对个人和家庭的补助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8.73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8.73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b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退休费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7.14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7.14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生活补助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0.37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0.37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奖励金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1.22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1.22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rPr>
          <w:rFonts w:hint="eastAsia" w:ascii="宋体" w:hAnsi="宋体" w:eastAsia="宋体" w:cs="Times New Roman"/>
          <w:color w:val="000000"/>
          <w:sz w:val="18"/>
          <w:szCs w:val="18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18"/>
          <w:szCs w:val="18"/>
          <w:lang w:val="en-US" w:eastAsia="zh-CN"/>
        </w:rPr>
        <w:t>表7</w:t>
      </w:r>
    </w:p>
    <w:tbl>
      <w:tblPr>
        <w:tblStyle w:val="13"/>
        <w:tblW w:w="9540" w:type="dxa"/>
        <w:tblInd w:w="-36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"/>
        <w:gridCol w:w="506"/>
        <w:gridCol w:w="417"/>
        <w:gridCol w:w="417"/>
        <w:gridCol w:w="974"/>
        <w:gridCol w:w="1346"/>
        <w:gridCol w:w="574"/>
        <w:gridCol w:w="555"/>
        <w:gridCol w:w="525"/>
        <w:gridCol w:w="741"/>
        <w:gridCol w:w="517"/>
        <w:gridCol w:w="404"/>
        <w:gridCol w:w="214"/>
        <w:gridCol w:w="419"/>
        <w:gridCol w:w="618"/>
        <w:gridCol w:w="420"/>
        <w:gridCol w:w="420"/>
        <w:gridCol w:w="387"/>
        <w:gridCol w:w="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" w:type="dxa"/>
          <w:wAfter w:w="76" w:type="dxa"/>
          <w:trHeight w:val="375" w:hRule="atLeast"/>
        </w:trPr>
        <w:tc>
          <w:tcPr>
            <w:tcW w:w="9454" w:type="dxa"/>
            <w:gridSpan w:val="1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宋体" w:eastAsia="仿宋" w:cs="Times New Roman"/>
                <w:b/>
                <w:color w:val="000000"/>
                <w:sz w:val="28"/>
                <w:szCs w:val="28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" w:type="dxa"/>
          <w:wAfter w:w="76" w:type="dxa"/>
          <w:trHeight w:val="405" w:hRule="atLeast"/>
        </w:trPr>
        <w:tc>
          <w:tcPr>
            <w:tcW w:w="6976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eastAsia="zh-CN"/>
              </w:rPr>
              <w:t>编制</w:t>
            </w:r>
            <w:r>
              <w:rPr>
                <w:rFonts w:hint="eastAsia" w:ascii="Calibri" w:hAnsi="Calibri" w:cs="Times New Roman"/>
                <w:color w:val="000000"/>
                <w:sz w:val="18"/>
                <w:szCs w:val="18"/>
                <w:lang w:val="en-US" w:eastAsia="zh-CN"/>
              </w:rPr>
              <w:t>部门：</w:t>
            </w:r>
            <w:r>
              <w:rPr>
                <w:rFonts w:hint="default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  <w:t>中国共产党呼图壁县委员会党校</w:t>
            </w:r>
          </w:p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2478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righ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50" w:type="dxa"/>
            <w:gridSpan w:val="4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974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1346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574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55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52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741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517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618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41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6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42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42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46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7" w:hRule="atLeast"/>
        </w:trPr>
        <w:tc>
          <w:tcPr>
            <w:tcW w:w="51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974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4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4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5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2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41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17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63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Hans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97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134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574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1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61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419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618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42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42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center"/>
          </w:tcPr>
          <w:p>
            <w:pPr>
              <w:widowControl w:val="0"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center"/>
          </w:tcPr>
          <w:p>
            <w:pPr>
              <w:widowControl w:val="0"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center"/>
          </w:tcPr>
          <w:p>
            <w:pPr>
              <w:widowControl w:val="0"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974" w:type="dxa"/>
            <w:noWrap w:val="0"/>
            <w:vAlign w:val="center"/>
          </w:tcPr>
          <w:p>
            <w:pPr>
              <w:widowControl w:val="0"/>
              <w:ind w:firstLine="320" w:firstLineChars="100"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46" w:type="dxa"/>
            <w:noWrap w:val="0"/>
            <w:vAlign w:val="center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总计</w:t>
            </w:r>
          </w:p>
        </w:tc>
        <w:tc>
          <w:tcPr>
            <w:tcW w:w="574" w:type="dxa"/>
            <w:noWrap w:val="0"/>
            <w:vAlign w:val="center"/>
          </w:tcPr>
          <w:p>
            <w:pPr>
              <w:widowControl w:val="0"/>
              <w:ind w:left="0" w:leftChars="0" w:firstLine="0" w:firstLineChars="0"/>
              <w:jc w:val="right"/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widowControl w:val="0"/>
              <w:ind w:left="0" w:leftChars="0" w:firstLine="0" w:firstLineChars="0"/>
              <w:jc w:val="right"/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525" w:type="dxa"/>
            <w:noWrap w:val="0"/>
            <w:vAlign w:val="center"/>
          </w:tcPr>
          <w:p>
            <w:pPr>
              <w:widowControl w:val="0"/>
              <w:ind w:left="0" w:leftChars="0" w:firstLine="0" w:firstLineChars="0"/>
              <w:jc w:val="right"/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41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</w:p>
        </w:tc>
        <w:tc>
          <w:tcPr>
            <w:tcW w:w="517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</w:p>
        </w:tc>
        <w:tc>
          <w:tcPr>
            <w:tcW w:w="618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</w:p>
        </w:tc>
        <w:tc>
          <w:tcPr>
            <w:tcW w:w="463" w:type="dxa"/>
            <w:gridSpan w:val="2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  <w:t>205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Hans"/>
              </w:rPr>
            </w:pP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97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  <w:t>教育支出</w:t>
            </w:r>
          </w:p>
        </w:tc>
        <w:tc>
          <w:tcPr>
            <w:tcW w:w="1346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  <w:t>党校运行经费</w:t>
            </w:r>
          </w:p>
        </w:tc>
        <w:tc>
          <w:tcPr>
            <w:tcW w:w="574" w:type="dxa"/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525" w:type="dxa"/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41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517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463" w:type="dxa"/>
            <w:gridSpan w:val="2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  <w:t>205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  <w:t>08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97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  <w:t>进修及培训</w:t>
            </w:r>
          </w:p>
        </w:tc>
        <w:tc>
          <w:tcPr>
            <w:tcW w:w="1346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  <w:t>党校运行经费　　</w:t>
            </w:r>
          </w:p>
        </w:tc>
        <w:tc>
          <w:tcPr>
            <w:tcW w:w="574" w:type="dxa"/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525" w:type="dxa"/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41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517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463" w:type="dxa"/>
            <w:gridSpan w:val="2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205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08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02</w:t>
            </w:r>
          </w:p>
        </w:tc>
        <w:tc>
          <w:tcPr>
            <w:tcW w:w="974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eastAsia="zh-CN"/>
              </w:rPr>
              <w:t>干部教育</w:t>
            </w:r>
          </w:p>
        </w:tc>
        <w:tc>
          <w:tcPr>
            <w:tcW w:w="1346" w:type="dxa"/>
            <w:noWrap w:val="0"/>
            <w:vAlign w:val="top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党校运行经费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eastAsia="zh-CN"/>
              </w:rPr>
              <w:t>　　</w:t>
            </w:r>
          </w:p>
        </w:tc>
        <w:tc>
          <w:tcPr>
            <w:tcW w:w="574" w:type="dxa"/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525" w:type="dxa"/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41" w:type="dxa"/>
            <w:noWrap w:val="0"/>
            <w:vAlign w:val="top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eastAsia="zh-CN"/>
              </w:rPr>
              <w:t>　</w:t>
            </w:r>
          </w:p>
        </w:tc>
        <w:tc>
          <w:tcPr>
            <w:tcW w:w="517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463" w:type="dxa"/>
            <w:gridSpan w:val="2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jc w:val="left"/>
        <w:rPr>
          <w:rFonts w:hint="default" w:ascii="仿宋" w:hAnsi="宋体" w:eastAsia="仿宋" w:cs="Times New Roman"/>
          <w:b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color w:val="000000"/>
          <w:sz w:val="18"/>
          <w:szCs w:val="18"/>
          <w:lang w:val="en-US" w:eastAsia="zh-CN"/>
        </w:rPr>
        <w:t>表</w:t>
      </w:r>
      <w:r>
        <w:rPr>
          <w:rFonts w:hint="default" w:ascii="宋体" w:hAnsi="宋体" w:eastAsia="宋体" w:cs="Times New Roman"/>
          <w:color w:val="000000"/>
          <w:sz w:val="18"/>
          <w:szCs w:val="18"/>
          <w:lang w:eastAsia="zh-CN"/>
        </w:rPr>
        <w:t>8</w:t>
      </w:r>
    </w:p>
    <w:p>
      <w:pPr>
        <w:jc w:val="center"/>
        <w:rPr>
          <w:rFonts w:hint="eastAsia" w:ascii="仿宋" w:hAnsi="宋体" w:eastAsia="仿宋" w:cs="Times New Roman"/>
          <w:b/>
          <w:color w:val="000000"/>
          <w:sz w:val="28"/>
          <w:szCs w:val="28"/>
        </w:rPr>
      </w:pPr>
      <w:r>
        <w:rPr>
          <w:rFonts w:hint="eastAsia" w:ascii="仿宋" w:hAnsi="宋体" w:eastAsia="仿宋" w:cs="Times New Roman"/>
          <w:b/>
          <w:color w:val="000000"/>
          <w:sz w:val="28"/>
          <w:szCs w:val="28"/>
          <w:lang w:val="en-US" w:eastAsia="zh-CN"/>
        </w:rPr>
        <w:t>政府性基金预算支出</w:t>
      </w:r>
      <w:r>
        <w:rPr>
          <w:rFonts w:hint="eastAsia" w:ascii="仿宋" w:hAnsi="宋体" w:eastAsia="仿宋" w:cs="Times New Roman"/>
          <w:b/>
          <w:color w:val="000000"/>
          <w:sz w:val="28"/>
          <w:szCs w:val="28"/>
        </w:rPr>
        <w:t>情况表</w:t>
      </w:r>
    </w:p>
    <w:p>
      <w:pPr>
        <w:jc w:val="left"/>
        <w:rPr>
          <w:rFonts w:hint="eastAsia" w:ascii="Calibri" w:hAnsi="Calibri" w:eastAsia="宋体" w:cs="Times New Roman"/>
          <w:color w:val="000000"/>
          <w:sz w:val="18"/>
          <w:szCs w:val="18"/>
        </w:rPr>
      </w:pPr>
      <w:r>
        <w:rPr>
          <w:rFonts w:hint="eastAsia" w:ascii="Calibri" w:hAnsi="Calibri" w:eastAsia="宋体" w:cs="Times New Roman"/>
          <w:color w:val="000000"/>
          <w:sz w:val="18"/>
          <w:szCs w:val="18"/>
          <w:lang w:eastAsia="zh-CN"/>
        </w:rPr>
        <w:t>编制</w:t>
      </w:r>
      <w:r>
        <w:rPr>
          <w:rFonts w:hint="eastAsia" w:ascii="Calibri" w:hAnsi="Calibri" w:cs="Times New Roman"/>
          <w:color w:val="000000"/>
          <w:sz w:val="18"/>
          <w:szCs w:val="18"/>
          <w:lang w:val="en-US" w:eastAsia="zh-CN"/>
        </w:rPr>
        <w:t>部门</w:t>
      </w:r>
      <w:r>
        <w:rPr>
          <w:rFonts w:hint="eastAsia" w:ascii="Calibri" w:hAnsi="Calibri" w:eastAsia="宋体" w:cs="Times New Roman"/>
          <w:color w:val="000000"/>
          <w:sz w:val="18"/>
          <w:szCs w:val="18"/>
          <w:lang w:eastAsia="zh-CN"/>
        </w:rPr>
        <w:t>：</w:t>
      </w:r>
      <w:r>
        <w:rPr>
          <w:rFonts w:hint="default" w:ascii="Calibri" w:hAnsi="Calibri" w:eastAsia="宋体" w:cs="Times New Roman"/>
          <w:color w:val="000000"/>
          <w:sz w:val="18"/>
          <w:szCs w:val="18"/>
          <w:lang w:val="en-US" w:eastAsia="zh-CN"/>
        </w:rPr>
        <w:t>中国共产党呼图壁县委员会党校</w:t>
      </w:r>
      <w:r>
        <w:rPr>
          <w:rFonts w:hint="eastAsia" w:ascii="Calibri" w:hAnsi="Calibri" w:cs="Times New Roman"/>
          <w:color w:val="000000"/>
          <w:sz w:val="18"/>
          <w:szCs w:val="18"/>
          <w:lang w:val="en-US" w:eastAsia="zh-CN"/>
        </w:rPr>
        <w:t xml:space="preserve">             </w:t>
      </w:r>
      <w:r>
        <w:rPr>
          <w:rFonts w:hint="default" w:ascii="Calibri" w:hAnsi="Calibri" w:eastAsia="宋体" w:cs="Times New Roman"/>
          <w:color w:val="000000"/>
          <w:sz w:val="18"/>
          <w:szCs w:val="18"/>
          <w:lang w:val="en-US" w:eastAsia="zh-CN"/>
        </w:rPr>
        <w:t xml:space="preserve">                             </w:t>
      </w:r>
      <w:r>
        <w:rPr>
          <w:rFonts w:hint="eastAsia" w:ascii="Calibri" w:hAnsi="Calibri" w:eastAsia="宋体" w:cs="Times New Roman"/>
          <w:color w:val="000000"/>
          <w:sz w:val="18"/>
          <w:szCs w:val="18"/>
          <w:lang w:val="en-US" w:eastAsia="zh-CN"/>
        </w:rPr>
        <w:t xml:space="preserve">    </w:t>
      </w:r>
      <w:r>
        <w:rPr>
          <w:rFonts w:hint="eastAsia" w:ascii="Calibri" w:hAnsi="Calibri" w:eastAsia="宋体" w:cs="Times New Roman"/>
          <w:color w:val="000000"/>
          <w:sz w:val="18"/>
          <w:szCs w:val="18"/>
        </w:rPr>
        <w:t>单位：万元</w:t>
      </w:r>
    </w:p>
    <w:tbl>
      <w:tblPr>
        <w:tblStyle w:val="13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科</w:t>
            </w: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政府性基金预算</w:t>
            </w: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功能分类科目名称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合 计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项目支出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类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款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项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人员经费</w:t>
            </w: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widowControl/>
        <w:jc w:val="left"/>
        <w:rPr>
          <w:rFonts w:hint="default" w:ascii="仿宋" w:hAnsi="Calibri" w:eastAsia="仿宋" w:cs="Times New Roman"/>
          <w:b/>
          <w:color w:val="000000"/>
          <w:szCs w:val="21"/>
          <w:lang w:val="en-US" w:eastAsia="zh-CN"/>
        </w:rPr>
      </w:pPr>
      <w:r>
        <w:rPr>
          <w:rFonts w:hint="eastAsia" w:ascii="仿宋" w:hAnsi="Calibri" w:eastAsia="仿宋" w:cs="Times New Roman"/>
          <w:b/>
          <w:color w:val="000000"/>
          <w:szCs w:val="21"/>
          <w:lang w:val="en-US" w:eastAsia="zh-CN"/>
        </w:rPr>
        <w:t>备注：</w:t>
      </w:r>
      <w:r>
        <w:rPr>
          <w:rFonts w:hint="default" w:ascii="仿宋" w:hAnsi="Calibri" w:eastAsia="仿宋" w:cs="Times New Roman"/>
          <w:b/>
          <w:color w:val="000000"/>
          <w:szCs w:val="21"/>
          <w:lang w:val="en-US" w:eastAsia="zh-CN"/>
        </w:rPr>
        <w:t>中国共产党呼图壁县委员会党校</w:t>
      </w:r>
      <w:r>
        <w:rPr>
          <w:rFonts w:hint="eastAsia" w:ascii="仿宋" w:hAnsi="Calibri" w:eastAsia="仿宋" w:cs="Times New Roman"/>
          <w:b/>
          <w:color w:val="000000"/>
          <w:szCs w:val="21"/>
          <w:lang w:val="en-US" w:eastAsia="zh-CN"/>
        </w:rPr>
        <w:t xml:space="preserve"> 2025年没有使用政府性基金预算拨款安排的支出，政府性基金预算支出情况表为空表。</w:t>
      </w:r>
    </w:p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rPr>
          <w:rFonts w:hint="default" w:ascii="宋体" w:hAnsi="宋体" w:eastAsia="宋体" w:cs="Times New Roman"/>
          <w:color w:val="000000"/>
          <w:sz w:val="18"/>
          <w:szCs w:val="18"/>
          <w:lang w:val="en-US"/>
        </w:rPr>
      </w:pPr>
      <w:r>
        <w:rPr>
          <w:rFonts w:hint="eastAsia" w:ascii="宋体" w:hAnsi="宋体" w:eastAsia="宋体" w:cs="Times New Roman"/>
          <w:color w:val="000000"/>
          <w:sz w:val="18"/>
          <w:szCs w:val="18"/>
          <w:lang w:val="en-US" w:eastAsia="zh-CN"/>
        </w:rPr>
        <w:t>表9</w:t>
      </w:r>
    </w:p>
    <w:p>
      <w:pPr>
        <w:jc w:val="center"/>
        <w:rPr>
          <w:rFonts w:hint="eastAsia" w:ascii="仿宋" w:hAnsi="宋体" w:eastAsia="仿宋" w:cs="Times New Roman"/>
          <w:b/>
          <w:color w:val="000000"/>
          <w:sz w:val="28"/>
          <w:szCs w:val="28"/>
        </w:rPr>
      </w:pPr>
      <w:r>
        <w:rPr>
          <w:rFonts w:hint="eastAsia" w:ascii="仿宋" w:hAnsi="宋体" w:eastAsia="仿宋" w:cs="Times New Roman"/>
          <w:b/>
          <w:color w:val="000000"/>
          <w:sz w:val="28"/>
          <w:szCs w:val="28"/>
          <w:lang w:val="en-US" w:eastAsia="zh-CN"/>
        </w:rPr>
        <w:t>国有资本经营预算支出</w:t>
      </w:r>
      <w:r>
        <w:rPr>
          <w:rFonts w:hint="eastAsia" w:ascii="仿宋" w:hAnsi="宋体" w:eastAsia="仿宋" w:cs="Times New Roman"/>
          <w:b/>
          <w:color w:val="000000"/>
          <w:sz w:val="28"/>
          <w:szCs w:val="28"/>
        </w:rPr>
        <w:t>情况表</w:t>
      </w:r>
    </w:p>
    <w:p>
      <w:pPr>
        <w:jc w:val="left"/>
        <w:rPr>
          <w:rFonts w:hint="eastAsia" w:ascii="Calibri" w:hAnsi="Calibri" w:eastAsia="宋体" w:cs="Times New Roman"/>
          <w:color w:val="000000"/>
          <w:sz w:val="18"/>
          <w:szCs w:val="18"/>
        </w:rPr>
      </w:pPr>
      <w:r>
        <w:rPr>
          <w:rFonts w:hint="eastAsia" w:ascii="Calibri" w:hAnsi="Calibri" w:eastAsia="宋体" w:cs="Times New Roman"/>
          <w:color w:val="000000"/>
          <w:sz w:val="18"/>
          <w:szCs w:val="18"/>
          <w:lang w:eastAsia="zh-CN"/>
        </w:rPr>
        <w:t>编制</w:t>
      </w:r>
      <w:r>
        <w:rPr>
          <w:rFonts w:hint="eastAsia" w:ascii="Calibri" w:hAnsi="Calibri" w:cs="Times New Roman"/>
          <w:color w:val="000000"/>
          <w:sz w:val="18"/>
          <w:szCs w:val="18"/>
          <w:lang w:val="en-US" w:eastAsia="zh-CN"/>
        </w:rPr>
        <w:t>部门</w:t>
      </w:r>
      <w:r>
        <w:rPr>
          <w:rFonts w:hint="eastAsia" w:ascii="Calibri" w:hAnsi="Calibri" w:eastAsia="宋体" w:cs="Times New Roman"/>
          <w:color w:val="000000"/>
          <w:sz w:val="18"/>
          <w:szCs w:val="18"/>
          <w:lang w:eastAsia="zh-CN"/>
        </w:rPr>
        <w:t>：</w:t>
      </w:r>
      <w:r>
        <w:rPr>
          <w:rFonts w:hint="default" w:ascii="Calibri" w:hAnsi="Calibri" w:eastAsia="宋体" w:cs="Times New Roman"/>
          <w:color w:val="000000"/>
          <w:sz w:val="18"/>
          <w:szCs w:val="18"/>
          <w:lang w:val="en-US" w:eastAsia="zh-CN"/>
        </w:rPr>
        <w:t>中国共产党呼图壁县委员会党校</w:t>
      </w:r>
      <w:r>
        <w:rPr>
          <w:rFonts w:hint="eastAsia" w:ascii="Calibri" w:hAnsi="Calibri" w:cs="Times New Roman"/>
          <w:color w:val="000000"/>
          <w:sz w:val="18"/>
          <w:szCs w:val="18"/>
          <w:lang w:val="en-US" w:eastAsia="zh-CN"/>
        </w:rPr>
        <w:t xml:space="preserve">             </w:t>
      </w:r>
      <w:r>
        <w:rPr>
          <w:rFonts w:hint="default" w:ascii="Calibri" w:hAnsi="Calibri" w:eastAsia="宋体" w:cs="Times New Roman"/>
          <w:color w:val="000000"/>
          <w:sz w:val="18"/>
          <w:szCs w:val="18"/>
          <w:lang w:val="en-US" w:eastAsia="zh-CN"/>
        </w:rPr>
        <w:t xml:space="preserve">                                  </w:t>
      </w:r>
      <w:r>
        <w:rPr>
          <w:rFonts w:hint="eastAsia" w:ascii="Calibri" w:hAnsi="Calibri" w:eastAsia="宋体" w:cs="Times New Roman"/>
          <w:color w:val="000000"/>
          <w:sz w:val="18"/>
          <w:szCs w:val="18"/>
        </w:rPr>
        <w:t xml:space="preserve"> 单位：万元</w:t>
      </w:r>
    </w:p>
    <w:tbl>
      <w:tblPr>
        <w:tblStyle w:val="13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科</w:t>
            </w: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国有资本经营预算</w:t>
            </w: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功能分类科目名称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合 计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项目支出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类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款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项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人员经费</w:t>
            </w: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eastAsia="仿宋"/>
          <w:b/>
          <w:color w:val="000000"/>
          <w:szCs w:val="21"/>
          <w:lang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eastAsia="仿宋"/>
          <w:b/>
          <w:color w:val="000000"/>
          <w:szCs w:val="21"/>
          <w:lang w:val="en-US" w:eastAsia="zh-CN"/>
        </w:rPr>
        <w:t>备注：</w:t>
      </w:r>
      <w:r>
        <w:rPr>
          <w:rFonts w:hint="default" w:ascii="仿宋" w:eastAsia="仿宋"/>
          <w:b/>
          <w:color w:val="000000"/>
          <w:szCs w:val="21"/>
          <w:lang w:val="en-US" w:eastAsia="zh-CN"/>
        </w:rPr>
        <w:t>中国共产党呼图壁县委员会党校</w:t>
      </w:r>
      <w:r>
        <w:rPr>
          <w:rFonts w:hint="eastAsia" w:ascii="仿宋" w:eastAsia="仿宋"/>
          <w:b/>
          <w:color w:val="000000"/>
          <w:szCs w:val="21"/>
          <w:lang w:val="en-US" w:eastAsia="zh-CN"/>
        </w:rPr>
        <w:t>2025</w:t>
      </w:r>
      <w:r>
        <w:rPr>
          <w:rFonts w:hint="eastAsia" w:ascii="仿宋" w:hAnsi="Calibri" w:eastAsia="仿宋" w:cs="Times New Roman"/>
          <w:b/>
          <w:color w:val="000000"/>
          <w:szCs w:val="21"/>
          <w:lang w:val="en-US" w:eastAsia="zh-CN"/>
        </w:rPr>
        <w:t>年</w:t>
      </w:r>
      <w:r>
        <w:rPr>
          <w:rFonts w:hint="eastAsia" w:ascii="仿宋" w:eastAsia="仿宋"/>
          <w:b/>
          <w:color w:val="000000"/>
          <w:szCs w:val="21"/>
        </w:rPr>
        <w:t>没有使用国有资本经营预算拨款安排的支出，国有资本经营预算支出情况表为空表。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rPr>
          <w:rFonts w:hint="default" w:ascii="宋体" w:hAnsi="宋体" w:eastAsia="宋体" w:cs="Times New Roman"/>
          <w:color w:val="000000"/>
          <w:sz w:val="18"/>
          <w:szCs w:val="18"/>
          <w:lang w:eastAsia="zh-CN"/>
        </w:rPr>
      </w:pPr>
      <w:r>
        <w:rPr>
          <w:rFonts w:hint="eastAsia" w:ascii="宋体" w:hAnsi="宋体" w:eastAsia="宋体" w:cs="Times New Roman"/>
          <w:color w:val="000000"/>
          <w:sz w:val="18"/>
          <w:szCs w:val="18"/>
          <w:lang w:val="en-US" w:eastAsia="zh-CN"/>
        </w:rPr>
        <w:t>表</w:t>
      </w:r>
      <w:r>
        <w:rPr>
          <w:rFonts w:hint="default" w:ascii="宋体" w:hAnsi="宋体" w:eastAsia="宋体" w:cs="Times New Roman"/>
          <w:color w:val="000000"/>
          <w:sz w:val="18"/>
          <w:szCs w:val="18"/>
          <w:lang w:eastAsia="zh-CN"/>
        </w:rPr>
        <w:t>10</w:t>
      </w:r>
    </w:p>
    <w:p>
      <w:pPr>
        <w:jc w:val="center"/>
        <w:rPr>
          <w:rFonts w:hint="eastAsia" w:ascii="仿宋" w:hAnsi="宋体" w:eastAsia="仿宋" w:cs="Times New Roman"/>
          <w:b/>
          <w:color w:val="000000"/>
          <w:sz w:val="28"/>
          <w:szCs w:val="28"/>
        </w:rPr>
      </w:pPr>
      <w:r>
        <w:rPr>
          <w:rFonts w:hint="eastAsia" w:ascii="仿宋" w:hAnsi="宋体" w:eastAsia="仿宋" w:cs="Times New Roman"/>
          <w:b/>
          <w:color w:val="000000"/>
          <w:sz w:val="28"/>
          <w:szCs w:val="28"/>
          <w:lang w:val="en-US" w:eastAsia="zh-Hans"/>
        </w:rPr>
        <w:t>财政拨款</w:t>
      </w:r>
      <w:r>
        <w:rPr>
          <w:rFonts w:hint="eastAsia" w:ascii="仿宋" w:hAnsi="宋体" w:eastAsia="仿宋" w:cs="Times New Roman"/>
          <w:b/>
          <w:color w:val="000000"/>
          <w:sz w:val="28"/>
          <w:szCs w:val="28"/>
        </w:rPr>
        <w:t>“三公”经费支出情况表</w:t>
      </w:r>
    </w:p>
    <w:p>
      <w:pPr>
        <w:jc w:val="left"/>
        <w:rPr>
          <w:rFonts w:hint="eastAsia" w:ascii="Calibri" w:hAnsi="Calibri" w:eastAsia="宋体" w:cs="Times New Roman"/>
          <w:color w:val="000000"/>
          <w:sz w:val="18"/>
          <w:szCs w:val="18"/>
        </w:rPr>
      </w:pPr>
      <w:r>
        <w:rPr>
          <w:rFonts w:hint="eastAsia" w:ascii="Calibri" w:hAnsi="Calibri" w:eastAsia="宋体" w:cs="Times New Roman"/>
          <w:color w:val="000000"/>
          <w:sz w:val="18"/>
          <w:szCs w:val="18"/>
          <w:lang w:eastAsia="zh-CN"/>
        </w:rPr>
        <w:t>编</w:t>
      </w:r>
      <w:r>
        <w:rPr>
          <w:rFonts w:hint="eastAsia" w:ascii="Calibri" w:hAnsi="Calibri" w:cs="Times New Roman"/>
          <w:color w:val="000000"/>
          <w:sz w:val="18"/>
          <w:szCs w:val="18"/>
          <w:lang w:val="en-US" w:eastAsia="zh-CN"/>
        </w:rPr>
        <w:t>制部门：</w:t>
      </w:r>
      <w:r>
        <w:rPr>
          <w:rFonts w:hint="default" w:ascii="Calibri" w:hAnsi="Calibri" w:eastAsia="宋体" w:cs="Times New Roman"/>
          <w:color w:val="000000"/>
          <w:sz w:val="18"/>
          <w:szCs w:val="18"/>
          <w:lang w:val="en-US" w:eastAsia="zh-CN"/>
        </w:rPr>
        <w:t>中国共产党呼图壁县委员会党校</w:t>
      </w:r>
      <w:r>
        <w:rPr>
          <w:rFonts w:hint="eastAsia" w:ascii="Calibri" w:hAnsi="Calibri" w:cs="Times New Roman"/>
          <w:color w:val="000000"/>
          <w:sz w:val="18"/>
          <w:szCs w:val="18"/>
          <w:lang w:val="en-US" w:eastAsia="zh-CN"/>
        </w:rPr>
        <w:t xml:space="preserve">     </w:t>
      </w:r>
      <w:r>
        <w:rPr>
          <w:rFonts w:hint="default" w:ascii="Calibri" w:hAnsi="Calibri" w:eastAsia="宋体" w:cs="Times New Roman"/>
          <w:color w:val="000000"/>
          <w:sz w:val="18"/>
          <w:szCs w:val="18"/>
          <w:lang w:val="en-US" w:eastAsia="zh-CN"/>
        </w:rPr>
        <w:t xml:space="preserve">                                  </w:t>
      </w:r>
      <w:r>
        <w:rPr>
          <w:rFonts w:hint="eastAsia" w:ascii="Calibri" w:hAnsi="Calibri" w:eastAsia="宋体" w:cs="Times New Roman"/>
          <w:color w:val="000000"/>
          <w:sz w:val="18"/>
          <w:szCs w:val="1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color w:val="000000"/>
          <w:sz w:val="18"/>
          <w:szCs w:val="18"/>
        </w:rPr>
        <w:t>单位：万元</w:t>
      </w:r>
    </w:p>
    <w:tbl>
      <w:tblPr>
        <w:tblStyle w:val="14"/>
        <w:tblW w:w="9563" w:type="dxa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eastAsia="zh-CN"/>
              </w:rPr>
              <w:t>“</w:t>
            </w: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三公</w:t>
            </w: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eastAsia="zh-CN"/>
              </w:rPr>
              <w:t>”</w:t>
            </w: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经费</w:t>
            </w: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Hans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Hans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Hans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38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38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18"/>
                <w:szCs w:val="18"/>
              </w:rPr>
              <w:t>合计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b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18"/>
                <w:szCs w:val="18"/>
                <w:lang w:val="en-US" w:eastAsia="zh-CN"/>
              </w:rPr>
              <w:t>1.60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b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18"/>
                <w:szCs w:val="18"/>
                <w:lang w:val="en-US" w:eastAsia="zh-CN"/>
              </w:rPr>
              <w:t>1.60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因公出国（境）费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公务接待费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8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18"/>
                <w:szCs w:val="18"/>
              </w:rPr>
              <w:t>公务用车购置及运行费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18"/>
                <w:szCs w:val="18"/>
              </w:rPr>
              <w:t>（小计）</w:t>
            </w:r>
          </w:p>
        </w:tc>
        <w:tc>
          <w:tcPr>
            <w:tcW w:w="1215" w:type="dxa"/>
            <w:noWrap w:val="0"/>
            <w:vAlign w:val="bottom"/>
          </w:tcPr>
          <w:p>
            <w:pPr>
              <w:jc w:val="right"/>
              <w:rPr>
                <w:rFonts w:hint="default" w:ascii="宋体" w:hAnsi="宋体" w:eastAsia="宋体" w:cs="Times New Roman"/>
                <w:b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18"/>
                <w:szCs w:val="18"/>
                <w:lang w:val="en-US" w:eastAsia="zh-CN"/>
              </w:rPr>
              <w:t>1.60</w:t>
            </w:r>
          </w:p>
        </w:tc>
        <w:tc>
          <w:tcPr>
            <w:tcW w:w="1314" w:type="dxa"/>
            <w:noWrap w:val="0"/>
            <w:vAlign w:val="bottom"/>
          </w:tcPr>
          <w:p>
            <w:pPr>
              <w:jc w:val="right"/>
              <w:rPr>
                <w:rFonts w:hint="default" w:ascii="宋体" w:hAnsi="宋体" w:eastAsia="宋体" w:cs="Times New Roman"/>
                <w:b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18"/>
                <w:szCs w:val="18"/>
                <w:lang w:val="en-US" w:eastAsia="zh-CN"/>
              </w:rPr>
              <w:t>1.60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381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其中：公务用车购置费</w:t>
            </w:r>
          </w:p>
        </w:tc>
        <w:tc>
          <w:tcPr>
            <w:tcW w:w="1215" w:type="dxa"/>
            <w:noWrap w:val="0"/>
            <w:vAlign w:val="bottom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bottom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 xml:space="preserve">     </w:t>
            </w:r>
            <w:r>
              <w:rPr>
                <w:rFonts w:hint="default" w:ascii="宋体" w:hAnsi="宋体" w:eastAsia="宋体" w:cs="Times New Roman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 xml:space="preserve"> 公务用车运行费</w:t>
            </w:r>
          </w:p>
        </w:tc>
        <w:tc>
          <w:tcPr>
            <w:tcW w:w="1215" w:type="dxa"/>
            <w:noWrap w:val="0"/>
            <w:vAlign w:val="bottom"/>
          </w:tcPr>
          <w:p>
            <w:pPr>
              <w:jc w:val="right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/>
              </w:rPr>
              <w:t>1.60</w:t>
            </w:r>
          </w:p>
        </w:tc>
        <w:tc>
          <w:tcPr>
            <w:tcW w:w="1314" w:type="dxa"/>
            <w:noWrap w:val="0"/>
            <w:vAlign w:val="bottom"/>
          </w:tcPr>
          <w:p>
            <w:pPr>
              <w:jc w:val="right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/>
              </w:rPr>
              <w:t>1.60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jc w:val="both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rPr>
          <w:rFonts w:hint="eastAsia" w:ascii="宋体" w:hAnsi="宋体" w:eastAsia="宋体" w:cs="Times New Roman"/>
          <w:color w:val="000000"/>
          <w:sz w:val="18"/>
          <w:szCs w:val="18"/>
          <w:lang w:val="en-US" w:eastAsia="zh-CN"/>
        </w:rPr>
      </w:pPr>
    </w:p>
    <w:p>
      <w:pPr>
        <w:rPr>
          <w:rFonts w:hint="eastAsia" w:ascii="宋体" w:hAnsi="宋体" w:eastAsia="宋体" w:cs="Times New Roman"/>
          <w:color w:val="000000"/>
          <w:sz w:val="18"/>
          <w:szCs w:val="18"/>
        </w:rPr>
      </w:pPr>
      <w:r>
        <w:rPr>
          <w:rFonts w:hint="eastAsia" w:ascii="宋体" w:hAnsi="宋体" w:eastAsia="宋体" w:cs="Times New Roman"/>
          <w:color w:val="000000"/>
          <w:sz w:val="18"/>
          <w:szCs w:val="18"/>
          <w:lang w:val="en-US" w:eastAsia="zh-CN"/>
        </w:rPr>
        <w:t>表</w:t>
      </w:r>
      <w:r>
        <w:rPr>
          <w:rFonts w:hint="default" w:ascii="宋体" w:hAnsi="宋体" w:eastAsia="宋体" w:cs="Times New Roman"/>
          <w:color w:val="000000"/>
          <w:sz w:val="18"/>
          <w:szCs w:val="18"/>
          <w:lang w:eastAsia="zh-CN"/>
        </w:rPr>
        <w:t>1</w:t>
      </w:r>
      <w:r>
        <w:rPr>
          <w:rFonts w:hint="eastAsia" w:ascii="宋体" w:hAnsi="宋体" w:eastAsia="宋体" w:cs="Times New Roman"/>
          <w:color w:val="000000"/>
          <w:sz w:val="18"/>
          <w:szCs w:val="18"/>
          <w:lang w:val="en-US" w:eastAsia="zh-CN"/>
        </w:rPr>
        <w:t>1</w:t>
      </w:r>
    </w:p>
    <w:p>
      <w:pPr>
        <w:jc w:val="center"/>
        <w:rPr>
          <w:rFonts w:hint="eastAsia" w:ascii="仿宋" w:hAnsi="宋体" w:eastAsia="仿宋" w:cs="Times New Roman"/>
          <w:b/>
          <w:color w:val="000000"/>
          <w:sz w:val="28"/>
          <w:szCs w:val="28"/>
        </w:rPr>
      </w:pPr>
      <w:r>
        <w:rPr>
          <w:rFonts w:hint="eastAsia" w:ascii="仿宋" w:hAnsi="宋体" w:eastAsia="仿宋" w:cs="Times New Roman"/>
          <w:b/>
          <w:color w:val="000000"/>
          <w:sz w:val="28"/>
          <w:szCs w:val="28"/>
        </w:rPr>
        <w:t>上年结转</w:t>
      </w:r>
      <w:r>
        <w:rPr>
          <w:rFonts w:hint="eastAsia" w:ascii="仿宋" w:hAnsi="宋体" w:eastAsia="仿宋" w:cs="Times New Roman"/>
          <w:b/>
          <w:color w:val="000000"/>
          <w:sz w:val="28"/>
          <w:szCs w:val="28"/>
          <w:lang w:val="en-US" w:eastAsia="zh-CN"/>
        </w:rPr>
        <w:t>结余</w:t>
      </w:r>
      <w:r>
        <w:rPr>
          <w:rFonts w:hint="eastAsia" w:ascii="仿宋" w:hAnsi="宋体" w:eastAsia="仿宋" w:cs="Times New Roman"/>
          <w:b/>
          <w:color w:val="000000"/>
          <w:sz w:val="28"/>
          <w:szCs w:val="28"/>
        </w:rPr>
        <w:t>情况明细表</w:t>
      </w:r>
    </w:p>
    <w:p>
      <w:pPr>
        <w:jc w:val="left"/>
        <w:rPr>
          <w:rFonts w:hint="eastAsia" w:ascii="Calibri" w:hAnsi="Calibri" w:eastAsia="宋体" w:cs="Times New Roman"/>
          <w:color w:val="000000"/>
          <w:sz w:val="18"/>
          <w:szCs w:val="18"/>
        </w:rPr>
      </w:pPr>
      <w:r>
        <w:rPr>
          <w:rFonts w:hint="eastAsia" w:ascii="Calibri" w:hAnsi="Calibri" w:eastAsia="宋体" w:cs="Times New Roman"/>
          <w:color w:val="000000"/>
          <w:sz w:val="18"/>
          <w:szCs w:val="18"/>
          <w:lang w:eastAsia="zh-CN"/>
        </w:rPr>
        <w:t>编制</w:t>
      </w:r>
      <w:r>
        <w:rPr>
          <w:rFonts w:hint="eastAsia" w:ascii="Calibri" w:hAnsi="Calibri" w:cs="Times New Roman"/>
          <w:color w:val="000000"/>
          <w:sz w:val="18"/>
          <w:szCs w:val="18"/>
          <w:lang w:val="en-US" w:eastAsia="zh-CN"/>
        </w:rPr>
        <w:t>部门：</w:t>
      </w:r>
      <w:r>
        <w:rPr>
          <w:rFonts w:hint="default" w:ascii="Calibri" w:hAnsi="Calibri" w:eastAsia="宋体" w:cs="Times New Roman"/>
          <w:color w:val="000000"/>
          <w:sz w:val="18"/>
          <w:szCs w:val="18"/>
          <w:lang w:val="en-US" w:eastAsia="zh-CN"/>
        </w:rPr>
        <w:t xml:space="preserve">中国共产党呼图壁县委员会党校                                 </w:t>
      </w:r>
      <w:r>
        <w:rPr>
          <w:rFonts w:hint="eastAsia" w:ascii="Calibri" w:hAnsi="Calibri" w:eastAsia="宋体" w:cs="Times New Roman"/>
          <w:color w:val="000000"/>
          <w:sz w:val="18"/>
          <w:szCs w:val="1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color w:val="000000"/>
          <w:sz w:val="18"/>
          <w:szCs w:val="18"/>
        </w:rPr>
        <w:t>单位：万元</w:t>
      </w:r>
    </w:p>
    <w:tbl>
      <w:tblPr>
        <w:tblStyle w:val="14"/>
        <w:tblpPr w:leftFromText="180" w:rightFromText="180" w:vertAnchor="text" w:horzAnchor="page" w:tblpX="852" w:tblpY="190"/>
        <w:tblOverlap w:val="never"/>
        <w:tblW w:w="9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850"/>
        <w:gridCol w:w="1054"/>
        <w:gridCol w:w="890"/>
        <w:gridCol w:w="714"/>
        <w:gridCol w:w="1211"/>
        <w:gridCol w:w="797"/>
        <w:gridCol w:w="723"/>
        <w:gridCol w:w="88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项目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总计</w:t>
            </w:r>
          </w:p>
        </w:tc>
        <w:tc>
          <w:tcPr>
            <w:tcW w:w="386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财政拨款</w:t>
            </w:r>
          </w:p>
        </w:tc>
        <w:tc>
          <w:tcPr>
            <w:tcW w:w="3612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105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合计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项目支出</w:t>
            </w:r>
          </w:p>
        </w:tc>
        <w:tc>
          <w:tcPr>
            <w:tcW w:w="79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人员经费</w:t>
            </w:r>
          </w:p>
        </w:tc>
        <w:tc>
          <w:tcPr>
            <w:tcW w:w="714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人员经费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jc w:val="left"/>
        <w:rPr>
          <w:rFonts w:hint="eastAsia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备注：</w:t>
      </w:r>
      <w:r>
        <w:rPr>
          <w:rFonts w:hint="default" w:ascii="仿宋" w:eastAsia="仿宋"/>
          <w:b/>
          <w:color w:val="000000"/>
          <w:szCs w:val="21"/>
          <w:lang w:val="en-US" w:eastAsia="zh-CN"/>
        </w:rPr>
        <w:t>中国共产党呼图壁县委员会党校</w:t>
      </w:r>
      <w:r>
        <w:rPr>
          <w:rFonts w:hint="eastAsia" w:ascii="仿宋" w:eastAsia="仿宋"/>
          <w:b/>
          <w:color w:val="000000"/>
          <w:szCs w:val="21"/>
          <w:lang w:val="en-US" w:eastAsia="zh-CN"/>
        </w:rPr>
        <w:t>2025</w:t>
      </w:r>
      <w:r>
        <w:rPr>
          <w:rFonts w:hint="eastAsia" w:ascii="仿宋" w:eastAsia="仿宋"/>
          <w:b/>
          <w:color w:val="000000"/>
          <w:szCs w:val="21"/>
          <w:lang w:eastAsia="zh-CN"/>
        </w:rPr>
        <w:t>年</w:t>
      </w:r>
      <w:r>
        <w:rPr>
          <w:rFonts w:hint="eastAsia" w:ascii="仿宋" w:eastAsia="仿宋"/>
          <w:b/>
          <w:color w:val="000000"/>
          <w:szCs w:val="21"/>
          <w:lang w:val="en-US" w:eastAsia="zh-CN"/>
        </w:rPr>
        <w:t>预算</w:t>
      </w:r>
      <w:r>
        <w:rPr>
          <w:rFonts w:hint="eastAsia" w:ascii="仿宋" w:eastAsia="仿宋"/>
          <w:b/>
          <w:color w:val="000000"/>
          <w:szCs w:val="21"/>
          <w:lang w:eastAsia="zh-CN"/>
        </w:rPr>
        <w:t>未</w:t>
      </w:r>
      <w:r>
        <w:rPr>
          <w:rFonts w:hint="eastAsia" w:ascii="仿宋" w:eastAsia="仿宋"/>
          <w:b/>
          <w:color w:val="000000"/>
          <w:szCs w:val="21"/>
          <w:lang w:val="en-US" w:eastAsia="zh-CN"/>
        </w:rPr>
        <w:t>有上年结转结余情况</w:t>
      </w:r>
      <w:r>
        <w:rPr>
          <w:rFonts w:hint="eastAsia" w:ascii="仿宋" w:eastAsia="仿宋"/>
          <w:b/>
          <w:color w:val="000000"/>
          <w:szCs w:val="21"/>
          <w:lang w:eastAsia="zh-CN"/>
        </w:rPr>
        <w:t>，上年结转</w:t>
      </w:r>
      <w:r>
        <w:rPr>
          <w:rFonts w:hint="eastAsia" w:ascii="仿宋" w:eastAsia="仿宋"/>
          <w:b/>
          <w:color w:val="000000"/>
          <w:szCs w:val="21"/>
          <w:lang w:val="en-US" w:eastAsia="zh-CN"/>
        </w:rPr>
        <w:t>结余</w:t>
      </w:r>
      <w:r>
        <w:rPr>
          <w:rFonts w:hint="eastAsia" w:ascii="仿宋" w:eastAsia="仿宋"/>
          <w:b/>
          <w:color w:val="000000"/>
          <w:szCs w:val="21"/>
          <w:lang w:eastAsia="zh-CN"/>
        </w:rPr>
        <w:t>情况明细表为空表。</w:t>
      </w:r>
    </w:p>
    <w:p>
      <w:pPr>
        <w:widowControl/>
        <w:outlineLvl w:val="1"/>
        <w:rPr>
          <w:rFonts w:ascii="仿宋_GB2312" w:hAnsi="宋体" w:eastAsia="仿宋_GB2312"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pStyle w:val="2"/>
        <w:spacing w:before="156" w:beforeLines="50" w:after="156" w:afterLines="50" w:line="240" w:lineRule="atLeast"/>
        <w:jc w:val="center"/>
        <w:rPr>
          <w:rFonts w:hint="eastAsia" w:ascii="黑体" w:hAnsi="Times New Roman" w:eastAsia="黑体" w:cs="Times New Roman"/>
          <w:sz w:val="30"/>
          <w:szCs w:val="30"/>
        </w:rPr>
      </w:pPr>
      <w:r>
        <w:rPr>
          <w:rFonts w:hint="eastAsia" w:ascii="黑体" w:hAnsi="Times New Roman" w:eastAsia="黑体" w:cs="Times New Roman"/>
          <w:sz w:val="30"/>
          <w:szCs w:val="30"/>
        </w:rPr>
        <w:t xml:space="preserve">第三部分  </w:t>
      </w:r>
      <w:r>
        <w:rPr>
          <w:rFonts w:hint="eastAsia" w:ascii="黑体" w:hAnsi="Times New Roman" w:eastAsia="黑体" w:cs="Times New Roman"/>
          <w:sz w:val="30"/>
          <w:szCs w:val="30"/>
          <w:lang w:eastAsia="zh-CN"/>
        </w:rPr>
        <w:t>202</w:t>
      </w:r>
      <w:r>
        <w:rPr>
          <w:rFonts w:hint="eastAsia" w:ascii="黑体" w:hAnsi="Times New Roman" w:eastAsia="黑体" w:cs="Times New Roman"/>
          <w:sz w:val="30"/>
          <w:szCs w:val="30"/>
          <w:lang w:val="en-US" w:eastAsia="zh-CN"/>
        </w:rPr>
        <w:t>5</w:t>
      </w:r>
      <w:r>
        <w:rPr>
          <w:rFonts w:hint="eastAsia" w:ascii="黑体" w:hAnsi="Times New Roman" w:eastAsia="黑体" w:cs="Times New Roman"/>
          <w:sz w:val="30"/>
          <w:szCs w:val="30"/>
          <w:lang w:eastAsia="zh-CN"/>
        </w:rPr>
        <w:t>年</w:t>
      </w:r>
      <w:r>
        <w:rPr>
          <w:rFonts w:hint="eastAsia" w:ascii="黑体" w:hAnsi="Times New Roman" w:eastAsia="黑体" w:cs="Times New Roman"/>
          <w:sz w:val="30"/>
          <w:szCs w:val="30"/>
        </w:rPr>
        <w:t>部门预算情况说明</w:t>
      </w:r>
    </w:p>
    <w:p>
      <w:pPr>
        <w:pStyle w:val="3"/>
        <w:numPr>
          <w:ilvl w:val="0"/>
          <w:numId w:val="0"/>
        </w:numPr>
        <w:spacing w:before="0" w:beforeLines="-2147483648" w:after="0" w:afterLines="-2147483648" w:line="560" w:lineRule="exact"/>
        <w:ind w:firstLine="562" w:firstLineChars="200"/>
        <w:rPr>
          <w:rFonts w:hint="eastAsia" w:ascii="仿宋" w:hAnsi="华文楷体" w:eastAsia="仿宋" w:cs="Times New Roman"/>
          <w:bCs w:val="0"/>
          <w:sz w:val="28"/>
          <w:szCs w:val="28"/>
        </w:rPr>
      </w:pPr>
      <w:r>
        <w:rPr>
          <w:rFonts w:hint="eastAsia" w:ascii="仿宋" w:hAnsi="华文楷体" w:eastAsia="仿宋" w:cs="Times New Roman"/>
          <w:bCs w:val="0"/>
          <w:sz w:val="28"/>
          <w:szCs w:val="28"/>
          <w:lang w:eastAsia="zh-CN"/>
        </w:rPr>
        <w:t>一、</w:t>
      </w:r>
      <w:r>
        <w:rPr>
          <w:rFonts w:hint="eastAsia" w:ascii="仿宋" w:hAnsi="华文楷体" w:eastAsia="仿宋" w:cs="Times New Roman"/>
          <w:bCs w:val="0"/>
          <w:sz w:val="28"/>
          <w:szCs w:val="28"/>
        </w:rPr>
        <w:t>关于</w:t>
      </w:r>
      <w:r>
        <w:rPr>
          <w:rFonts w:hint="default" w:ascii="仿宋" w:hAnsi="华文楷体" w:eastAsia="仿宋" w:cs="Times New Roman"/>
          <w:bCs w:val="0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华文楷体" w:eastAsia="仿宋" w:cs="Times New Roman"/>
          <w:bCs w:val="0"/>
          <w:sz w:val="28"/>
          <w:szCs w:val="28"/>
          <w:lang w:val="en-US" w:eastAsia="zh-CN"/>
        </w:rPr>
        <w:t>2</w:t>
      </w:r>
      <w:r>
        <w:rPr>
          <w:rFonts w:hint="eastAsia" w:ascii="仿宋" w:hAnsi="华文楷体" w:eastAsia="仿宋" w:cs="Times New Roman"/>
          <w:bCs w:val="0"/>
          <w:sz w:val="28"/>
          <w:szCs w:val="28"/>
          <w:lang w:eastAsia="zh-CN"/>
        </w:rPr>
        <w:t>02</w:t>
      </w:r>
      <w:r>
        <w:rPr>
          <w:rFonts w:hint="eastAsia" w:ascii="仿宋" w:hAnsi="华文楷体" w:eastAsia="仿宋" w:cs="Times New Roman"/>
          <w:bCs w:val="0"/>
          <w:sz w:val="28"/>
          <w:szCs w:val="28"/>
          <w:lang w:val="en-US" w:eastAsia="zh-CN"/>
        </w:rPr>
        <w:t>5</w:t>
      </w:r>
      <w:r>
        <w:rPr>
          <w:rFonts w:hint="eastAsia" w:ascii="仿宋" w:hAnsi="华文楷体" w:eastAsia="仿宋" w:cs="Times New Roman"/>
          <w:bCs w:val="0"/>
          <w:sz w:val="28"/>
          <w:szCs w:val="28"/>
          <w:lang w:eastAsia="zh-CN"/>
        </w:rPr>
        <w:t>年</w:t>
      </w:r>
      <w:r>
        <w:rPr>
          <w:rFonts w:hint="eastAsia" w:ascii="仿宋" w:hAnsi="华文楷体" w:eastAsia="仿宋" w:cs="Times New Roman"/>
          <w:bCs w:val="0"/>
          <w:sz w:val="28"/>
          <w:szCs w:val="28"/>
        </w:rPr>
        <w:t>收支预算情况的总体说明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" w:hAnsi="微软雅黑" w:eastAsia="仿宋" w:cs="Times New Roman"/>
          <w:sz w:val="28"/>
          <w:szCs w:val="28"/>
        </w:rPr>
      </w:pPr>
      <w:r>
        <w:rPr>
          <w:rFonts w:hint="eastAsia" w:ascii="仿宋" w:hAnsi="微软雅黑" w:eastAsia="仿宋" w:cs="Times New Roman"/>
          <w:sz w:val="28"/>
          <w:szCs w:val="28"/>
        </w:rPr>
        <w:t>按照全口径预算的原则，</w:t>
      </w:r>
      <w:r>
        <w:rPr>
          <w:rFonts w:hint="default" w:ascii="仿宋" w:hAnsi="微软雅黑" w:eastAsia="仿宋" w:cs="Times New Roman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微软雅黑" w:eastAsia="仿宋" w:cs="Times New Roman"/>
          <w:sz w:val="28"/>
          <w:szCs w:val="28"/>
        </w:rPr>
        <w:t>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</w:rPr>
        <w:t>年所有收入和支出均纳入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单位</w:t>
      </w:r>
      <w:r>
        <w:rPr>
          <w:rFonts w:hint="eastAsia" w:ascii="仿宋" w:hAnsi="微软雅黑" w:eastAsia="仿宋" w:cs="Times New Roman"/>
          <w:sz w:val="28"/>
          <w:szCs w:val="28"/>
        </w:rPr>
        <w:t>预算管理。收支总预算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457.51</w:t>
      </w:r>
      <w:r>
        <w:rPr>
          <w:rFonts w:hint="eastAsia" w:ascii="仿宋" w:hAnsi="微软雅黑" w:eastAsia="仿宋" w:cs="Times New Roman"/>
          <w:sz w:val="28"/>
          <w:szCs w:val="28"/>
        </w:rPr>
        <w:t>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 w:cs="Times New Roman"/>
          <w:sz w:val="28"/>
          <w:szCs w:val="28"/>
        </w:rPr>
        <w:t>收入预算包括：</w:t>
      </w:r>
      <w:r>
        <w:rPr>
          <w:rFonts w:hint="eastAsia" w:ascii="仿宋" w:hAnsi="微软雅黑" w:eastAsia="仿宋"/>
          <w:sz w:val="28"/>
          <w:szCs w:val="28"/>
        </w:rPr>
        <w:t>一般公共预算、单位资金。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支出预算包括：教育支出、社会保障和就业支出、卫生健康支出、住房保障支出。</w:t>
      </w:r>
    </w:p>
    <w:p>
      <w:pPr>
        <w:pStyle w:val="3"/>
        <w:numPr>
          <w:ilvl w:val="0"/>
          <w:numId w:val="0"/>
        </w:numPr>
        <w:spacing w:before="0" w:beforeLines="-2147483648" w:after="0" w:afterLines="-2147483648" w:line="560" w:lineRule="exact"/>
        <w:ind w:firstLine="562" w:firstLineChars="200"/>
        <w:rPr>
          <w:rFonts w:hint="eastAsia" w:ascii="仿宋" w:hAnsi="华文楷体" w:eastAsia="仿宋" w:cs="Times New Roman"/>
          <w:bCs w:val="0"/>
          <w:sz w:val="28"/>
          <w:szCs w:val="28"/>
        </w:rPr>
      </w:pPr>
      <w:r>
        <w:rPr>
          <w:rFonts w:hint="eastAsia" w:ascii="仿宋" w:hAnsi="华文楷体" w:eastAsia="仿宋" w:cs="Times New Roman"/>
          <w:bCs w:val="0"/>
          <w:sz w:val="28"/>
          <w:szCs w:val="28"/>
        </w:rPr>
        <w:t>二、关于</w:t>
      </w:r>
      <w:r>
        <w:rPr>
          <w:rFonts w:hint="default" w:ascii="仿宋" w:hAnsi="华文楷体" w:eastAsia="仿宋" w:cs="Times New Roman"/>
          <w:bCs w:val="0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华文楷体" w:eastAsia="仿宋" w:cs="Times New Roman"/>
          <w:bCs w:val="0"/>
          <w:sz w:val="28"/>
          <w:szCs w:val="28"/>
          <w:lang w:eastAsia="zh-CN"/>
        </w:rPr>
        <w:t>202</w:t>
      </w:r>
      <w:r>
        <w:rPr>
          <w:rFonts w:hint="eastAsia" w:ascii="仿宋" w:hAnsi="华文楷体" w:eastAsia="仿宋" w:cs="Times New Roman"/>
          <w:bCs w:val="0"/>
          <w:sz w:val="28"/>
          <w:szCs w:val="28"/>
          <w:lang w:val="en-US" w:eastAsia="zh-CN"/>
        </w:rPr>
        <w:t>5</w:t>
      </w:r>
      <w:r>
        <w:rPr>
          <w:rFonts w:hint="eastAsia" w:ascii="仿宋" w:hAnsi="华文楷体" w:eastAsia="仿宋" w:cs="Times New Roman"/>
          <w:bCs w:val="0"/>
          <w:sz w:val="28"/>
          <w:szCs w:val="28"/>
          <w:lang w:eastAsia="zh-CN"/>
        </w:rPr>
        <w:t>年</w:t>
      </w:r>
      <w:r>
        <w:rPr>
          <w:rFonts w:hint="eastAsia" w:ascii="仿宋" w:hAnsi="华文楷体" w:eastAsia="仿宋" w:cs="Times New Roman"/>
          <w:bCs w:val="0"/>
          <w:sz w:val="28"/>
          <w:szCs w:val="28"/>
        </w:rPr>
        <w:t>收入预算情况说明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</w:rPr>
      </w:pPr>
      <w:r>
        <w:rPr>
          <w:rFonts w:hint="default" w:ascii="仿宋" w:hAnsi="微软雅黑" w:eastAsia="仿宋" w:cs="Times New Roman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微软雅黑" w:eastAsia="仿宋" w:cs="Times New Roman"/>
          <w:sz w:val="28"/>
          <w:szCs w:val="28"/>
        </w:rPr>
        <w:t>收入预算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457.51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万</w:t>
      </w:r>
      <w:r>
        <w:rPr>
          <w:rFonts w:hint="eastAsia" w:ascii="仿宋" w:hAnsi="微软雅黑" w:eastAsia="仿宋" w:cs="Times New Roman"/>
          <w:sz w:val="28"/>
          <w:szCs w:val="28"/>
        </w:rPr>
        <w:t>元，其中：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</w:rPr>
      </w:pPr>
      <w:r>
        <w:rPr>
          <w:rFonts w:hint="eastAsia" w:ascii="仿宋" w:hAnsi="微软雅黑" w:eastAsia="仿宋" w:cs="Times New Roman"/>
          <w:sz w:val="28"/>
          <w:szCs w:val="28"/>
        </w:rPr>
        <w:t>一般公共预算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277.51</w:t>
      </w:r>
      <w:r>
        <w:rPr>
          <w:rFonts w:hint="eastAsia" w:ascii="仿宋" w:hAnsi="微软雅黑" w:eastAsia="仿宋" w:cs="Times New Roman"/>
          <w:sz w:val="28"/>
          <w:szCs w:val="28"/>
        </w:rPr>
        <w:t>万元，占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60.66</w:t>
      </w:r>
      <w:r>
        <w:rPr>
          <w:rFonts w:hint="eastAsia" w:ascii="仿宋" w:hAnsi="微软雅黑" w:eastAsia="仿宋" w:cs="Times New Roman"/>
          <w:sz w:val="28"/>
          <w:szCs w:val="28"/>
        </w:rPr>
        <w:t>%，比上年预算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减少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20.02</w:t>
      </w:r>
      <w:r>
        <w:rPr>
          <w:rFonts w:hint="eastAsia" w:ascii="仿宋" w:hAnsi="微软雅黑" w:eastAsia="仿宋" w:cs="Times New Roman"/>
          <w:sz w:val="28"/>
          <w:szCs w:val="28"/>
        </w:rPr>
        <w:t>万元，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下降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6.73%，</w:t>
      </w:r>
      <w:r>
        <w:rPr>
          <w:rFonts w:hint="eastAsia" w:ascii="仿宋" w:hAnsi="微软雅黑" w:eastAsia="仿宋" w:cs="Times New Roman"/>
          <w:sz w:val="28"/>
          <w:szCs w:val="28"/>
        </w:rPr>
        <w:t>主要原因是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退休人员医疗保险改革，预算减少</w:t>
      </w:r>
      <w:r>
        <w:rPr>
          <w:rFonts w:hint="eastAsia" w:ascii="仿宋" w:hAnsi="微软雅黑" w:eastAsia="仿宋" w:cs="Times New Roman"/>
          <w:sz w:val="28"/>
          <w:szCs w:val="28"/>
        </w:rPr>
        <w:t xml:space="preserve">；    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</w:rPr>
      </w:pPr>
      <w:r>
        <w:rPr>
          <w:rFonts w:hint="eastAsia" w:ascii="仿宋" w:hAnsi="微软雅黑" w:eastAsia="仿宋" w:cs="Times New Roman"/>
          <w:sz w:val="28"/>
          <w:szCs w:val="28"/>
        </w:rPr>
        <w:t>政府性基金预算未安排。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</w:rPr>
      </w:pPr>
      <w:r>
        <w:rPr>
          <w:rFonts w:hint="eastAsia" w:ascii="仿宋" w:hAnsi="微软雅黑" w:eastAsia="仿宋" w:cs="Times New Roman"/>
          <w:sz w:val="28"/>
          <w:szCs w:val="28"/>
          <w:lang w:eastAsia="zh-Hans"/>
        </w:rPr>
        <w:t>上级政府性基金安排的转移支付资金</w:t>
      </w:r>
      <w:r>
        <w:rPr>
          <w:rFonts w:hint="eastAsia" w:ascii="仿宋" w:hAnsi="微软雅黑" w:eastAsia="仿宋" w:cs="Times New Roman"/>
          <w:sz w:val="28"/>
          <w:szCs w:val="28"/>
        </w:rPr>
        <w:t>未安排。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</w:rPr>
      </w:pPr>
      <w:r>
        <w:rPr>
          <w:rFonts w:hint="eastAsia" w:ascii="仿宋" w:hAnsi="微软雅黑" w:eastAsia="仿宋" w:cs="Times New Roman"/>
          <w:sz w:val="28"/>
          <w:szCs w:val="28"/>
        </w:rPr>
        <w:t>国有资本经营预算未安排。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</w:rPr>
      </w:pPr>
      <w:r>
        <w:rPr>
          <w:rFonts w:hint="eastAsia" w:ascii="仿宋" w:hAnsi="微软雅黑" w:eastAsia="仿宋" w:cs="Times New Roman"/>
          <w:sz w:val="28"/>
          <w:szCs w:val="28"/>
          <w:lang w:eastAsia="zh-Hans"/>
        </w:rPr>
        <w:t>上级国有资本经营预算安排的转移支付资金</w:t>
      </w:r>
      <w:r>
        <w:rPr>
          <w:rFonts w:hint="eastAsia" w:ascii="仿宋" w:hAnsi="微软雅黑" w:eastAsia="仿宋" w:cs="Times New Roman"/>
          <w:sz w:val="28"/>
          <w:szCs w:val="28"/>
        </w:rPr>
        <w:t>未安排。</w:t>
      </w:r>
      <w:r>
        <w:rPr>
          <w:rFonts w:hint="eastAsia" w:ascii="仿宋" w:hAnsi="微软雅黑" w:eastAsia="仿宋" w:cs="Times New Roman"/>
          <w:sz w:val="28"/>
          <w:szCs w:val="28"/>
          <w:lang w:eastAsia="zh-Hans"/>
        </w:rPr>
        <w:t xml:space="preserve"> </w:t>
      </w:r>
      <w:r>
        <w:rPr>
          <w:rFonts w:hint="eastAsia" w:ascii="仿宋" w:hAnsi="微软雅黑" w:eastAsia="仿宋" w:cs="Times New Roman"/>
          <w:sz w:val="28"/>
          <w:szCs w:val="28"/>
        </w:rPr>
        <w:t xml:space="preserve">    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</w:rPr>
      </w:pPr>
      <w:r>
        <w:rPr>
          <w:rFonts w:hint="eastAsia" w:ascii="仿宋" w:hAnsi="微软雅黑" w:eastAsia="仿宋" w:cs="Times New Roman"/>
          <w:sz w:val="28"/>
          <w:szCs w:val="28"/>
          <w:lang w:val="en-US" w:eastAsia="zh-Hans"/>
        </w:rPr>
        <w:t>单位资金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180.00</w:t>
      </w:r>
      <w:r>
        <w:rPr>
          <w:rFonts w:hint="eastAsia" w:ascii="仿宋" w:hAnsi="微软雅黑" w:eastAsia="仿宋" w:cs="Times New Roman"/>
          <w:sz w:val="28"/>
          <w:szCs w:val="28"/>
        </w:rPr>
        <w:t>万元，占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39.34</w:t>
      </w:r>
      <w:r>
        <w:rPr>
          <w:rFonts w:hint="eastAsia" w:ascii="仿宋" w:hAnsi="微软雅黑" w:eastAsia="仿宋" w:cs="Times New Roman"/>
          <w:sz w:val="28"/>
          <w:szCs w:val="28"/>
        </w:rPr>
        <w:t>%，比上年预算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减少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53.77</w:t>
      </w:r>
      <w:r>
        <w:rPr>
          <w:rFonts w:hint="eastAsia" w:ascii="仿宋" w:hAnsi="微软雅黑" w:eastAsia="仿宋" w:cs="Times New Roman"/>
          <w:sz w:val="28"/>
          <w:szCs w:val="28"/>
        </w:rPr>
        <w:t xml:space="preserve"> 万元，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下降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23 %，</w:t>
      </w:r>
      <w:r>
        <w:rPr>
          <w:rFonts w:hint="eastAsia" w:ascii="仿宋" w:hAnsi="微软雅黑" w:eastAsia="仿宋" w:cs="Times New Roman"/>
          <w:sz w:val="28"/>
          <w:szCs w:val="28"/>
        </w:rPr>
        <w:t>主要原因是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本年未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将人员养老保险、医疗保险等人员经费列入预算。</w:t>
      </w:r>
    </w:p>
    <w:p>
      <w:pPr>
        <w:pStyle w:val="3"/>
        <w:numPr>
          <w:ilvl w:val="0"/>
          <w:numId w:val="0"/>
        </w:numPr>
        <w:spacing w:before="0" w:beforeLines="-2147483648" w:after="0" w:afterLines="-2147483648" w:line="560" w:lineRule="exact"/>
        <w:ind w:firstLine="562" w:firstLineChars="200"/>
        <w:rPr>
          <w:rFonts w:hint="eastAsia" w:ascii="仿宋" w:hAnsi="华文楷体" w:eastAsia="仿宋" w:cs="Times New Roman"/>
          <w:bCs w:val="0"/>
          <w:sz w:val="28"/>
          <w:szCs w:val="28"/>
        </w:rPr>
      </w:pPr>
      <w:r>
        <w:rPr>
          <w:rFonts w:hint="eastAsia" w:ascii="仿宋" w:hAnsi="华文楷体" w:eastAsia="仿宋" w:cs="Times New Roman"/>
          <w:bCs w:val="0"/>
          <w:sz w:val="28"/>
          <w:szCs w:val="28"/>
        </w:rPr>
        <w:t>三、关于</w:t>
      </w:r>
      <w:r>
        <w:rPr>
          <w:rFonts w:hint="default" w:ascii="仿宋" w:hAnsi="华文楷体" w:eastAsia="仿宋" w:cs="Times New Roman"/>
          <w:bCs w:val="0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华文楷体" w:eastAsia="仿宋" w:cs="Times New Roman"/>
          <w:bCs w:val="0"/>
          <w:sz w:val="28"/>
          <w:szCs w:val="28"/>
          <w:lang w:eastAsia="zh-CN"/>
        </w:rPr>
        <w:t>202</w:t>
      </w:r>
      <w:r>
        <w:rPr>
          <w:rFonts w:hint="eastAsia" w:ascii="仿宋" w:hAnsi="华文楷体" w:eastAsia="仿宋" w:cs="Times New Roman"/>
          <w:bCs w:val="0"/>
          <w:sz w:val="28"/>
          <w:szCs w:val="28"/>
          <w:lang w:val="en-US" w:eastAsia="zh-CN"/>
        </w:rPr>
        <w:t>5</w:t>
      </w:r>
      <w:r>
        <w:rPr>
          <w:rFonts w:hint="eastAsia" w:ascii="仿宋" w:hAnsi="华文楷体" w:eastAsia="仿宋" w:cs="Times New Roman"/>
          <w:bCs w:val="0"/>
          <w:sz w:val="28"/>
          <w:szCs w:val="28"/>
          <w:lang w:eastAsia="zh-CN"/>
        </w:rPr>
        <w:t>年</w:t>
      </w:r>
      <w:r>
        <w:rPr>
          <w:rFonts w:hint="eastAsia" w:ascii="仿宋" w:hAnsi="华文楷体" w:eastAsia="仿宋" w:cs="Times New Roman"/>
          <w:bCs w:val="0"/>
          <w:sz w:val="28"/>
          <w:szCs w:val="28"/>
        </w:rPr>
        <w:t>支出预算情况说明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lang w:eastAsia="zh-Hans"/>
        </w:rPr>
      </w:pPr>
      <w:r>
        <w:rPr>
          <w:rFonts w:hint="default" w:ascii="仿宋" w:hAnsi="微软雅黑" w:eastAsia="仿宋" w:cs="Times New Roman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eastAsia="zh-Hans"/>
        </w:rPr>
        <w:t>支出预算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457.51</w:t>
      </w:r>
      <w:r>
        <w:rPr>
          <w:rFonts w:hint="eastAsia" w:ascii="仿宋" w:hAnsi="微软雅黑" w:eastAsia="仿宋" w:cs="Times New Roman"/>
          <w:sz w:val="28"/>
          <w:szCs w:val="28"/>
          <w:lang w:eastAsia="zh-Hans"/>
        </w:rPr>
        <w:t xml:space="preserve"> 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万</w:t>
      </w:r>
      <w:r>
        <w:rPr>
          <w:rFonts w:hint="eastAsia" w:ascii="仿宋" w:hAnsi="微软雅黑" w:eastAsia="仿宋" w:cs="Times New Roman"/>
          <w:sz w:val="28"/>
          <w:szCs w:val="28"/>
          <w:lang w:eastAsia="zh-Hans"/>
        </w:rPr>
        <w:t>元，其中：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lang w:eastAsia="zh-Hans"/>
        </w:rPr>
      </w:pPr>
      <w:r>
        <w:rPr>
          <w:rFonts w:hint="eastAsia" w:ascii="仿宋" w:hAnsi="微软雅黑" w:eastAsia="仿宋" w:cs="Times New Roman"/>
          <w:sz w:val="28"/>
          <w:szCs w:val="28"/>
          <w:lang w:eastAsia="zh-Hans"/>
        </w:rPr>
        <w:t>基本支出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437.51</w:t>
      </w:r>
      <w:r>
        <w:rPr>
          <w:rFonts w:hint="eastAsia" w:ascii="仿宋" w:hAnsi="微软雅黑" w:eastAsia="仿宋" w:cs="Times New Roman"/>
          <w:sz w:val="28"/>
          <w:szCs w:val="28"/>
          <w:lang w:eastAsia="zh-Hans"/>
        </w:rPr>
        <w:t>万元，占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95.63</w:t>
      </w:r>
      <w:r>
        <w:rPr>
          <w:rFonts w:hint="eastAsia" w:ascii="仿宋" w:hAnsi="微软雅黑" w:eastAsia="仿宋" w:cs="Times New Roman"/>
          <w:sz w:val="28"/>
          <w:szCs w:val="28"/>
          <w:lang w:eastAsia="zh-Hans"/>
        </w:rPr>
        <w:t>%，比上年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减少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93.79</w:t>
      </w:r>
      <w:r>
        <w:rPr>
          <w:rFonts w:hint="eastAsia" w:ascii="仿宋" w:hAnsi="微软雅黑" w:eastAsia="仿宋" w:cs="Times New Roman"/>
          <w:sz w:val="28"/>
          <w:szCs w:val="28"/>
          <w:lang w:eastAsia="zh-Hans"/>
        </w:rPr>
        <w:t>万元，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下降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17.65 %，</w:t>
      </w:r>
      <w:r>
        <w:rPr>
          <w:rFonts w:hint="eastAsia" w:ascii="仿宋" w:hAnsi="微软雅黑" w:eastAsia="仿宋" w:cs="Times New Roman"/>
          <w:sz w:val="28"/>
          <w:szCs w:val="28"/>
          <w:lang w:eastAsia="zh-Hans"/>
        </w:rPr>
        <w:t>主要原因是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本年单位资金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未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将人员养老保险、医疗保险等人员经费纳入基本支出预算</w:t>
      </w:r>
      <w:r>
        <w:rPr>
          <w:rFonts w:hint="eastAsia" w:ascii="仿宋" w:hAnsi="微软雅黑" w:eastAsia="仿宋" w:cs="Times New Roman"/>
          <w:sz w:val="28"/>
          <w:szCs w:val="28"/>
          <w:lang w:eastAsia="zh-Hans"/>
        </w:rPr>
        <w:t>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宋体" w:cs="Times New Roman"/>
          <w:sz w:val="28"/>
          <w:szCs w:val="28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lang w:eastAsia="zh-Hans"/>
        </w:rPr>
        <w:t>项目支出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20</w:t>
      </w:r>
      <w:r>
        <w:rPr>
          <w:rFonts w:hint="eastAsia" w:ascii="仿宋" w:hAnsi="微软雅黑" w:eastAsia="仿宋" w:cs="Times New Roman"/>
          <w:sz w:val="28"/>
          <w:szCs w:val="28"/>
          <w:lang w:eastAsia="zh-Hans"/>
        </w:rPr>
        <w:t>万元，占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4.37</w:t>
      </w:r>
      <w:r>
        <w:rPr>
          <w:rFonts w:hint="eastAsia" w:ascii="仿宋" w:hAnsi="微软雅黑" w:eastAsia="仿宋" w:cs="Times New Roman"/>
          <w:sz w:val="28"/>
          <w:szCs w:val="28"/>
          <w:lang w:eastAsia="zh-Hans"/>
        </w:rPr>
        <w:t>%，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比上年预算增加0万元</w:t>
      </w:r>
      <w:r>
        <w:rPr>
          <w:rFonts w:hint="eastAsia" w:ascii="仿宋" w:hAnsi="微软雅黑" w:eastAsia="仿宋" w:cs="Times New Roman"/>
          <w:sz w:val="28"/>
          <w:szCs w:val="28"/>
          <w:lang w:eastAsia="zh-Hans"/>
        </w:rPr>
        <w:t>，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增长0.00%，</w:t>
      </w:r>
      <w:r>
        <w:rPr>
          <w:rFonts w:hint="eastAsia" w:ascii="仿宋" w:hAnsi="微软雅黑" w:eastAsia="仿宋" w:cs="Times New Roman"/>
          <w:sz w:val="28"/>
          <w:szCs w:val="28"/>
          <w:lang w:eastAsia="zh-Hans"/>
        </w:rPr>
        <w:t>主要原因是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本年财政未安排增加单位项目支出资金，与上年预算持平。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</w:t>
      </w: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lang w:val="en-US" w:eastAsia="zh-CN"/>
        </w:rPr>
        <w:t>关于</w:t>
      </w:r>
      <w:r>
        <w:rPr>
          <w:rFonts w:hint="default" w:ascii="仿宋" w:hAnsi="华文楷体" w:eastAsia="仿宋" w:cs="Times New Roman"/>
          <w:b/>
          <w:bCs w:val="0"/>
          <w:kern w:val="2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lang w:val="en-US" w:eastAsia="zh-CN"/>
        </w:rPr>
        <w:t>2025年财政拨款收支预算情况的总体说明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2025年财政拨款收支总预算277.51万元。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收入全部为一般公共预算拨款，无政府性基金预算拨款和国有资本经营预算。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收入预算包括：一般公共预算拨款277.51万元。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一般公共预算支出包括：社会保障和就业支出30.39万元，主要用于在职人员养老保险缴纳支出；教育支出210.54万元，主要用于在职人员经费、公用经费支出；卫生健康支出17.58万元，主要用于在职人员医疗保险支出；住房保障支出19.01万元，主要用于在职人员住房公积金支出。</w:t>
      </w:r>
    </w:p>
    <w:p>
      <w:pPr>
        <w:pStyle w:val="3"/>
        <w:numPr>
          <w:ilvl w:val="0"/>
          <w:numId w:val="0"/>
        </w:numPr>
        <w:spacing w:before="0" w:beforeLines="-2147483648" w:after="0" w:afterLines="-2147483648" w:line="560" w:lineRule="exact"/>
        <w:ind w:leftChars="201" w:firstLine="562" w:firstLineChars="200"/>
        <w:rPr>
          <w:rFonts w:hint="eastAsia" w:ascii="仿宋" w:hAnsi="华文楷体" w:eastAsia="仿宋" w:cs="Times New Roman"/>
          <w:bCs w:val="0"/>
          <w:sz w:val="28"/>
          <w:szCs w:val="28"/>
        </w:rPr>
      </w:pPr>
      <w:r>
        <w:rPr>
          <w:rFonts w:hint="eastAsia" w:ascii="仿宋" w:hAnsi="华文楷体" w:eastAsia="仿宋" w:cs="Times New Roman"/>
          <w:bCs w:val="0"/>
          <w:sz w:val="28"/>
          <w:szCs w:val="28"/>
        </w:rPr>
        <w:t>五、关于</w:t>
      </w:r>
      <w:r>
        <w:rPr>
          <w:rFonts w:hint="default" w:ascii="仿宋" w:hAnsi="华文楷体" w:eastAsia="仿宋" w:cs="Times New Roman"/>
          <w:bCs w:val="0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华文楷体" w:eastAsia="仿宋" w:cs="Times New Roman"/>
          <w:bCs w:val="0"/>
          <w:sz w:val="28"/>
          <w:szCs w:val="28"/>
          <w:lang w:eastAsia="zh-CN"/>
        </w:rPr>
        <w:t>202</w:t>
      </w:r>
      <w:r>
        <w:rPr>
          <w:rFonts w:hint="eastAsia" w:ascii="仿宋" w:hAnsi="华文楷体" w:eastAsia="仿宋" w:cs="Times New Roman"/>
          <w:bCs w:val="0"/>
          <w:sz w:val="28"/>
          <w:szCs w:val="28"/>
          <w:lang w:val="en-US" w:eastAsia="zh-CN"/>
        </w:rPr>
        <w:t>5</w:t>
      </w:r>
      <w:r>
        <w:rPr>
          <w:rFonts w:hint="eastAsia" w:ascii="仿宋" w:hAnsi="华文楷体" w:eastAsia="仿宋" w:cs="Times New Roman"/>
          <w:bCs w:val="0"/>
          <w:sz w:val="28"/>
          <w:szCs w:val="28"/>
          <w:lang w:eastAsia="zh-CN"/>
        </w:rPr>
        <w:t>年</w:t>
      </w:r>
      <w:r>
        <w:rPr>
          <w:rFonts w:hint="eastAsia" w:ascii="仿宋" w:hAnsi="华文楷体" w:eastAsia="仿宋" w:cs="Times New Roman"/>
          <w:bCs w:val="0"/>
          <w:sz w:val="28"/>
          <w:szCs w:val="28"/>
        </w:rPr>
        <w:t>一般公共预算当年拨款情况说明</w:t>
      </w:r>
    </w:p>
    <w:p>
      <w:pPr>
        <w:widowControl/>
        <w:spacing w:line="560" w:lineRule="exact"/>
        <w:ind w:firstLine="562" w:firstLineChars="200"/>
        <w:rPr>
          <w:rFonts w:hint="eastAsia" w:ascii="仿宋" w:hAnsi="微软雅黑" w:eastAsia="仿宋" w:cs="Times New Roman"/>
          <w:b/>
          <w:sz w:val="28"/>
          <w:szCs w:val="28"/>
        </w:rPr>
      </w:pPr>
      <w:r>
        <w:rPr>
          <w:rFonts w:hint="eastAsia" w:ascii="仿宋" w:hAnsi="微软雅黑" w:eastAsia="仿宋" w:cs="Times New Roman"/>
          <w:b/>
          <w:sz w:val="28"/>
          <w:szCs w:val="28"/>
        </w:rPr>
        <w:t>（一）一般公共预算当年拨款规模变化情况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lang w:val="en-US" w:eastAsia="zh-CN"/>
        </w:rPr>
      </w:pPr>
      <w:r>
        <w:rPr>
          <w:rFonts w:hint="default" w:ascii="仿宋" w:hAnsi="微软雅黑" w:eastAsia="仿宋" w:cs="Times New Roman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2025年一般公共预算拨款合计277.51万元，其中：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基本支出257.51万元，比上年预算减少20.02万元，下降7.21 %。主要原因是：退休人员医疗保险改革预算减少及本年退休1人人员费用预算减少。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项目支出20万元，比上年预算增加0万元，增长0%，主要原因是：本单位项目设立的预算是党校运行经费，上年度与本年度金额持平。</w:t>
      </w:r>
    </w:p>
    <w:p>
      <w:pPr>
        <w:widowControl/>
        <w:spacing w:line="560" w:lineRule="exact"/>
        <w:ind w:firstLine="562" w:firstLineChars="200"/>
        <w:rPr>
          <w:rFonts w:hint="eastAsia" w:ascii="仿宋" w:hAnsi="微软雅黑" w:eastAsia="仿宋" w:cs="Times New Roman"/>
          <w:b/>
          <w:sz w:val="28"/>
          <w:szCs w:val="28"/>
        </w:rPr>
      </w:pPr>
      <w:r>
        <w:rPr>
          <w:rFonts w:hint="eastAsia" w:ascii="仿宋" w:hAnsi="微软雅黑" w:eastAsia="仿宋" w:cs="Times New Roman"/>
          <w:b/>
          <w:sz w:val="28"/>
          <w:szCs w:val="28"/>
        </w:rPr>
        <w:t>（二）一般公共预算当年拨款结构情况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</w:rPr>
      </w:pPr>
      <w:r>
        <w:rPr>
          <w:rFonts w:hint="eastAsia" w:ascii="仿宋" w:hAnsi="微软雅黑" w:eastAsia="仿宋" w:cs="Times New Roman"/>
          <w:sz w:val="28"/>
          <w:szCs w:val="28"/>
        </w:rPr>
        <w:t>1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、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教育支出</w:t>
      </w:r>
      <w:r>
        <w:rPr>
          <w:rFonts w:hint="eastAsia" w:ascii="仿宋" w:hAnsi="微软雅黑" w:eastAsia="仿宋" w:cs="Times New Roman"/>
          <w:sz w:val="28"/>
          <w:szCs w:val="28"/>
        </w:rPr>
        <w:t>（类）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210.54</w:t>
      </w:r>
      <w:r>
        <w:rPr>
          <w:rFonts w:hint="eastAsia" w:ascii="仿宋" w:hAnsi="微软雅黑" w:eastAsia="仿宋" w:cs="Times New Roman"/>
          <w:sz w:val="28"/>
          <w:szCs w:val="28"/>
        </w:rPr>
        <w:t>万元，占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75.87</w:t>
      </w:r>
      <w:r>
        <w:rPr>
          <w:rFonts w:hint="eastAsia" w:ascii="仿宋" w:hAnsi="微软雅黑" w:eastAsia="仿宋" w:cs="Times New Roman"/>
          <w:sz w:val="28"/>
          <w:szCs w:val="28"/>
        </w:rPr>
        <w:t>%。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</w:rPr>
      </w:pPr>
      <w:r>
        <w:rPr>
          <w:rFonts w:hint="eastAsia" w:ascii="仿宋" w:hAnsi="微软雅黑" w:eastAsia="仿宋" w:cs="Times New Roman"/>
          <w:sz w:val="28"/>
          <w:szCs w:val="28"/>
        </w:rPr>
        <w:t>2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、</w:t>
      </w:r>
      <w:r>
        <w:rPr>
          <w:rFonts w:hint="eastAsia" w:ascii="仿宋" w:hAnsi="微软雅黑" w:eastAsia="仿宋" w:cs="Times New Roman"/>
          <w:sz w:val="28"/>
          <w:szCs w:val="28"/>
        </w:rPr>
        <w:t>社会保障和就业支出（类）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30.39</w:t>
      </w:r>
      <w:r>
        <w:rPr>
          <w:rFonts w:hint="eastAsia" w:ascii="仿宋" w:hAnsi="微软雅黑" w:eastAsia="仿宋" w:cs="Times New Roman"/>
          <w:sz w:val="28"/>
          <w:szCs w:val="28"/>
        </w:rPr>
        <w:t>万元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，</w:t>
      </w:r>
      <w:r>
        <w:rPr>
          <w:rFonts w:hint="eastAsia" w:ascii="仿宋" w:hAnsi="微软雅黑" w:eastAsia="仿宋" w:cs="Times New Roman"/>
          <w:sz w:val="28"/>
          <w:szCs w:val="28"/>
        </w:rPr>
        <w:t>占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10.95</w:t>
      </w:r>
      <w:r>
        <w:rPr>
          <w:rFonts w:hint="eastAsia" w:ascii="仿宋" w:hAnsi="微软雅黑" w:eastAsia="仿宋" w:cs="Times New Roman"/>
          <w:sz w:val="28"/>
          <w:szCs w:val="28"/>
        </w:rPr>
        <w:t>%。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</w:rPr>
      </w:pP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3、卫生健康支出</w:t>
      </w:r>
      <w:r>
        <w:rPr>
          <w:rFonts w:hint="eastAsia" w:ascii="仿宋" w:hAnsi="微软雅黑" w:eastAsia="仿宋" w:cs="Times New Roman"/>
          <w:sz w:val="28"/>
          <w:szCs w:val="28"/>
        </w:rPr>
        <w:t>（类）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17.58</w:t>
      </w:r>
      <w:r>
        <w:rPr>
          <w:rFonts w:hint="eastAsia" w:ascii="仿宋" w:hAnsi="微软雅黑" w:eastAsia="仿宋" w:cs="Times New Roman"/>
          <w:sz w:val="28"/>
          <w:szCs w:val="28"/>
        </w:rPr>
        <w:t>万元，占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6.33</w:t>
      </w:r>
      <w:r>
        <w:rPr>
          <w:rFonts w:hint="eastAsia" w:ascii="仿宋" w:hAnsi="微软雅黑" w:eastAsia="仿宋" w:cs="Times New Roman"/>
          <w:sz w:val="28"/>
          <w:szCs w:val="28"/>
        </w:rPr>
        <w:t>%。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</w:rPr>
      </w:pP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4、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住房保障支出</w:t>
      </w:r>
      <w:r>
        <w:rPr>
          <w:rFonts w:hint="eastAsia" w:ascii="仿宋" w:hAnsi="微软雅黑" w:eastAsia="仿宋" w:cs="Times New Roman"/>
          <w:sz w:val="28"/>
          <w:szCs w:val="28"/>
        </w:rPr>
        <w:t>（类）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19.01</w:t>
      </w:r>
      <w:r>
        <w:rPr>
          <w:rFonts w:hint="eastAsia" w:ascii="仿宋" w:hAnsi="微软雅黑" w:eastAsia="仿宋" w:cs="Times New Roman"/>
          <w:sz w:val="28"/>
          <w:szCs w:val="28"/>
        </w:rPr>
        <w:t>万元，占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6.85</w:t>
      </w:r>
      <w:r>
        <w:rPr>
          <w:rFonts w:hint="eastAsia" w:ascii="仿宋" w:hAnsi="微软雅黑" w:eastAsia="仿宋" w:cs="Times New Roman"/>
          <w:sz w:val="28"/>
          <w:szCs w:val="28"/>
        </w:rPr>
        <w:t>%。</w:t>
      </w:r>
    </w:p>
    <w:p>
      <w:pPr>
        <w:widowControl/>
        <w:spacing w:line="560" w:lineRule="exact"/>
        <w:ind w:firstLine="562" w:firstLineChars="200"/>
        <w:rPr>
          <w:rFonts w:hint="eastAsia" w:ascii="仿宋" w:hAnsi="微软雅黑" w:eastAsia="仿宋" w:cs="Times New Roman"/>
          <w:b/>
          <w:sz w:val="28"/>
          <w:szCs w:val="28"/>
        </w:rPr>
      </w:pPr>
      <w:r>
        <w:rPr>
          <w:rFonts w:hint="eastAsia" w:ascii="仿宋" w:hAnsi="微软雅黑" w:eastAsia="仿宋" w:cs="Times New Roman"/>
          <w:b/>
          <w:sz w:val="28"/>
          <w:szCs w:val="28"/>
        </w:rPr>
        <w:t>（三）一般公共预算当年拨款具体使用情况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 xml:space="preserve">1、教育支出（类）进修及培训（款）干部教育（项）:2025年预算数为210.54万元，比上年减少15.47万元，下降6.84%，主要原因是退休人员医疗保险改革预算减少及本年退休1人人员费用预算减少。 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2、社会保障和就业支出（类）行政事业单位养老（款）事业单位离退休（项）：2025年预算数为</w:t>
      </w:r>
      <w:r>
        <w:rPr>
          <w:rFonts w:hint="default" w:ascii="仿宋" w:hAnsi="微软雅黑" w:eastAsia="仿宋" w:cs="Times New Roman"/>
          <w:sz w:val="28"/>
          <w:szCs w:val="28"/>
          <w:lang w:val="en-US" w:eastAsia="zh-CN"/>
        </w:rPr>
        <w:t>7.14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万元，较上年增加0.51万元，增长7.69 %，主要原因是人员工资晋升，人员经费预算增加。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3、社会保障和就业支出（类）行政事业单位养老（款）机关事业单位基本养老保险缴费支出（项）：2025年预算数为</w:t>
      </w:r>
      <w:r>
        <w:rPr>
          <w:rFonts w:hint="default" w:ascii="仿宋" w:hAnsi="微软雅黑" w:eastAsia="仿宋" w:cs="Times New Roman"/>
          <w:sz w:val="28"/>
          <w:szCs w:val="28"/>
          <w:lang w:val="en-US" w:eastAsia="zh-CN"/>
        </w:rPr>
        <w:t>23.25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万元，较上年减少10.67万元，下降31.46%，主要原因是本年退休1人，人员经费预算减少。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4、卫生健康支出（类）行政事业单位医疗（款）行政单位医疗（项）:2025年预算数为0.78万元，较上年减少0.29万元，下降27.10%，主要原因是本年行政编制人员调入1人、退休1人，本年预算减少。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5、卫生健康支出（类）行政事业单位医疗（款）事业单位医疗（项）:2025年预算数为10.84万元，较上年减少1万元，下降8.45%，主要原因是本年事业编制人员退休1人预算减少。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6、卫生健康支出（类）行政事业单位医疗（款）公务员医疗补助（项）:2025年预算数为5.81万元，较上年增加2.26万元，增长63.66%，主要原因是人员工资调标及正常晋升，人员经费预算增加。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7、卫生健康支出（类）行政事业单位医疗（款）其他行政事业单位医疗支出（项）:2025年预算数为0.15万元，较上年增加0.07万元，增长87.50%，主要原因是人员工资调标及正常晋升，人员经费预算增加。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8、住房保障支出（类）住房改革支出（款）住房公积金（项）:2025年预算数为19.01万元，较上年减少2.05万元，下降9.73 %，主要原因是是本年事业编制人员退休1人预算减少。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lang w:val="en-US" w:eastAsia="zh-CN"/>
        </w:rPr>
      </w:pP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lang w:val="en-US" w:eastAsia="zh-CN"/>
        </w:rPr>
        <w:t>六、关于</w:t>
      </w:r>
      <w:r>
        <w:rPr>
          <w:rFonts w:hint="default" w:ascii="仿宋" w:hAnsi="华文楷体" w:eastAsia="仿宋" w:cs="Times New Roman"/>
          <w:b/>
          <w:bCs w:val="0"/>
          <w:kern w:val="2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lang w:val="en-US" w:eastAsia="zh-CN"/>
        </w:rPr>
        <w:t>2025年一般公共预算基本支出情况说明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lang w:val="en-US" w:eastAsia="zh-CN"/>
        </w:rPr>
      </w:pPr>
      <w:r>
        <w:rPr>
          <w:rFonts w:hint="default" w:ascii="仿宋" w:hAnsi="微软雅黑" w:eastAsia="仿宋" w:cs="Times New Roman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2025年一般公共预算基本支出 257.51万元， 其中：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</w:rPr>
      </w:pP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人员经费235.38万元，主要包括：基本工资、津贴补贴、奖金、绩效工资、机关事业单位基本养老保险缴费、职工基本医疗保险缴费</w:t>
      </w:r>
      <w:r>
        <w:rPr>
          <w:rFonts w:hint="eastAsia" w:ascii="仿宋" w:hAnsi="微软雅黑" w:eastAsia="仿宋" w:cs="Times New Roman"/>
          <w:sz w:val="28"/>
          <w:szCs w:val="28"/>
        </w:rPr>
        <w:t>、公务员医疗补助缴费、其他社会保障缴费、住房公积金、其他工资福利支出、退休费、生活补助、奖励金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</w:rPr>
      </w:pPr>
      <w:r>
        <w:rPr>
          <w:rFonts w:hint="eastAsia" w:ascii="仿宋" w:hAnsi="微软雅黑" w:eastAsia="仿宋" w:cs="Times New Roman"/>
          <w:sz w:val="28"/>
          <w:szCs w:val="28"/>
        </w:rPr>
        <w:t>公用经费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22.13</w:t>
      </w:r>
      <w:r>
        <w:rPr>
          <w:rFonts w:hint="eastAsia" w:ascii="仿宋" w:hAnsi="微软雅黑" w:eastAsia="仿宋" w:cs="Times New Roman"/>
          <w:sz w:val="28"/>
          <w:szCs w:val="28"/>
        </w:rPr>
        <w:t>万元，主要包括：办公费、印刷费、水费、电费、邮电费、取暖费、差旅费、工会经费、公务用车运行维护费。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lang w:val="en-US" w:eastAsia="zh-CN"/>
        </w:rPr>
      </w:pP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lang w:val="en-US" w:eastAsia="zh-CN"/>
        </w:rPr>
        <w:t>七、关于</w:t>
      </w:r>
      <w:r>
        <w:rPr>
          <w:rFonts w:hint="default" w:ascii="仿宋" w:hAnsi="华文楷体" w:eastAsia="仿宋" w:cs="Times New Roman"/>
          <w:b/>
          <w:bCs w:val="0"/>
          <w:kern w:val="2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lang w:val="en-US" w:eastAsia="zh-CN"/>
        </w:rPr>
        <w:t>2025年一般公共预算项目支出情况说明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</w:rPr>
        <w:t>项目名称：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党校运行经费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</w:rPr>
        <w:t>设立的政策依据：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《中国共产党党校工作条例》第十一章办学保障，第六十一条：党校（行政学院）工作所需经费，列入各级财政预算。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</w:rPr>
        <w:t>预算安排规模：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运行经费20万元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</w:rPr>
        <w:t>项目承担单位：</w:t>
      </w:r>
      <w:r>
        <w:rPr>
          <w:rFonts w:hint="default" w:ascii="仿宋" w:hAnsi="微软雅黑" w:eastAsia="仿宋" w:cs="Times New Roman"/>
          <w:sz w:val="28"/>
          <w:szCs w:val="28"/>
          <w:lang w:val="en-US" w:eastAsia="zh-CN"/>
        </w:rPr>
        <w:t>中国共产党呼图壁县委员会党校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</w:rPr>
        <w:t>资金分配情况：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用于支付单位正常运转支出，其中水费48000元、电费42000元、差旅费32000元、办公费30000元、办公设备购置费35000元、资料印刷费13000元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</w:rPr>
        <w:t>资金执行时间：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2025年1月1日至2025年12月30日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lang w:val="en-US" w:eastAsia="zh-Hans"/>
        </w:rPr>
        <w:t>八</w:t>
      </w: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lang w:val="en-US" w:eastAsia="zh-CN"/>
        </w:rPr>
        <w:t>、关于</w:t>
      </w:r>
      <w:r>
        <w:rPr>
          <w:rFonts w:hint="default" w:ascii="仿宋" w:hAnsi="华文楷体" w:eastAsia="仿宋" w:cs="Times New Roman"/>
          <w:b/>
          <w:bCs w:val="0"/>
          <w:kern w:val="2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lang w:val="en-US" w:eastAsia="zh-CN"/>
        </w:rPr>
        <w:t>2025年政府性基金预算拨款情况说明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</w:rPr>
      </w:pPr>
      <w:r>
        <w:rPr>
          <w:rFonts w:hint="default" w:ascii="仿宋" w:hAnsi="微软雅黑" w:eastAsia="仿宋" w:cs="Times New Roman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年</w:t>
      </w:r>
      <w:r>
        <w:rPr>
          <w:rFonts w:hint="eastAsia" w:ascii="仿宋" w:hAnsi="微软雅黑" w:eastAsia="仿宋" w:cs="Times New Roman"/>
          <w:sz w:val="28"/>
          <w:szCs w:val="28"/>
        </w:rPr>
        <w:t>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lang w:val="en-US" w:eastAsia="zh-Hans"/>
        </w:rPr>
      </w:pP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lang w:val="en-US" w:eastAsia="zh-Hans"/>
        </w:rPr>
        <w:t>九、关于</w:t>
      </w:r>
      <w:r>
        <w:rPr>
          <w:rFonts w:hint="default" w:ascii="仿宋" w:hAnsi="华文楷体" w:eastAsia="仿宋" w:cs="Times New Roman"/>
          <w:b/>
          <w:bCs w:val="0"/>
          <w:kern w:val="2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lang w:val="en-US" w:eastAsia="zh-CN"/>
        </w:rPr>
        <w:t>2025年</w:t>
      </w: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lang w:val="en-US" w:eastAsia="zh-Hans"/>
        </w:rPr>
        <w:t>国有资本经营预算拨款情况说明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</w:rPr>
      </w:pPr>
      <w:r>
        <w:rPr>
          <w:rFonts w:hint="default" w:ascii="仿宋" w:hAnsi="微软雅黑" w:eastAsia="仿宋" w:cs="Times New Roman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年</w:t>
      </w:r>
      <w:r>
        <w:rPr>
          <w:rFonts w:hint="eastAsia" w:ascii="仿宋" w:hAnsi="微软雅黑" w:eastAsia="仿宋" w:cs="Times New Roman"/>
          <w:sz w:val="28"/>
          <w:szCs w:val="28"/>
        </w:rPr>
        <w:t>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lang w:val="en-US" w:eastAsia="zh-Hans"/>
        </w:rPr>
      </w:pP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lang w:val="en-US" w:eastAsia="zh-Hans"/>
        </w:rPr>
        <w:t>十、关于</w:t>
      </w:r>
      <w:r>
        <w:rPr>
          <w:rFonts w:hint="default" w:ascii="仿宋" w:hAnsi="华文楷体" w:eastAsia="仿宋" w:cs="Times New Roman"/>
          <w:b/>
          <w:bCs w:val="0"/>
          <w:kern w:val="2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lang w:val="en-US" w:eastAsia="zh-CN"/>
        </w:rPr>
        <w:t>2025年</w:t>
      </w: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lang w:val="en-US" w:eastAsia="zh-Hans"/>
        </w:rPr>
        <w:t>财政拨款“三公”经费预算情况说明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 w:cs="Times New Roman"/>
          <w:sz w:val="28"/>
          <w:szCs w:val="28"/>
          <w:lang w:val="en-US" w:eastAsia="zh-CN"/>
        </w:rPr>
      </w:pPr>
      <w:r>
        <w:rPr>
          <w:rFonts w:hint="default" w:ascii="仿宋" w:hAnsi="微软雅黑" w:eastAsia="仿宋" w:cs="Times New Roman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202</w:t>
      </w:r>
      <w:r>
        <w:rPr>
          <w:rFonts w:hint="default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年财政拨款“三公”经费预算数为</w:t>
      </w:r>
      <w:r>
        <w:rPr>
          <w:rFonts w:hint="default" w:ascii="仿宋" w:hAnsi="微软雅黑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.60万元，其中：因公出国（境）费0万元，公务用车购置费0万元，公务用车运行费</w:t>
      </w:r>
      <w:r>
        <w:rPr>
          <w:rFonts w:hint="default" w:ascii="仿宋" w:hAnsi="微软雅黑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.60万元，公务接待费0万元。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</w:rPr>
      </w:pP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202</w:t>
      </w:r>
      <w:r>
        <w:rPr>
          <w:rFonts w:hint="default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年财政拨款“三公”经费预算比上年预算增加0.00万元，增长0.00%，其中：因公出国（境）费增加0.00万元，增长0.00%，主要原因是2024年、202</w:t>
      </w:r>
      <w:r>
        <w:rPr>
          <w:rFonts w:hint="default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年均未安排此项预算支出经费；公务用车购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置费增加0.00万元，增长0.00%，主要原因是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2024年、202</w:t>
      </w:r>
      <w:r>
        <w:rPr>
          <w:rFonts w:hint="default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年均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未安排此项预算支出经费；公务用车运行费增加0.00万元，增长0.00%，主要原因是根据要求，“三公”经费只减不增，</w:t>
      </w:r>
      <w:r>
        <w:rPr>
          <w:rFonts w:hint="eastAsia" w:ascii="仿宋" w:hAnsi="微软雅黑" w:eastAsia="仿宋" w:cs="Times New Roman"/>
          <w:kern w:val="2"/>
          <w:sz w:val="28"/>
          <w:szCs w:val="28"/>
          <w:lang w:val="en-US" w:eastAsia="zh-CN" w:bidi="ar-SA"/>
        </w:rPr>
        <w:t>2025年预算与上年保持一致，无变动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；公务接待费增加0.00万元，增长0.00%，主要原因是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2024年、202</w:t>
      </w:r>
      <w:r>
        <w:rPr>
          <w:rFonts w:hint="default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年均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未安排此项预算支出经费。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lang w:val="en-US" w:eastAsia="zh-CN"/>
        </w:rPr>
      </w:pP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lang w:val="en-US" w:eastAsia="zh-Hans"/>
        </w:rPr>
        <w:t>十</w:t>
      </w: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lang w:val="en-US" w:eastAsia="zh-CN"/>
        </w:rPr>
        <w:t>一、关于</w:t>
      </w:r>
      <w:r>
        <w:rPr>
          <w:rFonts w:hint="default" w:ascii="仿宋" w:hAnsi="华文楷体" w:eastAsia="仿宋" w:cs="Times New Roman"/>
          <w:b/>
          <w:bCs w:val="0"/>
          <w:kern w:val="2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lang w:val="en-US" w:eastAsia="zh-CN"/>
        </w:rPr>
        <w:t>2025年上年结转结余预算情况说明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</w:rPr>
      </w:pPr>
      <w:r>
        <w:rPr>
          <w:rFonts w:hint="default" w:ascii="仿宋" w:hAnsi="微软雅黑" w:eastAsia="仿宋" w:cs="Times New Roman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无上年结转结余</w:t>
      </w:r>
      <w:r>
        <w:rPr>
          <w:rFonts w:hint="eastAsia" w:ascii="仿宋" w:hAnsi="微软雅黑" w:eastAsia="仿宋" w:cs="Times New Roman"/>
          <w:sz w:val="28"/>
          <w:szCs w:val="28"/>
        </w:rPr>
        <w:t>预算的支出，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结转结余</w:t>
      </w:r>
      <w:r>
        <w:rPr>
          <w:rFonts w:hint="eastAsia" w:ascii="仿宋" w:hAnsi="微软雅黑" w:eastAsia="仿宋" w:cs="Times New Roman"/>
          <w:sz w:val="28"/>
          <w:szCs w:val="28"/>
        </w:rPr>
        <w:t>预算支出情况表为空表。</w:t>
      </w:r>
    </w:p>
    <w:p>
      <w:pPr>
        <w:pStyle w:val="3"/>
        <w:numPr>
          <w:ilvl w:val="0"/>
          <w:numId w:val="0"/>
        </w:numPr>
        <w:spacing w:before="0" w:beforeLines="-2147483648" w:after="0" w:afterLines="-2147483648" w:line="560" w:lineRule="exact"/>
        <w:ind w:leftChars="201" w:firstLine="281" w:firstLineChars="100"/>
        <w:rPr>
          <w:rFonts w:hint="eastAsia" w:ascii="仿宋" w:hAnsi="华文楷体" w:eastAsia="仿宋" w:cs="Times New Roman"/>
          <w:bCs w:val="0"/>
          <w:sz w:val="28"/>
          <w:szCs w:val="28"/>
        </w:rPr>
      </w:pPr>
      <w:r>
        <w:rPr>
          <w:rFonts w:hint="eastAsia" w:ascii="仿宋" w:hAnsi="华文楷体" w:eastAsia="仿宋" w:cs="Times New Roman"/>
          <w:bCs w:val="0"/>
          <w:sz w:val="28"/>
          <w:szCs w:val="28"/>
          <w:lang w:val="en-US" w:eastAsia="zh-Hans"/>
        </w:rPr>
        <w:t>十</w:t>
      </w:r>
      <w:r>
        <w:rPr>
          <w:rFonts w:hint="eastAsia" w:ascii="仿宋" w:hAnsi="华文楷体" w:eastAsia="仿宋" w:cs="Times New Roman"/>
          <w:bCs w:val="0"/>
          <w:sz w:val="28"/>
          <w:szCs w:val="28"/>
          <w:lang w:val="en-US" w:eastAsia="zh-CN"/>
        </w:rPr>
        <w:t>二</w:t>
      </w:r>
      <w:r>
        <w:rPr>
          <w:rFonts w:hint="eastAsia" w:ascii="仿宋" w:hAnsi="华文楷体" w:eastAsia="仿宋" w:cs="Times New Roman"/>
          <w:bCs w:val="0"/>
          <w:sz w:val="28"/>
          <w:szCs w:val="28"/>
        </w:rPr>
        <w:t>、其他重要事项的情况说明</w:t>
      </w:r>
    </w:p>
    <w:p>
      <w:pPr>
        <w:pStyle w:val="4"/>
        <w:numPr>
          <w:ilvl w:val="0"/>
          <w:numId w:val="0"/>
        </w:numPr>
        <w:spacing w:before="0" w:beforeLines="-2147483648" w:after="0" w:afterLines="-2147483648" w:line="560" w:lineRule="exact"/>
        <w:ind w:leftChars="201"/>
        <w:rPr>
          <w:rFonts w:hint="eastAsia" w:ascii="楷体" w:hAnsi="Times New Roman" w:eastAsia="楷体" w:cs="Times New Roman"/>
          <w:bCs w:val="0"/>
          <w:sz w:val="28"/>
          <w:szCs w:val="28"/>
          <w:lang w:val="en-US" w:eastAsia="zh-CN"/>
        </w:rPr>
      </w:pPr>
      <w:r>
        <w:rPr>
          <w:rFonts w:hint="eastAsia" w:ascii="楷体" w:hAnsi="Times New Roman" w:eastAsia="楷体" w:cs="Times New Roman"/>
          <w:bCs w:val="0"/>
          <w:sz w:val="28"/>
          <w:szCs w:val="28"/>
        </w:rPr>
        <w:t>（一）</w:t>
      </w:r>
      <w:r>
        <w:rPr>
          <w:rFonts w:hint="eastAsia" w:ascii="楷体" w:hAnsi="Times New Roman" w:eastAsia="楷体" w:cs="Times New Roman"/>
          <w:bCs w:val="0"/>
          <w:sz w:val="28"/>
          <w:szCs w:val="28"/>
          <w:lang w:val="en-US" w:eastAsia="zh-CN"/>
        </w:rPr>
        <w:t>单位</w:t>
      </w:r>
      <w:r>
        <w:rPr>
          <w:rFonts w:hint="eastAsia" w:ascii="楷体" w:hAnsi="Times New Roman" w:eastAsia="楷体" w:cs="Times New Roman"/>
          <w:bCs w:val="0"/>
          <w:sz w:val="28"/>
          <w:szCs w:val="28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仿宋" w:hAnsi="微软雅黑" w:eastAsia="仿宋" w:cs="Times New Roman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事业单位</w:t>
      </w:r>
      <w:r>
        <w:rPr>
          <w:rFonts w:hint="eastAsia" w:ascii="仿宋" w:hAnsi="微软雅黑" w:eastAsia="仿宋" w:cs="Times New Roman"/>
          <w:sz w:val="28"/>
          <w:szCs w:val="28"/>
        </w:rPr>
        <w:t>运行经费财政拨款预算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22.13</w:t>
      </w:r>
      <w:r>
        <w:rPr>
          <w:rFonts w:hint="eastAsia" w:ascii="仿宋" w:hAnsi="微软雅黑" w:eastAsia="仿宋" w:cs="Times New Roman"/>
          <w:sz w:val="28"/>
          <w:szCs w:val="28"/>
        </w:rPr>
        <w:t>万元，比上年预算增加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 xml:space="preserve">0.51 </w:t>
      </w:r>
      <w:r>
        <w:rPr>
          <w:rFonts w:hint="eastAsia" w:ascii="仿宋" w:hAnsi="微软雅黑" w:eastAsia="仿宋" w:cs="Times New Roman"/>
          <w:sz w:val="28"/>
          <w:szCs w:val="28"/>
        </w:rPr>
        <w:t>万元，增长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2.36</w:t>
      </w:r>
      <w:r>
        <w:rPr>
          <w:rFonts w:hint="eastAsia" w:ascii="仿宋" w:hAnsi="微软雅黑" w:eastAsia="仿宋" w:cs="Times New Roman"/>
          <w:sz w:val="28"/>
          <w:szCs w:val="28"/>
        </w:rPr>
        <w:t xml:space="preserve"> %。主要原因是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本年增加工会经费预算。</w:t>
      </w:r>
      <w:r>
        <w:rPr>
          <w:rFonts w:hint="eastAsia" w:ascii="仿宋" w:hAnsi="微软雅黑" w:eastAsia="仿宋" w:cs="Times New Roman"/>
          <w:sz w:val="28"/>
          <w:szCs w:val="28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                 。</w:t>
      </w:r>
    </w:p>
    <w:p>
      <w:pPr>
        <w:pStyle w:val="4"/>
        <w:numPr>
          <w:ilvl w:val="0"/>
          <w:numId w:val="0"/>
        </w:numPr>
        <w:spacing w:before="0" w:beforeLines="-2147483648" w:after="0" w:afterLines="-2147483648" w:line="560" w:lineRule="exact"/>
        <w:ind w:leftChars="201"/>
        <w:rPr>
          <w:rFonts w:hint="eastAsia" w:ascii="楷体" w:hAnsi="Times New Roman" w:eastAsia="楷体" w:cs="Times New Roman"/>
          <w:bCs w:val="0"/>
          <w:sz w:val="28"/>
          <w:szCs w:val="28"/>
        </w:rPr>
      </w:pPr>
      <w:r>
        <w:rPr>
          <w:rFonts w:hint="eastAsia" w:ascii="楷体" w:hAnsi="Times New Roman" w:eastAsia="楷体" w:cs="Times New Roman"/>
          <w:bCs w:val="0"/>
          <w:sz w:val="28"/>
          <w:szCs w:val="28"/>
        </w:rPr>
        <w:t>（二）政府采购情况</w:t>
      </w:r>
    </w:p>
    <w:p>
      <w:pPr>
        <w:widowControl/>
        <w:spacing w:line="560" w:lineRule="exact"/>
        <w:ind w:firstLine="640" w:firstLineChars="200"/>
        <w:rPr>
          <w:rFonts w:hint="eastAsia" w:ascii="仿宋" w:hAnsi="微软雅黑" w:eastAsia="仿宋" w:cs="Times New Roman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</w:t>
      </w:r>
      <w:r>
        <w:rPr>
          <w:rFonts w:hint="eastAsia" w:ascii="仿宋" w:hAnsi="微软雅黑" w:eastAsia="仿宋" w:cs="Times New Roman"/>
          <w:sz w:val="28"/>
          <w:szCs w:val="28"/>
        </w:rPr>
        <w:t>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</w:rPr>
        <w:t>年，</w:t>
      </w:r>
      <w:r>
        <w:rPr>
          <w:rFonts w:hint="default" w:ascii="仿宋" w:hAnsi="微软雅黑" w:eastAsia="仿宋" w:cs="Times New Roman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微软雅黑" w:eastAsia="仿宋" w:cs="Times New Roman"/>
          <w:sz w:val="28"/>
          <w:szCs w:val="28"/>
        </w:rPr>
        <w:t xml:space="preserve">政府采购预算 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56.06</w:t>
      </w:r>
      <w:r>
        <w:rPr>
          <w:rFonts w:hint="eastAsia" w:ascii="仿宋" w:hAnsi="微软雅黑" w:eastAsia="仿宋" w:cs="Times New Roman"/>
          <w:sz w:val="28"/>
          <w:szCs w:val="28"/>
        </w:rPr>
        <w:t xml:space="preserve"> 万元，其中：政府采购货物预算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20.94</w:t>
      </w:r>
      <w:r>
        <w:rPr>
          <w:rFonts w:hint="eastAsia" w:ascii="仿宋" w:hAnsi="微软雅黑" w:eastAsia="仿宋" w:cs="Times New Roman"/>
          <w:sz w:val="28"/>
          <w:szCs w:val="28"/>
        </w:rPr>
        <w:t>万元，政府采购工程预算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</w:t>
      </w:r>
      <w:r>
        <w:rPr>
          <w:rFonts w:hint="eastAsia" w:ascii="仿宋" w:hAnsi="微软雅黑" w:eastAsia="仿宋" w:cs="Times New Roman"/>
          <w:sz w:val="28"/>
          <w:szCs w:val="28"/>
        </w:rPr>
        <w:t>万元，政府采购服务预算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35.12</w:t>
      </w:r>
      <w:r>
        <w:rPr>
          <w:rFonts w:hint="eastAsia" w:ascii="仿宋" w:hAnsi="微软雅黑" w:eastAsia="仿宋" w:cs="Times New Roman"/>
          <w:sz w:val="28"/>
          <w:szCs w:val="28"/>
        </w:rPr>
        <w:t>万元。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lang w:eastAsia="zh-CN"/>
        </w:rPr>
      </w:pPr>
      <w:r>
        <w:rPr>
          <w:rFonts w:hint="eastAsia" w:ascii="仿宋" w:hAnsi="微软雅黑" w:eastAsia="仿宋" w:cs="Times New Roman"/>
          <w:sz w:val="28"/>
          <w:szCs w:val="28"/>
        </w:rPr>
        <w:t>202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</w:rPr>
        <w:t>年，</w:t>
      </w:r>
      <w:r>
        <w:rPr>
          <w:rFonts w:hint="default" w:ascii="仿宋" w:hAnsi="微软雅黑" w:eastAsia="仿宋" w:cs="Times New Roman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微软雅黑" w:eastAsia="仿宋" w:cs="Times New Roman"/>
          <w:sz w:val="28"/>
          <w:szCs w:val="28"/>
        </w:rPr>
        <w:t>面向中小企业预留政府采购项目预算金额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56.06</w:t>
      </w:r>
      <w:r>
        <w:rPr>
          <w:rFonts w:hint="eastAsia" w:ascii="仿宋" w:hAnsi="微软雅黑" w:eastAsia="仿宋" w:cs="Times New Roman"/>
          <w:sz w:val="28"/>
          <w:szCs w:val="28"/>
        </w:rPr>
        <w:t>万元，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小微</w:t>
      </w:r>
      <w:r>
        <w:rPr>
          <w:rFonts w:hint="eastAsia" w:ascii="仿宋" w:hAnsi="微软雅黑" w:eastAsia="仿宋" w:cs="Times New Roman"/>
          <w:sz w:val="28"/>
          <w:szCs w:val="28"/>
        </w:rPr>
        <w:t>企业预留政府采购项目预算金额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56.06</w:t>
      </w:r>
      <w:r>
        <w:rPr>
          <w:rFonts w:hint="eastAsia" w:ascii="仿宋" w:hAnsi="微软雅黑" w:eastAsia="仿宋" w:cs="Times New Roman"/>
          <w:sz w:val="28"/>
          <w:szCs w:val="28"/>
        </w:rPr>
        <w:t>万元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。</w:t>
      </w:r>
    </w:p>
    <w:p>
      <w:pPr>
        <w:pStyle w:val="4"/>
        <w:numPr>
          <w:ilvl w:val="0"/>
          <w:numId w:val="0"/>
        </w:numPr>
        <w:spacing w:before="0" w:beforeLines="-2147483648" w:after="0" w:afterLines="-2147483648" w:line="560" w:lineRule="exact"/>
        <w:ind w:leftChars="201"/>
        <w:rPr>
          <w:rFonts w:hint="eastAsia" w:ascii="楷体" w:hAnsi="Times New Roman" w:eastAsia="楷体" w:cs="Times New Roman"/>
          <w:bCs w:val="0"/>
          <w:sz w:val="28"/>
          <w:szCs w:val="28"/>
        </w:rPr>
      </w:pPr>
      <w:r>
        <w:rPr>
          <w:rFonts w:hint="eastAsia" w:ascii="楷体" w:hAnsi="Times New Roman" w:eastAsia="楷体" w:cs="Times New Roman"/>
          <w:bCs w:val="0"/>
          <w:sz w:val="28"/>
          <w:szCs w:val="28"/>
        </w:rPr>
        <w:t>（三）国有资产占用使用情况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lang w:eastAsia="zh-CN"/>
        </w:rPr>
      </w:pPr>
      <w:r>
        <w:rPr>
          <w:rFonts w:hint="eastAsia" w:ascii="仿宋" w:hAnsi="微软雅黑" w:eastAsia="仿宋" w:cs="Times New Roman"/>
          <w:sz w:val="28"/>
          <w:szCs w:val="28"/>
        </w:rPr>
        <w:t>截至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2025</w:t>
      </w:r>
      <w:r>
        <w:rPr>
          <w:rFonts w:hint="eastAsia" w:ascii="仿宋" w:hAnsi="微软雅黑" w:eastAsia="仿宋" w:cs="Times New Roman"/>
          <w:sz w:val="28"/>
          <w:szCs w:val="28"/>
        </w:rPr>
        <w:t>年底，</w:t>
      </w:r>
      <w:r>
        <w:rPr>
          <w:rFonts w:hint="default" w:ascii="仿宋" w:hAnsi="微软雅黑" w:eastAsia="仿宋" w:cs="Times New Roman"/>
          <w:sz w:val="28"/>
          <w:szCs w:val="28"/>
          <w:lang w:val="en-US" w:eastAsia="zh-CN"/>
        </w:rPr>
        <w:t>中国共产党呼图壁县委员会党校</w:t>
      </w:r>
      <w:r>
        <w:rPr>
          <w:rFonts w:hint="eastAsia" w:ascii="仿宋" w:hAnsi="微软雅黑" w:eastAsia="仿宋" w:cs="Times New Roman"/>
          <w:sz w:val="28"/>
          <w:szCs w:val="28"/>
        </w:rPr>
        <w:t>占用使用国有资产总体情况为</w:t>
      </w:r>
      <w:r>
        <w:rPr>
          <w:rFonts w:hint="eastAsia" w:ascii="仿宋" w:hAnsi="微软雅黑" w:eastAsia="仿宋" w:cs="Times New Roman"/>
          <w:sz w:val="28"/>
          <w:szCs w:val="28"/>
          <w:lang w:eastAsia="zh-CN"/>
        </w:rPr>
        <w:t>：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</w:rPr>
      </w:pPr>
      <w:r>
        <w:rPr>
          <w:rFonts w:hint="eastAsia" w:ascii="仿宋" w:hAnsi="微软雅黑" w:eastAsia="仿宋" w:cs="Times New Roman"/>
          <w:sz w:val="28"/>
          <w:szCs w:val="28"/>
        </w:rPr>
        <w:t>1.房屋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6314.97平方米，价值1779.02万元。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</w:rPr>
      </w:pPr>
      <w:r>
        <w:rPr>
          <w:rFonts w:hint="eastAsia" w:ascii="仿宋" w:hAnsi="微软雅黑" w:eastAsia="仿宋" w:cs="Times New Roman"/>
          <w:sz w:val="28"/>
          <w:szCs w:val="28"/>
        </w:rPr>
        <w:t>2.车辆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</w:rPr>
        <w:t>辆，价值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14.48</w:t>
      </w:r>
      <w:r>
        <w:rPr>
          <w:rFonts w:hint="eastAsia" w:ascii="仿宋" w:hAnsi="微软雅黑" w:eastAsia="仿宋" w:cs="Times New Roman"/>
          <w:sz w:val="28"/>
          <w:szCs w:val="28"/>
        </w:rPr>
        <w:t>万元；其中：一般公务用车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</w:t>
      </w:r>
      <w:r>
        <w:rPr>
          <w:rFonts w:hint="eastAsia" w:ascii="仿宋" w:hAnsi="微软雅黑" w:eastAsia="仿宋" w:cs="Times New Roman"/>
          <w:sz w:val="28"/>
          <w:szCs w:val="28"/>
        </w:rPr>
        <w:t xml:space="preserve">辆，价值 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</w:t>
      </w:r>
      <w:r>
        <w:rPr>
          <w:rFonts w:hint="eastAsia" w:ascii="仿宋" w:hAnsi="微软雅黑" w:eastAsia="仿宋" w:cs="Times New Roman"/>
          <w:sz w:val="28"/>
          <w:szCs w:val="28"/>
        </w:rPr>
        <w:t>万元；执法执勤用车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</w:t>
      </w:r>
      <w:r>
        <w:rPr>
          <w:rFonts w:hint="eastAsia" w:ascii="仿宋" w:hAnsi="微软雅黑" w:eastAsia="仿宋" w:cs="Times New Roman"/>
          <w:sz w:val="28"/>
          <w:szCs w:val="28"/>
        </w:rPr>
        <w:t>辆，价值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</w:t>
      </w:r>
      <w:r>
        <w:rPr>
          <w:rFonts w:hint="eastAsia" w:ascii="仿宋" w:hAnsi="微软雅黑" w:eastAsia="仿宋" w:cs="Times New Roman"/>
          <w:sz w:val="28"/>
          <w:szCs w:val="28"/>
        </w:rPr>
        <w:t>万元；其他车辆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</w:rPr>
        <w:t>辆，价值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14.48</w:t>
      </w:r>
      <w:r>
        <w:rPr>
          <w:rFonts w:hint="eastAsia" w:ascii="仿宋" w:hAnsi="微软雅黑" w:eastAsia="仿宋" w:cs="Times New Roman"/>
          <w:sz w:val="28"/>
          <w:szCs w:val="28"/>
        </w:rPr>
        <w:t>万元。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</w:rPr>
      </w:pPr>
      <w:r>
        <w:rPr>
          <w:rFonts w:hint="eastAsia" w:ascii="仿宋" w:hAnsi="微软雅黑" w:eastAsia="仿宋" w:cs="Times New Roman"/>
          <w:sz w:val="28"/>
          <w:szCs w:val="28"/>
        </w:rPr>
        <w:t>3.办公家具价值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65.28</w:t>
      </w:r>
      <w:r>
        <w:rPr>
          <w:rFonts w:hint="eastAsia" w:ascii="仿宋" w:hAnsi="微软雅黑" w:eastAsia="仿宋" w:cs="Times New Roman"/>
          <w:sz w:val="28"/>
          <w:szCs w:val="28"/>
        </w:rPr>
        <w:t>万元。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</w:rPr>
      </w:pPr>
      <w:r>
        <w:rPr>
          <w:rFonts w:hint="eastAsia" w:ascii="仿宋" w:hAnsi="微软雅黑" w:eastAsia="仿宋" w:cs="Times New Roman"/>
          <w:sz w:val="28"/>
          <w:szCs w:val="28"/>
        </w:rPr>
        <w:t>4.其他资产价值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811.82</w:t>
      </w:r>
      <w:r>
        <w:rPr>
          <w:rFonts w:hint="eastAsia" w:ascii="仿宋" w:hAnsi="微软雅黑" w:eastAsia="仿宋" w:cs="Times New Roman"/>
          <w:sz w:val="28"/>
          <w:szCs w:val="28"/>
        </w:rPr>
        <w:t>万元。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</w:rPr>
      </w:pPr>
      <w:r>
        <w:rPr>
          <w:rFonts w:hint="eastAsia" w:ascii="仿宋" w:hAnsi="微软雅黑" w:eastAsia="仿宋" w:cs="Times New Roman"/>
          <w:sz w:val="28"/>
          <w:szCs w:val="28"/>
        </w:rPr>
        <w:t>单位价值50万元以上大型设备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</w:rPr>
        <w:t>台，单位价值100万元以上大型设备</w:t>
      </w:r>
      <w:r>
        <w:rPr>
          <w:rFonts w:hint="eastAsia" w:ascii="仿宋" w:hAnsi="微软雅黑" w:eastAsia="仿宋" w:cs="Times New Roman"/>
          <w:sz w:val="28"/>
          <w:szCs w:val="28"/>
          <w:lang w:val="en-US" w:eastAsia="zh-CN"/>
        </w:rPr>
        <w:t>0</w:t>
      </w:r>
      <w:r>
        <w:rPr>
          <w:rFonts w:hint="eastAsia" w:ascii="仿宋" w:hAnsi="微软雅黑" w:eastAsia="仿宋" w:cs="Times New Roman"/>
          <w:sz w:val="28"/>
          <w:szCs w:val="28"/>
        </w:rPr>
        <w:t>台。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color w:val="auto"/>
          <w:sz w:val="28"/>
          <w:szCs w:val="28"/>
        </w:rPr>
      </w:pPr>
      <w:r>
        <w:rPr>
          <w:rFonts w:hint="eastAsia" w:ascii="仿宋" w:hAnsi="微软雅黑" w:eastAsia="仿宋" w:cs="Times New Roman"/>
          <w:color w:val="auto"/>
          <w:sz w:val="28"/>
          <w:szCs w:val="28"/>
          <w:lang w:eastAsia="zh-CN"/>
        </w:rPr>
        <w:t>202</w:t>
      </w:r>
      <w:r>
        <w:rPr>
          <w:rFonts w:hint="eastAsia" w:ascii="仿宋" w:hAnsi="微软雅黑" w:eastAsia="仿宋" w:cs="Times New Roman"/>
          <w:color w:val="auto"/>
          <w:sz w:val="28"/>
          <w:szCs w:val="28"/>
          <w:lang w:val="en-US" w:eastAsia="zh-CN"/>
        </w:rPr>
        <w:t>5</w:t>
      </w:r>
      <w:r>
        <w:rPr>
          <w:rFonts w:hint="eastAsia" w:ascii="仿宋" w:hAnsi="微软雅黑" w:eastAsia="仿宋" w:cs="Times New Roman"/>
          <w:color w:val="auto"/>
          <w:sz w:val="28"/>
          <w:szCs w:val="28"/>
          <w:lang w:eastAsia="zh-CN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部门</w:t>
      </w:r>
      <w:r>
        <w:rPr>
          <w:rFonts w:hint="eastAsia" w:ascii="仿宋" w:hAnsi="微软雅黑" w:eastAsia="仿宋" w:cs="Times New Roman"/>
          <w:color w:val="auto"/>
          <w:sz w:val="28"/>
          <w:szCs w:val="28"/>
        </w:rPr>
        <w:t>预算未安排购置车辆经费，安排购置50万元以上大型设备</w:t>
      </w:r>
      <w:r>
        <w:rPr>
          <w:rFonts w:hint="eastAsia" w:ascii="仿宋" w:hAnsi="微软雅黑" w:eastAsia="仿宋" w:cs="Times New Roman"/>
          <w:color w:val="auto"/>
          <w:sz w:val="28"/>
          <w:szCs w:val="28"/>
          <w:lang w:val="en-US" w:eastAsia="zh-CN"/>
        </w:rPr>
        <w:t>0</w:t>
      </w:r>
      <w:r>
        <w:rPr>
          <w:rFonts w:hint="eastAsia" w:ascii="仿宋" w:hAnsi="微软雅黑" w:eastAsia="仿宋" w:cs="Times New Roman"/>
          <w:color w:val="auto"/>
          <w:sz w:val="28"/>
          <w:szCs w:val="28"/>
        </w:rPr>
        <w:t xml:space="preserve">台，单位价值100万元以上大型设备 </w:t>
      </w:r>
      <w:r>
        <w:rPr>
          <w:rFonts w:hint="eastAsia" w:ascii="仿宋" w:hAnsi="微软雅黑" w:eastAsia="仿宋" w:cs="Times New Roman"/>
          <w:color w:val="auto"/>
          <w:sz w:val="28"/>
          <w:szCs w:val="28"/>
          <w:lang w:val="en-US" w:eastAsia="zh-CN"/>
        </w:rPr>
        <w:t>0</w:t>
      </w:r>
      <w:r>
        <w:rPr>
          <w:rFonts w:hint="eastAsia" w:ascii="仿宋" w:hAnsi="微软雅黑" w:eastAsia="仿宋" w:cs="Times New Roman"/>
          <w:color w:val="auto"/>
          <w:sz w:val="28"/>
          <w:szCs w:val="28"/>
        </w:rPr>
        <w:t>台。</w:t>
      </w:r>
    </w:p>
    <w:p>
      <w:pPr>
        <w:pStyle w:val="4"/>
        <w:numPr>
          <w:ilvl w:val="0"/>
          <w:numId w:val="0"/>
        </w:numPr>
        <w:spacing w:before="0" w:beforeLines="-2147483648" w:after="0" w:afterLines="-2147483648" w:line="560" w:lineRule="exact"/>
        <w:ind w:leftChars="201"/>
        <w:rPr>
          <w:rFonts w:hint="eastAsia" w:ascii="楷体" w:hAnsi="Times New Roman" w:eastAsia="楷体" w:cs="Times New Roman"/>
          <w:bCs w:val="0"/>
          <w:sz w:val="28"/>
          <w:szCs w:val="28"/>
        </w:rPr>
      </w:pPr>
      <w:r>
        <w:rPr>
          <w:rFonts w:hint="eastAsia" w:ascii="楷体" w:hAnsi="Times New Roman" w:eastAsia="楷体" w:cs="Times New Roman"/>
          <w:bCs w:val="0"/>
          <w:sz w:val="28"/>
          <w:szCs w:val="28"/>
          <w:lang w:eastAsia="zh-CN"/>
        </w:rPr>
        <w:t>（四）</w:t>
      </w:r>
      <w:r>
        <w:rPr>
          <w:rFonts w:hint="eastAsia" w:ascii="楷体" w:hAnsi="Times New Roman" w:eastAsia="楷体" w:cs="Times New Roman"/>
          <w:bCs w:val="0"/>
          <w:sz w:val="28"/>
          <w:szCs w:val="28"/>
        </w:rPr>
        <w:t>预算绩效情况</w:t>
      </w:r>
    </w:p>
    <w:p>
      <w:pPr>
        <w:pStyle w:val="12"/>
        <w:rPr>
          <w:rFonts w:hint="eastAsia" w:ascii="仿宋" w:hAnsi="微软雅黑" w:eastAsia="仿宋" w:cs="Times New Roman"/>
          <w:kern w:val="2"/>
          <w:sz w:val="28"/>
          <w:szCs w:val="28"/>
          <w:lang w:val="en-US" w:eastAsia="zh-CN"/>
        </w:rPr>
      </w:pPr>
      <w:r>
        <w:rPr>
          <w:rFonts w:hint="eastAsia" w:ascii="仿宋" w:hAnsi="微软雅黑" w:eastAsia="仿宋" w:cs="Times New Roman"/>
          <w:kern w:val="2"/>
          <w:sz w:val="28"/>
          <w:szCs w:val="28"/>
          <w:lang w:val="en-US" w:eastAsia="zh-CN"/>
        </w:rPr>
        <w:t>2</w:t>
      </w:r>
      <w:r>
        <w:rPr>
          <w:rFonts w:hint="eastAsia" w:ascii="仿宋" w:hAnsi="微软雅黑" w:eastAsia="仿宋" w:cs="Times New Roman"/>
          <w:color w:val="auto"/>
          <w:kern w:val="2"/>
          <w:sz w:val="28"/>
          <w:szCs w:val="28"/>
          <w:lang w:val="en-US" w:eastAsia="zh-CN"/>
        </w:rPr>
        <w:t>025年，本</w:t>
      </w:r>
      <w:r>
        <w:rPr>
          <w:rFonts w:hint="eastAsia" w:ascii="仿宋" w:hAnsi="微软雅黑" w:eastAsia="仿宋" w:cs="Times New Roman"/>
          <w:kern w:val="2"/>
          <w:sz w:val="28"/>
          <w:szCs w:val="28"/>
          <w:lang w:val="en-US" w:eastAsia="zh-CN"/>
        </w:rPr>
        <w:t>部门预算绩效管理整体预算绩效目标1个，涉及金额457.51万元；当年预算安排项目共1个，其中:</w:t>
      </w:r>
      <w:r>
        <w:rPr>
          <w:rFonts w:hint="eastAsia" w:ascii="仿宋" w:hAnsi="微软雅黑" w:eastAsia="仿宋" w:cs="Times New Roman"/>
          <w:kern w:val="2"/>
          <w:sz w:val="28"/>
          <w:szCs w:val="28"/>
          <w:lang w:val="en-US" w:eastAsia="zh-Hans"/>
        </w:rPr>
        <w:t>财政拨款</w:t>
      </w:r>
      <w:r>
        <w:rPr>
          <w:rFonts w:hint="eastAsia" w:ascii="仿宋" w:hAnsi="微软雅黑" w:eastAsia="仿宋" w:cs="Times New Roman"/>
          <w:kern w:val="2"/>
          <w:sz w:val="28"/>
          <w:szCs w:val="28"/>
          <w:lang w:val="en-US" w:eastAsia="zh-CN"/>
        </w:rPr>
        <w:t>项目涉及预算金额20</w:t>
      </w:r>
      <w:bookmarkStart w:id="0" w:name="_GoBack"/>
      <w:bookmarkEnd w:id="0"/>
      <w:r>
        <w:rPr>
          <w:rFonts w:hint="eastAsia" w:ascii="仿宋" w:hAnsi="微软雅黑" w:eastAsia="仿宋" w:cs="Times New Roman"/>
          <w:kern w:val="2"/>
          <w:sz w:val="28"/>
          <w:szCs w:val="28"/>
          <w:lang w:val="en-US" w:eastAsia="zh-CN"/>
        </w:rPr>
        <w:t>万元；</w:t>
      </w:r>
      <w:r>
        <w:rPr>
          <w:rFonts w:hint="eastAsia" w:ascii="仿宋" w:hAnsi="微软雅黑" w:eastAsia="仿宋" w:cs="Times New Roman"/>
          <w:kern w:val="2"/>
          <w:sz w:val="28"/>
          <w:szCs w:val="28"/>
          <w:lang w:val="en-US" w:eastAsia="zh-Hans"/>
        </w:rPr>
        <w:t>非财政拨款项目</w:t>
      </w:r>
      <w:r>
        <w:rPr>
          <w:rFonts w:hint="eastAsia" w:ascii="仿宋" w:hAnsi="微软雅黑" w:eastAsia="仿宋" w:cs="Times New Roman"/>
          <w:kern w:val="2"/>
          <w:sz w:val="28"/>
          <w:szCs w:val="28"/>
          <w:lang w:val="en-US" w:eastAsia="zh-CN"/>
        </w:rPr>
        <w:t>涉及预算金额0万元。具体情况见下表：</w:t>
      </w: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lang w:val="en-US" w:eastAsia="zh-CN"/>
        </w:rPr>
      </w:pPr>
    </w:p>
    <w:tbl>
      <w:tblPr>
        <w:tblStyle w:val="13"/>
        <w:tblW w:w="806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750"/>
        <w:gridCol w:w="1125"/>
        <w:gridCol w:w="1290"/>
        <w:gridCol w:w="1035"/>
        <w:gridCol w:w="1627"/>
        <w:gridCol w:w="758"/>
        <w:gridCol w:w="6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0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Calibri" w:eastAsia="仿宋" w:cs="Times New Roman"/>
                <w:b/>
                <w:sz w:val="28"/>
                <w:szCs w:val="28"/>
                <w:lang w:val="en-US" w:eastAsia="zh-CN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0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Calibri" w:eastAsia="仿宋" w:cs="Times New Roman"/>
                <w:sz w:val="18"/>
                <w:szCs w:val="18"/>
                <w:lang w:val="en-US" w:eastAsia="zh-CN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  <w:t>部门名称</w:t>
            </w:r>
          </w:p>
        </w:tc>
        <w:tc>
          <w:tcPr>
            <w:tcW w:w="64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Times New Roman"/>
                <w:sz w:val="18"/>
                <w:szCs w:val="18"/>
                <w:lang w:val="en-US" w:eastAsia="zh-CN"/>
              </w:rPr>
              <w:t>中国共产党呼图壁县委员会党校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  <w:t>部门联系人</w:t>
            </w:r>
          </w:p>
        </w:tc>
        <w:tc>
          <w:tcPr>
            <w:tcW w:w="24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韩霞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  <w:t>联系电话</w:t>
            </w:r>
          </w:p>
        </w:tc>
        <w:tc>
          <w:tcPr>
            <w:tcW w:w="30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15299668111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5" w:hRule="atLeast"/>
        </w:trPr>
        <w:tc>
          <w:tcPr>
            <w:tcW w:w="40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  <w:t>年度绩效目标</w:t>
            </w:r>
          </w:p>
        </w:tc>
        <w:tc>
          <w:tcPr>
            <w:tcW w:w="40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lang w:val="en-US" w:eastAsia="zh-CN"/>
              </w:rPr>
              <w:t>通过有计划地轮训、培训科级干部、中青年党员干部，有计划地轮训、培训村级干部、党外干部以及党员中级知识分子、理论宣传骨干等，围绕县委、县政府的中心任务，对重大理论和现实问题开展专题研究，提高教学质量，打造精品课，提高科级干部业务能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61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  <w:t>年度预算（万元）</w:t>
            </w:r>
          </w:p>
        </w:tc>
        <w:tc>
          <w:tcPr>
            <w:tcW w:w="64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资金来源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6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财政资金（万元）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上级资金</w:t>
            </w:r>
          </w:p>
        </w:tc>
        <w:tc>
          <w:tcPr>
            <w:tcW w:w="40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6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本级资金</w:t>
            </w:r>
          </w:p>
        </w:tc>
        <w:tc>
          <w:tcPr>
            <w:tcW w:w="40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277.51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6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其他资金（万元）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其他</w:t>
            </w:r>
          </w:p>
        </w:tc>
        <w:tc>
          <w:tcPr>
            <w:tcW w:w="40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6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合计：</w:t>
            </w:r>
          </w:p>
        </w:tc>
        <w:tc>
          <w:tcPr>
            <w:tcW w:w="40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457.51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  <w:t>一级指标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  <w:t>二级指标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  <w:t>三级指标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  <w:t>指标值</w:t>
            </w:r>
          </w:p>
        </w:tc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  <w:t>指标值设定依据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年度绩效指标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运行成本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年度绩效指标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管理效率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年度绩效指标</w:t>
            </w:r>
          </w:p>
        </w:tc>
        <w:tc>
          <w:tcPr>
            <w:tcW w:w="7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履职效能</w:t>
            </w:r>
          </w:p>
        </w:tc>
        <w:tc>
          <w:tcPr>
            <w:tcW w:w="11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数量指标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举办各类培训班期数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&gt;=50期</w:t>
            </w:r>
          </w:p>
        </w:tc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2025年度工作计划及《2024年呼图壁县考核指标》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年度绩效指标</w:t>
            </w:r>
          </w:p>
        </w:tc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开展党的各项政策制度宣讲次数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&gt;=50次</w:t>
            </w:r>
          </w:p>
        </w:tc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2025年度工作计划及《2024年呼图壁县考核指标》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年度绩效指标</w:t>
            </w:r>
          </w:p>
        </w:tc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完成调研课题篇数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&gt;=3篇</w:t>
            </w:r>
          </w:p>
        </w:tc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2025年度工作计划及《2024年呼图壁县考核指标》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年度绩效指标</w:t>
            </w:r>
          </w:p>
        </w:tc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打造精品课数量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&gt;=2节</w:t>
            </w:r>
          </w:p>
        </w:tc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2025年度工作计划及《2024年呼图壁县考核指标》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年度绩效指标</w:t>
            </w:r>
          </w:p>
        </w:tc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质量指标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干部培训合格率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&gt;=90%</w:t>
            </w:r>
          </w:p>
        </w:tc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2025年度工作计划及《2024年呼图壁县考核指标》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年度绩效指标</w:t>
            </w:r>
          </w:p>
        </w:tc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时效指标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培训开展及时率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&gt;=90%</w:t>
            </w:r>
          </w:p>
        </w:tc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2025年度工作计划及《2024年呼图壁县考核指标》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年度绩效指标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社会效益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年度绩效指标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可持续发展能力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年度绩效指标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服务对象满意度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tbl>
      <w:tblPr>
        <w:tblStyle w:val="13"/>
        <w:tblpPr w:leftFromText="180" w:rightFromText="180" w:vertAnchor="text" w:horzAnchor="page" w:tblpX="1042" w:tblpY="424"/>
        <w:tblOverlap w:val="never"/>
        <w:tblW w:w="971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97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Calibri" w:eastAsia="仿宋" w:cs="Times New Roman"/>
                <w:b/>
                <w:sz w:val="28"/>
                <w:szCs w:val="28"/>
                <w:lang w:val="en-US" w:eastAsia="zh-CN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Calibri" w:eastAsia="仿宋" w:cs="Times New Roman"/>
                <w:sz w:val="18"/>
                <w:szCs w:val="18"/>
                <w:lang w:val="en-US" w:eastAsia="zh-CN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  <w:t>预算单位</w:t>
            </w:r>
          </w:p>
        </w:tc>
        <w:tc>
          <w:tcPr>
            <w:tcW w:w="755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Times New Roman"/>
                <w:sz w:val="18"/>
                <w:szCs w:val="18"/>
                <w:lang w:val="en-US" w:eastAsia="zh-CN"/>
              </w:rPr>
              <w:t>中国共产党呼图壁县委员会党校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  <w:t>项目名称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党校运转项目（2025年非定额）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  <w:t>项目负责人</w:t>
            </w:r>
          </w:p>
        </w:tc>
        <w:tc>
          <w:tcPr>
            <w:tcW w:w="21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杨天智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  <w:t>项目资金（万元）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年度预算总额：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其他资金：</w:t>
            </w:r>
          </w:p>
        </w:tc>
        <w:tc>
          <w:tcPr>
            <w:tcW w:w="21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5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本项目拟投入20万元用于党校公用经费运转，目标在于为党校教学、科研、管理等各方面工作提供有力支撑，促进党校整体发展，经费投入用于购置先进教学设备，如多媒体互动教学系统，提升课堂的互动性与直观性；支持开发精品课程，邀请行业专家参与课程设计，使教学内容更贴合实际工作需求，从而提高学员学习效果与满意度，推动党校教育教学迈向更高水平。 利用资金组织科研人员开展实地调研，获取一手资料，为科研成果增添实践依据；鼓励教师参加学术交流活动，拓宽学术视野，引进前沿理论，促进科研成果转化为推动地方发展的决策建议，完善党校从理论研究到成果应用的科研体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  <w:t>一级指标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  <w:t>二级指标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  <w:t>指标值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  <w:t>指标值设置依据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  <w:t>上年完成值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  <w:t>指标分值权重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  <w:t>指标赋分规则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lang w:val="en-US" w:eastAsia="zh-CN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产出指标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数量指标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发展对象培训班次数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&gt;=3次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按照完成比例赋分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村两委及后备力量培训班次数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&gt;=4次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=4次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按照完成比例赋分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农牧民党员培训班次数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&gt;=4次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=4次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按照完成比例赋分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质量指标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培训合格率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&gt;=100%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=100%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按照完成比例赋分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时效指标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完成教学任务及时率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&gt;=100%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=100%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按照完成比例赋分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成本指标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经济成本指标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电费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&lt;=4.2万元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=4.2万元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按照完成比例赋分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水费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&lt;=4.80万元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=7万元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按照完成比例赋分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办公费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&lt;=3万元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=3万元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按照完成比例赋分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设备购置费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&lt;=3.50万元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=3.5万元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按照完成比例赋分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资料印刷费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&lt;=1.30万元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=1.3万元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按照完成比例赋分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差旅费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&lt;=3.20万元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=3.2万元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按照完成比例赋分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效益指标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社会效益指标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提高基层干部政治素养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有效提高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有效提高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按评判等级赋分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满意度指标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满意度指标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受训学员满意度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&gt;=95%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=95%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满意度赋分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工作资料</w:t>
            </w:r>
          </w:p>
        </w:tc>
      </w:tr>
    </w:tbl>
    <w:p>
      <w:pPr>
        <w:pStyle w:val="12"/>
        <w:numPr>
          <w:ilvl w:val="0"/>
          <w:numId w:val="0"/>
        </w:numPr>
        <w:ind w:leftChars="400"/>
        <w:rPr>
          <w:rFonts w:hint="default"/>
          <w:lang w:val="en-US" w:eastAsia="zh-CN"/>
        </w:rPr>
      </w:pPr>
    </w:p>
    <w:p>
      <w:pPr>
        <w:pStyle w:val="4"/>
        <w:numPr>
          <w:ilvl w:val="0"/>
          <w:numId w:val="0"/>
        </w:numPr>
        <w:spacing w:before="0" w:beforeLines="-2147483648" w:after="0" w:afterLines="-2147483648" w:line="560" w:lineRule="exact"/>
        <w:ind w:leftChars="201"/>
        <w:rPr>
          <w:rFonts w:hint="eastAsia" w:ascii="楷体" w:hAnsi="Times New Roman" w:eastAsia="楷体" w:cs="Times New Roman"/>
          <w:bCs w:val="0"/>
          <w:sz w:val="28"/>
          <w:szCs w:val="28"/>
        </w:rPr>
      </w:pPr>
      <w:r>
        <w:rPr>
          <w:rFonts w:hint="eastAsia" w:ascii="楷体" w:hAnsi="Times New Roman" w:eastAsia="楷体" w:cs="Times New Roman"/>
          <w:bCs w:val="0"/>
          <w:sz w:val="28"/>
          <w:szCs w:val="28"/>
          <w:lang w:eastAsia="zh-CN"/>
        </w:rPr>
        <w:t>（五）</w:t>
      </w:r>
      <w:r>
        <w:rPr>
          <w:rFonts w:hint="eastAsia" w:ascii="楷体" w:hAnsi="Times New Roman" w:eastAsia="楷体" w:cs="Times New Roman"/>
          <w:bCs w:val="0"/>
          <w:sz w:val="28"/>
          <w:szCs w:val="28"/>
        </w:rPr>
        <w:t>其他需说明的事项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default" w:ascii="楷体" w:hAnsi="Times New Roman" w:eastAsia="楷体" w:cs="Times New Roman"/>
          <w:b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楷体" w:hAnsi="Times New Roman" w:eastAsia="楷体" w:cs="Times New Roman"/>
          <w:b/>
          <w:bCs w:val="0"/>
          <w:kern w:val="2"/>
          <w:sz w:val="28"/>
          <w:szCs w:val="28"/>
          <w:lang w:val="en-US" w:eastAsia="zh-CN" w:bidi="ar-SA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Times New Roman" w:eastAsia="黑体" w:cs="Times New Roman"/>
          <w:b/>
          <w:kern w:val="44"/>
          <w:sz w:val="30"/>
          <w:szCs w:val="30"/>
          <w:lang w:val="en-US" w:eastAsia="zh-CN"/>
        </w:rPr>
      </w:pPr>
      <w:r>
        <w:rPr>
          <w:rFonts w:hint="eastAsia" w:ascii="黑体" w:hAnsi="Times New Roman" w:eastAsia="黑体" w:cs="Times New Roman"/>
          <w:b/>
          <w:kern w:val="44"/>
          <w:sz w:val="30"/>
          <w:szCs w:val="30"/>
          <w:lang w:val="en-US" w:eastAsia="zh-CN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02" w:firstLineChars="200"/>
        <w:jc w:val="both"/>
        <w:textAlignment w:val="auto"/>
        <w:outlineLvl w:val="9"/>
        <w:rPr>
          <w:rFonts w:hint="eastAsia" w:ascii="黑体" w:hAnsi="Times New Roman" w:eastAsia="黑体" w:cs="Times New Roman"/>
          <w:b/>
          <w:kern w:val="44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562" w:firstLineChars="200"/>
        <w:jc w:val="both"/>
        <w:textAlignment w:val="auto"/>
        <w:outlineLvl w:val="9"/>
        <w:rPr>
          <w:rFonts w:hint="eastAsia" w:ascii="仿宋" w:hAnsi="CIDFont+F6" w:eastAsia="仿宋" w:cs="Times New Roman"/>
          <w:color w:val="000000"/>
          <w:sz w:val="28"/>
          <w:szCs w:val="28"/>
        </w:rPr>
      </w:pPr>
      <w:r>
        <w:rPr>
          <w:rFonts w:hint="eastAsia" w:ascii="仿宋" w:hAnsi="CIDFont+F4" w:eastAsia="仿宋" w:cs="Times New Roman"/>
          <w:b/>
          <w:color w:val="000000"/>
          <w:sz w:val="28"/>
          <w:szCs w:val="28"/>
        </w:rPr>
        <w:t>一、财政拨款：</w:t>
      </w:r>
      <w:r>
        <w:rPr>
          <w:rFonts w:hint="eastAsia" w:ascii="仿宋" w:hAnsi="CIDFont+F6" w:eastAsia="仿宋" w:cs="Times New Roman"/>
          <w:color w:val="000000"/>
          <w:sz w:val="28"/>
          <w:szCs w:val="28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562" w:firstLineChars="200"/>
        <w:jc w:val="both"/>
        <w:textAlignment w:val="auto"/>
        <w:outlineLvl w:val="9"/>
        <w:rPr>
          <w:rFonts w:hint="eastAsia" w:ascii="仿宋" w:hAnsi="CIDFont+F6" w:eastAsia="仿宋" w:cs="Times New Roman"/>
          <w:color w:val="000000"/>
          <w:sz w:val="28"/>
          <w:szCs w:val="28"/>
        </w:rPr>
      </w:pPr>
      <w:r>
        <w:rPr>
          <w:rFonts w:hint="eastAsia" w:ascii="仿宋" w:hAnsi="CIDFont+F4" w:eastAsia="仿宋" w:cs="Times New Roman"/>
          <w:b/>
          <w:color w:val="000000"/>
          <w:sz w:val="28"/>
          <w:szCs w:val="28"/>
        </w:rPr>
        <w:t>二、一般公共预算：</w:t>
      </w:r>
      <w:r>
        <w:rPr>
          <w:rFonts w:hint="eastAsia" w:ascii="仿宋" w:hAnsi="CIDFont+F6" w:eastAsia="仿宋" w:cs="Times New Roman"/>
          <w:color w:val="000000"/>
          <w:sz w:val="28"/>
          <w:szCs w:val="28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562" w:firstLineChars="200"/>
        <w:jc w:val="both"/>
        <w:textAlignment w:val="auto"/>
        <w:outlineLvl w:val="9"/>
        <w:rPr>
          <w:rFonts w:hint="eastAsia" w:ascii="仿宋" w:hAnsi="CIDFont+F6" w:eastAsia="仿宋" w:cs="Times New Roman"/>
          <w:color w:val="000000"/>
          <w:sz w:val="28"/>
          <w:szCs w:val="28"/>
        </w:rPr>
      </w:pPr>
      <w:r>
        <w:rPr>
          <w:rFonts w:hint="eastAsia" w:ascii="仿宋" w:hAnsi="CIDFont+F4" w:eastAsia="仿宋" w:cs="Times New Roman"/>
          <w:b/>
          <w:color w:val="000000"/>
          <w:sz w:val="28"/>
          <w:szCs w:val="28"/>
        </w:rPr>
        <w:t>三、财政专户管理资金：</w:t>
      </w:r>
      <w:r>
        <w:rPr>
          <w:rFonts w:hint="eastAsia" w:ascii="仿宋" w:hAnsi="CIDFont+F6" w:eastAsia="仿宋" w:cs="Times New Roman"/>
          <w:color w:val="000000"/>
          <w:sz w:val="28"/>
          <w:szCs w:val="28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562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仿宋" w:hAnsi="CIDFont+F4" w:eastAsia="仿宋" w:cs="Times New Roman"/>
          <w:b/>
          <w:color w:val="000000"/>
          <w:sz w:val="28"/>
          <w:szCs w:val="28"/>
        </w:rPr>
        <w:t>四、其他资金：</w:t>
      </w:r>
      <w:r>
        <w:rPr>
          <w:rFonts w:hint="eastAsia" w:ascii="仿宋" w:hAnsi="CIDFont+F6" w:eastAsia="仿宋" w:cs="Times New Roman"/>
          <w:color w:val="000000"/>
          <w:sz w:val="28"/>
          <w:szCs w:val="28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562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" w:hAnsi="CIDFont+F4" w:eastAsia="仿宋" w:cs="Times New Roman"/>
          <w:b/>
          <w:color w:val="000000"/>
          <w:sz w:val="28"/>
          <w:szCs w:val="28"/>
        </w:rPr>
        <w:t>五、基本支出：</w:t>
      </w:r>
      <w:r>
        <w:rPr>
          <w:rFonts w:hint="eastAsia" w:ascii="仿宋" w:hAnsi="CIDFont+F6" w:eastAsia="仿宋" w:cs="Times New Roman"/>
          <w:color w:val="000000"/>
          <w:sz w:val="28"/>
          <w:szCs w:val="28"/>
        </w:rPr>
        <w:t>包括人员经费、公用经费（定额）。其中，人员经费包括工资福利支出、对个人和家庭的补助。</w:t>
      </w:r>
    </w:p>
    <w:p>
      <w:pPr>
        <w:spacing w:line="560" w:lineRule="exact"/>
        <w:ind w:firstLine="562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 w:cs="Times New Roman"/>
          <w:b/>
          <w:color w:val="000000"/>
          <w:sz w:val="28"/>
          <w:szCs w:val="28"/>
        </w:rPr>
        <w:t>六、项目支出：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>
      <w:pPr>
        <w:spacing w:line="560" w:lineRule="exact"/>
        <w:ind w:firstLine="562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 w:cs="Times New Roman"/>
          <w:b/>
          <w:color w:val="000000"/>
          <w:sz w:val="28"/>
          <w:szCs w:val="28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spacing w:line="560" w:lineRule="exact"/>
        <w:ind w:firstLine="562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 w:cs="Times New Roman"/>
          <w:b/>
          <w:color w:val="000000"/>
          <w:sz w:val="28"/>
          <w:szCs w:val="28"/>
        </w:rPr>
        <w:t>八、机关运行经费：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spacing w:line="560" w:lineRule="exact"/>
        <w:jc w:val="right"/>
        <w:rPr>
          <w:rFonts w:hint="eastAsia" w:ascii="仿宋" w:hAnsi="CIDFont+F6" w:eastAsia="仿宋" w:cs="Times New Roman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          </w:t>
      </w:r>
      <w:r>
        <w:rPr>
          <w:rFonts w:hint="eastAsia" w:ascii="仿宋" w:hAnsi="CIDFont+F6" w:eastAsia="仿宋" w:cs="Times New Roman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default" w:ascii="仿宋" w:hAnsi="CIDFont+F6" w:eastAsia="仿宋" w:cs="Times New Roman"/>
          <w:color w:val="000000"/>
          <w:sz w:val="28"/>
          <w:szCs w:val="28"/>
          <w:lang w:val="en-US" w:eastAsia="zh-CN"/>
        </w:rPr>
        <w:t>中国共产党呼图壁县委员会党校</w:t>
      </w:r>
    </w:p>
    <w:p>
      <w:pPr>
        <w:spacing w:line="560" w:lineRule="exact"/>
        <w:jc w:val="center"/>
        <w:rPr>
          <w:rFonts w:hint="eastAsia" w:ascii="仿宋" w:hAnsi="CIDFont+F6" w:eastAsia="仿宋" w:cs="Times New Roman"/>
          <w:color w:val="000000"/>
          <w:sz w:val="28"/>
          <w:szCs w:val="28"/>
        </w:rPr>
      </w:pPr>
      <w:r>
        <w:rPr>
          <w:rFonts w:hint="eastAsia" w:ascii="仿宋" w:hAnsi="CIDFont+F6" w:eastAsia="仿宋" w:cs="Times New Roman"/>
          <w:color w:val="000000"/>
          <w:sz w:val="28"/>
          <w:szCs w:val="28"/>
          <w:lang w:val="en-US" w:eastAsia="zh-CN"/>
        </w:rPr>
        <w:t xml:space="preserve">                              </w:t>
      </w:r>
      <w:r>
        <w:rPr>
          <w:rFonts w:hint="eastAsia" w:ascii="仿宋" w:hAnsi="CIDFont+F6" w:eastAsia="仿宋" w:cs="Times New Roman"/>
          <w:color w:val="000000"/>
          <w:sz w:val="28"/>
          <w:szCs w:val="28"/>
        </w:rPr>
        <w:t>202</w:t>
      </w:r>
      <w:r>
        <w:rPr>
          <w:rFonts w:hint="eastAsia" w:ascii="仿宋" w:hAnsi="CIDFont+F6" w:eastAsia="仿宋" w:cs="Times New Roman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CIDFont+F6" w:eastAsia="仿宋" w:cs="Times New Roman"/>
          <w:color w:val="000000"/>
          <w:sz w:val="28"/>
          <w:szCs w:val="28"/>
        </w:rPr>
        <w:t>年</w:t>
      </w:r>
      <w:r>
        <w:rPr>
          <w:rFonts w:hint="eastAsia" w:ascii="仿宋" w:hAnsi="CIDFont+F6" w:eastAsia="仿宋" w:cs="Times New Roman"/>
          <w:color w:val="000000"/>
          <w:sz w:val="28"/>
          <w:szCs w:val="28"/>
          <w:lang w:val="en-US" w:eastAsia="zh-CN"/>
        </w:rPr>
        <w:t>2</w:t>
      </w:r>
      <w:r>
        <w:rPr>
          <w:rFonts w:hint="eastAsia" w:ascii="仿宋" w:hAnsi="CIDFont+F6" w:eastAsia="仿宋" w:cs="Times New Roman"/>
          <w:color w:val="000000"/>
          <w:sz w:val="28"/>
          <w:szCs w:val="28"/>
        </w:rPr>
        <w:t>月</w:t>
      </w:r>
      <w:r>
        <w:rPr>
          <w:rFonts w:hint="eastAsia" w:ascii="仿宋" w:hAnsi="CIDFont+F6" w:eastAsia="仿宋" w:cs="Times New Roman"/>
          <w:color w:val="000000"/>
          <w:sz w:val="28"/>
          <w:szCs w:val="28"/>
          <w:lang w:val="en-US" w:eastAsia="zh-CN"/>
        </w:rPr>
        <w:t>12</w:t>
      </w:r>
      <w:r>
        <w:rPr>
          <w:rFonts w:hint="eastAsia" w:ascii="仿宋" w:hAnsi="CIDFont+F6" w:eastAsia="仿宋" w:cs="Times New Roman"/>
          <w:color w:val="000000"/>
          <w:sz w:val="28"/>
          <w:szCs w:val="28"/>
        </w:rPr>
        <w:t>日</w:t>
      </w:r>
    </w:p>
    <w:p>
      <w:pPr>
        <w:spacing w:line="560" w:lineRule="exact"/>
        <w:jc w:val="right"/>
        <w:rPr>
          <w:rFonts w:hint="eastAsia" w:ascii="仿宋" w:hAnsi="CIDFont+F6" w:eastAsia="仿宋" w:cs="Times New Roman"/>
          <w:color w:val="000000"/>
          <w:sz w:val="28"/>
          <w:szCs w:val="28"/>
        </w:rPr>
      </w:pPr>
    </w:p>
    <w:p>
      <w:pPr>
        <w:rPr>
          <w:highlight w:val="none"/>
        </w:rPr>
      </w:pP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  <w:rPr>
        <w:rFonts w:ascii="宋体" w:hAnsi="宋体" w:eastAsia="宋体"/>
        <w:sz w:val="28"/>
        <w:szCs w:val="28"/>
      </w:rPr>
    </w:pPr>
  </w:p>
  <w:p>
    <w:pPr>
      <w:pStyle w:val="8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- 56 -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- 56 -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0MzUyYjliNjc2YThmNzBmYTk1NmFjMWZhNWFmMzkifQ=="/>
  </w:docVars>
  <w:rsids>
    <w:rsidRoot w:val="00172A27"/>
    <w:rsid w:val="006E5E11"/>
    <w:rsid w:val="00EE2224"/>
    <w:rsid w:val="019339D8"/>
    <w:rsid w:val="023F2212"/>
    <w:rsid w:val="02DD46C0"/>
    <w:rsid w:val="04267B2D"/>
    <w:rsid w:val="05397FD9"/>
    <w:rsid w:val="05446D9B"/>
    <w:rsid w:val="05EE121A"/>
    <w:rsid w:val="06337B2F"/>
    <w:rsid w:val="070E6657"/>
    <w:rsid w:val="07B1634D"/>
    <w:rsid w:val="08450B28"/>
    <w:rsid w:val="08B80D5B"/>
    <w:rsid w:val="09475E50"/>
    <w:rsid w:val="09642450"/>
    <w:rsid w:val="0AA429B1"/>
    <w:rsid w:val="0B0F12C0"/>
    <w:rsid w:val="0B21558C"/>
    <w:rsid w:val="0B247F12"/>
    <w:rsid w:val="0B3C3274"/>
    <w:rsid w:val="0C301D22"/>
    <w:rsid w:val="0D6E5FD0"/>
    <w:rsid w:val="0DCE1639"/>
    <w:rsid w:val="0DF256B2"/>
    <w:rsid w:val="0E9208E7"/>
    <w:rsid w:val="0EA134C5"/>
    <w:rsid w:val="0F8643DD"/>
    <w:rsid w:val="101777F7"/>
    <w:rsid w:val="10587512"/>
    <w:rsid w:val="10916BDA"/>
    <w:rsid w:val="113F5A17"/>
    <w:rsid w:val="1160520B"/>
    <w:rsid w:val="125377E5"/>
    <w:rsid w:val="13E97311"/>
    <w:rsid w:val="14514369"/>
    <w:rsid w:val="154A7DBB"/>
    <w:rsid w:val="15BB0FE4"/>
    <w:rsid w:val="1697741D"/>
    <w:rsid w:val="1732414C"/>
    <w:rsid w:val="17D72698"/>
    <w:rsid w:val="1809160E"/>
    <w:rsid w:val="18827688"/>
    <w:rsid w:val="19BF682E"/>
    <w:rsid w:val="1A7F31EF"/>
    <w:rsid w:val="1B3F10C4"/>
    <w:rsid w:val="1BEB54C3"/>
    <w:rsid w:val="1C166281"/>
    <w:rsid w:val="1C3C6084"/>
    <w:rsid w:val="1C7407C8"/>
    <w:rsid w:val="1CEB6DC6"/>
    <w:rsid w:val="1D1B6922"/>
    <w:rsid w:val="1D3E1AFE"/>
    <w:rsid w:val="1DA357D1"/>
    <w:rsid w:val="1EB61656"/>
    <w:rsid w:val="1FB94E23"/>
    <w:rsid w:val="20DD55C0"/>
    <w:rsid w:val="223851D8"/>
    <w:rsid w:val="22746658"/>
    <w:rsid w:val="22AA21B5"/>
    <w:rsid w:val="22DB78DD"/>
    <w:rsid w:val="22E72286"/>
    <w:rsid w:val="244D65B8"/>
    <w:rsid w:val="2492221D"/>
    <w:rsid w:val="25BE1357"/>
    <w:rsid w:val="26B4291F"/>
    <w:rsid w:val="26E769FA"/>
    <w:rsid w:val="26FC391B"/>
    <w:rsid w:val="275E50B7"/>
    <w:rsid w:val="27BF3329"/>
    <w:rsid w:val="28AF339E"/>
    <w:rsid w:val="28F76B15"/>
    <w:rsid w:val="293B2E83"/>
    <w:rsid w:val="2A012DF7"/>
    <w:rsid w:val="2A5266D7"/>
    <w:rsid w:val="2AFC4894"/>
    <w:rsid w:val="2B247B31"/>
    <w:rsid w:val="2B297614"/>
    <w:rsid w:val="2C8F2636"/>
    <w:rsid w:val="2D3C4051"/>
    <w:rsid w:val="2D480265"/>
    <w:rsid w:val="2D7832BF"/>
    <w:rsid w:val="2D977453"/>
    <w:rsid w:val="2E4763E0"/>
    <w:rsid w:val="2EE32C2C"/>
    <w:rsid w:val="2EF22236"/>
    <w:rsid w:val="31166AF7"/>
    <w:rsid w:val="31C07501"/>
    <w:rsid w:val="322C1C7D"/>
    <w:rsid w:val="326625DA"/>
    <w:rsid w:val="342D7D59"/>
    <w:rsid w:val="34EA0642"/>
    <w:rsid w:val="35731BF7"/>
    <w:rsid w:val="35C661CB"/>
    <w:rsid w:val="3647637F"/>
    <w:rsid w:val="36A4650C"/>
    <w:rsid w:val="37D029D3"/>
    <w:rsid w:val="395623CA"/>
    <w:rsid w:val="3B422645"/>
    <w:rsid w:val="3B5114CF"/>
    <w:rsid w:val="3BF20A98"/>
    <w:rsid w:val="3C7F25E7"/>
    <w:rsid w:val="3C893ABF"/>
    <w:rsid w:val="3D0C34EB"/>
    <w:rsid w:val="3E424470"/>
    <w:rsid w:val="3F8662E3"/>
    <w:rsid w:val="3FCC4BEF"/>
    <w:rsid w:val="3FDF4D23"/>
    <w:rsid w:val="417A7015"/>
    <w:rsid w:val="420E5181"/>
    <w:rsid w:val="43C26223"/>
    <w:rsid w:val="43D8307E"/>
    <w:rsid w:val="43F34CA6"/>
    <w:rsid w:val="44041AD9"/>
    <w:rsid w:val="45216F7A"/>
    <w:rsid w:val="46CE3131"/>
    <w:rsid w:val="46EB4594"/>
    <w:rsid w:val="47781418"/>
    <w:rsid w:val="494F7907"/>
    <w:rsid w:val="4A0B4366"/>
    <w:rsid w:val="4C0055E5"/>
    <w:rsid w:val="4C3677AE"/>
    <w:rsid w:val="4C706B3A"/>
    <w:rsid w:val="4D5133CD"/>
    <w:rsid w:val="4DC80728"/>
    <w:rsid w:val="4E342112"/>
    <w:rsid w:val="4E607164"/>
    <w:rsid w:val="4ED46669"/>
    <w:rsid w:val="4ED62293"/>
    <w:rsid w:val="4F103ADB"/>
    <w:rsid w:val="4F6E725F"/>
    <w:rsid w:val="4F9367E1"/>
    <w:rsid w:val="519A3754"/>
    <w:rsid w:val="51C15CED"/>
    <w:rsid w:val="52285DEB"/>
    <w:rsid w:val="52AD62F0"/>
    <w:rsid w:val="53336B02"/>
    <w:rsid w:val="53644A57"/>
    <w:rsid w:val="53A23F6C"/>
    <w:rsid w:val="53F561A1"/>
    <w:rsid w:val="546308FE"/>
    <w:rsid w:val="55434975"/>
    <w:rsid w:val="55714D0B"/>
    <w:rsid w:val="567010FA"/>
    <w:rsid w:val="57404D35"/>
    <w:rsid w:val="575133D1"/>
    <w:rsid w:val="580A0140"/>
    <w:rsid w:val="58A5671E"/>
    <w:rsid w:val="59B629A8"/>
    <w:rsid w:val="5A3D43FE"/>
    <w:rsid w:val="5AB80E53"/>
    <w:rsid w:val="5B0A6FF0"/>
    <w:rsid w:val="5C060665"/>
    <w:rsid w:val="5C11169E"/>
    <w:rsid w:val="5F2346ED"/>
    <w:rsid w:val="61086613"/>
    <w:rsid w:val="614E22C8"/>
    <w:rsid w:val="624117DE"/>
    <w:rsid w:val="625F6C12"/>
    <w:rsid w:val="63C92C54"/>
    <w:rsid w:val="6408782B"/>
    <w:rsid w:val="65322CBF"/>
    <w:rsid w:val="65BA7FAF"/>
    <w:rsid w:val="662D58EB"/>
    <w:rsid w:val="668F01EC"/>
    <w:rsid w:val="66D31C36"/>
    <w:rsid w:val="675E1724"/>
    <w:rsid w:val="680F305B"/>
    <w:rsid w:val="68CC52CB"/>
    <w:rsid w:val="68DE4FFE"/>
    <w:rsid w:val="694B58D7"/>
    <w:rsid w:val="69986048"/>
    <w:rsid w:val="69A46557"/>
    <w:rsid w:val="69CE4E15"/>
    <w:rsid w:val="6A813E93"/>
    <w:rsid w:val="6AFE2B48"/>
    <w:rsid w:val="6B044F08"/>
    <w:rsid w:val="6B7F3246"/>
    <w:rsid w:val="6BAD125E"/>
    <w:rsid w:val="6CBE2F94"/>
    <w:rsid w:val="6D65310D"/>
    <w:rsid w:val="6D7512A2"/>
    <w:rsid w:val="6DA0412F"/>
    <w:rsid w:val="6E6246A6"/>
    <w:rsid w:val="6EA17B51"/>
    <w:rsid w:val="6EC46394"/>
    <w:rsid w:val="6EF07839"/>
    <w:rsid w:val="6F2C7EF4"/>
    <w:rsid w:val="6F360355"/>
    <w:rsid w:val="6F63000B"/>
    <w:rsid w:val="704035AC"/>
    <w:rsid w:val="70490334"/>
    <w:rsid w:val="71515B68"/>
    <w:rsid w:val="72677E12"/>
    <w:rsid w:val="72B56DCF"/>
    <w:rsid w:val="72C7313A"/>
    <w:rsid w:val="73F73765"/>
    <w:rsid w:val="742739B5"/>
    <w:rsid w:val="74620891"/>
    <w:rsid w:val="759B2B5A"/>
    <w:rsid w:val="75AD611A"/>
    <w:rsid w:val="75B570E6"/>
    <w:rsid w:val="760623C6"/>
    <w:rsid w:val="76C75323"/>
    <w:rsid w:val="77502BF7"/>
    <w:rsid w:val="778E7BEF"/>
    <w:rsid w:val="780A1873"/>
    <w:rsid w:val="787D11B8"/>
    <w:rsid w:val="78F113A8"/>
    <w:rsid w:val="792C5912"/>
    <w:rsid w:val="79985233"/>
    <w:rsid w:val="7A5C7993"/>
    <w:rsid w:val="7ADF3128"/>
    <w:rsid w:val="7BC83BA6"/>
    <w:rsid w:val="7DE9584E"/>
    <w:rsid w:val="7E38419B"/>
    <w:rsid w:val="7E8B30DA"/>
    <w:rsid w:val="7F207AA0"/>
    <w:rsid w:val="7F9A0ED4"/>
    <w:rsid w:val="7FFB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2"/>
    </w:pPr>
    <w:rPr>
      <w:b/>
      <w:bCs/>
      <w:sz w:val="32"/>
      <w:szCs w:val="32"/>
    </w:rPr>
  </w:style>
  <w:style w:type="character" w:default="1" w:styleId="15">
    <w:name w:val="Default Paragraph Font"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spacing w:after="120"/>
    </w:pPr>
  </w:style>
  <w:style w:type="paragraph" w:styleId="7">
    <w:name w:val="Body Text Indent"/>
    <w:basedOn w:val="1"/>
    <w:qFormat/>
    <w:uiPriority w:val="0"/>
    <w:pPr>
      <w:spacing w:after="12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Body Text First Indent"/>
    <w:basedOn w:val="6"/>
    <w:qFormat/>
    <w:uiPriority w:val="0"/>
    <w:pPr>
      <w:ind w:firstLine="420" w:firstLineChars="100"/>
    </w:pPr>
  </w:style>
  <w:style w:type="paragraph" w:styleId="12">
    <w:name w:val="Body Text First Indent 2"/>
    <w:basedOn w:val="7"/>
    <w:qFormat/>
    <w:uiPriority w:val="0"/>
    <w:pPr>
      <w:ind w:firstLine="420" w:firstLineChars="200"/>
    </w:pPr>
    <w:rPr>
      <w:rFonts w:ascii="Calibri" w:hAnsi="Calibri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font11"/>
    <w:basedOn w:val="1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51"/>
    <w:basedOn w:val="15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paragraph" w:customStyle="1" w:styleId="18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28</Pages>
  <Words>1434</Words>
  <Characters>1577</Characters>
  <Lines>1</Lines>
  <Paragraphs>1</Paragraphs>
  <TotalTime>0</TotalTime>
  <ScaleCrop>false</ScaleCrop>
  <LinksUpToDate>false</LinksUpToDate>
  <CharactersWithSpaces>1697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2024-01-09T05:20:00Z</dcterms:created>
  <dc:creator>审核人</dc:creator>
  <cp:lastModifiedBy>htbczj</cp:lastModifiedBy>
  <dcterms:modified xsi:type="dcterms:W3CDTF">2025-05-30T03:25:26Z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78DF470888054EC89C863BF89B5B0AB9_13</vt:lpwstr>
  </property>
  <property fmtid="{D5CDD505-2E9C-101B-9397-08002B2CF9AE}" pid="4" name="KSOTemplateDocerSaveRecord">
    <vt:lpwstr>eyJoZGlkIjoiN2EyMTIxNTJlMjY2NjM5NjdjYmYwZjVhYjA4ZGEwODEiLCJ1c2VySWQiOiI0MjYzNjAxNTMifQ==</vt:lpwstr>
  </property>
</Properties>
</file>