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eastAsia="zh-CN"/>
        </w:rPr>
        <w:t>中国人民政治协商会议新疆维吾尔自治区呼图壁县委员会</w:t>
      </w: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中国人民政治协商会议新疆维吾尔自治区呼图壁县委员会部门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2025年中国人民政治协商会议新疆维吾尔自治区呼图壁县委员会</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4"/>
        <w:keepNext w:val="0"/>
        <w:keepLines w:val="0"/>
        <w:pageBreakBefore w:val="0"/>
        <w:widowControl w:val="0"/>
        <w:kinsoku/>
        <w:wordWrap/>
        <w:overflowPunct/>
        <w:topLinePunct w:val="0"/>
        <w:autoSpaceDE/>
        <w:autoSpaceDN/>
        <w:bidi w:val="0"/>
        <w:adjustRightInd/>
        <w:snapToGrid/>
        <w:spacing w:before="149" w:line="560" w:lineRule="exact"/>
        <w:ind w:firstLine="640" w:firstLineChars="200"/>
        <w:textAlignment w:val="auto"/>
        <w:rPr>
          <w:rFonts w:hint="eastAsia" w:ascii="仿宋_GB2312" w:eastAsia="仿宋_GB2312" w:cs="宋体"/>
          <w:kern w:val="0"/>
          <w:sz w:val="32"/>
          <w:szCs w:val="32"/>
          <w:lang w:val="en-US" w:eastAsia="zh-CN" w:bidi="ar-SA"/>
        </w:rPr>
      </w:pPr>
      <w:r>
        <w:rPr>
          <w:rFonts w:hint="eastAsia" w:ascii="仿宋_GB2312" w:eastAsia="仿宋_GB2312" w:cs="宋体"/>
          <w:kern w:val="0"/>
          <w:sz w:val="32"/>
          <w:szCs w:val="32"/>
          <w:lang w:val="en-US" w:eastAsia="zh-CN" w:bidi="ar-SA"/>
        </w:rPr>
        <w:t>工作职能主要是政治协商、民主监督、参政议政。对呼图壁县的大政方针以及政治、经济、文化和社会生活中的重要问题在决策之前进行协商和就决策执行过程中的重要问题进行协商。根据县委、县人民代表大会常务委员会、县人民政府、民主党派、人民团体的提议，举行有各党派、团体的负责人和各族各界人士的代表参加的会议，进行协商，亦可建议上列单位将有关重要问题提交协商。对国家宪法、法律和法规的实施情况，对县委、县政府制定的重大方针、政策的贯彻执行情况，对各级国家机关及其工作人员在履行职责、遵纪守法、为政清廉等方面的情况，通过建议和批评进行监督。选择人民群众关心、党政部门重视、政协有条件做的课题，组织调查和研究，积极主动地向党政领导机关提出建设性的意见；通过多种方式，广开言路，广开才路，充分发挥委员专长和作用，为社会主义现代化建设献计献策等。</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pStyle w:val="4"/>
        <w:keepNext w:val="0"/>
        <w:keepLines w:val="0"/>
        <w:pageBreakBefore w:val="0"/>
        <w:widowControl w:val="0"/>
        <w:kinsoku/>
        <w:wordWrap/>
        <w:overflowPunct/>
        <w:topLinePunct w:val="0"/>
        <w:autoSpaceDE/>
        <w:autoSpaceDN/>
        <w:bidi w:val="0"/>
        <w:adjustRightInd/>
        <w:snapToGrid/>
        <w:spacing w:before="149" w:line="560" w:lineRule="exact"/>
        <w:ind w:firstLine="640" w:firstLineChars="200"/>
        <w:textAlignment w:val="auto"/>
        <w:rPr>
          <w:rFonts w:hint="eastAsia" w:ascii="仿宋_GB2312" w:hAnsi="宋体" w:eastAsia="仿宋_GB2312" w:cs="宋体"/>
          <w:kern w:val="0"/>
          <w:sz w:val="32"/>
          <w:szCs w:val="32"/>
          <w:lang w:val="en-US" w:eastAsia="zh-CN" w:bidi="ar-SA"/>
        </w:rPr>
      </w:pPr>
      <w:r>
        <w:rPr>
          <w:rFonts w:hint="eastAsia" w:ascii="仿宋_GB2312" w:eastAsia="仿宋_GB2312" w:cs="宋体"/>
          <w:kern w:val="0"/>
          <w:sz w:val="32"/>
          <w:szCs w:val="32"/>
          <w:lang w:val="en-US" w:eastAsia="zh-CN" w:bidi="ar-SA"/>
        </w:rPr>
        <w:t>中国人民政治协商会议新疆维吾尔自治区呼图壁县委员会</w:t>
      </w:r>
      <w:r>
        <w:rPr>
          <w:rFonts w:hint="eastAsia" w:ascii="仿宋_GB2312" w:hAnsi="宋体" w:eastAsia="仿宋_GB2312" w:cs="宋体"/>
          <w:kern w:val="0"/>
          <w:sz w:val="32"/>
          <w:szCs w:val="32"/>
          <w:lang w:val="en-US" w:eastAsia="zh-CN" w:bidi="ar-SA"/>
        </w:rPr>
        <w:t>无下属预算单位，下设4个处室，分别是：办公室、经济科技专委会、教卫文体专委会、提案法制专委会。</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kern w:val="0"/>
          <w:sz w:val="32"/>
          <w:szCs w:val="32"/>
          <w:lang w:val="en-US" w:eastAsia="zh-CN" w:bidi="ar-SA"/>
        </w:rPr>
      </w:pPr>
      <w:r>
        <w:rPr>
          <w:rFonts w:hint="eastAsia" w:ascii="仿宋_GB2312" w:eastAsia="仿宋_GB2312" w:cs="宋体"/>
          <w:kern w:val="0"/>
          <w:sz w:val="32"/>
          <w:szCs w:val="32"/>
          <w:lang w:val="en-US" w:eastAsia="zh-CN" w:bidi="ar-SA"/>
        </w:rPr>
        <w:t>中国人民政治协商会议新疆维吾尔自治区呼图壁县委员会</w:t>
      </w:r>
      <w:r>
        <w:rPr>
          <w:rFonts w:hint="eastAsia" w:ascii="仿宋_GB2312" w:hAnsi="宋体" w:eastAsia="仿宋_GB2312" w:cs="宋体"/>
          <w:kern w:val="0"/>
          <w:sz w:val="32"/>
          <w:szCs w:val="32"/>
          <w:lang w:val="en-US" w:eastAsia="zh-CN" w:bidi="ar-SA"/>
        </w:rPr>
        <w:t>编制数1</w:t>
      </w:r>
      <w:r>
        <w:rPr>
          <w:rFonts w:hint="eastAsia" w:ascii="仿宋_GB2312" w:eastAsia="仿宋_GB2312" w:cs="宋体"/>
          <w:kern w:val="0"/>
          <w:sz w:val="32"/>
          <w:szCs w:val="32"/>
          <w:lang w:val="en-US" w:eastAsia="zh-CN" w:bidi="ar-SA"/>
        </w:rPr>
        <w:t>6</w:t>
      </w:r>
      <w:r>
        <w:rPr>
          <w:rFonts w:hint="eastAsia" w:ascii="仿宋_GB2312" w:hAnsi="宋体" w:eastAsia="仿宋_GB2312" w:cs="宋体"/>
          <w:kern w:val="0"/>
          <w:sz w:val="32"/>
          <w:szCs w:val="32"/>
          <w:lang w:val="en-US" w:eastAsia="zh-CN" w:bidi="ar-SA"/>
        </w:rPr>
        <w:t>，实有人数 3</w:t>
      </w:r>
      <w:r>
        <w:rPr>
          <w:rFonts w:hint="eastAsia" w:ascii="仿宋_GB2312" w:eastAsia="仿宋_GB2312" w:cs="宋体"/>
          <w:kern w:val="0"/>
          <w:sz w:val="32"/>
          <w:szCs w:val="32"/>
          <w:lang w:val="en-US" w:eastAsia="zh-CN" w:bidi="ar-SA"/>
        </w:rPr>
        <w:t>2</w:t>
      </w:r>
      <w:r>
        <w:rPr>
          <w:rFonts w:hint="eastAsia" w:ascii="仿宋_GB2312" w:hAnsi="宋体" w:eastAsia="仿宋_GB2312" w:cs="宋体"/>
          <w:kern w:val="0"/>
          <w:sz w:val="32"/>
          <w:szCs w:val="32"/>
          <w:lang w:val="en-US" w:eastAsia="zh-CN" w:bidi="ar-SA"/>
        </w:rPr>
        <w:t>人，其中：在职 1</w:t>
      </w:r>
      <w:r>
        <w:rPr>
          <w:rFonts w:hint="eastAsia" w:ascii="仿宋_GB2312" w:eastAsia="仿宋_GB2312" w:cs="宋体"/>
          <w:kern w:val="0"/>
          <w:sz w:val="32"/>
          <w:szCs w:val="32"/>
          <w:lang w:val="en-US" w:eastAsia="zh-CN" w:bidi="ar-SA"/>
        </w:rPr>
        <w:t>5</w:t>
      </w:r>
      <w:r>
        <w:rPr>
          <w:rFonts w:hint="eastAsia" w:ascii="仿宋_GB2312" w:hAnsi="宋体" w:eastAsia="仿宋_GB2312" w:cs="宋体"/>
          <w:kern w:val="0"/>
          <w:sz w:val="32"/>
          <w:szCs w:val="32"/>
          <w:lang w:val="en-US" w:eastAsia="zh-CN" w:bidi="ar-SA"/>
        </w:rPr>
        <w:t>人，减少1人</w:t>
      </w:r>
      <w:r>
        <w:rPr>
          <w:rFonts w:hint="eastAsia" w:ascii="仿宋_GB2312"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t>退休 1</w:t>
      </w:r>
      <w:r>
        <w:rPr>
          <w:rFonts w:hint="eastAsia" w:ascii="仿宋_GB2312" w:eastAsia="仿宋_GB2312" w:cs="宋体"/>
          <w:kern w:val="0"/>
          <w:sz w:val="32"/>
          <w:szCs w:val="32"/>
          <w:lang w:val="en-US" w:eastAsia="zh-CN" w:bidi="ar-SA"/>
        </w:rPr>
        <w:t>7</w:t>
      </w:r>
      <w:r>
        <w:rPr>
          <w:rFonts w:hint="eastAsia" w:ascii="仿宋_GB2312" w:hAnsi="宋体" w:eastAsia="仿宋_GB2312" w:cs="宋体"/>
          <w:kern w:val="0"/>
          <w:sz w:val="32"/>
          <w:szCs w:val="32"/>
          <w:lang w:val="en-US" w:eastAsia="zh-CN" w:bidi="ar-SA"/>
        </w:rPr>
        <w:t>人，增加 2人；离休 0 人，增加 0 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pStyle w:val="10"/>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11"/>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613.88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422.62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434.38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429.38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96.34</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45.08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179.5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179.5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9.53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9.53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9.53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59.36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623.4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623.4</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11"/>
        <w:tblW w:w="10023" w:type="dxa"/>
        <w:tblInd w:w="-450" w:type="dxa"/>
        <w:tblLayout w:type="fixed"/>
        <w:tblCellMar>
          <w:top w:w="0" w:type="dxa"/>
          <w:left w:w="108" w:type="dxa"/>
          <w:bottom w:w="0" w:type="dxa"/>
          <w:right w:w="108" w:type="dxa"/>
        </w:tblCellMar>
      </w:tblPr>
      <w:tblGrid>
        <w:gridCol w:w="596"/>
        <w:gridCol w:w="493"/>
        <w:gridCol w:w="460"/>
        <w:gridCol w:w="1117"/>
        <w:gridCol w:w="874"/>
        <w:gridCol w:w="845"/>
        <w:gridCol w:w="776"/>
        <w:gridCol w:w="701"/>
        <w:gridCol w:w="406"/>
        <w:gridCol w:w="657"/>
        <w:gridCol w:w="404"/>
        <w:gridCol w:w="635"/>
        <w:gridCol w:w="354"/>
        <w:gridCol w:w="730"/>
        <w:gridCol w:w="592"/>
        <w:gridCol w:w="383"/>
      </w:tblGrid>
      <w:tr>
        <w:tblPrEx>
          <w:tblCellMar>
            <w:top w:w="0" w:type="dxa"/>
            <w:left w:w="108" w:type="dxa"/>
            <w:bottom w:w="0" w:type="dxa"/>
            <w:right w:w="108" w:type="dxa"/>
          </w:tblCellMar>
        </w:tblPrEx>
        <w:trPr>
          <w:trHeight w:val="697" w:hRule="atLeast"/>
        </w:trPr>
        <w:tc>
          <w:tcPr>
            <w:tcW w:w="154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1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7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2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5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9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93"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1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7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7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5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5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shd w:val="clear" w:color="auto" w:fill="auto"/>
            <w:noWrap w:val="0"/>
            <w:vAlign w:val="center"/>
          </w:tcPr>
          <w:p>
            <w:pPr>
              <w:pStyle w:val="16"/>
              <w:ind w:right="127"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201</w:t>
            </w:r>
          </w:p>
        </w:tc>
        <w:tc>
          <w:tcPr>
            <w:tcW w:w="493" w:type="dxa"/>
            <w:tcBorders>
              <w:top w:val="nil"/>
              <w:left w:val="nil"/>
              <w:bottom w:val="single" w:color="auto" w:sz="4" w:space="0"/>
              <w:right w:val="single" w:color="auto" w:sz="4" w:space="0"/>
            </w:tcBorders>
            <w:shd w:val="clear" w:color="auto" w:fill="auto"/>
            <w:noWrap w:val="0"/>
            <w:vAlign w:val="center"/>
          </w:tcPr>
          <w:p>
            <w:pPr>
              <w:pStyle w:val="16"/>
              <w:ind w:left="91" w:leftChars="0" w:right="84" w:rightChars="0"/>
              <w:jc w:val="center"/>
              <w:rPr>
                <w:rFonts w:ascii="宋体" w:hAnsi="宋体" w:eastAsia="宋体" w:cs="宋体"/>
                <w:kern w:val="2"/>
                <w:sz w:val="15"/>
                <w:szCs w:val="15"/>
                <w:lang w:val="zh-CN" w:eastAsia="zh-CN" w:bidi="zh-CN"/>
              </w:rPr>
            </w:pPr>
          </w:p>
        </w:tc>
        <w:tc>
          <w:tcPr>
            <w:tcW w:w="460" w:type="dxa"/>
            <w:tcBorders>
              <w:top w:val="nil"/>
              <w:left w:val="nil"/>
              <w:bottom w:val="single" w:color="auto" w:sz="4" w:space="0"/>
              <w:right w:val="single" w:color="auto" w:sz="4" w:space="0"/>
            </w:tcBorders>
            <w:shd w:val="clear" w:color="auto" w:fill="auto"/>
            <w:noWrap w:val="0"/>
            <w:vAlign w:val="center"/>
          </w:tcPr>
          <w:p>
            <w:pPr>
              <w:pStyle w:val="16"/>
              <w:ind w:left="100" w:leftChars="0" w:right="90" w:rightChars="0"/>
              <w:jc w:val="center"/>
              <w:rPr>
                <w:rFonts w:ascii="宋体" w:hAnsi="宋体" w:eastAsia="宋体" w:cs="宋体"/>
                <w:kern w:val="2"/>
                <w:sz w:val="15"/>
                <w:szCs w:val="15"/>
                <w:lang w:val="zh-CN" w:eastAsia="zh-CN" w:bidi="zh-CN"/>
              </w:rPr>
            </w:pPr>
          </w:p>
        </w:tc>
        <w:tc>
          <w:tcPr>
            <w:tcW w:w="1117" w:type="dxa"/>
            <w:tcBorders>
              <w:top w:val="nil"/>
              <w:left w:val="nil"/>
              <w:bottom w:val="single" w:color="auto" w:sz="4" w:space="0"/>
              <w:right w:val="single" w:color="auto" w:sz="4" w:space="0"/>
            </w:tcBorders>
            <w:shd w:val="clear" w:color="auto" w:fill="auto"/>
            <w:noWrap w:val="0"/>
            <w:vAlign w:val="center"/>
          </w:tcPr>
          <w:p>
            <w:pPr>
              <w:pStyle w:val="16"/>
              <w:jc w:val="center"/>
              <w:rPr>
                <w:rFonts w:hint="eastAsia" w:ascii="宋体" w:hAnsi="宋体" w:eastAsia="宋体" w:cs="宋体"/>
                <w:kern w:val="2"/>
                <w:sz w:val="16"/>
                <w:szCs w:val="16"/>
                <w:lang w:val="zh-CN" w:eastAsia="zh-CN" w:bidi="zh-CN"/>
              </w:rPr>
            </w:pPr>
            <w:r>
              <w:rPr>
                <w:rFonts w:hint="eastAsia"/>
                <w:sz w:val="16"/>
                <w:szCs w:val="16"/>
                <w:lang w:eastAsia="zh-CN"/>
              </w:rPr>
              <w:t>一般公共服务支出</w:t>
            </w:r>
          </w:p>
        </w:tc>
        <w:tc>
          <w:tcPr>
            <w:tcW w:w="874"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422.62</w:t>
            </w:r>
          </w:p>
        </w:tc>
        <w:tc>
          <w:tcPr>
            <w:tcW w:w="84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346.09</w:t>
            </w:r>
          </w:p>
        </w:tc>
        <w:tc>
          <w:tcPr>
            <w:tcW w:w="77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341.09</w:t>
            </w:r>
          </w:p>
        </w:tc>
        <w:tc>
          <w:tcPr>
            <w:tcW w:w="70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40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w:t>
            </w:r>
          </w:p>
        </w:tc>
        <w:tc>
          <w:tcPr>
            <w:tcW w:w="59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9.53</w:t>
            </w:r>
          </w:p>
        </w:tc>
        <w:tc>
          <w:tcPr>
            <w:tcW w:w="38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54"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3" w:type="dxa"/>
            <w:tcBorders>
              <w:top w:val="nil"/>
              <w:left w:val="nil"/>
              <w:bottom w:val="single" w:color="auto" w:sz="4" w:space="0"/>
              <w:right w:val="single" w:color="auto" w:sz="4" w:space="0"/>
            </w:tcBorders>
            <w:noWrap w:val="0"/>
            <w:vAlign w:val="center"/>
          </w:tcPr>
          <w:p>
            <w:pPr>
              <w:pStyle w:val="1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60" w:type="dxa"/>
            <w:tcBorders>
              <w:top w:val="nil"/>
              <w:left w:val="nil"/>
              <w:bottom w:val="single" w:color="auto" w:sz="4" w:space="0"/>
              <w:right w:val="single" w:color="auto" w:sz="4" w:space="0"/>
            </w:tcBorders>
            <w:noWrap w:val="0"/>
            <w:vAlign w:val="center"/>
          </w:tcPr>
          <w:p>
            <w:pPr>
              <w:pStyle w:val="16"/>
              <w:ind w:left="100" w:leftChars="0" w:right="90" w:rightChars="0"/>
              <w:jc w:val="center"/>
              <w:rPr>
                <w:rFonts w:ascii="宋体" w:hAnsi="宋体" w:eastAsia="宋体" w:cs="宋体"/>
                <w:kern w:val="2"/>
                <w:sz w:val="15"/>
                <w:szCs w:val="15"/>
                <w:lang w:val="zh-CN" w:eastAsia="zh-CN" w:bidi="zh-CN"/>
              </w:rPr>
            </w:pPr>
          </w:p>
        </w:tc>
        <w:tc>
          <w:tcPr>
            <w:tcW w:w="1117" w:type="dxa"/>
            <w:tcBorders>
              <w:top w:val="nil"/>
              <w:left w:val="nil"/>
              <w:bottom w:val="single" w:color="auto" w:sz="4" w:space="0"/>
              <w:right w:val="single" w:color="auto" w:sz="4" w:space="0"/>
            </w:tcBorders>
            <w:noWrap w:val="0"/>
            <w:vAlign w:val="center"/>
          </w:tcPr>
          <w:p>
            <w:pPr>
              <w:pStyle w:val="16"/>
              <w:jc w:val="center"/>
              <w:rPr>
                <w:rFonts w:hint="eastAsia" w:ascii="宋体" w:hAnsi="宋体" w:eastAsia="宋体" w:cs="宋体"/>
                <w:kern w:val="2"/>
                <w:sz w:val="16"/>
                <w:szCs w:val="16"/>
                <w:lang w:val="zh-CN" w:eastAsia="zh-CN" w:bidi="zh-CN"/>
              </w:rPr>
            </w:pPr>
            <w:r>
              <w:rPr>
                <w:rFonts w:hint="eastAsia"/>
                <w:sz w:val="16"/>
                <w:szCs w:val="16"/>
                <w:lang w:eastAsia="zh-CN"/>
              </w:rPr>
              <w:t>政协事务</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422.62</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346.09</w:t>
            </w:r>
          </w:p>
        </w:tc>
        <w:tc>
          <w:tcPr>
            <w:tcW w:w="77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341.09</w:t>
            </w:r>
          </w:p>
        </w:tc>
        <w:tc>
          <w:tcPr>
            <w:tcW w:w="7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5</w:t>
            </w: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67</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9.53</w:t>
            </w: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02</w:t>
            </w:r>
          </w:p>
        </w:tc>
        <w:tc>
          <w:tcPr>
            <w:tcW w:w="460" w:type="dxa"/>
            <w:tcBorders>
              <w:top w:val="nil"/>
              <w:left w:val="nil"/>
              <w:bottom w:val="single" w:color="auto" w:sz="4" w:space="0"/>
              <w:right w:val="single" w:color="auto" w:sz="4" w:space="0"/>
            </w:tcBorders>
            <w:noWrap w:val="0"/>
            <w:vAlign w:val="center"/>
          </w:tcPr>
          <w:p>
            <w:pPr>
              <w:pStyle w:val="1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01</w:t>
            </w:r>
          </w:p>
        </w:tc>
        <w:tc>
          <w:tcPr>
            <w:tcW w:w="1117" w:type="dxa"/>
            <w:tcBorders>
              <w:top w:val="nil"/>
              <w:left w:val="nil"/>
              <w:bottom w:val="single" w:color="auto" w:sz="4" w:space="0"/>
              <w:right w:val="single" w:color="auto" w:sz="4" w:space="0"/>
            </w:tcBorders>
            <w:noWrap w:val="0"/>
            <w:vAlign w:val="center"/>
          </w:tcPr>
          <w:p>
            <w:pPr>
              <w:pStyle w:val="16"/>
              <w:spacing w:before="3" w:line="253" w:lineRule="exact"/>
              <w:jc w:val="center"/>
              <w:rPr>
                <w:rFonts w:ascii="宋体" w:hAnsi="宋体" w:eastAsia="宋体" w:cs="宋体"/>
                <w:kern w:val="2"/>
                <w:sz w:val="16"/>
                <w:szCs w:val="16"/>
                <w:lang w:val="zh-CN" w:eastAsia="zh-CN" w:bidi="zh-CN"/>
              </w:rPr>
            </w:pPr>
            <w:r>
              <w:rPr>
                <w:sz w:val="16"/>
                <w:szCs w:val="16"/>
              </w:rPr>
              <w:t>行政运行</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301.14</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234.14</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234.15</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60" w:type="dxa"/>
            <w:tcBorders>
              <w:top w:val="nil"/>
              <w:left w:val="nil"/>
              <w:bottom w:val="single" w:color="auto" w:sz="4" w:space="0"/>
              <w:right w:val="single" w:color="auto" w:sz="4" w:space="0"/>
            </w:tcBorders>
            <w:noWrap w:val="0"/>
            <w:vAlign w:val="center"/>
          </w:tcPr>
          <w:p>
            <w:pPr>
              <w:pStyle w:val="16"/>
              <w:ind w:right="90"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1117" w:type="dxa"/>
            <w:tcBorders>
              <w:top w:val="nil"/>
              <w:left w:val="nil"/>
              <w:bottom w:val="single" w:color="auto" w:sz="4" w:space="0"/>
              <w:right w:val="single" w:color="auto" w:sz="4" w:space="0"/>
            </w:tcBorders>
            <w:noWrap w:val="0"/>
            <w:vAlign w:val="center"/>
          </w:tcPr>
          <w:p>
            <w:pPr>
              <w:pStyle w:val="16"/>
              <w:spacing w:before="3" w:line="253" w:lineRule="exact"/>
              <w:jc w:val="center"/>
              <w:rPr>
                <w:sz w:val="16"/>
                <w:szCs w:val="16"/>
              </w:rPr>
            </w:pPr>
            <w:r>
              <w:rPr>
                <w:rFonts w:hint="eastAsia"/>
                <w:sz w:val="16"/>
                <w:szCs w:val="16"/>
              </w:rPr>
              <w:t>一般行政管理事务</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69.53</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9.53</w:t>
            </w: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02</w:t>
            </w:r>
          </w:p>
        </w:tc>
        <w:tc>
          <w:tcPr>
            <w:tcW w:w="460" w:type="dxa"/>
            <w:tcBorders>
              <w:top w:val="nil"/>
              <w:left w:val="nil"/>
              <w:bottom w:val="single" w:color="auto" w:sz="4" w:space="0"/>
              <w:right w:val="single" w:color="auto" w:sz="4" w:space="0"/>
            </w:tcBorders>
            <w:noWrap w:val="0"/>
            <w:vAlign w:val="center"/>
          </w:tcPr>
          <w:p>
            <w:pPr>
              <w:pStyle w:val="16"/>
              <w:spacing w:before="96"/>
              <w:ind w:right="90" w:rightChars="0"/>
              <w:jc w:val="both"/>
              <w:rPr>
                <w:rFonts w:hint="eastAsia"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04</w:t>
            </w: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sz w:val="16"/>
                <w:szCs w:val="16"/>
              </w:rPr>
              <w:t>政协会议</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60" w:type="dxa"/>
            <w:tcBorders>
              <w:top w:val="nil"/>
              <w:left w:val="nil"/>
              <w:bottom w:val="single" w:color="auto" w:sz="4" w:space="0"/>
              <w:right w:val="single" w:color="auto" w:sz="4" w:space="0"/>
            </w:tcBorders>
            <w:noWrap w:val="0"/>
            <w:vAlign w:val="center"/>
          </w:tcPr>
          <w:p>
            <w:pPr>
              <w:pStyle w:val="1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50</w:t>
            </w: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sz w:val="16"/>
                <w:szCs w:val="16"/>
              </w:rPr>
            </w:pPr>
            <w:r>
              <w:rPr>
                <w:rFonts w:hint="eastAsia"/>
                <w:sz w:val="16"/>
                <w:szCs w:val="16"/>
              </w:rPr>
              <w:t>事业运行</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31.95</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31.95</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31.95</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02</w:t>
            </w:r>
          </w:p>
        </w:tc>
        <w:tc>
          <w:tcPr>
            <w:tcW w:w="460" w:type="dxa"/>
            <w:tcBorders>
              <w:top w:val="nil"/>
              <w:left w:val="nil"/>
              <w:bottom w:val="single" w:color="auto" w:sz="4" w:space="0"/>
              <w:right w:val="single" w:color="auto" w:sz="4" w:space="0"/>
            </w:tcBorders>
            <w:noWrap w:val="0"/>
            <w:vAlign w:val="center"/>
          </w:tcPr>
          <w:p>
            <w:pPr>
              <w:jc w:val="both"/>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99</w:t>
            </w:r>
          </w:p>
        </w:tc>
        <w:tc>
          <w:tcPr>
            <w:tcW w:w="11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6"/>
                <w:szCs w:val="16"/>
                <w:lang w:val="en-US" w:eastAsia="zh-CN" w:bidi="ar-SA"/>
              </w:rPr>
            </w:pPr>
            <w:r>
              <w:rPr>
                <w:rFonts w:hint="eastAsia" w:ascii="宋体" w:hAnsi="宋体" w:eastAsia="宋体" w:cs="宋体"/>
                <w:kern w:val="2"/>
                <w:sz w:val="16"/>
                <w:szCs w:val="16"/>
                <w:lang w:val="zh-CN" w:eastAsia="zh-CN" w:bidi="zh-CN"/>
              </w:rPr>
              <w:t>其他政协事务支出</w:t>
            </w:r>
          </w:p>
        </w:tc>
        <w:tc>
          <w:tcPr>
            <w:tcW w:w="87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8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77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w:t>
            </w:r>
          </w:p>
        </w:tc>
        <w:tc>
          <w:tcPr>
            <w:tcW w:w="70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208</w:t>
            </w:r>
          </w:p>
        </w:tc>
        <w:tc>
          <w:tcPr>
            <w:tcW w:w="493"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460"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1117" w:type="dxa"/>
            <w:tcBorders>
              <w:top w:val="nil"/>
              <w:left w:val="nil"/>
              <w:bottom w:val="single" w:color="auto" w:sz="4" w:space="0"/>
              <w:right w:val="single" w:color="auto" w:sz="4" w:space="0"/>
            </w:tcBorders>
            <w:noWrap w:val="0"/>
            <w:vAlign w:val="center"/>
          </w:tcPr>
          <w:p>
            <w:pPr>
              <w:pStyle w:val="16"/>
              <w:spacing w:before="3" w:line="253" w:lineRule="exact"/>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社会保障和就业支出</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96.34</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41.34</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41.34</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208</w:t>
            </w:r>
          </w:p>
        </w:tc>
        <w:tc>
          <w:tcPr>
            <w:tcW w:w="493"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460" w:type="dxa"/>
            <w:tcBorders>
              <w:top w:val="nil"/>
              <w:left w:val="nil"/>
              <w:bottom w:val="single" w:color="auto" w:sz="4" w:space="0"/>
              <w:right w:val="single" w:color="auto" w:sz="4" w:space="0"/>
            </w:tcBorders>
            <w:noWrap w:val="0"/>
            <w:vAlign w:val="center"/>
          </w:tcPr>
          <w:p>
            <w:pPr>
              <w:pStyle w:val="16"/>
              <w:spacing w:before="96"/>
              <w:ind w:left="100" w:leftChars="0" w:right="90" w:rightChars="0"/>
              <w:jc w:val="center"/>
              <w:rPr>
                <w:rFonts w:ascii="宋体" w:hAnsi="宋体" w:eastAsia="宋体" w:cs="宋体"/>
                <w:kern w:val="2"/>
                <w:sz w:val="15"/>
                <w:szCs w:val="15"/>
                <w:lang w:val="zh-CN" w:eastAsia="zh-CN" w:bidi="zh-CN"/>
              </w:rPr>
            </w:pP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行政事业单位养老支出</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96.34</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41.34</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41.34</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208</w:t>
            </w:r>
          </w:p>
        </w:tc>
        <w:tc>
          <w:tcPr>
            <w:tcW w:w="493"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05</w:t>
            </w:r>
          </w:p>
        </w:tc>
        <w:tc>
          <w:tcPr>
            <w:tcW w:w="460"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01</w:t>
            </w: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行政单位离退休</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11.47</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11.47</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11.47</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208</w:t>
            </w:r>
          </w:p>
        </w:tc>
        <w:tc>
          <w:tcPr>
            <w:tcW w:w="49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05</w:t>
            </w:r>
          </w:p>
        </w:tc>
        <w:tc>
          <w:tcPr>
            <w:tcW w:w="460"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1117" w:type="dxa"/>
            <w:tcBorders>
              <w:top w:val="nil"/>
              <w:left w:val="nil"/>
              <w:bottom w:val="single" w:color="auto" w:sz="4" w:space="0"/>
              <w:right w:val="single" w:color="auto" w:sz="4" w:space="0"/>
            </w:tcBorders>
            <w:noWrap w:val="0"/>
            <w:vAlign w:val="center"/>
          </w:tcPr>
          <w:p>
            <w:pPr>
              <w:pStyle w:val="16"/>
              <w:ind w:right="0" w:rightChars="0"/>
              <w:jc w:val="both"/>
              <w:rPr>
                <w:rFonts w:ascii="宋体" w:hAnsi="宋体" w:eastAsia="宋体" w:cs="宋体"/>
                <w:kern w:val="2"/>
                <w:sz w:val="16"/>
                <w:szCs w:val="16"/>
                <w:lang w:val="zh-CN" w:eastAsia="zh-CN" w:bidi="zh-CN"/>
              </w:rPr>
            </w:pPr>
            <w:r>
              <w:rPr>
                <w:rFonts w:hint="eastAsia" w:cs="宋体"/>
                <w:sz w:val="16"/>
                <w:szCs w:val="16"/>
                <w:lang w:val="zh-CN" w:eastAsia="zh-CN" w:bidi="zh-CN"/>
              </w:rPr>
              <w:t>机关事业单位基本养老保险缴费支出</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59.86</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29.86</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29.86</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208</w:t>
            </w:r>
          </w:p>
        </w:tc>
        <w:tc>
          <w:tcPr>
            <w:tcW w:w="4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05</w:t>
            </w:r>
          </w:p>
        </w:tc>
        <w:tc>
          <w:tcPr>
            <w:tcW w:w="460"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06</w:t>
            </w: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机关事业单位职业年金缴费</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w:t>
            </w:r>
          </w:p>
        </w:tc>
        <w:tc>
          <w:tcPr>
            <w:tcW w:w="8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7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25</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93"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460"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卫生健康支出</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45.08</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22.58</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22.58</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22.5</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93"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60" w:type="dxa"/>
            <w:tcBorders>
              <w:top w:val="nil"/>
              <w:left w:val="nil"/>
              <w:bottom w:val="single" w:color="auto" w:sz="4" w:space="0"/>
              <w:right w:val="single" w:color="auto" w:sz="4" w:space="0"/>
            </w:tcBorders>
            <w:noWrap w:val="0"/>
            <w:vAlign w:val="center"/>
          </w:tcPr>
          <w:p>
            <w:pPr>
              <w:pStyle w:val="16"/>
              <w:spacing w:before="96"/>
              <w:ind w:left="100" w:leftChars="0" w:right="90" w:rightChars="0"/>
              <w:jc w:val="center"/>
              <w:rPr>
                <w:rFonts w:ascii="宋体" w:hAnsi="宋体" w:eastAsia="宋体" w:cs="宋体"/>
                <w:kern w:val="2"/>
                <w:sz w:val="15"/>
                <w:szCs w:val="15"/>
                <w:lang w:val="zh-CN" w:eastAsia="zh-CN" w:bidi="zh-CN"/>
              </w:rPr>
            </w:pP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行政事业单位医疗</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45.08</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22.58</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22.58</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22.5</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93"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60"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01</w:t>
            </w: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sz w:val="16"/>
                <w:szCs w:val="16"/>
              </w:rPr>
              <w:t>行政单位医疗</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30.66</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12.66</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12.66</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w:t>
            </w: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210</w:t>
            </w:r>
          </w:p>
        </w:tc>
        <w:tc>
          <w:tcPr>
            <w:tcW w:w="493" w:type="dxa"/>
            <w:tcBorders>
              <w:top w:val="nil"/>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11</w:t>
            </w:r>
          </w:p>
        </w:tc>
        <w:tc>
          <w:tcPr>
            <w:tcW w:w="460"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02</w:t>
            </w:r>
          </w:p>
        </w:tc>
        <w:tc>
          <w:tcPr>
            <w:tcW w:w="1117"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sz w:val="16"/>
                <w:szCs w:val="16"/>
                <w:lang w:eastAsia="zh-CN"/>
              </w:rPr>
              <w:t>事业</w:t>
            </w:r>
            <w:r>
              <w:rPr>
                <w:sz w:val="16"/>
                <w:szCs w:val="16"/>
              </w:rPr>
              <w:t>单位医疗</w:t>
            </w:r>
          </w:p>
        </w:tc>
        <w:tc>
          <w:tcPr>
            <w:tcW w:w="87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84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77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70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9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93" w:type="dxa"/>
            <w:tcBorders>
              <w:top w:val="single" w:color="auto" w:sz="4" w:space="0"/>
              <w:left w:val="single" w:color="auto" w:sz="4" w:space="0"/>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60" w:type="dxa"/>
            <w:tcBorders>
              <w:top w:val="single" w:color="auto" w:sz="4" w:space="0"/>
              <w:left w:val="single" w:color="auto" w:sz="4" w:space="0"/>
              <w:bottom w:val="single" w:color="auto" w:sz="4" w:space="0"/>
              <w:right w:val="single" w:color="auto" w:sz="4" w:space="0"/>
            </w:tcBorders>
            <w:noWrap w:val="0"/>
            <w:vAlign w:val="center"/>
          </w:tcPr>
          <w:p>
            <w:pPr>
              <w:pStyle w:val="16"/>
              <w:spacing w:before="96"/>
              <w:ind w:right="90" w:rightChars="0"/>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03</w:t>
            </w:r>
          </w:p>
        </w:tc>
        <w:tc>
          <w:tcPr>
            <w:tcW w:w="1117" w:type="dxa"/>
            <w:tcBorders>
              <w:top w:val="single" w:color="auto" w:sz="4" w:space="0"/>
              <w:left w:val="single" w:color="auto" w:sz="4" w:space="0"/>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sz w:val="16"/>
                <w:szCs w:val="16"/>
              </w:rPr>
              <w:t>公务员医疗补助</w:t>
            </w:r>
          </w:p>
        </w:tc>
        <w:tc>
          <w:tcPr>
            <w:tcW w:w="87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11.97</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7.47</w:t>
            </w:r>
          </w:p>
        </w:tc>
        <w:tc>
          <w:tcPr>
            <w:tcW w:w="7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7.47</w:t>
            </w:r>
          </w:p>
        </w:tc>
        <w:tc>
          <w:tcPr>
            <w:tcW w:w="7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5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4.5</w:t>
            </w:r>
          </w:p>
        </w:tc>
        <w:tc>
          <w:tcPr>
            <w:tcW w:w="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93" w:type="dxa"/>
            <w:tcBorders>
              <w:top w:val="single" w:color="auto" w:sz="4" w:space="0"/>
              <w:left w:val="single" w:color="auto" w:sz="4" w:space="0"/>
              <w:bottom w:val="single" w:color="auto" w:sz="4" w:space="0"/>
              <w:right w:val="single" w:color="auto" w:sz="4" w:space="0"/>
            </w:tcBorders>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60" w:type="dxa"/>
            <w:tcBorders>
              <w:top w:val="single" w:color="auto" w:sz="4" w:space="0"/>
              <w:left w:val="single" w:color="auto" w:sz="4" w:space="0"/>
              <w:bottom w:val="single" w:color="auto" w:sz="4" w:space="0"/>
              <w:right w:val="single" w:color="auto" w:sz="4" w:space="0"/>
            </w:tcBorders>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99</w:t>
            </w:r>
          </w:p>
        </w:tc>
        <w:tc>
          <w:tcPr>
            <w:tcW w:w="1117" w:type="dxa"/>
            <w:tcBorders>
              <w:top w:val="single" w:color="auto" w:sz="4" w:space="0"/>
              <w:left w:val="single" w:color="auto" w:sz="4" w:space="0"/>
              <w:bottom w:val="single" w:color="auto" w:sz="4" w:space="0"/>
              <w:right w:val="single" w:color="auto" w:sz="4" w:space="0"/>
            </w:tcBorders>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其他行政事业单位医疗支出</w:t>
            </w:r>
          </w:p>
        </w:tc>
        <w:tc>
          <w:tcPr>
            <w:tcW w:w="8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0.19</w:t>
            </w:r>
          </w:p>
        </w:tc>
        <w:tc>
          <w:tcPr>
            <w:tcW w:w="8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0.19</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0.19</w:t>
            </w:r>
          </w:p>
        </w:tc>
        <w:tc>
          <w:tcPr>
            <w:tcW w:w="7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pStyle w:val="16"/>
              <w:ind w:right="127" w:rightChars="0"/>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221</w:t>
            </w:r>
          </w:p>
        </w:tc>
        <w:tc>
          <w:tcPr>
            <w:tcW w:w="493" w:type="dxa"/>
            <w:tcBorders>
              <w:top w:val="single" w:color="auto" w:sz="4" w:space="0"/>
              <w:left w:val="single" w:color="auto" w:sz="4" w:space="0"/>
              <w:bottom w:val="single" w:color="auto" w:sz="4" w:space="0"/>
              <w:right w:val="single" w:color="auto" w:sz="4" w:space="0"/>
            </w:tcBorders>
            <w:vAlign w:val="center"/>
          </w:tcPr>
          <w:p>
            <w:pPr>
              <w:pStyle w:val="16"/>
              <w:ind w:right="127" w:rightChars="0"/>
              <w:jc w:val="center"/>
              <w:rPr>
                <w:rFonts w:hint="eastAsia" w:ascii="宋体" w:hAnsi="宋体" w:eastAsia="宋体" w:cs="宋体"/>
                <w:kern w:val="2"/>
                <w:sz w:val="15"/>
                <w:szCs w:val="15"/>
                <w:lang w:val="en-US" w:eastAsia="zh-CN" w:bidi="zh-CN"/>
              </w:rPr>
            </w:pPr>
          </w:p>
        </w:tc>
        <w:tc>
          <w:tcPr>
            <w:tcW w:w="460" w:type="dxa"/>
            <w:tcBorders>
              <w:top w:val="single" w:color="auto" w:sz="4" w:space="0"/>
              <w:left w:val="single" w:color="auto" w:sz="4" w:space="0"/>
              <w:bottom w:val="single" w:color="auto" w:sz="4" w:space="0"/>
              <w:right w:val="single" w:color="auto" w:sz="4" w:space="0"/>
            </w:tcBorders>
            <w:vAlign w:val="center"/>
          </w:tcPr>
          <w:p>
            <w:pPr>
              <w:pStyle w:val="16"/>
              <w:ind w:right="127" w:rightChars="0"/>
              <w:jc w:val="center"/>
              <w:rPr>
                <w:rFonts w:hint="eastAsia" w:ascii="宋体" w:hAnsi="宋体" w:eastAsia="宋体" w:cs="宋体"/>
                <w:kern w:val="2"/>
                <w:sz w:val="15"/>
                <w:szCs w:val="15"/>
                <w:lang w:val="en-US" w:eastAsia="zh-CN" w:bidi="zh-CN"/>
              </w:rPr>
            </w:pPr>
          </w:p>
        </w:tc>
        <w:tc>
          <w:tcPr>
            <w:tcW w:w="1117" w:type="dxa"/>
            <w:tcBorders>
              <w:top w:val="single" w:color="auto" w:sz="4" w:space="0"/>
              <w:left w:val="single" w:color="auto" w:sz="4" w:space="0"/>
              <w:bottom w:val="single" w:color="auto" w:sz="4" w:space="0"/>
              <w:right w:val="single" w:color="auto" w:sz="4" w:space="0"/>
            </w:tcBorders>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住房保障支出</w:t>
            </w:r>
          </w:p>
        </w:tc>
        <w:tc>
          <w:tcPr>
            <w:tcW w:w="8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59.36</w:t>
            </w:r>
          </w:p>
        </w:tc>
        <w:tc>
          <w:tcPr>
            <w:tcW w:w="8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24.36</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24.36</w:t>
            </w:r>
          </w:p>
        </w:tc>
        <w:tc>
          <w:tcPr>
            <w:tcW w:w="7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35</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221</w:t>
            </w:r>
          </w:p>
        </w:tc>
        <w:tc>
          <w:tcPr>
            <w:tcW w:w="4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1117" w:type="dxa"/>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Times New Roman" w:hAnsi="宋体" w:eastAsia="宋体" w:cs="宋体"/>
                <w:kern w:val="2"/>
                <w:sz w:val="16"/>
                <w:szCs w:val="16"/>
                <w:lang w:val="zh-CN" w:eastAsia="zh-CN" w:bidi="zh-CN"/>
              </w:rPr>
            </w:pPr>
            <w:r>
              <w:rPr>
                <w:rFonts w:hint="eastAsia" w:ascii="Times New Roman"/>
                <w:sz w:val="16"/>
                <w:szCs w:val="16"/>
                <w:lang w:eastAsia="zh-CN"/>
              </w:rPr>
              <w:t>住房改革支出</w:t>
            </w:r>
          </w:p>
        </w:tc>
        <w:tc>
          <w:tcPr>
            <w:tcW w:w="8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59.36</w:t>
            </w:r>
          </w:p>
        </w:tc>
        <w:tc>
          <w:tcPr>
            <w:tcW w:w="8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24.36</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24.36</w:t>
            </w:r>
          </w:p>
        </w:tc>
        <w:tc>
          <w:tcPr>
            <w:tcW w:w="7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35</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221</w:t>
            </w:r>
          </w:p>
        </w:tc>
        <w:tc>
          <w:tcPr>
            <w:tcW w:w="493"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01</w:t>
            </w:r>
          </w:p>
        </w:tc>
        <w:tc>
          <w:tcPr>
            <w:tcW w:w="1117" w:type="dxa"/>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Times New Roman" w:hAnsi="宋体" w:eastAsia="宋体" w:cs="宋体"/>
                <w:kern w:val="2"/>
                <w:sz w:val="16"/>
                <w:szCs w:val="16"/>
                <w:lang w:val="zh-CN" w:eastAsia="zh-CN" w:bidi="zh-CN"/>
              </w:rPr>
            </w:pPr>
            <w:r>
              <w:rPr>
                <w:sz w:val="16"/>
                <w:szCs w:val="16"/>
              </w:rPr>
              <w:t>住住房公积金</w:t>
            </w:r>
          </w:p>
        </w:tc>
        <w:tc>
          <w:tcPr>
            <w:tcW w:w="8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59.36</w:t>
            </w:r>
          </w:p>
        </w:tc>
        <w:tc>
          <w:tcPr>
            <w:tcW w:w="8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24.36</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24.36</w:t>
            </w:r>
          </w:p>
        </w:tc>
        <w:tc>
          <w:tcPr>
            <w:tcW w:w="7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35</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4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4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1117" w:type="dxa"/>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eastAsia="宋体"/>
                <w:sz w:val="16"/>
                <w:szCs w:val="16"/>
                <w:lang w:eastAsia="zh-CN"/>
              </w:rPr>
            </w:pPr>
            <w:r>
              <w:rPr>
                <w:rFonts w:hint="eastAsia"/>
                <w:sz w:val="16"/>
                <w:szCs w:val="16"/>
                <w:lang w:eastAsia="zh-CN"/>
              </w:rPr>
              <w:t>合计</w:t>
            </w:r>
          </w:p>
        </w:tc>
        <w:tc>
          <w:tcPr>
            <w:tcW w:w="87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623.4</w:t>
            </w:r>
          </w:p>
        </w:tc>
        <w:tc>
          <w:tcPr>
            <w:tcW w:w="84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429.38</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424.38</w:t>
            </w:r>
          </w:p>
        </w:tc>
        <w:tc>
          <w:tcPr>
            <w:tcW w:w="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4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6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179.5</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p>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9.53</w:t>
            </w:r>
          </w:p>
          <w:p>
            <w:pPr>
              <w:jc w:val="center"/>
            </w:pPr>
          </w:p>
        </w:tc>
        <w:tc>
          <w:tcPr>
            <w:tcW w:w="3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11"/>
        <w:tblW w:w="9420" w:type="dxa"/>
        <w:tblInd w:w="-240" w:type="dxa"/>
        <w:tblLayout w:type="autofit"/>
        <w:tblCellMar>
          <w:top w:w="0" w:type="dxa"/>
          <w:left w:w="108" w:type="dxa"/>
          <w:bottom w:w="0" w:type="dxa"/>
          <w:right w:w="108" w:type="dxa"/>
        </w:tblCellMar>
      </w:tblPr>
      <w:tblGrid>
        <w:gridCol w:w="568"/>
        <w:gridCol w:w="449"/>
        <w:gridCol w:w="456"/>
        <w:gridCol w:w="2495"/>
        <w:gridCol w:w="1803"/>
        <w:gridCol w:w="1804"/>
        <w:gridCol w:w="1845"/>
      </w:tblGrid>
      <w:tr>
        <w:tblPrEx>
          <w:tblCellMar>
            <w:top w:w="0" w:type="dxa"/>
            <w:left w:w="108" w:type="dxa"/>
            <w:bottom w:w="0" w:type="dxa"/>
            <w:right w:w="108" w:type="dxa"/>
          </w:tblCellMar>
        </w:tblPrEx>
        <w:trPr>
          <w:trHeight w:val="328" w:hRule="atLeast"/>
        </w:trPr>
        <w:tc>
          <w:tcPr>
            <w:tcW w:w="396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5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7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0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0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6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201</w:t>
            </w:r>
          </w:p>
        </w:tc>
        <w:tc>
          <w:tcPr>
            <w:tcW w:w="449" w:type="dxa"/>
            <w:tcBorders>
              <w:top w:val="nil"/>
              <w:left w:val="nil"/>
              <w:bottom w:val="single" w:color="auto" w:sz="4" w:space="0"/>
              <w:right w:val="single" w:color="auto" w:sz="4" w:space="0"/>
            </w:tcBorders>
            <w:noWrap w:val="0"/>
            <w:vAlign w:val="center"/>
          </w:tcPr>
          <w:p>
            <w:pPr>
              <w:pStyle w:val="16"/>
              <w:ind w:left="91" w:leftChars="0" w:right="84" w:rightChars="0"/>
              <w:jc w:val="center"/>
              <w:rPr>
                <w:rFonts w:ascii="宋体" w:hAnsi="宋体" w:eastAsia="宋体" w:cs="宋体"/>
                <w:kern w:val="2"/>
                <w:sz w:val="15"/>
                <w:szCs w:val="15"/>
                <w:lang w:val="zh-CN" w:eastAsia="zh-CN" w:bidi="zh-CN"/>
              </w:rPr>
            </w:pPr>
          </w:p>
        </w:tc>
        <w:tc>
          <w:tcPr>
            <w:tcW w:w="456" w:type="dxa"/>
            <w:tcBorders>
              <w:top w:val="nil"/>
              <w:left w:val="nil"/>
              <w:bottom w:val="single" w:color="auto" w:sz="4" w:space="0"/>
              <w:right w:val="single" w:color="auto" w:sz="4" w:space="0"/>
            </w:tcBorders>
            <w:noWrap w:val="0"/>
            <w:vAlign w:val="center"/>
          </w:tcPr>
          <w:p>
            <w:pPr>
              <w:pStyle w:val="16"/>
              <w:ind w:left="100" w:leftChars="0" w:right="90" w:rightChars="0"/>
              <w:jc w:val="center"/>
              <w:rPr>
                <w:rFonts w:ascii="宋体" w:hAnsi="宋体" w:eastAsia="宋体" w:cs="宋体"/>
                <w:kern w:val="2"/>
                <w:sz w:val="15"/>
                <w:szCs w:val="15"/>
                <w:lang w:val="zh-CN" w:eastAsia="zh-CN" w:bidi="zh-CN"/>
              </w:rPr>
            </w:pPr>
          </w:p>
        </w:tc>
        <w:tc>
          <w:tcPr>
            <w:tcW w:w="2495" w:type="dxa"/>
            <w:tcBorders>
              <w:top w:val="nil"/>
              <w:left w:val="nil"/>
              <w:bottom w:val="single" w:color="auto" w:sz="4" w:space="0"/>
              <w:right w:val="single" w:color="auto" w:sz="4" w:space="0"/>
            </w:tcBorders>
            <w:noWrap w:val="0"/>
            <w:vAlign w:val="center"/>
          </w:tcPr>
          <w:p>
            <w:pPr>
              <w:pStyle w:val="16"/>
              <w:jc w:val="center"/>
              <w:rPr>
                <w:rFonts w:hint="eastAsia" w:ascii="宋体" w:hAnsi="宋体" w:eastAsia="宋体" w:cs="宋体"/>
                <w:kern w:val="2"/>
                <w:sz w:val="16"/>
                <w:szCs w:val="16"/>
                <w:lang w:val="zh-CN" w:eastAsia="zh-CN" w:bidi="zh-CN"/>
              </w:rPr>
            </w:pPr>
            <w:r>
              <w:rPr>
                <w:rFonts w:hint="eastAsia"/>
                <w:sz w:val="16"/>
                <w:szCs w:val="16"/>
                <w:lang w:eastAsia="zh-CN"/>
              </w:rPr>
              <w:t>一般公共服务支出</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en-US" w:eastAsia="zh-CN" w:bidi="zh-CN"/>
              </w:rPr>
              <w:t>422.62</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en-US" w:eastAsia="zh-CN" w:bidi="zh-CN"/>
              </w:rPr>
              <w:t>333.09</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eastAsia="宋体" w:cs="宋体"/>
                <w:kern w:val="2"/>
                <w:sz w:val="18"/>
                <w:szCs w:val="18"/>
                <w:lang w:val="zh-CN" w:eastAsia="zh-CN" w:bidi="zh-CN"/>
              </w:rPr>
              <w:t>　</w:t>
            </w:r>
            <w:r>
              <w:rPr>
                <w:rFonts w:hint="eastAsia" w:ascii="宋体" w:hAnsi="宋体" w:eastAsia="宋体" w:cs="宋体"/>
                <w:kern w:val="2"/>
                <w:sz w:val="18"/>
                <w:szCs w:val="18"/>
                <w:lang w:val="en-US" w:eastAsia="zh-CN" w:bidi="zh-CN"/>
              </w:rPr>
              <w:t>89.53</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49" w:type="dxa"/>
            <w:tcBorders>
              <w:top w:val="nil"/>
              <w:left w:val="nil"/>
              <w:bottom w:val="single" w:color="auto" w:sz="4" w:space="0"/>
              <w:right w:val="single" w:color="auto" w:sz="4" w:space="0"/>
            </w:tcBorders>
            <w:noWrap w:val="0"/>
            <w:vAlign w:val="center"/>
          </w:tcPr>
          <w:p>
            <w:pPr>
              <w:pStyle w:val="1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pStyle w:val="16"/>
              <w:ind w:left="100" w:leftChars="0" w:right="90" w:rightChars="0"/>
              <w:jc w:val="center"/>
              <w:rPr>
                <w:rFonts w:ascii="宋体" w:hAnsi="宋体" w:eastAsia="宋体" w:cs="宋体"/>
                <w:kern w:val="2"/>
                <w:sz w:val="15"/>
                <w:szCs w:val="15"/>
                <w:lang w:val="zh-CN" w:eastAsia="zh-CN" w:bidi="zh-CN"/>
              </w:rPr>
            </w:pPr>
          </w:p>
        </w:tc>
        <w:tc>
          <w:tcPr>
            <w:tcW w:w="2495" w:type="dxa"/>
            <w:tcBorders>
              <w:top w:val="nil"/>
              <w:left w:val="nil"/>
              <w:bottom w:val="single" w:color="auto" w:sz="4" w:space="0"/>
              <w:right w:val="single" w:color="auto" w:sz="4" w:space="0"/>
            </w:tcBorders>
            <w:noWrap w:val="0"/>
            <w:vAlign w:val="center"/>
          </w:tcPr>
          <w:p>
            <w:pPr>
              <w:pStyle w:val="16"/>
              <w:jc w:val="center"/>
              <w:rPr>
                <w:rFonts w:hint="eastAsia" w:ascii="宋体" w:hAnsi="宋体" w:eastAsia="宋体" w:cs="宋体"/>
                <w:kern w:val="2"/>
                <w:sz w:val="16"/>
                <w:szCs w:val="16"/>
                <w:lang w:val="zh-CN" w:eastAsia="zh-CN" w:bidi="zh-CN"/>
              </w:rPr>
            </w:pPr>
            <w:r>
              <w:rPr>
                <w:rFonts w:hint="eastAsia"/>
                <w:sz w:val="16"/>
                <w:szCs w:val="16"/>
                <w:lang w:eastAsia="zh-CN"/>
              </w:rPr>
              <w:t>政协事务</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en-US" w:eastAsia="zh-CN" w:bidi="zh-CN"/>
              </w:rPr>
            </w:pPr>
            <w:r>
              <w:rPr>
                <w:rFonts w:hint="eastAsia" w:ascii="宋体" w:hAnsi="宋体" w:eastAsia="宋体" w:cs="宋体"/>
                <w:kern w:val="2"/>
                <w:sz w:val="18"/>
                <w:szCs w:val="18"/>
                <w:lang w:val="en-US" w:eastAsia="zh-CN" w:bidi="zh-CN"/>
              </w:rPr>
              <w:t>422.62</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en-US" w:eastAsia="zh-CN" w:bidi="zh-CN"/>
              </w:rPr>
            </w:pPr>
            <w:r>
              <w:rPr>
                <w:rFonts w:hint="eastAsia" w:ascii="宋体" w:hAnsi="宋体" w:eastAsia="宋体" w:cs="宋体"/>
                <w:kern w:val="2"/>
                <w:sz w:val="18"/>
                <w:szCs w:val="18"/>
                <w:lang w:val="en-US" w:eastAsia="zh-CN" w:bidi="zh-CN"/>
              </w:rPr>
              <w:t>333.09</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eastAsia="宋体" w:cs="宋体"/>
                <w:kern w:val="2"/>
                <w:sz w:val="18"/>
                <w:szCs w:val="18"/>
                <w:lang w:val="zh-CN" w:eastAsia="zh-CN" w:bidi="zh-CN"/>
              </w:rPr>
              <w:t>　</w:t>
            </w:r>
            <w:r>
              <w:rPr>
                <w:rFonts w:hint="eastAsia" w:ascii="宋体" w:hAnsi="宋体" w:eastAsia="宋体" w:cs="宋体"/>
                <w:kern w:val="2"/>
                <w:sz w:val="18"/>
                <w:szCs w:val="18"/>
                <w:lang w:val="en-US" w:eastAsia="zh-CN" w:bidi="zh-CN"/>
              </w:rPr>
              <w:t>89.53</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49"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pStyle w:val="1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01</w:t>
            </w:r>
          </w:p>
        </w:tc>
        <w:tc>
          <w:tcPr>
            <w:tcW w:w="2495" w:type="dxa"/>
            <w:tcBorders>
              <w:top w:val="nil"/>
              <w:left w:val="nil"/>
              <w:bottom w:val="single" w:color="auto" w:sz="4" w:space="0"/>
              <w:right w:val="single" w:color="auto" w:sz="4" w:space="0"/>
            </w:tcBorders>
            <w:noWrap w:val="0"/>
            <w:vAlign w:val="center"/>
          </w:tcPr>
          <w:p>
            <w:pPr>
              <w:pStyle w:val="16"/>
              <w:spacing w:before="3" w:line="253" w:lineRule="exact"/>
              <w:jc w:val="center"/>
              <w:rPr>
                <w:rFonts w:ascii="宋体" w:hAnsi="宋体" w:eastAsia="宋体" w:cs="宋体"/>
                <w:kern w:val="2"/>
                <w:sz w:val="16"/>
                <w:szCs w:val="16"/>
                <w:lang w:val="zh-CN" w:eastAsia="zh-CN" w:bidi="zh-CN"/>
              </w:rPr>
            </w:pPr>
            <w:r>
              <w:rPr>
                <w:sz w:val="16"/>
                <w:szCs w:val="16"/>
              </w:rPr>
              <w:t>行政运行</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301.14</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301.14</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0</w:t>
            </w: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pStyle w:val="16"/>
              <w:ind w:right="90"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2495" w:type="dxa"/>
            <w:tcBorders>
              <w:top w:val="nil"/>
              <w:left w:val="nil"/>
              <w:bottom w:val="single" w:color="auto" w:sz="4" w:space="0"/>
              <w:right w:val="single" w:color="auto" w:sz="4" w:space="0"/>
            </w:tcBorders>
            <w:noWrap w:val="0"/>
            <w:vAlign w:val="center"/>
          </w:tcPr>
          <w:p>
            <w:pPr>
              <w:pStyle w:val="16"/>
              <w:spacing w:before="3" w:line="253" w:lineRule="exact"/>
              <w:jc w:val="center"/>
              <w:rPr>
                <w:rFonts w:ascii="宋体" w:hAnsi="宋体" w:eastAsia="宋体" w:cs="宋体"/>
                <w:kern w:val="2"/>
                <w:sz w:val="16"/>
                <w:szCs w:val="16"/>
                <w:lang w:val="zh-CN" w:eastAsia="zh-CN" w:bidi="zh-CN"/>
              </w:rPr>
            </w:pPr>
            <w:r>
              <w:rPr>
                <w:rFonts w:hint="eastAsia"/>
                <w:sz w:val="16"/>
                <w:szCs w:val="16"/>
              </w:rPr>
              <w:t>一般行政管理事务</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69.53</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0</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69.53</w:t>
            </w: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49"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pStyle w:val="16"/>
              <w:spacing w:before="96"/>
              <w:ind w:right="90" w:rightChars="0"/>
              <w:jc w:val="both"/>
              <w:rPr>
                <w:rFonts w:hint="eastAsia"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04</w:t>
            </w: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sz w:val="16"/>
                <w:szCs w:val="16"/>
              </w:rPr>
              <w:t>政协会议</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15</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0</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15</w:t>
            </w: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pStyle w:val="1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50</w:t>
            </w: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sz w:val="16"/>
                <w:szCs w:val="16"/>
              </w:rPr>
              <w:t>事业运行</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31.95</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eastAsia="宋体" w:cs="宋体"/>
                <w:kern w:val="2"/>
                <w:sz w:val="18"/>
                <w:szCs w:val="18"/>
                <w:lang w:val="zh-CN" w:eastAsia="zh-CN" w:bidi="zh-CN"/>
              </w:rPr>
              <w:t>　</w:t>
            </w:r>
            <w:r>
              <w:rPr>
                <w:rFonts w:hint="eastAsia" w:ascii="宋体" w:hAnsi="宋体" w:cs="宋体"/>
                <w:kern w:val="2"/>
                <w:sz w:val="18"/>
                <w:szCs w:val="18"/>
                <w:lang w:val="en-US" w:eastAsia="zh-CN" w:bidi="zh-CN"/>
              </w:rPr>
              <w:t>31.95</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0</w:t>
            </w: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49"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jc w:val="both"/>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99</w:t>
            </w:r>
          </w:p>
        </w:tc>
        <w:tc>
          <w:tcPr>
            <w:tcW w:w="24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6"/>
                <w:szCs w:val="16"/>
                <w:lang w:val="en-US" w:eastAsia="zh-CN" w:bidi="ar-SA"/>
              </w:rPr>
            </w:pPr>
            <w:r>
              <w:rPr>
                <w:rFonts w:hint="eastAsia" w:ascii="宋体" w:hAnsi="宋体" w:eastAsia="宋体" w:cs="宋体"/>
                <w:kern w:val="2"/>
                <w:sz w:val="16"/>
                <w:szCs w:val="16"/>
                <w:lang w:val="zh-CN" w:eastAsia="zh-CN" w:bidi="zh-CN"/>
              </w:rPr>
              <w:t>其他政协事务支出</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eastAsia="宋体" w:cs="宋体"/>
                <w:kern w:val="2"/>
                <w:sz w:val="18"/>
                <w:szCs w:val="18"/>
                <w:lang w:val="zh-CN" w:eastAsia="zh-CN" w:bidi="zh-CN"/>
              </w:rPr>
              <w:t>　</w:t>
            </w:r>
            <w:r>
              <w:rPr>
                <w:rFonts w:hint="eastAsia" w:ascii="宋体" w:hAnsi="宋体" w:cs="宋体"/>
                <w:kern w:val="2"/>
                <w:sz w:val="18"/>
                <w:szCs w:val="18"/>
                <w:lang w:val="en-US" w:eastAsia="zh-CN" w:bidi="zh-CN"/>
              </w:rPr>
              <w:t>0</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w:t>
            </w: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208</w:t>
            </w:r>
          </w:p>
        </w:tc>
        <w:tc>
          <w:tcPr>
            <w:tcW w:w="449"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456"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2495" w:type="dxa"/>
            <w:tcBorders>
              <w:top w:val="nil"/>
              <w:left w:val="nil"/>
              <w:bottom w:val="single" w:color="auto" w:sz="4" w:space="0"/>
              <w:right w:val="single" w:color="auto" w:sz="4" w:space="0"/>
            </w:tcBorders>
            <w:noWrap w:val="0"/>
            <w:vAlign w:val="center"/>
          </w:tcPr>
          <w:p>
            <w:pPr>
              <w:pStyle w:val="16"/>
              <w:spacing w:before="3" w:line="253" w:lineRule="exact"/>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社会保障和就业支出</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96.34</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96.34</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208</w:t>
            </w:r>
          </w:p>
        </w:tc>
        <w:tc>
          <w:tcPr>
            <w:tcW w:w="449"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456" w:type="dxa"/>
            <w:tcBorders>
              <w:top w:val="nil"/>
              <w:left w:val="nil"/>
              <w:bottom w:val="single" w:color="auto" w:sz="4" w:space="0"/>
              <w:right w:val="single" w:color="auto" w:sz="4" w:space="0"/>
            </w:tcBorders>
            <w:noWrap w:val="0"/>
            <w:vAlign w:val="center"/>
          </w:tcPr>
          <w:p>
            <w:pPr>
              <w:pStyle w:val="16"/>
              <w:spacing w:before="96"/>
              <w:ind w:left="100" w:leftChars="0" w:right="90" w:rightChars="0"/>
              <w:jc w:val="center"/>
              <w:rPr>
                <w:rFonts w:ascii="宋体" w:hAnsi="宋体" w:eastAsia="宋体" w:cs="宋体"/>
                <w:kern w:val="2"/>
                <w:sz w:val="15"/>
                <w:szCs w:val="15"/>
                <w:lang w:val="zh-CN" w:eastAsia="zh-CN" w:bidi="zh-CN"/>
              </w:rPr>
            </w:pP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行政事业单位养老支出</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96.34</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96.34</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208</w:t>
            </w:r>
          </w:p>
        </w:tc>
        <w:tc>
          <w:tcPr>
            <w:tcW w:w="449"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05</w:t>
            </w:r>
          </w:p>
        </w:tc>
        <w:tc>
          <w:tcPr>
            <w:tcW w:w="456"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01</w:t>
            </w: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行政单位离退休</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11.47</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11.47</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208</w:t>
            </w:r>
          </w:p>
        </w:tc>
        <w:tc>
          <w:tcPr>
            <w:tcW w:w="449"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05</w:t>
            </w:r>
          </w:p>
        </w:tc>
        <w:tc>
          <w:tcPr>
            <w:tcW w:w="456"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2495" w:type="dxa"/>
            <w:tcBorders>
              <w:top w:val="nil"/>
              <w:left w:val="nil"/>
              <w:bottom w:val="single" w:color="auto" w:sz="4" w:space="0"/>
              <w:right w:val="single" w:color="auto" w:sz="4" w:space="0"/>
            </w:tcBorders>
            <w:noWrap w:val="0"/>
            <w:vAlign w:val="center"/>
          </w:tcPr>
          <w:p>
            <w:pPr>
              <w:pStyle w:val="16"/>
              <w:ind w:right="0" w:rightChars="0"/>
              <w:jc w:val="both"/>
              <w:rPr>
                <w:rFonts w:ascii="宋体" w:hAnsi="宋体" w:eastAsia="宋体" w:cs="宋体"/>
                <w:kern w:val="2"/>
                <w:sz w:val="16"/>
                <w:szCs w:val="16"/>
                <w:lang w:val="zh-CN" w:eastAsia="zh-CN" w:bidi="zh-CN"/>
              </w:rPr>
            </w:pPr>
            <w:r>
              <w:rPr>
                <w:rFonts w:hint="eastAsia" w:cs="宋体"/>
                <w:sz w:val="16"/>
                <w:szCs w:val="16"/>
                <w:lang w:val="zh-CN" w:eastAsia="zh-CN" w:bidi="zh-CN"/>
              </w:rPr>
              <w:t>机关事业单位基本养老保险缴费支出</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59.86</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59.86</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208</w:t>
            </w:r>
          </w:p>
        </w:tc>
        <w:tc>
          <w:tcPr>
            <w:tcW w:w="449"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05</w:t>
            </w:r>
          </w:p>
        </w:tc>
        <w:tc>
          <w:tcPr>
            <w:tcW w:w="456"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06</w:t>
            </w: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机关事业单位职业年金缴费</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25</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25</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r>
              <w:rPr>
                <w:rFonts w:hint="eastAsia" w:cs="宋体"/>
                <w:kern w:val="2"/>
                <w:sz w:val="15"/>
                <w:szCs w:val="15"/>
                <w:lang w:val="en-US" w:eastAsia="zh-CN" w:bidi="zh-CN"/>
              </w:rPr>
              <w:t xml:space="preserve">   </w:t>
            </w:r>
            <w:r>
              <w:rPr>
                <w:rFonts w:ascii="宋体" w:hAnsi="宋体" w:eastAsia="宋体" w:cs="宋体"/>
                <w:kern w:val="2"/>
                <w:sz w:val="15"/>
                <w:szCs w:val="15"/>
                <w:lang w:val="zh-CN" w:eastAsia="zh-CN" w:bidi="zh-CN"/>
              </w:rPr>
              <w:t>210</w:t>
            </w:r>
          </w:p>
        </w:tc>
        <w:tc>
          <w:tcPr>
            <w:tcW w:w="449"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456"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卫生健康支出</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45.08</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45.08</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49"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56" w:type="dxa"/>
            <w:tcBorders>
              <w:top w:val="nil"/>
              <w:left w:val="nil"/>
              <w:bottom w:val="single" w:color="auto" w:sz="4" w:space="0"/>
              <w:right w:val="single" w:color="auto" w:sz="4" w:space="0"/>
            </w:tcBorders>
            <w:noWrap w:val="0"/>
            <w:vAlign w:val="center"/>
          </w:tcPr>
          <w:p>
            <w:pPr>
              <w:pStyle w:val="16"/>
              <w:spacing w:before="96"/>
              <w:ind w:left="100" w:leftChars="0" w:right="90" w:rightChars="0"/>
              <w:jc w:val="center"/>
              <w:rPr>
                <w:rFonts w:ascii="宋体" w:hAnsi="宋体" w:eastAsia="宋体" w:cs="宋体"/>
                <w:kern w:val="2"/>
                <w:sz w:val="15"/>
                <w:szCs w:val="15"/>
                <w:lang w:val="zh-CN" w:eastAsia="zh-CN" w:bidi="zh-CN"/>
              </w:rPr>
            </w:pP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行政事业单位医疗</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45.08</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45.08</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49"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56"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01</w:t>
            </w: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sz w:val="16"/>
                <w:szCs w:val="16"/>
              </w:rPr>
              <w:t>行政单位医疗</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30.66</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30.66</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210</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11</w:t>
            </w:r>
          </w:p>
        </w:tc>
        <w:tc>
          <w:tcPr>
            <w:tcW w:w="456" w:type="dxa"/>
            <w:tcBorders>
              <w:top w:val="single" w:color="auto" w:sz="4" w:space="0"/>
              <w:left w:val="single" w:color="auto" w:sz="4" w:space="0"/>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02</w:t>
            </w:r>
          </w:p>
        </w:tc>
        <w:tc>
          <w:tcPr>
            <w:tcW w:w="2495" w:type="dxa"/>
            <w:tcBorders>
              <w:top w:val="single" w:color="auto" w:sz="4" w:space="0"/>
              <w:left w:val="single" w:color="auto" w:sz="4" w:space="0"/>
              <w:bottom w:val="single" w:color="auto" w:sz="4" w:space="0"/>
              <w:right w:val="single" w:color="auto" w:sz="4" w:space="0"/>
            </w:tcBorders>
            <w:noWrap w:val="0"/>
            <w:vAlign w:val="center"/>
          </w:tcPr>
          <w:p>
            <w:pPr>
              <w:pStyle w:val="16"/>
              <w:ind w:right="0" w:rightChars="0"/>
              <w:jc w:val="center"/>
              <w:rPr>
                <w:rFonts w:ascii="宋体" w:hAnsi="宋体" w:eastAsia="宋体" w:cs="宋体"/>
                <w:kern w:val="2"/>
                <w:sz w:val="16"/>
                <w:szCs w:val="16"/>
                <w:lang w:val="zh-CN" w:eastAsia="zh-CN" w:bidi="zh-CN"/>
              </w:rPr>
            </w:pPr>
            <w:r>
              <w:rPr>
                <w:rFonts w:hint="eastAsia"/>
                <w:sz w:val="16"/>
                <w:szCs w:val="16"/>
                <w:lang w:eastAsia="zh-CN"/>
              </w:rPr>
              <w:t>事业</w:t>
            </w:r>
            <w:r>
              <w:rPr>
                <w:sz w:val="16"/>
                <w:szCs w:val="16"/>
              </w:rPr>
              <w:t>单位医疗</w:t>
            </w:r>
          </w:p>
        </w:tc>
        <w:tc>
          <w:tcPr>
            <w:tcW w:w="1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2.27</w:t>
            </w:r>
          </w:p>
        </w:tc>
        <w:tc>
          <w:tcPr>
            <w:tcW w:w="18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2.27</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49" w:type="dxa"/>
            <w:tcBorders>
              <w:top w:val="single" w:color="auto" w:sz="4" w:space="0"/>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56" w:type="dxa"/>
            <w:tcBorders>
              <w:top w:val="single" w:color="auto" w:sz="4" w:space="0"/>
              <w:left w:val="nil"/>
              <w:bottom w:val="single" w:color="auto" w:sz="4" w:space="0"/>
              <w:right w:val="single" w:color="auto" w:sz="4" w:space="0"/>
            </w:tcBorders>
            <w:noWrap w:val="0"/>
            <w:vAlign w:val="center"/>
          </w:tcPr>
          <w:p>
            <w:pPr>
              <w:pStyle w:val="16"/>
              <w:spacing w:before="96"/>
              <w:ind w:right="90" w:rightChars="0"/>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03</w:t>
            </w:r>
          </w:p>
        </w:tc>
        <w:tc>
          <w:tcPr>
            <w:tcW w:w="2495" w:type="dxa"/>
            <w:tcBorders>
              <w:top w:val="single" w:color="auto" w:sz="4" w:space="0"/>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sz w:val="16"/>
                <w:szCs w:val="16"/>
              </w:rPr>
              <w:t>公务员医疗补助</w:t>
            </w:r>
          </w:p>
        </w:tc>
        <w:tc>
          <w:tcPr>
            <w:tcW w:w="1803"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11.97</w:t>
            </w:r>
          </w:p>
        </w:tc>
        <w:tc>
          <w:tcPr>
            <w:tcW w:w="1804"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11.97</w:t>
            </w:r>
          </w:p>
        </w:tc>
        <w:tc>
          <w:tcPr>
            <w:tcW w:w="1845" w:type="dxa"/>
            <w:tcBorders>
              <w:top w:val="single" w:color="auto" w:sz="4" w:space="0"/>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210</w:t>
            </w:r>
          </w:p>
        </w:tc>
        <w:tc>
          <w:tcPr>
            <w:tcW w:w="449"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456"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99</w:t>
            </w: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其他行政事业单位医疗支出</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0.19</w:t>
            </w:r>
          </w:p>
        </w:tc>
        <w:tc>
          <w:tcPr>
            <w:tcW w:w="180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0.19</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221</w:t>
            </w:r>
          </w:p>
        </w:tc>
        <w:tc>
          <w:tcPr>
            <w:tcW w:w="449" w:type="dxa"/>
            <w:tcBorders>
              <w:top w:val="nil"/>
              <w:left w:val="nil"/>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en-US" w:eastAsia="zh-CN" w:bidi="zh-CN"/>
              </w:rPr>
            </w:pPr>
          </w:p>
        </w:tc>
        <w:tc>
          <w:tcPr>
            <w:tcW w:w="456" w:type="dxa"/>
            <w:tcBorders>
              <w:top w:val="nil"/>
              <w:left w:val="nil"/>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en-US" w:eastAsia="zh-CN" w:bidi="zh-CN"/>
              </w:rPr>
            </w:pPr>
          </w:p>
        </w:tc>
        <w:tc>
          <w:tcPr>
            <w:tcW w:w="2495"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zh-CN" w:eastAsia="zh-CN" w:bidi="zh-CN"/>
              </w:rPr>
            </w:pPr>
            <w:r>
              <w:rPr>
                <w:rFonts w:hint="eastAsia" w:cs="宋体"/>
                <w:sz w:val="16"/>
                <w:szCs w:val="16"/>
                <w:lang w:val="zh-CN" w:eastAsia="zh-CN" w:bidi="zh-CN"/>
              </w:rPr>
              <w:t>住房保障支出</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en-US" w:eastAsia="zh-CN" w:bidi="zh-CN"/>
              </w:rPr>
            </w:pPr>
            <w:r>
              <w:rPr>
                <w:rFonts w:hint="eastAsia" w:ascii="宋体" w:hAnsi="宋体" w:cs="宋体"/>
                <w:kern w:val="2"/>
                <w:sz w:val="18"/>
                <w:szCs w:val="18"/>
                <w:lang w:val="en-US" w:eastAsia="zh-CN" w:bidi="zh-CN"/>
              </w:rPr>
              <w:t>59.36</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59.36</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221</w:t>
            </w:r>
          </w:p>
        </w:tc>
        <w:tc>
          <w:tcPr>
            <w:tcW w:w="4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p>
        </w:tc>
        <w:tc>
          <w:tcPr>
            <w:tcW w:w="2495" w:type="dxa"/>
            <w:tcBorders>
              <w:top w:val="nil"/>
              <w:left w:val="nil"/>
              <w:bottom w:val="single" w:color="auto" w:sz="4" w:space="0"/>
              <w:right w:val="single" w:color="auto" w:sz="4" w:space="0"/>
            </w:tcBorders>
            <w:noWrap w:val="0"/>
            <w:vAlign w:val="center"/>
          </w:tcPr>
          <w:p>
            <w:pPr>
              <w:pStyle w:val="16"/>
              <w:jc w:val="center"/>
              <w:rPr>
                <w:rFonts w:hint="eastAsia" w:ascii="Times New Roman" w:hAnsi="宋体" w:eastAsia="宋体" w:cs="宋体"/>
                <w:kern w:val="2"/>
                <w:sz w:val="16"/>
                <w:szCs w:val="16"/>
                <w:lang w:val="zh-CN" w:eastAsia="zh-CN" w:bidi="zh-CN"/>
              </w:rPr>
            </w:pPr>
            <w:r>
              <w:rPr>
                <w:rFonts w:hint="eastAsia" w:ascii="Times New Roman"/>
                <w:sz w:val="16"/>
                <w:szCs w:val="16"/>
                <w:lang w:eastAsia="zh-CN"/>
              </w:rPr>
              <w:t>住房改革支出</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59.36</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59.36</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221</w:t>
            </w:r>
          </w:p>
        </w:tc>
        <w:tc>
          <w:tcPr>
            <w:tcW w:w="449"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45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01</w:t>
            </w:r>
          </w:p>
        </w:tc>
        <w:tc>
          <w:tcPr>
            <w:tcW w:w="2495" w:type="dxa"/>
            <w:tcBorders>
              <w:top w:val="nil"/>
              <w:left w:val="nil"/>
              <w:bottom w:val="single" w:color="auto" w:sz="4" w:space="0"/>
              <w:right w:val="single" w:color="auto" w:sz="4" w:space="0"/>
            </w:tcBorders>
            <w:noWrap w:val="0"/>
            <w:vAlign w:val="center"/>
          </w:tcPr>
          <w:p>
            <w:pPr>
              <w:pStyle w:val="16"/>
              <w:jc w:val="center"/>
              <w:rPr>
                <w:rFonts w:hint="eastAsia" w:ascii="Times New Roman" w:hAnsi="宋体" w:eastAsia="宋体" w:cs="宋体"/>
                <w:kern w:val="2"/>
                <w:sz w:val="16"/>
                <w:szCs w:val="16"/>
                <w:lang w:val="zh-CN" w:eastAsia="zh-CN" w:bidi="zh-CN"/>
              </w:rPr>
            </w:pPr>
            <w:r>
              <w:rPr>
                <w:sz w:val="16"/>
                <w:szCs w:val="16"/>
              </w:rPr>
              <w:t>住住房公积金</w:t>
            </w:r>
          </w:p>
        </w:tc>
        <w:tc>
          <w:tcPr>
            <w:tcW w:w="18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59.36</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59.36</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eastAsia="宋体" w:cs="宋体"/>
                <w:kern w:val="2"/>
                <w:sz w:val="18"/>
                <w:szCs w:val="18"/>
                <w:lang w:val="zh-CN" w:eastAsia="zh-CN" w:bidi="zh-CN"/>
              </w:rPr>
              <w:t>　</w:t>
            </w: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49" w:type="dxa"/>
            <w:tcBorders>
              <w:top w:val="nil"/>
              <w:left w:val="nil"/>
              <w:bottom w:val="single" w:color="auto" w:sz="4" w:space="0"/>
              <w:right w:val="single" w:color="auto" w:sz="4" w:space="0"/>
            </w:tcBorders>
            <w:noWrap w:val="0"/>
            <w:vAlign w:val="center"/>
          </w:tcPr>
          <w:p>
            <w:pPr>
              <w:rPr>
                <w:color w:val="auto"/>
                <w:highlight w:val="none"/>
              </w:rPr>
            </w:pPr>
          </w:p>
        </w:tc>
        <w:tc>
          <w:tcPr>
            <w:tcW w:w="456" w:type="dxa"/>
            <w:tcBorders>
              <w:top w:val="nil"/>
              <w:left w:val="nil"/>
              <w:bottom w:val="single" w:color="auto" w:sz="4" w:space="0"/>
              <w:right w:val="single" w:color="auto" w:sz="4" w:space="0"/>
            </w:tcBorders>
            <w:noWrap w:val="0"/>
            <w:vAlign w:val="center"/>
          </w:tcPr>
          <w:p>
            <w:pPr>
              <w:rPr>
                <w:color w:val="auto"/>
                <w:highlight w:val="none"/>
              </w:rPr>
            </w:pPr>
          </w:p>
        </w:tc>
        <w:tc>
          <w:tcPr>
            <w:tcW w:w="2495" w:type="dxa"/>
            <w:tcBorders>
              <w:top w:val="nil"/>
              <w:left w:val="nil"/>
              <w:bottom w:val="single" w:color="auto" w:sz="4" w:space="0"/>
              <w:right w:val="single" w:color="auto" w:sz="4" w:space="0"/>
            </w:tcBorders>
            <w:noWrap w:val="0"/>
            <w:vAlign w:val="center"/>
          </w:tcPr>
          <w:p>
            <w:pPr>
              <w:rPr>
                <w:color w:val="auto"/>
                <w:highlight w:val="none"/>
              </w:rPr>
            </w:pP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p>
        </w:tc>
      </w:tr>
      <w:tr>
        <w:tblPrEx>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49"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0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623.4</w:t>
            </w:r>
            <w:r>
              <w:rPr>
                <w:rFonts w:hint="eastAsia" w:ascii="宋体" w:hAnsi="宋体" w:eastAsia="宋体" w:cs="宋体"/>
                <w:kern w:val="2"/>
                <w:sz w:val="18"/>
                <w:szCs w:val="18"/>
                <w:lang w:val="zh-CN" w:eastAsia="zh-CN" w:bidi="zh-CN"/>
              </w:rPr>
              <w:t>　</w:t>
            </w:r>
          </w:p>
        </w:tc>
        <w:tc>
          <w:tcPr>
            <w:tcW w:w="1804"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533.88</w:t>
            </w:r>
            <w:r>
              <w:rPr>
                <w:rFonts w:hint="eastAsia" w:ascii="宋体" w:hAnsi="宋体" w:eastAsia="宋体" w:cs="宋体"/>
                <w:kern w:val="2"/>
                <w:sz w:val="18"/>
                <w:szCs w:val="18"/>
                <w:lang w:val="zh-CN" w:eastAsia="zh-CN" w:bidi="zh-CN"/>
              </w:rPr>
              <w:t>　</w:t>
            </w:r>
          </w:p>
        </w:tc>
        <w:tc>
          <w:tcPr>
            <w:tcW w:w="184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8"/>
                <w:szCs w:val="18"/>
                <w:lang w:val="zh-CN" w:eastAsia="zh-CN" w:bidi="zh-CN"/>
              </w:rPr>
            </w:pPr>
            <w:r>
              <w:rPr>
                <w:rFonts w:hint="eastAsia" w:ascii="宋体" w:hAnsi="宋体" w:cs="宋体"/>
                <w:kern w:val="2"/>
                <w:sz w:val="18"/>
                <w:szCs w:val="18"/>
                <w:lang w:val="en-US" w:eastAsia="zh-CN" w:bidi="zh-CN"/>
              </w:rPr>
              <w:t>89.53</w:t>
            </w:r>
            <w:r>
              <w:rPr>
                <w:rFonts w:hint="eastAsia" w:ascii="宋体" w:hAnsi="宋体" w:eastAsia="宋体" w:cs="宋体"/>
                <w:kern w:val="2"/>
                <w:sz w:val="18"/>
                <w:szCs w:val="18"/>
                <w:lang w:val="zh-CN" w:eastAsia="zh-CN" w:bidi="zh-CN"/>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szCs w:val="24"/>
          <w:highlight w:val="none"/>
        </w:rPr>
        <w:t xml:space="preserve">   单位：万元                                           </w:t>
      </w:r>
    </w:p>
    <w:tbl>
      <w:tblPr>
        <w:tblStyle w:val="11"/>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434.38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346.09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346.09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434.38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41.34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41.34</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22.58</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22.58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24.36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24.36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color w:val="auto"/>
                <w:kern w:val="0"/>
                <w:sz w:val="18"/>
                <w:szCs w:val="18"/>
                <w:highlight w:val="none"/>
                <w:lang w:val="en-US" w:eastAsia="zh-CN"/>
              </w:rPr>
              <w:t>434.38</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434.38</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434.38</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10"/>
        <w:rPr>
          <w:rFonts w:hint="default" w:ascii="宋体" w:hAnsi="宋体" w:eastAsia="宋体" w:cs="宋体"/>
          <w:i w:val="0"/>
          <w:color w:val="FF0000"/>
          <w:kern w:val="0"/>
          <w:sz w:val="20"/>
          <w:szCs w:val="20"/>
          <w:highlight w:val="none"/>
          <w:u w:val="none"/>
          <w:lang w:val="en-US" w:eastAsia="zh-CN" w:bidi="ar"/>
        </w:rPr>
      </w:pPr>
    </w:p>
    <w:p>
      <w:pPr>
        <w:pStyle w:val="10"/>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9214" w:type="dxa"/>
        <w:tblInd w:w="-34" w:type="dxa"/>
        <w:tblLayout w:type="autofit"/>
        <w:tblCellMar>
          <w:top w:w="0" w:type="dxa"/>
          <w:left w:w="108" w:type="dxa"/>
          <w:bottom w:w="0" w:type="dxa"/>
          <w:right w:w="108" w:type="dxa"/>
        </w:tblCellMar>
      </w:tblPr>
      <w:tblGrid>
        <w:gridCol w:w="568"/>
        <w:gridCol w:w="499"/>
        <w:gridCol w:w="502"/>
        <w:gridCol w:w="2476"/>
        <w:gridCol w:w="1663"/>
        <w:gridCol w:w="1825"/>
        <w:gridCol w:w="1681"/>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4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6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6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7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6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7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6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2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en-US" w:eastAsia="zh-CN" w:bidi="zh-CN"/>
              </w:rPr>
            </w:pPr>
            <w:r>
              <w:rPr>
                <w:rFonts w:hint="eastAsia" w:cs="宋体"/>
                <w:kern w:val="2"/>
                <w:sz w:val="15"/>
                <w:szCs w:val="15"/>
                <w:lang w:val="en-US" w:eastAsia="zh-CN" w:bidi="zh-CN"/>
              </w:rPr>
              <w:t>201</w:t>
            </w:r>
          </w:p>
        </w:tc>
        <w:tc>
          <w:tcPr>
            <w:tcW w:w="499" w:type="dxa"/>
            <w:tcBorders>
              <w:top w:val="nil"/>
              <w:left w:val="nil"/>
              <w:bottom w:val="single" w:color="auto" w:sz="4" w:space="0"/>
              <w:right w:val="single" w:color="auto" w:sz="4" w:space="0"/>
            </w:tcBorders>
            <w:noWrap w:val="0"/>
            <w:vAlign w:val="center"/>
          </w:tcPr>
          <w:p>
            <w:pPr>
              <w:pStyle w:val="16"/>
              <w:ind w:left="91" w:leftChars="0" w:right="84" w:rightChars="0"/>
              <w:jc w:val="center"/>
              <w:rPr>
                <w:rFonts w:hint="default" w:ascii="宋体" w:hAnsi="宋体" w:eastAsia="宋体" w:cs="宋体"/>
                <w:kern w:val="2"/>
                <w:sz w:val="15"/>
                <w:szCs w:val="15"/>
                <w:lang w:val="en-US" w:eastAsia="zh-CN" w:bidi="zh-CN"/>
              </w:rPr>
            </w:pPr>
          </w:p>
        </w:tc>
        <w:tc>
          <w:tcPr>
            <w:tcW w:w="502" w:type="dxa"/>
            <w:tcBorders>
              <w:top w:val="nil"/>
              <w:left w:val="nil"/>
              <w:bottom w:val="single" w:color="auto" w:sz="4" w:space="0"/>
              <w:right w:val="single" w:color="auto" w:sz="4" w:space="0"/>
            </w:tcBorders>
            <w:noWrap w:val="0"/>
            <w:vAlign w:val="center"/>
          </w:tcPr>
          <w:p>
            <w:pPr>
              <w:pStyle w:val="16"/>
              <w:ind w:left="100" w:leftChars="0" w:right="90" w:rightChars="0"/>
              <w:jc w:val="center"/>
              <w:rPr>
                <w:rFonts w:ascii="宋体" w:hAnsi="宋体" w:eastAsia="宋体" w:cs="宋体"/>
                <w:kern w:val="2"/>
                <w:sz w:val="15"/>
                <w:szCs w:val="15"/>
                <w:lang w:val="zh-CN" w:eastAsia="zh-CN" w:bidi="zh-CN"/>
              </w:rPr>
            </w:pPr>
          </w:p>
        </w:tc>
        <w:tc>
          <w:tcPr>
            <w:tcW w:w="2476" w:type="dxa"/>
            <w:tcBorders>
              <w:top w:val="nil"/>
              <w:left w:val="nil"/>
              <w:bottom w:val="single" w:color="auto" w:sz="4" w:space="0"/>
              <w:right w:val="single" w:color="auto" w:sz="4" w:space="0"/>
            </w:tcBorders>
            <w:noWrap w:val="0"/>
            <w:vAlign w:val="center"/>
          </w:tcPr>
          <w:p>
            <w:pPr>
              <w:pStyle w:val="16"/>
              <w:jc w:val="center"/>
              <w:rPr>
                <w:rFonts w:hint="eastAsia" w:ascii="宋体" w:hAnsi="宋体" w:eastAsia="宋体" w:cs="宋体"/>
                <w:kern w:val="2"/>
                <w:sz w:val="16"/>
                <w:szCs w:val="16"/>
                <w:lang w:val="en-US" w:eastAsia="zh-CN" w:bidi="zh-CN"/>
              </w:rPr>
            </w:pPr>
            <w:r>
              <w:rPr>
                <w:rFonts w:hint="eastAsia"/>
                <w:sz w:val="16"/>
                <w:szCs w:val="16"/>
                <w:lang w:eastAsia="zh-CN"/>
              </w:rPr>
              <w:t>一般公共服务支出</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3</w:t>
            </w:r>
            <w:r>
              <w:rPr>
                <w:rFonts w:hint="eastAsia" w:ascii="宋体" w:hAnsi="宋体" w:cs="宋体"/>
                <w:kern w:val="2"/>
                <w:sz w:val="15"/>
                <w:szCs w:val="15"/>
                <w:lang w:val="en-US" w:eastAsia="zh-CN" w:bidi="zh-CN"/>
              </w:rPr>
              <w:t>46.09</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266.09</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80</w:t>
            </w: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9" w:type="dxa"/>
            <w:tcBorders>
              <w:top w:val="nil"/>
              <w:left w:val="nil"/>
              <w:bottom w:val="single" w:color="auto" w:sz="4" w:space="0"/>
              <w:right w:val="single" w:color="auto" w:sz="4" w:space="0"/>
            </w:tcBorders>
            <w:noWrap w:val="0"/>
            <w:vAlign w:val="center"/>
          </w:tcPr>
          <w:p>
            <w:pPr>
              <w:pStyle w:val="1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pStyle w:val="16"/>
              <w:ind w:left="100" w:leftChars="0" w:right="90" w:rightChars="0"/>
              <w:jc w:val="center"/>
              <w:rPr>
                <w:rFonts w:ascii="宋体" w:hAnsi="宋体" w:eastAsia="宋体" w:cs="宋体"/>
                <w:kern w:val="2"/>
                <w:sz w:val="15"/>
                <w:szCs w:val="15"/>
                <w:lang w:val="zh-CN" w:eastAsia="zh-CN" w:bidi="zh-CN"/>
              </w:rPr>
            </w:pPr>
          </w:p>
        </w:tc>
        <w:tc>
          <w:tcPr>
            <w:tcW w:w="2476" w:type="dxa"/>
            <w:tcBorders>
              <w:top w:val="nil"/>
              <w:left w:val="nil"/>
              <w:bottom w:val="single" w:color="auto" w:sz="4" w:space="0"/>
              <w:right w:val="single" w:color="auto" w:sz="4" w:space="0"/>
            </w:tcBorders>
            <w:noWrap w:val="0"/>
            <w:vAlign w:val="center"/>
          </w:tcPr>
          <w:p>
            <w:pPr>
              <w:pStyle w:val="16"/>
              <w:jc w:val="center"/>
              <w:rPr>
                <w:rFonts w:hint="eastAsia" w:ascii="宋体" w:hAnsi="宋体" w:eastAsia="宋体" w:cs="宋体"/>
                <w:kern w:val="2"/>
                <w:sz w:val="16"/>
                <w:szCs w:val="16"/>
                <w:lang w:val="en-US" w:eastAsia="zh-CN" w:bidi="zh-CN"/>
              </w:rPr>
            </w:pPr>
            <w:r>
              <w:rPr>
                <w:rFonts w:hint="eastAsia"/>
                <w:sz w:val="16"/>
                <w:szCs w:val="16"/>
                <w:lang w:eastAsia="zh-CN"/>
              </w:rPr>
              <w:t>政协事务</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3</w:t>
            </w:r>
            <w:r>
              <w:rPr>
                <w:rFonts w:hint="eastAsia" w:ascii="宋体" w:hAnsi="宋体" w:cs="宋体"/>
                <w:kern w:val="2"/>
                <w:sz w:val="15"/>
                <w:szCs w:val="15"/>
                <w:lang w:val="en-US" w:eastAsia="zh-CN" w:bidi="zh-CN"/>
              </w:rPr>
              <w:t>46.09</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266.09</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80</w:t>
            </w: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pStyle w:val="1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01</w:t>
            </w:r>
          </w:p>
        </w:tc>
        <w:tc>
          <w:tcPr>
            <w:tcW w:w="2476" w:type="dxa"/>
            <w:tcBorders>
              <w:top w:val="nil"/>
              <w:left w:val="nil"/>
              <w:bottom w:val="single" w:color="auto" w:sz="4" w:space="0"/>
              <w:right w:val="single" w:color="auto" w:sz="4" w:space="0"/>
            </w:tcBorders>
            <w:noWrap w:val="0"/>
            <w:vAlign w:val="center"/>
          </w:tcPr>
          <w:p>
            <w:pPr>
              <w:pStyle w:val="16"/>
              <w:spacing w:before="3" w:line="253" w:lineRule="exact"/>
              <w:jc w:val="center"/>
              <w:rPr>
                <w:rFonts w:hint="eastAsia" w:ascii="宋体" w:hAnsi="宋体" w:eastAsia="宋体" w:cs="宋体"/>
                <w:kern w:val="2"/>
                <w:sz w:val="16"/>
                <w:szCs w:val="16"/>
                <w:lang w:val="en-US" w:eastAsia="zh-CN" w:bidi="zh-CN"/>
              </w:rPr>
            </w:pPr>
            <w:r>
              <w:rPr>
                <w:sz w:val="16"/>
                <w:szCs w:val="16"/>
              </w:rPr>
              <w:t>行政运行</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234.14</w:t>
            </w:r>
          </w:p>
        </w:tc>
        <w:tc>
          <w:tcPr>
            <w:tcW w:w="18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234.14</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9"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pStyle w:val="16"/>
              <w:ind w:right="90"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2476" w:type="dxa"/>
            <w:tcBorders>
              <w:top w:val="nil"/>
              <w:left w:val="nil"/>
              <w:bottom w:val="single" w:color="auto" w:sz="4" w:space="0"/>
              <w:right w:val="single" w:color="auto" w:sz="4" w:space="0"/>
            </w:tcBorders>
            <w:noWrap w:val="0"/>
            <w:vAlign w:val="center"/>
          </w:tcPr>
          <w:p>
            <w:pPr>
              <w:pStyle w:val="16"/>
              <w:spacing w:before="3" w:line="253" w:lineRule="exact"/>
              <w:jc w:val="center"/>
              <w:rPr>
                <w:rFonts w:hint="eastAsia" w:ascii="宋体" w:hAnsi="宋体" w:eastAsia="宋体" w:cs="宋体"/>
                <w:kern w:val="2"/>
                <w:sz w:val="16"/>
                <w:szCs w:val="16"/>
                <w:lang w:val="en-US" w:eastAsia="zh-CN" w:bidi="zh-CN"/>
              </w:rPr>
            </w:pPr>
            <w:r>
              <w:rPr>
                <w:rFonts w:hint="eastAsia"/>
                <w:sz w:val="16"/>
                <w:szCs w:val="16"/>
              </w:rPr>
              <w:t>一般行政管理事务</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60</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c>
          <w:tcPr>
            <w:tcW w:w="168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60</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9"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pStyle w:val="16"/>
              <w:spacing w:before="96"/>
              <w:ind w:right="90" w:rightChars="0"/>
              <w:jc w:val="both"/>
              <w:rPr>
                <w:rFonts w:hint="eastAsia"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04</w:t>
            </w: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sz w:val="16"/>
                <w:szCs w:val="16"/>
              </w:rPr>
              <w:t>政协会议</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15</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c>
          <w:tcPr>
            <w:tcW w:w="168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15</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pStyle w:val="1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50</w:t>
            </w: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sz w:val="16"/>
                <w:szCs w:val="16"/>
              </w:rPr>
              <w:t>事业运行</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31.95</w:t>
            </w:r>
          </w:p>
        </w:tc>
        <w:tc>
          <w:tcPr>
            <w:tcW w:w="18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31.95</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w:t>
            </w:r>
            <w:r>
              <w:rPr>
                <w:rFonts w:hint="eastAsia" w:ascii="宋体" w:hAnsi="宋体" w:eastAsia="宋体" w:cs="宋体"/>
                <w:kern w:val="2"/>
                <w:sz w:val="15"/>
                <w:szCs w:val="15"/>
                <w:lang w:val="en-US" w:eastAsia="zh-CN" w:bidi="zh-CN"/>
              </w:rPr>
              <w:t>1</w:t>
            </w:r>
          </w:p>
        </w:tc>
        <w:tc>
          <w:tcPr>
            <w:tcW w:w="4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jc w:val="both"/>
              <w:rPr>
                <w:rFonts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99</w:t>
            </w:r>
          </w:p>
        </w:tc>
        <w:tc>
          <w:tcPr>
            <w:tcW w:w="247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6"/>
                <w:szCs w:val="16"/>
                <w:lang w:val="en-US" w:eastAsia="zh-CN" w:bidi="ar-SA"/>
              </w:rPr>
            </w:pPr>
            <w:r>
              <w:rPr>
                <w:rFonts w:hint="eastAsia" w:ascii="宋体" w:hAnsi="宋体" w:eastAsia="宋体" w:cs="宋体"/>
                <w:kern w:val="2"/>
                <w:sz w:val="16"/>
                <w:szCs w:val="16"/>
                <w:lang w:val="zh-CN" w:eastAsia="zh-CN" w:bidi="zh-CN"/>
              </w:rPr>
              <w:t>其他政协事务支出</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5</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c>
          <w:tcPr>
            <w:tcW w:w="168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5</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208</w:t>
            </w:r>
          </w:p>
        </w:tc>
        <w:tc>
          <w:tcPr>
            <w:tcW w:w="499" w:type="dxa"/>
            <w:tcBorders>
              <w:top w:val="nil"/>
              <w:left w:val="nil"/>
              <w:bottom w:val="single" w:color="auto" w:sz="4" w:space="0"/>
              <w:right w:val="single" w:color="auto" w:sz="4" w:space="0"/>
            </w:tcBorders>
            <w:noWrap w:val="0"/>
            <w:vAlign w:val="center"/>
          </w:tcPr>
          <w:p>
            <w:pPr>
              <w:pStyle w:val="16"/>
              <w:ind w:right="127" w:rightChars="0"/>
              <w:jc w:val="center"/>
              <w:rPr>
                <w:rFonts w:hint="default" w:ascii="宋体" w:hAnsi="宋体" w:eastAsia="宋体" w:cs="宋体"/>
                <w:kern w:val="2"/>
                <w:sz w:val="15"/>
                <w:szCs w:val="15"/>
                <w:lang w:val="en-US" w:eastAsia="zh-CN" w:bidi="zh-CN"/>
              </w:rPr>
            </w:pPr>
          </w:p>
        </w:tc>
        <w:tc>
          <w:tcPr>
            <w:tcW w:w="502"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2476" w:type="dxa"/>
            <w:tcBorders>
              <w:top w:val="nil"/>
              <w:left w:val="nil"/>
              <w:bottom w:val="single" w:color="auto" w:sz="4" w:space="0"/>
              <w:right w:val="single" w:color="auto" w:sz="4" w:space="0"/>
            </w:tcBorders>
            <w:noWrap w:val="0"/>
            <w:vAlign w:val="center"/>
          </w:tcPr>
          <w:p>
            <w:pPr>
              <w:pStyle w:val="16"/>
              <w:spacing w:before="3" w:line="253" w:lineRule="exact"/>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社会保障和就业支出</w:t>
            </w:r>
          </w:p>
        </w:tc>
        <w:tc>
          <w:tcPr>
            <w:tcW w:w="166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41.34</w:t>
            </w:r>
            <w:r>
              <w:rPr>
                <w:rFonts w:hint="eastAsia" w:ascii="宋体" w:hAnsi="宋体" w:eastAsia="宋体" w:cs="宋体"/>
                <w:kern w:val="2"/>
                <w:sz w:val="15"/>
                <w:szCs w:val="15"/>
                <w:lang w:val="zh-CN" w:eastAsia="zh-CN" w:bidi="zh-CN"/>
              </w:rPr>
              <w:t>　</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41.34</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208</w:t>
            </w:r>
          </w:p>
        </w:tc>
        <w:tc>
          <w:tcPr>
            <w:tcW w:w="499"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502" w:type="dxa"/>
            <w:tcBorders>
              <w:top w:val="nil"/>
              <w:left w:val="nil"/>
              <w:bottom w:val="single" w:color="auto" w:sz="4" w:space="0"/>
              <w:right w:val="single" w:color="auto" w:sz="4" w:space="0"/>
            </w:tcBorders>
            <w:noWrap w:val="0"/>
            <w:vAlign w:val="center"/>
          </w:tcPr>
          <w:p>
            <w:pPr>
              <w:pStyle w:val="16"/>
              <w:spacing w:before="96"/>
              <w:ind w:left="100" w:leftChars="0" w:right="90" w:rightChars="0"/>
              <w:jc w:val="center"/>
              <w:rPr>
                <w:rFonts w:ascii="宋体" w:hAnsi="宋体" w:eastAsia="宋体" w:cs="宋体"/>
                <w:kern w:val="2"/>
                <w:sz w:val="15"/>
                <w:szCs w:val="15"/>
                <w:lang w:val="zh-CN" w:eastAsia="zh-CN" w:bidi="zh-CN"/>
              </w:rPr>
            </w:pP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行政事业单位养老支出</w:t>
            </w:r>
          </w:p>
        </w:tc>
        <w:tc>
          <w:tcPr>
            <w:tcW w:w="166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41.34</w:t>
            </w:r>
            <w:r>
              <w:rPr>
                <w:rFonts w:hint="eastAsia" w:ascii="宋体" w:hAnsi="宋体" w:eastAsia="宋体" w:cs="宋体"/>
                <w:kern w:val="2"/>
                <w:sz w:val="15"/>
                <w:szCs w:val="15"/>
                <w:lang w:val="zh-CN" w:eastAsia="zh-CN" w:bidi="zh-CN"/>
              </w:rPr>
              <w:t>　</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41.34</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208</w:t>
            </w:r>
          </w:p>
        </w:tc>
        <w:tc>
          <w:tcPr>
            <w:tcW w:w="499"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eastAsia" w:ascii="宋体" w:hAnsi="宋体" w:eastAsia="宋体" w:cs="宋体"/>
                <w:kern w:val="2"/>
                <w:sz w:val="15"/>
                <w:szCs w:val="15"/>
                <w:lang w:val="en-US" w:eastAsia="zh-CN" w:bidi="zh-CN"/>
              </w:rPr>
            </w:pPr>
            <w:r>
              <w:rPr>
                <w:rFonts w:hint="eastAsia" w:cs="宋体"/>
                <w:kern w:val="2"/>
                <w:sz w:val="15"/>
                <w:szCs w:val="15"/>
                <w:lang w:val="en-US" w:eastAsia="zh-CN" w:bidi="zh-CN"/>
              </w:rPr>
              <w:t>05</w:t>
            </w:r>
          </w:p>
        </w:tc>
        <w:tc>
          <w:tcPr>
            <w:tcW w:w="502"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01</w:t>
            </w: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行政单位离退休</w:t>
            </w:r>
          </w:p>
        </w:tc>
        <w:tc>
          <w:tcPr>
            <w:tcW w:w="166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11.47</w:t>
            </w:r>
            <w:r>
              <w:rPr>
                <w:rFonts w:hint="eastAsia" w:ascii="宋体" w:hAnsi="宋体" w:eastAsia="宋体" w:cs="宋体"/>
                <w:kern w:val="2"/>
                <w:sz w:val="15"/>
                <w:szCs w:val="15"/>
                <w:lang w:val="zh-CN" w:eastAsia="zh-CN" w:bidi="zh-CN"/>
              </w:rPr>
              <w:t>　</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11.47</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208</w:t>
            </w:r>
          </w:p>
        </w:tc>
        <w:tc>
          <w:tcPr>
            <w:tcW w:w="4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502"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05</w:t>
            </w:r>
          </w:p>
        </w:tc>
        <w:tc>
          <w:tcPr>
            <w:tcW w:w="2476" w:type="dxa"/>
            <w:tcBorders>
              <w:top w:val="nil"/>
              <w:left w:val="nil"/>
              <w:bottom w:val="single" w:color="auto" w:sz="4" w:space="0"/>
              <w:right w:val="single" w:color="auto" w:sz="4" w:space="0"/>
            </w:tcBorders>
            <w:noWrap w:val="0"/>
            <w:vAlign w:val="center"/>
          </w:tcPr>
          <w:p>
            <w:pPr>
              <w:pStyle w:val="16"/>
              <w:ind w:right="0" w:rightChars="0"/>
              <w:jc w:val="both"/>
              <w:rPr>
                <w:rFonts w:hint="eastAsia" w:ascii="宋体" w:hAnsi="宋体" w:eastAsia="宋体" w:cs="宋体"/>
                <w:kern w:val="2"/>
                <w:sz w:val="16"/>
                <w:szCs w:val="16"/>
                <w:lang w:val="en-US" w:eastAsia="zh-CN" w:bidi="zh-CN"/>
              </w:rPr>
            </w:pPr>
            <w:r>
              <w:rPr>
                <w:rFonts w:hint="eastAsia" w:cs="宋体"/>
                <w:sz w:val="16"/>
                <w:szCs w:val="16"/>
                <w:lang w:val="zh-CN" w:eastAsia="zh-CN" w:bidi="zh-CN"/>
              </w:rPr>
              <w:t>机关事业单位基本养老保险缴费支出</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29.86</w:t>
            </w:r>
          </w:p>
        </w:tc>
        <w:tc>
          <w:tcPr>
            <w:tcW w:w="18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29.86</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210</w:t>
            </w:r>
          </w:p>
        </w:tc>
        <w:tc>
          <w:tcPr>
            <w:tcW w:w="499" w:type="dxa"/>
            <w:tcBorders>
              <w:top w:val="nil"/>
              <w:left w:val="nil"/>
              <w:bottom w:val="single" w:color="auto" w:sz="4" w:space="0"/>
              <w:right w:val="single" w:color="auto" w:sz="4" w:space="0"/>
            </w:tcBorders>
            <w:noWrap w:val="0"/>
            <w:vAlign w:val="center"/>
          </w:tcPr>
          <w:p>
            <w:pPr>
              <w:pStyle w:val="16"/>
              <w:ind w:right="127" w:rightChars="0"/>
              <w:jc w:val="center"/>
              <w:rPr>
                <w:rFonts w:hint="default" w:ascii="宋体" w:hAnsi="宋体" w:eastAsia="宋体" w:cs="宋体"/>
                <w:kern w:val="2"/>
                <w:sz w:val="15"/>
                <w:szCs w:val="15"/>
                <w:lang w:val="en-US" w:eastAsia="zh-CN" w:bidi="zh-CN"/>
              </w:rPr>
            </w:pPr>
          </w:p>
        </w:tc>
        <w:tc>
          <w:tcPr>
            <w:tcW w:w="502" w:type="dxa"/>
            <w:tcBorders>
              <w:top w:val="nil"/>
              <w:left w:val="nil"/>
              <w:bottom w:val="single" w:color="auto" w:sz="4" w:space="0"/>
              <w:right w:val="single" w:color="auto" w:sz="4" w:space="0"/>
            </w:tcBorders>
            <w:noWrap w:val="0"/>
            <w:vAlign w:val="center"/>
          </w:tcPr>
          <w:p>
            <w:pPr>
              <w:pStyle w:val="16"/>
              <w:ind w:right="127" w:rightChars="0"/>
              <w:jc w:val="center"/>
              <w:rPr>
                <w:rFonts w:ascii="宋体" w:hAnsi="宋体" w:eastAsia="宋体" w:cs="宋体"/>
                <w:kern w:val="2"/>
                <w:sz w:val="15"/>
                <w:szCs w:val="15"/>
                <w:lang w:val="zh-CN" w:eastAsia="zh-CN" w:bidi="zh-CN"/>
              </w:rPr>
            </w:pP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卫生健康支出</w:t>
            </w:r>
          </w:p>
        </w:tc>
        <w:tc>
          <w:tcPr>
            <w:tcW w:w="166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22.58</w:t>
            </w:r>
            <w:r>
              <w:rPr>
                <w:rFonts w:hint="eastAsia" w:ascii="宋体" w:hAnsi="宋体" w:eastAsia="宋体" w:cs="宋体"/>
                <w:kern w:val="2"/>
                <w:sz w:val="15"/>
                <w:szCs w:val="15"/>
                <w:lang w:val="zh-CN" w:eastAsia="zh-CN" w:bidi="zh-CN"/>
              </w:rPr>
              <w:t>　</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22.58</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210</w:t>
            </w:r>
          </w:p>
        </w:tc>
        <w:tc>
          <w:tcPr>
            <w:tcW w:w="499" w:type="dxa"/>
            <w:tcBorders>
              <w:top w:val="nil"/>
              <w:left w:val="nil"/>
              <w:bottom w:val="single" w:color="auto" w:sz="4" w:space="0"/>
              <w:right w:val="single" w:color="auto" w:sz="4" w:space="0"/>
            </w:tcBorders>
            <w:noWrap w:val="0"/>
            <w:vAlign w:val="center"/>
          </w:tcPr>
          <w:p>
            <w:pPr>
              <w:pStyle w:val="16"/>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502" w:type="dxa"/>
            <w:tcBorders>
              <w:top w:val="nil"/>
              <w:left w:val="nil"/>
              <w:bottom w:val="single" w:color="auto" w:sz="4" w:space="0"/>
              <w:right w:val="single" w:color="auto" w:sz="4" w:space="0"/>
            </w:tcBorders>
            <w:noWrap w:val="0"/>
            <w:vAlign w:val="center"/>
          </w:tcPr>
          <w:p>
            <w:pPr>
              <w:pStyle w:val="16"/>
              <w:spacing w:before="96"/>
              <w:ind w:left="100" w:leftChars="0" w:right="90" w:rightChars="0"/>
              <w:jc w:val="center"/>
              <w:rPr>
                <w:rFonts w:ascii="宋体" w:hAnsi="宋体" w:eastAsia="宋体" w:cs="宋体"/>
                <w:kern w:val="2"/>
                <w:sz w:val="15"/>
                <w:szCs w:val="15"/>
                <w:lang w:val="zh-CN" w:eastAsia="zh-CN" w:bidi="zh-CN"/>
              </w:rPr>
            </w:pP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行政事业单位医疗</w:t>
            </w:r>
          </w:p>
        </w:tc>
        <w:tc>
          <w:tcPr>
            <w:tcW w:w="1663"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22.58</w:t>
            </w:r>
            <w:r>
              <w:rPr>
                <w:rFonts w:hint="eastAsia" w:ascii="宋体" w:hAnsi="宋体" w:eastAsia="宋体" w:cs="宋体"/>
                <w:kern w:val="2"/>
                <w:sz w:val="15"/>
                <w:szCs w:val="15"/>
                <w:lang w:val="zh-CN" w:eastAsia="zh-CN" w:bidi="zh-CN"/>
              </w:rPr>
              <w:t>　</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22.58</w:t>
            </w:r>
            <w:r>
              <w:rPr>
                <w:rFonts w:hint="eastAsia" w:ascii="宋体" w:hAnsi="宋体" w:eastAsia="宋体" w:cs="宋体"/>
                <w:kern w:val="2"/>
                <w:sz w:val="15"/>
                <w:szCs w:val="15"/>
                <w:lang w:val="zh-CN" w:eastAsia="zh-CN" w:bidi="zh-CN"/>
              </w:rPr>
              <w:t>　</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210</w:t>
            </w:r>
          </w:p>
        </w:tc>
        <w:tc>
          <w:tcPr>
            <w:tcW w:w="499" w:type="dxa"/>
            <w:tcBorders>
              <w:top w:val="single" w:color="auto" w:sz="4" w:space="0"/>
              <w:left w:val="single" w:color="auto" w:sz="4" w:space="0"/>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zh-CN" w:eastAsia="zh-CN" w:bidi="zh-CN"/>
              </w:rPr>
            </w:pPr>
            <w:r>
              <w:rPr>
                <w:rFonts w:hint="eastAsia" w:ascii="宋体" w:hAnsi="宋体" w:eastAsia="宋体" w:cs="宋体"/>
                <w:kern w:val="2"/>
                <w:sz w:val="15"/>
                <w:szCs w:val="15"/>
                <w:lang w:val="en-US" w:eastAsia="zh-CN" w:bidi="zh-CN"/>
              </w:rPr>
              <w:t>01</w:t>
            </w:r>
          </w:p>
        </w:tc>
        <w:tc>
          <w:tcPr>
            <w:tcW w:w="2476" w:type="dxa"/>
            <w:tcBorders>
              <w:top w:val="single" w:color="auto" w:sz="4" w:space="0"/>
              <w:left w:val="single" w:color="auto" w:sz="4" w:space="0"/>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sz w:val="16"/>
                <w:szCs w:val="16"/>
              </w:rPr>
              <w:t>行政单位医疗</w:t>
            </w:r>
          </w:p>
        </w:tc>
        <w:tc>
          <w:tcPr>
            <w:tcW w:w="166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12.66</w:t>
            </w:r>
            <w:r>
              <w:rPr>
                <w:rFonts w:hint="eastAsia" w:ascii="宋体" w:hAnsi="宋体" w:eastAsia="宋体" w:cs="宋体"/>
                <w:kern w:val="2"/>
                <w:sz w:val="15"/>
                <w:szCs w:val="15"/>
                <w:lang w:val="zh-CN" w:eastAsia="zh-CN" w:bidi="zh-CN"/>
              </w:rPr>
              <w:t>　</w:t>
            </w:r>
          </w:p>
        </w:tc>
        <w:tc>
          <w:tcPr>
            <w:tcW w:w="18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12.66</w:t>
            </w:r>
          </w:p>
        </w:tc>
        <w:tc>
          <w:tcPr>
            <w:tcW w:w="168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210</w:t>
            </w:r>
          </w:p>
        </w:tc>
        <w:tc>
          <w:tcPr>
            <w:tcW w:w="499" w:type="dxa"/>
            <w:tcBorders>
              <w:top w:val="single" w:color="auto" w:sz="4" w:space="0"/>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11</w:t>
            </w:r>
          </w:p>
        </w:tc>
        <w:tc>
          <w:tcPr>
            <w:tcW w:w="502" w:type="dxa"/>
            <w:tcBorders>
              <w:top w:val="single" w:color="auto" w:sz="4" w:space="0"/>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cs="宋体"/>
                <w:kern w:val="2"/>
                <w:sz w:val="15"/>
                <w:szCs w:val="15"/>
                <w:lang w:val="en-US" w:eastAsia="zh-CN" w:bidi="zh-CN"/>
              </w:rPr>
              <w:t>02</w:t>
            </w:r>
          </w:p>
        </w:tc>
        <w:tc>
          <w:tcPr>
            <w:tcW w:w="2476" w:type="dxa"/>
            <w:tcBorders>
              <w:top w:val="single" w:color="auto" w:sz="4" w:space="0"/>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sz w:val="16"/>
                <w:szCs w:val="16"/>
                <w:lang w:eastAsia="zh-CN"/>
              </w:rPr>
              <w:t>事业</w:t>
            </w:r>
            <w:r>
              <w:rPr>
                <w:sz w:val="16"/>
                <w:szCs w:val="16"/>
              </w:rPr>
              <w:t>单位医疗</w:t>
            </w:r>
          </w:p>
        </w:tc>
        <w:tc>
          <w:tcPr>
            <w:tcW w:w="1663"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2.27</w:t>
            </w:r>
          </w:p>
        </w:tc>
        <w:tc>
          <w:tcPr>
            <w:tcW w:w="1825"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2.27</w:t>
            </w:r>
          </w:p>
        </w:tc>
        <w:tc>
          <w:tcPr>
            <w:tcW w:w="1681" w:type="dxa"/>
            <w:tcBorders>
              <w:top w:val="single" w:color="auto" w:sz="4" w:space="0"/>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210</w:t>
            </w:r>
          </w:p>
        </w:tc>
        <w:tc>
          <w:tcPr>
            <w:tcW w:w="499" w:type="dxa"/>
            <w:tcBorders>
              <w:top w:val="nil"/>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502"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ascii="宋体" w:hAnsi="宋体" w:eastAsia="宋体" w:cs="宋体"/>
                <w:kern w:val="2"/>
                <w:sz w:val="15"/>
                <w:szCs w:val="15"/>
                <w:lang w:val="zh-CN" w:eastAsia="zh-CN" w:bidi="zh-CN"/>
              </w:rPr>
            </w:pPr>
            <w:r>
              <w:rPr>
                <w:rFonts w:ascii="宋体" w:hAnsi="宋体" w:eastAsia="宋体" w:cs="宋体"/>
                <w:kern w:val="2"/>
                <w:sz w:val="15"/>
                <w:szCs w:val="15"/>
                <w:lang w:val="zh-CN" w:eastAsia="zh-CN" w:bidi="zh-CN"/>
              </w:rPr>
              <w:t>03</w:t>
            </w: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sz w:val="16"/>
                <w:szCs w:val="16"/>
              </w:rPr>
              <w:t>公务员医疗补助</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7.47</w:t>
            </w:r>
          </w:p>
        </w:tc>
        <w:tc>
          <w:tcPr>
            <w:tcW w:w="18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7.47</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210</w:t>
            </w:r>
          </w:p>
        </w:tc>
        <w:tc>
          <w:tcPr>
            <w:tcW w:w="499" w:type="dxa"/>
            <w:tcBorders>
              <w:top w:val="nil"/>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11</w:t>
            </w:r>
          </w:p>
        </w:tc>
        <w:tc>
          <w:tcPr>
            <w:tcW w:w="502" w:type="dxa"/>
            <w:tcBorders>
              <w:top w:val="nil"/>
              <w:left w:val="nil"/>
              <w:bottom w:val="single" w:color="auto" w:sz="4" w:space="0"/>
              <w:right w:val="single" w:color="auto" w:sz="4" w:space="0"/>
            </w:tcBorders>
            <w:noWrap w:val="0"/>
            <w:vAlign w:val="center"/>
          </w:tcPr>
          <w:p>
            <w:pPr>
              <w:pStyle w:val="16"/>
              <w:spacing w:before="96"/>
              <w:ind w:right="90" w:rightChars="0"/>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99</w:t>
            </w: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其他行政事业单位医疗支出</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0.19</w:t>
            </w:r>
          </w:p>
        </w:tc>
        <w:tc>
          <w:tcPr>
            <w:tcW w:w="18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zh-CN" w:eastAsia="zh-CN" w:bidi="zh-CN"/>
              </w:rPr>
              <w:t>　</w:t>
            </w:r>
            <w:r>
              <w:rPr>
                <w:rFonts w:hint="eastAsia" w:ascii="宋体" w:hAnsi="宋体" w:eastAsia="宋体" w:cs="宋体"/>
                <w:kern w:val="2"/>
                <w:sz w:val="15"/>
                <w:szCs w:val="15"/>
                <w:lang w:val="en-US" w:eastAsia="zh-CN" w:bidi="zh-CN"/>
              </w:rPr>
              <w:t>0.19</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eastAsia="宋体" w:cs="宋体"/>
                <w:kern w:val="2"/>
                <w:sz w:val="15"/>
                <w:szCs w:val="15"/>
                <w:lang w:val="zh-CN" w:eastAsia="zh-CN" w:bidi="zh-CN"/>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en-US" w:eastAsia="zh-CN" w:bidi="zh-CN"/>
              </w:rPr>
            </w:pPr>
            <w:r>
              <w:rPr>
                <w:rFonts w:ascii="宋体" w:hAnsi="宋体" w:eastAsia="宋体" w:cs="宋体"/>
                <w:kern w:val="2"/>
                <w:sz w:val="15"/>
                <w:szCs w:val="15"/>
                <w:lang w:val="zh-CN" w:eastAsia="zh-CN" w:bidi="zh-CN"/>
              </w:rPr>
              <w:t>221</w:t>
            </w:r>
          </w:p>
        </w:tc>
        <w:tc>
          <w:tcPr>
            <w:tcW w:w="499" w:type="dxa"/>
            <w:tcBorders>
              <w:top w:val="nil"/>
              <w:left w:val="nil"/>
              <w:bottom w:val="single" w:color="auto" w:sz="4" w:space="0"/>
              <w:right w:val="single" w:color="auto" w:sz="4" w:space="0"/>
            </w:tcBorders>
            <w:noWrap w:val="0"/>
            <w:vAlign w:val="center"/>
          </w:tcPr>
          <w:p>
            <w:pPr>
              <w:pStyle w:val="16"/>
              <w:ind w:right="127" w:rightChars="0"/>
              <w:jc w:val="center"/>
              <w:rPr>
                <w:rFonts w:hint="default" w:ascii="宋体" w:hAnsi="宋体" w:eastAsia="宋体" w:cs="宋体"/>
                <w:kern w:val="2"/>
                <w:sz w:val="15"/>
                <w:szCs w:val="15"/>
                <w:lang w:val="en-US" w:eastAsia="zh-CN" w:bidi="zh-CN"/>
              </w:rPr>
            </w:pPr>
          </w:p>
        </w:tc>
        <w:tc>
          <w:tcPr>
            <w:tcW w:w="502" w:type="dxa"/>
            <w:tcBorders>
              <w:top w:val="nil"/>
              <w:left w:val="nil"/>
              <w:bottom w:val="single" w:color="auto" w:sz="4" w:space="0"/>
              <w:right w:val="single" w:color="auto" w:sz="4" w:space="0"/>
            </w:tcBorders>
            <w:noWrap w:val="0"/>
            <w:vAlign w:val="center"/>
          </w:tcPr>
          <w:p>
            <w:pPr>
              <w:pStyle w:val="16"/>
              <w:ind w:right="127" w:rightChars="0"/>
              <w:jc w:val="center"/>
              <w:rPr>
                <w:rFonts w:hint="eastAsia" w:ascii="宋体" w:hAnsi="宋体" w:eastAsia="宋体" w:cs="宋体"/>
                <w:kern w:val="2"/>
                <w:sz w:val="15"/>
                <w:szCs w:val="15"/>
                <w:lang w:val="en-US" w:eastAsia="zh-CN" w:bidi="zh-CN"/>
              </w:rPr>
            </w:pPr>
          </w:p>
        </w:tc>
        <w:tc>
          <w:tcPr>
            <w:tcW w:w="2476" w:type="dxa"/>
            <w:tcBorders>
              <w:top w:val="nil"/>
              <w:left w:val="nil"/>
              <w:bottom w:val="single" w:color="auto" w:sz="4" w:space="0"/>
              <w:right w:val="single" w:color="auto" w:sz="4" w:space="0"/>
            </w:tcBorders>
            <w:noWrap w:val="0"/>
            <w:vAlign w:val="center"/>
          </w:tcPr>
          <w:p>
            <w:pPr>
              <w:pStyle w:val="16"/>
              <w:ind w:right="0" w:rightChars="0"/>
              <w:jc w:val="center"/>
              <w:rPr>
                <w:rFonts w:hint="eastAsia" w:ascii="宋体" w:hAnsi="宋体" w:eastAsia="宋体" w:cs="宋体"/>
                <w:kern w:val="2"/>
                <w:sz w:val="16"/>
                <w:szCs w:val="16"/>
                <w:lang w:val="en-US" w:eastAsia="zh-CN" w:bidi="zh-CN"/>
              </w:rPr>
            </w:pPr>
            <w:r>
              <w:rPr>
                <w:rFonts w:hint="eastAsia" w:cs="宋体"/>
                <w:sz w:val="16"/>
                <w:szCs w:val="16"/>
                <w:lang w:val="zh-CN" w:eastAsia="zh-CN" w:bidi="zh-CN"/>
              </w:rPr>
              <w:t>住房保障支出</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24.36</w:t>
            </w:r>
          </w:p>
        </w:tc>
        <w:tc>
          <w:tcPr>
            <w:tcW w:w="1825"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24.36</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50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2"/>
                <w:sz w:val="15"/>
                <w:szCs w:val="15"/>
                <w:lang w:val="en-US" w:eastAsia="zh-CN" w:bidi="zh-CN"/>
              </w:rPr>
            </w:pPr>
          </w:p>
        </w:tc>
        <w:tc>
          <w:tcPr>
            <w:tcW w:w="2476" w:type="dxa"/>
            <w:tcBorders>
              <w:top w:val="nil"/>
              <w:left w:val="nil"/>
              <w:bottom w:val="single" w:color="auto" w:sz="4" w:space="0"/>
              <w:right w:val="single" w:color="auto" w:sz="4" w:space="0"/>
            </w:tcBorders>
            <w:noWrap w:val="0"/>
            <w:vAlign w:val="center"/>
          </w:tcPr>
          <w:p>
            <w:pPr>
              <w:pStyle w:val="16"/>
              <w:jc w:val="center"/>
              <w:rPr>
                <w:rFonts w:hint="eastAsia" w:ascii="Times New Roman" w:hAnsi="宋体" w:eastAsia="宋体" w:cs="宋体"/>
                <w:kern w:val="2"/>
                <w:sz w:val="16"/>
                <w:szCs w:val="16"/>
                <w:lang w:val="en-US" w:eastAsia="zh-CN" w:bidi="zh-CN"/>
              </w:rPr>
            </w:pPr>
            <w:r>
              <w:rPr>
                <w:rFonts w:hint="eastAsia" w:ascii="Times New Roman"/>
                <w:sz w:val="16"/>
                <w:szCs w:val="16"/>
                <w:lang w:eastAsia="zh-CN"/>
              </w:rPr>
              <w:t>住房改革支出</w:t>
            </w:r>
          </w:p>
        </w:tc>
        <w:tc>
          <w:tcPr>
            <w:tcW w:w="166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24.36</w:t>
            </w:r>
          </w:p>
        </w:tc>
        <w:tc>
          <w:tcPr>
            <w:tcW w:w="182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5"/>
                <w:szCs w:val="15"/>
                <w:lang w:val="en-US" w:eastAsia="zh-CN" w:bidi="zh-CN"/>
              </w:rPr>
            </w:pPr>
            <w:r>
              <w:rPr>
                <w:rFonts w:hint="eastAsia" w:ascii="宋体" w:hAnsi="宋体" w:cs="宋体"/>
                <w:kern w:val="2"/>
                <w:sz w:val="15"/>
                <w:szCs w:val="15"/>
                <w:lang w:val="en-US" w:eastAsia="zh-CN" w:bidi="zh-CN"/>
              </w:rPr>
              <w:t>24.36</w:t>
            </w:r>
          </w:p>
        </w:tc>
        <w:tc>
          <w:tcPr>
            <w:tcW w:w="168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5"/>
                <w:szCs w:val="15"/>
                <w:lang w:val="zh-CN" w:eastAsia="zh-CN" w:bidi="zh-CN"/>
              </w:rPr>
            </w:pP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221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r>
              <w:rPr>
                <w:rFonts w:hint="eastAsia" w:ascii="宋体" w:hAnsi="宋体" w:eastAsia="宋体" w:cs="宋体"/>
                <w:kern w:val="2"/>
                <w:sz w:val="15"/>
                <w:szCs w:val="15"/>
                <w:lang w:val="en-US" w:eastAsia="zh-CN" w:bidi="zh-CN"/>
              </w:rPr>
              <w:t>01</w:t>
            </w:r>
          </w:p>
        </w:tc>
        <w:tc>
          <w:tcPr>
            <w:tcW w:w="0" w:type="auto"/>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Times New Roman" w:hAnsi="宋体" w:eastAsia="宋体" w:cs="宋体"/>
                <w:kern w:val="2"/>
                <w:sz w:val="16"/>
                <w:szCs w:val="16"/>
                <w:lang w:val="en-US" w:eastAsia="zh-CN" w:bidi="zh-CN"/>
              </w:rPr>
            </w:pPr>
            <w:r>
              <w:rPr>
                <w:sz w:val="16"/>
                <w:szCs w:val="16"/>
              </w:rPr>
              <w:t>住房公积金</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24.36</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2"/>
                <w:sz w:val="15"/>
                <w:szCs w:val="15"/>
                <w:lang w:val="zh-CN" w:eastAsia="zh-CN" w:bidi="zh-CN"/>
              </w:rPr>
            </w:pPr>
            <w:r>
              <w:rPr>
                <w:rFonts w:hint="eastAsia" w:ascii="宋体" w:hAnsi="宋体" w:cs="宋体"/>
                <w:kern w:val="2"/>
                <w:sz w:val="15"/>
                <w:szCs w:val="15"/>
                <w:lang w:val="en-US" w:eastAsia="zh-CN" w:bidi="zh-CN"/>
              </w:rPr>
              <w:t>24.36</w:t>
            </w:r>
          </w:p>
        </w:tc>
        <w:tc>
          <w:tcPr>
            <w:tcW w:w="0" w:type="auto"/>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kern w:val="2"/>
                <w:sz w:val="15"/>
                <w:szCs w:val="15"/>
                <w:lang w:val="zh-CN" w:eastAsia="zh-CN" w:bidi="zh-CN"/>
              </w:rPr>
            </w:pP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15"/>
                <w:szCs w:val="15"/>
                <w:lang w:val="en-US" w:eastAsia="zh-CN" w:bidi="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6"/>
              <w:jc w:val="center"/>
              <w:rPr>
                <w:sz w:val="16"/>
                <w:szCs w:val="16"/>
              </w:rPr>
            </w:pPr>
            <w:r>
              <w:rPr>
                <w:rFonts w:hint="eastAsia" w:ascii="仿宋_GB2312" w:hAnsi="仿宋_GB2312" w:eastAsia="仿宋_GB2312" w:cs="仿宋_GB2312"/>
                <w:b/>
                <w:bCs/>
                <w:color w:val="auto"/>
                <w:kern w:val="0"/>
                <w:sz w:val="20"/>
                <w:szCs w:val="20"/>
                <w:highlight w:val="none"/>
              </w:rPr>
              <w:t>合  计</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s="宋体"/>
                <w:kern w:val="2"/>
                <w:sz w:val="15"/>
                <w:szCs w:val="15"/>
                <w:highlight w:val="cyan"/>
                <w:lang w:val="en-US" w:eastAsia="zh-CN" w:bidi="zh-CN"/>
              </w:rPr>
            </w:pPr>
            <w:r>
              <w:rPr>
                <w:rFonts w:hint="eastAsia" w:ascii="宋体" w:hAnsi="宋体" w:cs="宋体"/>
                <w:color w:val="auto"/>
                <w:kern w:val="2"/>
                <w:sz w:val="15"/>
                <w:szCs w:val="15"/>
                <w:highlight w:val="none"/>
                <w:lang w:val="en-US" w:eastAsia="zh-CN" w:bidi="zh-CN"/>
              </w:rPr>
              <w:t>434.38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s="宋体"/>
                <w:kern w:val="2"/>
                <w:sz w:val="15"/>
                <w:szCs w:val="15"/>
                <w:highlight w:val="none"/>
                <w:lang w:val="en-US" w:eastAsia="zh-CN" w:bidi="zh-CN"/>
              </w:rPr>
            </w:pPr>
            <w:r>
              <w:rPr>
                <w:rFonts w:hint="eastAsia" w:ascii="宋体" w:hAnsi="宋体" w:cs="宋体"/>
                <w:kern w:val="2"/>
                <w:sz w:val="15"/>
                <w:szCs w:val="15"/>
                <w:highlight w:val="none"/>
                <w:lang w:val="en-US" w:eastAsia="zh-CN" w:bidi="zh-CN"/>
              </w:rPr>
              <w:t>354.38</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5"/>
                <w:szCs w:val="15"/>
                <w:highlight w:val="none"/>
                <w:lang w:val="en-US" w:eastAsia="zh-CN" w:bidi="zh-CN"/>
              </w:rPr>
            </w:pPr>
            <w:r>
              <w:rPr>
                <w:rFonts w:hint="eastAsia" w:ascii="宋体" w:hAnsi="宋体" w:cs="宋体"/>
                <w:kern w:val="2"/>
                <w:sz w:val="15"/>
                <w:szCs w:val="15"/>
                <w:highlight w:val="none"/>
                <w:lang w:val="en-US" w:eastAsia="zh-CN" w:bidi="zh-CN"/>
              </w:rPr>
              <w:t>80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10"/>
        <w:rPr>
          <w:rFonts w:hint="eastAsia" w:ascii="宋体" w:hAnsi="宋体" w:eastAsia="宋体" w:cs="宋体"/>
          <w:i w:val="0"/>
          <w:color w:val="FF0000"/>
          <w:kern w:val="0"/>
          <w:sz w:val="20"/>
          <w:szCs w:val="20"/>
          <w:highlight w:val="none"/>
          <w:u w:val="none"/>
          <w:lang w:val="en-US" w:eastAsia="zh-CN" w:bidi="ar"/>
        </w:rPr>
      </w:pPr>
    </w:p>
    <w:p>
      <w:pPr>
        <w:pStyle w:val="10"/>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tblInd w:w="-148"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280.71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280.71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78.48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78.48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61.57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61.57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55.24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55.24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绩效工资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7.73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7.73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机关事业单位基本养老保险缴费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29.86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29.86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14.93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14.93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7.47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7.47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1.08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24.36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24.36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60.47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60.47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宋体" w:hAnsi="宋体" w:cs="宋体"/>
                <w:color w:val="auto"/>
                <w:kern w:val="0"/>
                <w:sz w:val="20"/>
                <w:szCs w:val="20"/>
                <w:highlight w:val="none"/>
                <w:lang w:val="en-US" w:eastAsia="zh-CN"/>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1.41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1.41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0.39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0.39　</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邮电费</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0.54</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single" w:color="auto" w:sz="4" w:space="0"/>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差旅费</w:t>
            </w:r>
          </w:p>
        </w:tc>
        <w:tc>
          <w:tcPr>
            <w:tcW w:w="170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0.58　</w:t>
            </w:r>
          </w:p>
        </w:tc>
        <w:tc>
          <w:tcPr>
            <w:tcW w:w="170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0.58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劳务费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其他交通费用</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w:t>
            </w:r>
            <w:r>
              <w:rPr>
                <w:rFonts w:hint="default" w:ascii="仿宋_GB2312" w:hAnsi="宋体" w:eastAsia="仿宋_GB2312" w:cs="宋体"/>
                <w:color w:val="auto"/>
                <w:kern w:val="0"/>
                <w:sz w:val="20"/>
                <w:szCs w:val="20"/>
                <w:highlight w:val="none"/>
                <w:lang w:val="en-US"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ascii="仿宋_GB2312" w:hAnsi="宋体" w:eastAsia="仿宋_GB2312" w:cs="宋体"/>
                <w:color w:val="auto"/>
                <w:kern w:val="0"/>
                <w:sz w:val="20"/>
                <w:szCs w:val="20"/>
                <w:highlight w:val="none"/>
                <w:lang w:val="en-US" w:eastAsia="zh-CN"/>
              </w:rPr>
              <w:t>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13.19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13.19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11.47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11.47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1.72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1.72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ind w:firstLine="1004" w:firstLineChars="500"/>
              <w:jc w:val="left"/>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rPr>
              <w:t>合  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354.38</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293.91</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60.47</w:t>
            </w:r>
          </w:p>
        </w:tc>
      </w:tr>
    </w:tbl>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pStyle w:val="1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540" w:type="dxa"/>
        <w:tblInd w:w="-360" w:type="dxa"/>
        <w:tblLayout w:type="autofit"/>
        <w:tblCellMar>
          <w:top w:w="0" w:type="dxa"/>
          <w:left w:w="108" w:type="dxa"/>
          <w:bottom w:w="0" w:type="dxa"/>
          <w:right w:w="108" w:type="dxa"/>
        </w:tblCellMar>
      </w:tblPr>
      <w:tblGrid>
        <w:gridCol w:w="9"/>
        <w:gridCol w:w="447"/>
        <w:gridCol w:w="417"/>
        <w:gridCol w:w="417"/>
        <w:gridCol w:w="796"/>
        <w:gridCol w:w="1135"/>
        <w:gridCol w:w="741"/>
        <w:gridCol w:w="521"/>
        <w:gridCol w:w="741"/>
        <w:gridCol w:w="577"/>
        <w:gridCol w:w="577"/>
        <w:gridCol w:w="618"/>
        <w:gridCol w:w="636"/>
        <w:gridCol w:w="618"/>
        <w:gridCol w:w="419"/>
        <w:gridCol w:w="419"/>
        <w:gridCol w:w="384"/>
        <w:gridCol w:w="68"/>
      </w:tblGrid>
      <w:tr>
        <w:tblPrEx>
          <w:tblCellMar>
            <w:top w:w="0" w:type="dxa"/>
            <w:left w:w="108" w:type="dxa"/>
            <w:bottom w:w="0" w:type="dxa"/>
            <w:right w:w="108" w:type="dxa"/>
          </w:tblCellMar>
        </w:tblPrEx>
        <w:trPr>
          <w:gridBefore w:val="1"/>
          <w:gridAfter w:val="1"/>
          <w:wBefore w:w="9" w:type="dxa"/>
          <w:wAfter w:w="68" w:type="dxa"/>
          <w:trHeight w:val="375" w:hRule="atLeast"/>
        </w:trPr>
        <w:tc>
          <w:tcPr>
            <w:tcW w:w="9463"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68" w:type="dxa"/>
          <w:trHeight w:val="405" w:hRule="atLeast"/>
        </w:trPr>
        <w:tc>
          <w:tcPr>
            <w:tcW w:w="9463"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9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9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3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3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2"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9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Hans" w:bidi="ar-SA"/>
              </w:rPr>
            </w:pP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796" w:type="dxa"/>
            <w:noWrap w:val="0"/>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一般公共服务支出</w:t>
            </w:r>
            <w:r>
              <w:rPr>
                <w:rFonts w:hint="eastAsia" w:ascii="仿宋_GB2312" w:hAnsi="仿宋_GB2312" w:eastAsia="仿宋_GB2312" w:cs="仿宋_GB2312"/>
                <w:b/>
                <w:bCs/>
                <w:color w:val="auto"/>
                <w:kern w:val="0"/>
                <w:sz w:val="18"/>
                <w:szCs w:val="18"/>
                <w:highlight w:val="none"/>
              </w:rPr>
              <w:t>　</w:t>
            </w:r>
          </w:p>
        </w:tc>
        <w:tc>
          <w:tcPr>
            <w:tcW w:w="1135"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80</w:t>
            </w:r>
          </w:p>
        </w:tc>
        <w:tc>
          <w:tcPr>
            <w:tcW w:w="521"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73.95</w:t>
            </w:r>
          </w:p>
        </w:tc>
        <w:tc>
          <w:tcPr>
            <w:tcW w:w="57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w:t>
            </w: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36"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4.05</w:t>
            </w: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52" w:type="dxa"/>
            <w:gridSpan w:val="2"/>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796"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政协事务</w:t>
            </w:r>
          </w:p>
        </w:tc>
        <w:tc>
          <w:tcPr>
            <w:tcW w:w="113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741"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80</w:t>
            </w:r>
          </w:p>
        </w:tc>
        <w:tc>
          <w:tcPr>
            <w:tcW w:w="521"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c>
          <w:tcPr>
            <w:tcW w:w="741"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73.95</w:t>
            </w:r>
          </w:p>
        </w:tc>
        <w:tc>
          <w:tcPr>
            <w:tcW w:w="57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w:t>
            </w:r>
          </w:p>
        </w:tc>
        <w:tc>
          <w:tcPr>
            <w:tcW w:w="57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c>
          <w:tcPr>
            <w:tcW w:w="618"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c>
          <w:tcPr>
            <w:tcW w:w="636"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4.05</w:t>
            </w: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52" w:type="dxa"/>
            <w:gridSpan w:val="2"/>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56" w:type="dxa"/>
            <w:gridSpan w:val="2"/>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796" w:type="dxa"/>
            <w:noWrap w:val="0"/>
            <w:vAlign w:val="top"/>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一般行政管理事务</w:t>
            </w:r>
          </w:p>
        </w:tc>
        <w:tc>
          <w:tcPr>
            <w:tcW w:w="113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运转经费（2025年非定额）</w:t>
            </w:r>
            <w:r>
              <w:rPr>
                <w:rFonts w:hint="eastAsia" w:ascii="仿宋_GB2312" w:hAnsi="宋体" w:eastAsia="仿宋_GB2312"/>
                <w:color w:val="auto"/>
                <w:kern w:val="0"/>
                <w:sz w:val="18"/>
                <w:szCs w:val="18"/>
                <w:highlight w:val="none"/>
              </w:rPr>
              <w:t>　</w:t>
            </w: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w:t>
            </w:r>
          </w:p>
        </w:tc>
        <w:tc>
          <w:tcPr>
            <w:tcW w:w="521"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58</w:t>
            </w:r>
          </w:p>
        </w:tc>
        <w:tc>
          <w:tcPr>
            <w:tcW w:w="57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w:t>
            </w: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36"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52" w:type="dxa"/>
            <w:gridSpan w:val="2"/>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796"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政协会议</w:t>
            </w:r>
          </w:p>
        </w:tc>
        <w:tc>
          <w:tcPr>
            <w:tcW w:w="113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政协会议费（2025年非定额）</w:t>
            </w:r>
            <w:r>
              <w:rPr>
                <w:rFonts w:hint="eastAsia" w:ascii="仿宋_GB2312" w:hAnsi="宋体" w:eastAsia="仿宋_GB2312"/>
                <w:color w:val="auto"/>
                <w:kern w:val="0"/>
                <w:sz w:val="18"/>
                <w:szCs w:val="18"/>
                <w:highlight w:val="none"/>
              </w:rPr>
              <w:t>　</w:t>
            </w: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w:t>
            </w:r>
          </w:p>
        </w:tc>
        <w:tc>
          <w:tcPr>
            <w:tcW w:w="521"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10.95</w:t>
            </w: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36"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4.05</w:t>
            </w: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52" w:type="dxa"/>
            <w:gridSpan w:val="2"/>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796"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其他政协事务支出</w:t>
            </w:r>
          </w:p>
        </w:tc>
        <w:tc>
          <w:tcPr>
            <w:tcW w:w="113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2025年度自治区基层政协补助经费</w:t>
            </w:r>
            <w:r>
              <w:rPr>
                <w:rFonts w:hint="eastAsia" w:ascii="仿宋_GB2312" w:hAnsi="宋体" w:eastAsia="仿宋_GB2312"/>
                <w:color w:val="auto"/>
                <w:kern w:val="0"/>
                <w:sz w:val="18"/>
                <w:szCs w:val="18"/>
                <w:highlight w:val="none"/>
              </w:rPr>
              <w:t>　　</w:t>
            </w: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w:t>
            </w:r>
          </w:p>
        </w:tc>
        <w:tc>
          <w:tcPr>
            <w:tcW w:w="521"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w:t>
            </w: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36"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9"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52" w:type="dxa"/>
            <w:gridSpan w:val="2"/>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3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80</w:t>
            </w:r>
          </w:p>
        </w:tc>
        <w:tc>
          <w:tcPr>
            <w:tcW w:w="521"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74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73.95</w:t>
            </w:r>
          </w:p>
        </w:tc>
        <w:tc>
          <w:tcPr>
            <w:tcW w:w="57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w:t>
            </w:r>
          </w:p>
        </w:tc>
        <w:tc>
          <w:tcPr>
            <w:tcW w:w="577"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18" w:type="dxa"/>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636"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4.05</w:t>
            </w:r>
          </w:p>
        </w:tc>
        <w:tc>
          <w:tcPr>
            <w:tcW w:w="618" w:type="dxa"/>
            <w:noWrap w:val="0"/>
            <w:vAlign w:val="center"/>
          </w:tcPr>
          <w:p>
            <w:pPr>
              <w:widowControl/>
              <w:jc w:val="center"/>
              <w:outlineLvl w:val="1"/>
              <w:rPr>
                <w:rFonts w:hint="eastAsia" w:ascii="仿宋_GB2312" w:hAnsi="宋体" w:eastAsia="仿宋_GB2312" w:cs="Times New Roman"/>
                <w:color w:val="auto"/>
                <w:kern w:val="0"/>
                <w:szCs w:val="21"/>
                <w:highlight w:val="none"/>
                <w:lang w:val="en-US" w:eastAsia="zh-CN"/>
              </w:rPr>
            </w:pPr>
          </w:p>
        </w:tc>
        <w:tc>
          <w:tcPr>
            <w:tcW w:w="419" w:type="dxa"/>
            <w:noWrap w:val="0"/>
            <w:vAlign w:val="center"/>
          </w:tcPr>
          <w:p>
            <w:pPr>
              <w:widowControl/>
              <w:jc w:val="center"/>
              <w:outlineLvl w:val="1"/>
              <w:rPr>
                <w:rFonts w:hint="eastAsia" w:ascii="仿宋_GB2312" w:hAnsi="宋体" w:eastAsia="仿宋_GB2312" w:cs="Times New Roman"/>
                <w:color w:val="auto"/>
                <w:kern w:val="0"/>
                <w:szCs w:val="21"/>
                <w:highlight w:val="none"/>
                <w:lang w:val="en-US" w:eastAsia="zh-CN"/>
              </w:rPr>
            </w:pPr>
          </w:p>
        </w:tc>
        <w:tc>
          <w:tcPr>
            <w:tcW w:w="419" w:type="dxa"/>
            <w:noWrap w:val="0"/>
            <w:vAlign w:val="center"/>
          </w:tcPr>
          <w:p>
            <w:pPr>
              <w:widowControl/>
              <w:jc w:val="center"/>
              <w:outlineLvl w:val="1"/>
              <w:rPr>
                <w:rFonts w:hint="eastAsia" w:ascii="仿宋_GB2312" w:hAnsi="宋体" w:eastAsia="仿宋_GB2312" w:cs="Times New Roman"/>
                <w:color w:val="auto"/>
                <w:kern w:val="0"/>
                <w:szCs w:val="21"/>
                <w:highlight w:val="none"/>
                <w:lang w:val="en-US" w:eastAsia="zh-CN"/>
              </w:rPr>
            </w:pPr>
          </w:p>
          <w:p/>
        </w:tc>
        <w:tc>
          <w:tcPr>
            <w:tcW w:w="452" w:type="dxa"/>
            <w:gridSpan w:val="2"/>
            <w:noWrap w:val="0"/>
            <w:vAlign w:val="center"/>
          </w:tcPr>
          <w:p>
            <w:pPr>
              <w:widowControl/>
              <w:jc w:val="center"/>
              <w:outlineLvl w:val="1"/>
              <w:rPr>
                <w:rFonts w:hint="eastAsia" w:ascii="仿宋_GB2312" w:hAnsi="宋体" w:eastAsia="仿宋_GB2312" w:cs="Times New Roman"/>
                <w:color w:val="auto"/>
                <w:kern w:val="0"/>
                <w:szCs w:val="21"/>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备注：中国人民政治协商会议新疆维吾尔自治区呼图壁县委员会2025年无政府性基金预算拨款安排的支出，此表为空。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备注：中国人民政治协商会议新疆维吾尔自治区呼图壁县委员会2025年无国有资本经营预算拨款安排的支出，此表为空。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lang w:val="en-US" w:eastAsia="zh-CN"/>
        </w:rPr>
      </w:pPr>
    </w:p>
    <w:p>
      <w:pPr>
        <w:pStyle w:val="10"/>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12"/>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11.25</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11.25</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0.25</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0.25</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10</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10</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10"/>
        <w:rPr>
          <w:rFonts w:hint="eastAsia" w:ascii="仿宋" w:hAnsi="仿宋" w:eastAsia="仿宋" w:cs="仿宋_GB2312"/>
          <w:bCs/>
          <w:color w:val="auto"/>
          <w:kern w:val="0"/>
          <w:sz w:val="28"/>
          <w:szCs w:val="28"/>
          <w:highlight w:val="none"/>
        </w:rPr>
      </w:pPr>
    </w:p>
    <w:p>
      <w:pPr>
        <w:pStyle w:val="10"/>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2"/>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仿宋_GB2312" w:hAnsi="宋体" w:eastAsia="仿宋_GB2312"/>
                <w:color w:val="auto"/>
                <w:kern w:val="0"/>
                <w:sz w:val="18"/>
                <w:szCs w:val="18"/>
                <w:highlight w:val="none"/>
                <w:lang w:val="en-US" w:eastAsia="zh-CN"/>
              </w:rPr>
              <w:t>呼图壁县2024年为民办实事经费</w:t>
            </w:r>
          </w:p>
        </w:tc>
        <w:tc>
          <w:tcPr>
            <w:tcW w:w="850"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9.53</w:t>
            </w:r>
          </w:p>
        </w:tc>
        <w:tc>
          <w:tcPr>
            <w:tcW w:w="1054"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9.53</w:t>
            </w:r>
          </w:p>
        </w:tc>
        <w:tc>
          <w:tcPr>
            <w:tcW w:w="890"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p>
        </w:tc>
        <w:tc>
          <w:tcPr>
            <w:tcW w:w="714" w:type="dxa"/>
            <w:noWrap w:val="0"/>
            <w:vAlign w:val="top"/>
          </w:tcPr>
          <w:p>
            <w:pPr>
              <w:widowControl/>
              <w:spacing w:line="280" w:lineRule="exact"/>
              <w:jc w:val="center"/>
              <w:rPr>
                <w:rFonts w:hint="default" w:ascii="宋体" w:hAnsi="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　　</w:t>
            </w:r>
          </w:p>
        </w:tc>
        <w:tc>
          <w:tcPr>
            <w:tcW w:w="1211"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9.53</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9.53</w:t>
            </w:r>
          </w:p>
        </w:tc>
        <w:tc>
          <w:tcPr>
            <w:tcW w:w="890"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p>
        </w:tc>
        <w:tc>
          <w:tcPr>
            <w:tcW w:w="714" w:type="dxa"/>
            <w:noWrap w:val="0"/>
            <w:vAlign w:val="top"/>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　　</w:t>
            </w:r>
          </w:p>
        </w:tc>
        <w:tc>
          <w:tcPr>
            <w:tcW w:w="1211"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9.53</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中国人民政治协商会议新疆维吾尔自治区呼图壁县委员会</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623.4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623.4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429.38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68.88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28.76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6.28%，</w:t>
      </w:r>
      <w:r>
        <w:rPr>
          <w:rFonts w:hint="eastAsia" w:ascii="仿宋_GB2312" w:hAnsi="宋体" w:eastAsia="仿宋_GB2312" w:cs="宋体"/>
          <w:color w:val="auto"/>
          <w:kern w:val="0"/>
          <w:sz w:val="32"/>
          <w:szCs w:val="32"/>
          <w:highlight w:val="none"/>
        </w:rPr>
        <w:t>主要原因是实有在职人员较上年减少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 xml:space="preserve">人，人员性预算收入相应减少。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主要原因上级一般公共预算安排的转移支付资金5.00万元，与上年</w:t>
      </w:r>
      <w:r>
        <w:rPr>
          <w:rFonts w:hint="eastAsia" w:ascii="仿宋_GB2312" w:hAnsi="宋体" w:eastAsia="仿宋_GB2312" w:cs="宋体"/>
          <w:color w:val="auto"/>
          <w:kern w:val="0"/>
          <w:sz w:val="32"/>
          <w:szCs w:val="32"/>
          <w:highlight w:val="none"/>
          <w:lang w:eastAsia="zh-CN"/>
        </w:rPr>
        <w:t>一致</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政府性基金预算0.00万元，占0.00%，比上年预算增加0.00万元，增长0.00%，主要原因是中国人民政治协商会议</w:t>
      </w:r>
      <w:r>
        <w:rPr>
          <w:rFonts w:hint="eastAsia" w:ascii="仿宋_GB2312" w:hAnsi="宋体" w:eastAsia="仿宋_GB2312" w:cs="宋体"/>
          <w:color w:val="auto"/>
          <w:kern w:val="0"/>
          <w:sz w:val="32"/>
          <w:szCs w:val="32"/>
          <w:highlight w:val="none"/>
          <w:lang w:val="en-US" w:eastAsia="zh-CN"/>
        </w:rPr>
        <w:t>新疆维吾尔自治区呼图壁</w:t>
      </w:r>
      <w:r>
        <w:rPr>
          <w:rFonts w:hint="eastAsia" w:ascii="仿宋_GB2312" w:hAnsi="宋体" w:eastAsia="仿宋_GB2312" w:cs="宋体"/>
          <w:color w:val="auto"/>
          <w:kern w:val="0"/>
          <w:sz w:val="32"/>
          <w:szCs w:val="32"/>
          <w:highlight w:val="none"/>
          <w:lang w:val="en-US" w:eastAsia="zh-Hans"/>
        </w:rPr>
        <w:t>县委员会政府性基金</w:t>
      </w:r>
      <w:r>
        <w:rPr>
          <w:rFonts w:hint="eastAsia" w:ascii="仿宋_GB2312" w:hAnsi="宋体" w:eastAsia="仿宋_GB2312" w:cs="宋体"/>
          <w:color w:val="auto"/>
          <w:kern w:val="0"/>
          <w:sz w:val="32"/>
          <w:szCs w:val="32"/>
          <w:highlight w:val="none"/>
          <w:lang w:val="en-US" w:eastAsia="zh-CN"/>
        </w:rPr>
        <w:t>预算未</w:t>
      </w:r>
      <w:r>
        <w:rPr>
          <w:rFonts w:hint="eastAsia" w:ascii="仿宋_GB2312" w:hAnsi="宋体" w:eastAsia="仿宋_GB2312" w:cs="宋体"/>
          <w:color w:val="auto"/>
          <w:kern w:val="0"/>
          <w:sz w:val="32"/>
          <w:szCs w:val="32"/>
          <w:highlight w:val="none"/>
          <w:lang w:val="en-US" w:eastAsia="zh-Hans"/>
        </w:rPr>
        <w:t>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widowControl/>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国有资本经营预算0.00万元，占0.00%，比上年预算增加0.00万元，增长0.00%，主要原因是中</w:t>
      </w:r>
      <w:r>
        <w:rPr>
          <w:rFonts w:hint="eastAsia" w:ascii="仿宋_GB2312" w:hAnsi="宋体" w:eastAsia="仿宋_GB2312" w:cs="宋体"/>
          <w:color w:val="auto"/>
          <w:kern w:val="0"/>
          <w:sz w:val="32"/>
          <w:szCs w:val="32"/>
          <w:highlight w:val="none"/>
          <w:lang w:val="en-US" w:eastAsia="zh-Hans"/>
        </w:rPr>
        <w:t>中国人民政治协商会议</w:t>
      </w:r>
      <w:r>
        <w:rPr>
          <w:rFonts w:hint="eastAsia" w:ascii="仿宋_GB2312" w:hAnsi="宋体" w:eastAsia="仿宋_GB2312" w:cs="宋体"/>
          <w:color w:val="auto"/>
          <w:kern w:val="0"/>
          <w:sz w:val="32"/>
          <w:szCs w:val="32"/>
          <w:highlight w:val="none"/>
          <w:lang w:val="en-US" w:eastAsia="zh-CN"/>
        </w:rPr>
        <w:t>新疆维吾尔自治区呼图壁县委员会国有资本经营预算未安排。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179.5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28.79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14.52%，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政协委员培训班已开展两期，</w:t>
      </w:r>
      <w:r>
        <w:rPr>
          <w:rFonts w:hint="eastAsia" w:ascii="仿宋_GB2312" w:hAnsi="宋体" w:eastAsia="仿宋_GB2312" w:cs="宋体"/>
          <w:color w:val="auto"/>
          <w:kern w:val="0"/>
          <w:sz w:val="32"/>
          <w:szCs w:val="32"/>
          <w:highlight w:val="none"/>
          <w:lang w:val="en-US" w:eastAsia="zh-CN"/>
        </w:rPr>
        <w:t>2025年计划不开展委员培训活动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9.53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结转了</w:t>
      </w:r>
      <w:r>
        <w:rPr>
          <w:rFonts w:hint="eastAsia" w:ascii="仿宋_GB2312" w:hAnsi="宋体" w:eastAsia="仿宋_GB2312" w:cs="宋体"/>
          <w:color w:val="auto"/>
          <w:kern w:val="0"/>
          <w:sz w:val="32"/>
          <w:szCs w:val="32"/>
          <w:highlight w:val="none"/>
          <w:lang w:val="en-US" w:eastAsia="zh-CN"/>
        </w:rPr>
        <w:t>2024年为民办实事经费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623.4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widowControl/>
        <w:spacing w:line="560" w:lineRule="exact"/>
        <w:ind w:firstLine="640" w:firstLineChars="200"/>
        <w:rPr>
          <w:rFonts w:hint="default" w:ascii="仿宋" w:hAnsi="微软雅黑" w:eastAsia="仿宋"/>
          <w:sz w:val="28"/>
          <w:szCs w:val="28"/>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533.88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85.64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62.51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10.48%，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实有在职人员较上年减少1人，人员性预算支出相应减少。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宋体" w:eastAsia="仿宋_GB2312" w:cs="宋体"/>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89.53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7.87%，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结转了</w:t>
      </w:r>
      <w:r>
        <w:rPr>
          <w:rFonts w:hint="eastAsia" w:ascii="仿宋_GB2312" w:hAnsi="宋体" w:eastAsia="仿宋_GB2312" w:cs="宋体"/>
          <w:color w:val="auto"/>
          <w:kern w:val="0"/>
          <w:sz w:val="32"/>
          <w:szCs w:val="32"/>
          <w:highlight w:val="none"/>
          <w:lang w:val="en-US" w:eastAsia="zh-CN"/>
        </w:rPr>
        <w:t>2024年为民办实事经费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434.38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434.38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346.09</w:t>
      </w:r>
      <w:r>
        <w:rPr>
          <w:rFonts w:hint="eastAsia" w:ascii="仿宋_GB2312" w:hAnsi="宋体" w:eastAsia="仿宋_GB2312" w:cs="宋体"/>
          <w:color w:val="auto"/>
          <w:kern w:val="0"/>
          <w:sz w:val="32"/>
          <w:szCs w:val="32"/>
          <w:highlight w:val="none"/>
        </w:rPr>
        <w:t>万元，主要用于人员工资、津补贴、取暖费、基层政协打造费用、委员活动经费；</w:t>
      </w:r>
      <w:r>
        <w:rPr>
          <w:rFonts w:hint="eastAsia" w:ascii="仿宋_GB2312" w:hAnsi="宋体" w:eastAsia="仿宋_GB2312" w:cs="宋体"/>
          <w:spacing w:val="-6"/>
          <w:kern w:val="0"/>
          <w:sz w:val="32"/>
          <w:szCs w:val="32"/>
        </w:rPr>
        <w:t>社会保障和就业支出</w:t>
      </w:r>
      <w:r>
        <w:rPr>
          <w:rFonts w:hint="eastAsia" w:ascii="仿宋_GB2312" w:hAnsi="宋体" w:eastAsia="仿宋_GB2312" w:cs="宋体"/>
          <w:spacing w:val="-6"/>
          <w:kern w:val="0"/>
          <w:sz w:val="32"/>
          <w:szCs w:val="32"/>
          <w:lang w:val="en-US" w:eastAsia="zh-CN"/>
        </w:rPr>
        <w:t>41.34</w:t>
      </w:r>
      <w:r>
        <w:rPr>
          <w:rFonts w:hint="eastAsia" w:ascii="仿宋_GB2312" w:hAnsi="宋体" w:eastAsia="仿宋_GB2312" w:cs="宋体"/>
          <w:spacing w:val="-6"/>
          <w:kern w:val="0"/>
          <w:sz w:val="32"/>
          <w:szCs w:val="32"/>
        </w:rPr>
        <w:t>万元， 主要用于</w:t>
      </w:r>
      <w:r>
        <w:rPr>
          <w:rFonts w:hint="eastAsia" w:ascii="仿宋_GB2312" w:hAnsi="宋体" w:eastAsia="仿宋_GB2312" w:cs="宋体"/>
          <w:color w:val="auto"/>
          <w:kern w:val="0"/>
          <w:sz w:val="32"/>
          <w:szCs w:val="32"/>
          <w:highlight w:val="none"/>
        </w:rPr>
        <w:t>缴纳职工基本养老保险、失业保险和工伤保险；卫生健康支出</w:t>
      </w:r>
      <w:r>
        <w:rPr>
          <w:rFonts w:hint="eastAsia" w:ascii="仿宋_GB2312" w:hAnsi="宋体" w:eastAsia="仿宋_GB2312" w:cs="宋体"/>
          <w:color w:val="auto"/>
          <w:kern w:val="0"/>
          <w:sz w:val="32"/>
          <w:szCs w:val="32"/>
          <w:highlight w:val="none"/>
          <w:lang w:val="en-US" w:eastAsia="zh-CN"/>
        </w:rPr>
        <w:t>22.58</w:t>
      </w:r>
      <w:r>
        <w:rPr>
          <w:rFonts w:hint="eastAsia" w:ascii="仿宋_GB2312" w:hAnsi="宋体" w:eastAsia="仿宋_GB2312" w:cs="宋体"/>
          <w:color w:val="auto"/>
          <w:kern w:val="0"/>
          <w:sz w:val="32"/>
          <w:szCs w:val="32"/>
          <w:highlight w:val="none"/>
        </w:rPr>
        <w:t>万元，主要用于缴纳职工医疗保险、公务员补充医疗险；住房保障支出</w:t>
      </w:r>
      <w:r>
        <w:rPr>
          <w:rFonts w:hint="eastAsia" w:ascii="仿宋_GB2312" w:hAnsi="宋体" w:eastAsia="仿宋_GB2312" w:cs="宋体"/>
          <w:color w:val="auto"/>
          <w:kern w:val="0"/>
          <w:sz w:val="32"/>
          <w:szCs w:val="32"/>
          <w:highlight w:val="none"/>
          <w:lang w:val="en-US" w:eastAsia="zh-CN"/>
        </w:rPr>
        <w:t>24.36</w:t>
      </w:r>
      <w:r>
        <w:rPr>
          <w:rFonts w:hint="eastAsia" w:ascii="仿宋_GB2312" w:hAnsi="宋体" w:eastAsia="仿宋_GB2312" w:cs="宋体"/>
          <w:color w:val="auto"/>
          <w:kern w:val="0"/>
          <w:sz w:val="32"/>
          <w:szCs w:val="32"/>
          <w:highlight w:val="none"/>
        </w:rPr>
        <w:t>万元，主要用于缴纳在职职工公积金。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中国人民政治协商会议新疆维吾尔自治区呼图壁县委员会202</w:t>
      </w:r>
      <w:r>
        <w:rPr>
          <w:rFonts w:hint="eastAsia" w:ascii="仿宋_GB2312" w:hAnsi="宋体" w:eastAsia="仿宋_GB2312" w:cs="宋体"/>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434.38</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354.38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32.01</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8.28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一般公共预算拨款实有在职人员较上年减少1人，人员性预算支出规模相应减少。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80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3.61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政协会议费的预算由</w:t>
      </w:r>
      <w:r>
        <w:rPr>
          <w:rFonts w:hint="eastAsia" w:ascii="仿宋_GB2312" w:hAnsi="宋体" w:eastAsia="仿宋_GB2312" w:cs="宋体"/>
          <w:color w:val="auto"/>
          <w:kern w:val="0"/>
          <w:sz w:val="32"/>
          <w:szCs w:val="32"/>
          <w:highlight w:val="none"/>
          <w:lang w:val="en-US" w:eastAsia="zh-CN"/>
        </w:rPr>
        <w:t>18万元调减至15万元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kern w:val="0"/>
          <w:sz w:val="32"/>
          <w:szCs w:val="32"/>
          <w:highlight w:val="none"/>
          <w:lang w:val="en-US" w:eastAsia="zh-CN"/>
        </w:rPr>
        <w:t>346.09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79.67</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lang w:eastAsia="zh-CN"/>
        </w:rPr>
        <w:t>社会保障和就业支出（类）</w:t>
      </w:r>
      <w:r>
        <w:rPr>
          <w:rFonts w:hint="eastAsia" w:ascii="仿宋_GB2312" w:hAnsi="仿宋_GB2312" w:eastAsia="仿宋_GB2312" w:cs="仿宋_GB2312"/>
          <w:kern w:val="0"/>
          <w:sz w:val="32"/>
          <w:szCs w:val="32"/>
          <w:lang w:val="en-US" w:eastAsia="zh-CN"/>
        </w:rPr>
        <w:t>41.34</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highlight w:val="none"/>
          <w:lang w:val="en-US" w:eastAsia="zh-CN"/>
        </w:rPr>
        <w:t>9.52</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lang w:eastAsia="zh-CN"/>
        </w:rPr>
        <w:t>3.卫生健康支出（类）</w:t>
      </w:r>
      <w:r>
        <w:rPr>
          <w:rFonts w:hint="eastAsia" w:ascii="仿宋_GB2312" w:hAnsi="仿宋_GB2312" w:eastAsia="仿宋_GB2312" w:cs="仿宋_GB2312"/>
          <w:kern w:val="0"/>
          <w:sz w:val="32"/>
          <w:szCs w:val="32"/>
          <w:lang w:val="en-US" w:eastAsia="zh-CN"/>
        </w:rPr>
        <w:t>22.58</w:t>
      </w:r>
      <w:r>
        <w:rPr>
          <w:rFonts w:hint="eastAsia" w:ascii="仿宋_GB2312" w:hAnsi="仿宋_GB2312" w:eastAsia="仿宋_GB2312" w:cs="仿宋_GB2312"/>
          <w:kern w:val="0"/>
          <w:sz w:val="32"/>
          <w:szCs w:val="32"/>
          <w:lang w:eastAsia="zh-CN"/>
        </w:rPr>
        <w:t xml:space="preserve"> 万元，占</w:t>
      </w:r>
      <w:r>
        <w:rPr>
          <w:rFonts w:hint="eastAsia" w:ascii="仿宋_GB2312" w:hAnsi="仿宋_GB2312" w:eastAsia="仿宋_GB2312" w:cs="仿宋_GB2312"/>
          <w:kern w:val="0"/>
          <w:sz w:val="32"/>
          <w:szCs w:val="32"/>
          <w:highlight w:val="none"/>
          <w:lang w:val="en-US" w:eastAsia="zh-CN"/>
        </w:rPr>
        <w:t>5.2</w:t>
      </w:r>
      <w:r>
        <w:rPr>
          <w:rFonts w:hint="eastAsia" w:ascii="仿宋_GB2312" w:hAnsi="仿宋_GB2312" w:eastAsia="仿宋_GB2312" w:cs="仿宋_GB2312"/>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highlight w:val="none"/>
          <w:lang w:eastAsia="zh-CN"/>
        </w:rPr>
        <w:t>4.住房保障支出（类）</w:t>
      </w:r>
      <w:r>
        <w:rPr>
          <w:rFonts w:hint="eastAsia" w:ascii="仿宋_GB2312" w:hAnsi="仿宋_GB2312" w:eastAsia="仿宋_GB2312" w:cs="仿宋_GB2312"/>
          <w:kern w:val="0"/>
          <w:sz w:val="32"/>
          <w:szCs w:val="32"/>
          <w:highlight w:val="none"/>
          <w:lang w:val="en-US" w:eastAsia="zh-CN"/>
        </w:rPr>
        <w:t>24.36</w:t>
      </w:r>
      <w:r>
        <w:rPr>
          <w:rFonts w:hint="eastAsia" w:ascii="仿宋_GB2312" w:hAnsi="仿宋_GB2312" w:eastAsia="仿宋_GB2312" w:cs="仿宋_GB2312"/>
          <w:kern w:val="0"/>
          <w:sz w:val="32"/>
          <w:szCs w:val="32"/>
          <w:highlight w:val="none"/>
          <w:lang w:eastAsia="zh-CN"/>
        </w:rPr>
        <w:t xml:space="preserve"> 万元，占</w:t>
      </w:r>
      <w:r>
        <w:rPr>
          <w:rFonts w:hint="eastAsia" w:ascii="仿宋_GB2312" w:hAnsi="仿宋_GB2312" w:eastAsia="仿宋_GB2312" w:cs="仿宋_GB2312"/>
          <w:kern w:val="0"/>
          <w:sz w:val="32"/>
          <w:szCs w:val="32"/>
          <w:highlight w:val="none"/>
          <w:lang w:val="en-US" w:eastAsia="zh-CN"/>
        </w:rPr>
        <w:t>5.61</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行政运行（项）:2025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234.14</w:t>
      </w:r>
      <w:r>
        <w:rPr>
          <w:rFonts w:hint="eastAsia" w:ascii="仿宋_GB2312" w:hAnsi="仿宋_GB2312" w:eastAsia="仿宋_GB2312" w:cs="仿宋_GB2312"/>
          <w:kern w:val="0"/>
          <w:sz w:val="32"/>
          <w:szCs w:val="32"/>
          <w:lang w:eastAsia="zh-CN"/>
        </w:rPr>
        <w:t>万元，比上年减少</w:t>
      </w:r>
      <w:r>
        <w:rPr>
          <w:rFonts w:hint="eastAsia" w:ascii="仿宋_GB2312" w:hAnsi="仿宋_GB2312" w:eastAsia="仿宋_GB2312" w:cs="仿宋_GB2312"/>
          <w:kern w:val="0"/>
          <w:sz w:val="32"/>
          <w:szCs w:val="32"/>
          <w:lang w:val="en-US" w:eastAsia="zh-CN"/>
        </w:rPr>
        <w:t>116</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33.13</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color w:val="auto"/>
          <w:kern w:val="0"/>
          <w:sz w:val="32"/>
          <w:szCs w:val="32"/>
          <w:highlight w:val="none"/>
          <w:lang w:val="en-US" w:eastAsia="zh-CN"/>
        </w:rPr>
        <w:t>实有在职人员较上年减少1人，人员性预算支出规模相应减少</w:t>
      </w:r>
      <w:r>
        <w:rPr>
          <w:rFonts w:hint="eastAsia" w:ascii="仿宋_GB2312" w:hAnsi="宋体" w:eastAsia="仿宋_GB2312" w:cs="宋体"/>
          <w:kern w:val="0"/>
          <w:sz w:val="32"/>
          <w:szCs w:val="32"/>
          <w:lang w:val="en-US" w:eastAsia="zh-CN"/>
        </w:rPr>
        <w:t>；2.调整了运转经费60万元的科目，将其列入一般行政事务管理科目</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3.将事业人员支出调整至事业运行科目。</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eastAsia="zh-CN"/>
        </w:rPr>
        <w:t>一般行政管理事务</w:t>
      </w:r>
      <w:r>
        <w:rPr>
          <w:rFonts w:hint="eastAsia" w:ascii="仿宋_GB2312" w:hAnsi="仿宋_GB2312" w:eastAsia="仿宋_GB2312" w:cs="仿宋_GB2312"/>
          <w:kern w:val="0"/>
          <w:sz w:val="32"/>
          <w:szCs w:val="32"/>
          <w:lang w:val="en-US" w:eastAsia="zh-CN"/>
        </w:rPr>
        <w:t>（项）:2025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60万元，</w:t>
      </w:r>
      <w:r>
        <w:rPr>
          <w:rFonts w:hint="eastAsia" w:ascii="仿宋_GB2312" w:hAnsi="仿宋_GB2312" w:eastAsia="仿宋_GB2312" w:cs="仿宋_GB2312"/>
          <w:kern w:val="0"/>
          <w:sz w:val="32"/>
          <w:szCs w:val="32"/>
          <w:lang w:eastAsia="zh-CN"/>
        </w:rPr>
        <w:t>比上年增加</w:t>
      </w:r>
      <w:r>
        <w:rPr>
          <w:rFonts w:hint="eastAsia" w:ascii="仿宋_GB2312" w:hAnsi="仿宋_GB2312" w:eastAsia="仿宋_GB2312" w:cs="仿宋_GB2312"/>
          <w:kern w:val="0"/>
          <w:sz w:val="32"/>
          <w:szCs w:val="32"/>
          <w:lang w:val="en-US" w:eastAsia="zh-CN"/>
        </w:rPr>
        <w:t>60</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lang w:val="en-US" w:eastAsia="zh-CN"/>
        </w:rPr>
        <w:t>增长100</w:t>
      </w:r>
      <w:r>
        <w:rPr>
          <w:rFonts w:hint="eastAsia" w:ascii="仿宋_GB2312" w:hAnsi="仿宋_GB2312" w:eastAsia="仿宋_GB2312" w:cs="仿宋_GB2312"/>
          <w:kern w:val="0"/>
          <w:sz w:val="32"/>
          <w:szCs w:val="32"/>
          <w:lang w:eastAsia="zh-CN"/>
        </w:rPr>
        <w:t>%，主要原因是：去年预算未使用此科目，今年将运转经费</w:t>
      </w:r>
      <w:r>
        <w:rPr>
          <w:rFonts w:hint="eastAsia" w:ascii="仿宋_GB2312" w:hAnsi="仿宋_GB2312" w:eastAsia="仿宋_GB2312" w:cs="仿宋_GB2312"/>
          <w:kern w:val="0"/>
          <w:sz w:val="32"/>
          <w:szCs w:val="32"/>
          <w:lang w:val="en-US" w:eastAsia="zh-CN"/>
        </w:rPr>
        <w:t>60万元由行政运行调整至此科目，上年结余为民办实事资金也列入此科目。</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政协会议（项）:2025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lang w:eastAsia="zh-CN"/>
        </w:rPr>
        <w:t>万元，比上年减少</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16.67</w:t>
      </w:r>
      <w:r>
        <w:rPr>
          <w:rFonts w:hint="eastAsia" w:ascii="仿宋_GB2312" w:hAnsi="仿宋_GB2312" w:eastAsia="仿宋_GB2312" w:cs="仿宋_GB2312"/>
          <w:kern w:val="0"/>
          <w:sz w:val="32"/>
          <w:szCs w:val="32"/>
          <w:lang w:eastAsia="zh-CN"/>
        </w:rPr>
        <w:t>%，主要原因是：根据以往年度支出情况，财政调整政协会议费预算金额。</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eastAsia="zh-CN"/>
        </w:rPr>
        <w:t>事业运行</w:t>
      </w:r>
      <w:r>
        <w:rPr>
          <w:rFonts w:hint="eastAsia" w:ascii="仿宋_GB2312" w:hAnsi="仿宋_GB2312" w:eastAsia="仿宋_GB2312" w:cs="仿宋_GB2312"/>
          <w:kern w:val="0"/>
          <w:sz w:val="32"/>
          <w:szCs w:val="32"/>
          <w:lang w:val="en-US" w:eastAsia="zh-CN"/>
        </w:rPr>
        <w:t>（项）:2025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31.95万元，</w:t>
      </w:r>
      <w:r>
        <w:rPr>
          <w:rFonts w:hint="eastAsia" w:ascii="仿宋_GB2312" w:hAnsi="仿宋_GB2312" w:eastAsia="仿宋_GB2312" w:cs="仿宋_GB2312"/>
          <w:kern w:val="0"/>
          <w:sz w:val="32"/>
          <w:szCs w:val="32"/>
          <w:lang w:eastAsia="zh-CN"/>
        </w:rPr>
        <w:t>比上年增加</w:t>
      </w:r>
      <w:r>
        <w:rPr>
          <w:rFonts w:hint="eastAsia" w:ascii="仿宋_GB2312" w:hAnsi="仿宋_GB2312" w:eastAsia="仿宋_GB2312" w:cs="仿宋_GB2312"/>
          <w:kern w:val="0"/>
          <w:sz w:val="32"/>
          <w:szCs w:val="32"/>
          <w:lang w:val="en-US" w:eastAsia="zh-CN"/>
        </w:rPr>
        <w:t>31.95</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lang w:val="en-US" w:eastAsia="zh-CN"/>
        </w:rPr>
        <w:t>增长100</w:t>
      </w:r>
      <w:r>
        <w:rPr>
          <w:rFonts w:hint="eastAsia" w:ascii="仿宋_GB2312" w:hAnsi="仿宋_GB2312" w:eastAsia="仿宋_GB2312" w:cs="仿宋_GB2312"/>
          <w:kern w:val="0"/>
          <w:sz w:val="32"/>
          <w:szCs w:val="32"/>
          <w:lang w:eastAsia="zh-CN"/>
        </w:rPr>
        <w:t>%，主要原因是：去年预算未使用此科目，今年</w:t>
      </w:r>
      <w:r>
        <w:rPr>
          <w:rFonts w:hint="eastAsia" w:ascii="仿宋_GB2312" w:hAnsi="仿宋_GB2312" w:eastAsia="仿宋_GB2312" w:cs="仿宋_GB2312"/>
          <w:kern w:val="0"/>
          <w:sz w:val="32"/>
          <w:szCs w:val="32"/>
          <w:lang w:val="en-US" w:eastAsia="zh-CN"/>
        </w:rPr>
        <w:t>将事业人员支出由行政运行科目调整至此科目。</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其他政协事务支出</w:t>
      </w:r>
      <w:r>
        <w:rPr>
          <w:rFonts w:hint="eastAsia" w:ascii="仿宋_GB2312" w:hAnsi="仿宋_GB2312" w:eastAsia="仿宋_GB2312" w:cs="仿宋_GB2312"/>
          <w:kern w:val="0"/>
          <w:sz w:val="32"/>
          <w:szCs w:val="32"/>
          <w:lang w:val="en-US" w:eastAsia="zh-CN"/>
        </w:rPr>
        <w:t>（项）:2025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lang w:val="en-US" w:eastAsia="zh-CN"/>
        </w:rPr>
        <w:t>增长0</w:t>
      </w:r>
      <w:r>
        <w:rPr>
          <w:rFonts w:hint="eastAsia" w:ascii="仿宋_GB2312" w:hAnsi="仿宋_GB2312" w:eastAsia="仿宋_GB2312" w:cs="仿宋_GB2312"/>
          <w:kern w:val="0"/>
          <w:sz w:val="32"/>
          <w:szCs w:val="32"/>
          <w:lang w:eastAsia="zh-CN"/>
        </w:rPr>
        <w:t>%，主要原因是：基层政协补助资金为每年固定金额。</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行政单位离退休（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2025年预算数为11.47</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2.25</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16.4</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减少了退休人员缴纳医疗费用</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机关事业单位基本养老保险缴费支出（</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2025年预算数为29.86</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3.73</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11.1</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color w:val="auto"/>
          <w:kern w:val="0"/>
          <w:sz w:val="32"/>
          <w:szCs w:val="32"/>
          <w:highlight w:val="none"/>
          <w:lang w:val="en-US" w:eastAsia="zh-CN"/>
        </w:rPr>
        <w:t>实有在职人员较上年减少1人，人员性预算支出规模相应减少</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.卫生健康支出（类）行政事业单位医疗（款）行政单位医疗（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2025年预算数为12.66</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1.09</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7.93</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color w:val="auto"/>
          <w:kern w:val="0"/>
          <w:sz w:val="32"/>
          <w:szCs w:val="32"/>
          <w:highlight w:val="none"/>
          <w:lang w:val="en-US" w:eastAsia="zh-CN"/>
        </w:rPr>
        <w:t>实有在职人员较上年减少1人，人员性预算支出规模相应减少</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.卫生健康支出（类）行政事业单位医疗（款）事业单位医疗（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2025年预算数为2.27</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0.78</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25.57</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事业调出</w:t>
      </w:r>
      <w:r>
        <w:rPr>
          <w:rFonts w:hint="eastAsia" w:ascii="仿宋_GB2312" w:hAnsi="宋体" w:eastAsia="仿宋_GB2312" w:cs="宋体"/>
          <w:kern w:val="0"/>
          <w:sz w:val="32"/>
          <w:szCs w:val="32"/>
          <w:lang w:val="en-US" w:eastAsia="zh-CN"/>
        </w:rPr>
        <w:t>1人，</w:t>
      </w:r>
      <w:r>
        <w:rPr>
          <w:rFonts w:hint="eastAsia" w:ascii="仿宋_GB2312" w:hAnsi="仿宋_GB2312" w:eastAsia="仿宋_GB2312" w:cs="仿宋_GB2312"/>
          <w:kern w:val="0"/>
          <w:sz w:val="32"/>
          <w:szCs w:val="32"/>
          <w:lang w:eastAsia="zh-CN"/>
        </w:rPr>
        <w:t>事业单位医疗缴费减少。</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卫生健康支出（类）行政事业单位医疗（款）公务员医疗补助（</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2025年预算数为7.47</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2.85</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lang w:val="en-US" w:eastAsia="zh-CN"/>
        </w:rPr>
        <w:t>增长1.69</w:t>
      </w:r>
      <w:r>
        <w:rPr>
          <w:rFonts w:hint="eastAsia" w:ascii="仿宋_GB2312" w:hAnsi="仿宋_GB2312" w:eastAsia="仿宋_GB2312" w:cs="仿宋_GB2312"/>
          <w:kern w:val="0"/>
          <w:sz w:val="32"/>
          <w:szCs w:val="32"/>
          <w:lang w:eastAsia="zh-CN"/>
        </w:rPr>
        <w:t>%，主要原因是：公务员医疗补助缴费比例调整，整体缴费提高。</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lang w:eastAsia="zh-CN"/>
        </w:rPr>
        <w:t>.卫生健康支出（类）行政事业单位医疗（款）</w:t>
      </w:r>
      <w:r>
        <w:rPr>
          <w:rFonts w:hint="eastAsia" w:ascii="仿宋_GB2312" w:hAnsi="仿宋_GB2312" w:eastAsia="仿宋_GB2312" w:cs="仿宋_GB2312"/>
          <w:kern w:val="0"/>
          <w:sz w:val="32"/>
          <w:szCs w:val="32"/>
          <w:lang w:val="zh-CN" w:eastAsia="zh-CN"/>
        </w:rPr>
        <w:t>其他行政事业单位医疗支出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2025年预算数为0.19</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0.09</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lang w:val="en-US" w:eastAsia="zh-CN"/>
        </w:rPr>
        <w:t>增长0</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w:t>
      </w:r>
      <w:r>
        <w:rPr>
          <w:rFonts w:hint="eastAsia" w:ascii="仿宋_GB2312" w:hAnsi="宋体" w:eastAsia="仿宋_GB2312" w:cs="宋体"/>
          <w:kern w:val="0"/>
          <w:sz w:val="32"/>
          <w:szCs w:val="32"/>
          <w:lang w:eastAsia="zh-CN"/>
        </w:rPr>
        <w:t>大病保险</w:t>
      </w:r>
      <w:r>
        <w:rPr>
          <w:rFonts w:hint="eastAsia" w:ascii="仿宋_GB2312" w:hAnsi="仿宋_GB2312" w:eastAsia="仿宋_GB2312" w:cs="仿宋_GB2312"/>
          <w:kern w:val="0"/>
          <w:sz w:val="32"/>
          <w:szCs w:val="32"/>
          <w:lang w:eastAsia="zh-CN"/>
        </w:rPr>
        <w:t>缴费比例调整，整体缴费提高。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lang w:eastAsia="zh-CN"/>
        </w:rPr>
        <w:t>住房保障支出（类）住房改革支出（款）住房公积金（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2025年预算数为24.36</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3.06</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11.16</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退休</w:t>
      </w:r>
      <w:r>
        <w:rPr>
          <w:rFonts w:hint="eastAsia" w:ascii="仿宋_GB2312" w:hAnsi="宋体" w:eastAsia="仿宋_GB2312" w:cs="宋体"/>
          <w:kern w:val="0"/>
          <w:sz w:val="32"/>
          <w:szCs w:val="32"/>
          <w:lang w:val="en-US" w:eastAsia="zh-CN"/>
        </w:rPr>
        <w:t>2人，</w:t>
      </w:r>
      <w:r>
        <w:rPr>
          <w:rFonts w:hint="eastAsia" w:ascii="仿宋_GB2312" w:hAnsi="仿宋_GB2312" w:eastAsia="仿宋_GB2312" w:cs="仿宋_GB2312"/>
          <w:kern w:val="0"/>
          <w:sz w:val="32"/>
          <w:szCs w:val="32"/>
          <w:lang w:eastAsia="zh-CN"/>
        </w:rPr>
        <w:t>住房公积金缴费减少。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kern w:val="0"/>
          <w:sz w:val="32"/>
          <w:szCs w:val="32"/>
          <w:lang w:eastAsia="zh-CN"/>
        </w:rPr>
        <w:t>中国人民政治协商会议新疆维吾尔自治区呼图壁县委员会202</w:t>
      </w:r>
      <w:r>
        <w:rPr>
          <w:rFonts w:hint="eastAsia" w:ascii="仿宋_GB2312" w:hAnsi="仿宋_GB2312" w:eastAsia="仿宋_GB2312" w:cs="仿宋_GB2312"/>
          <w:kern w:val="0"/>
          <w:sz w:val="32"/>
          <w:szCs w:val="32"/>
          <w:lang w:val="en-US" w:eastAsia="zh-CN"/>
        </w:rPr>
        <w:t>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354.38</w:t>
      </w:r>
      <w:r>
        <w:rPr>
          <w:rFonts w:hint="eastAsia" w:ascii="仿宋_GB2312" w:hAnsi="宋体" w:eastAsia="仿宋_GB2312" w:cs="宋体"/>
          <w:color w:val="auto"/>
          <w:spacing w:val="-6"/>
          <w:kern w:val="0"/>
          <w:sz w:val="32"/>
          <w:szCs w:val="32"/>
          <w:highlight w:val="none"/>
        </w:rPr>
        <w:t>万元， 其中：</w:t>
      </w:r>
    </w:p>
    <w:p>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293.91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60.47</w:t>
      </w:r>
      <w:r>
        <w:rPr>
          <w:rFonts w:hint="eastAsia" w:ascii="仿宋_GB2312" w:hAnsi="宋体" w:eastAsia="仿宋_GB2312" w:cs="宋体"/>
          <w:color w:val="auto"/>
          <w:kern w:val="0"/>
          <w:sz w:val="32"/>
          <w:szCs w:val="32"/>
          <w:highlight w:val="none"/>
        </w:rPr>
        <w:t>万元，主要包括：办公费、印刷费、邮电费、差旅费、公务接待费、劳务费、工会经费、公务用车运行维护费、其他交通费用</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2025年</w:t>
      </w:r>
      <w:r>
        <w:rPr>
          <w:rFonts w:hint="eastAsia" w:ascii="仿宋_GB2312" w:hAnsi="宋体" w:eastAsia="仿宋_GB2312" w:cs="宋体"/>
          <w:kern w:val="0"/>
          <w:sz w:val="32"/>
          <w:szCs w:val="32"/>
          <w:lang w:eastAsia="zh-CN"/>
        </w:rPr>
        <w:t>政协会议费</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呼财</w:t>
      </w:r>
      <w:r>
        <w:rPr>
          <w:rFonts w:hint="eastAsia" w:ascii="仿宋_GB2312" w:hAnsi="宋体" w:eastAsia="仿宋_GB2312" w:cs="宋体"/>
          <w:kern w:val="0"/>
          <w:sz w:val="32"/>
          <w:szCs w:val="32"/>
          <w:lang w:val="en-US" w:eastAsia="zh-CN"/>
        </w:rPr>
        <w:t>预</w:t>
      </w:r>
      <w:r>
        <w:rPr>
          <w:rFonts w:hint="eastAsia" w:ascii="仿宋_GB2312" w:hAnsi="宋体" w:eastAsia="仿宋_GB2312" w:cs="宋体"/>
          <w:kern w:val="0"/>
          <w:sz w:val="32"/>
          <w:szCs w:val="32"/>
          <w:lang w:eastAsia="zh-CN"/>
        </w:rPr>
        <w:t>字【</w:t>
      </w:r>
      <w:r>
        <w:rPr>
          <w:rFonts w:hint="eastAsia" w:ascii="仿宋_GB2312" w:hAnsi="宋体" w:eastAsia="仿宋_GB2312" w:cs="宋体"/>
          <w:kern w:val="0"/>
          <w:sz w:val="32"/>
          <w:szCs w:val="32"/>
          <w:lang w:val="en-US" w:eastAsia="zh-CN"/>
        </w:rPr>
        <w:t>2025】5号-《2025年呼图壁县财经委员会第一次会议纪要》</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中国人民政治协商会议新疆维吾尔自治区呼图壁县委员会</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政协委员会议期间住宿就餐费用4万元、租车费1万元、材料印制2万元、宣传设计费2万元、会议用品采购费6万元，总计15万元。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2025年1月1日-2025年12月31日</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2025年</w:t>
      </w:r>
      <w:r>
        <w:rPr>
          <w:rFonts w:hint="eastAsia" w:ascii="仿宋_GB2312" w:hAnsi="宋体" w:eastAsia="仿宋_GB2312" w:cs="宋体"/>
          <w:kern w:val="0"/>
          <w:sz w:val="32"/>
          <w:szCs w:val="32"/>
          <w:lang w:eastAsia="zh-CN"/>
        </w:rPr>
        <w:t>政协运转经费</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呼财</w:t>
      </w:r>
      <w:r>
        <w:rPr>
          <w:rFonts w:hint="eastAsia" w:ascii="仿宋_GB2312" w:hAnsi="宋体" w:eastAsia="仿宋_GB2312" w:cs="宋体"/>
          <w:kern w:val="0"/>
          <w:sz w:val="32"/>
          <w:szCs w:val="32"/>
          <w:lang w:val="en-US" w:eastAsia="zh-CN"/>
        </w:rPr>
        <w:t>预</w:t>
      </w:r>
      <w:r>
        <w:rPr>
          <w:rFonts w:hint="eastAsia" w:ascii="仿宋_GB2312" w:hAnsi="宋体" w:eastAsia="仿宋_GB2312" w:cs="宋体"/>
          <w:kern w:val="0"/>
          <w:sz w:val="32"/>
          <w:szCs w:val="32"/>
          <w:lang w:eastAsia="zh-CN"/>
        </w:rPr>
        <w:t>字【</w:t>
      </w:r>
      <w:r>
        <w:rPr>
          <w:rFonts w:hint="eastAsia" w:ascii="仿宋_GB2312" w:hAnsi="宋体" w:eastAsia="仿宋_GB2312" w:cs="宋体"/>
          <w:kern w:val="0"/>
          <w:sz w:val="32"/>
          <w:szCs w:val="32"/>
          <w:lang w:val="en-US" w:eastAsia="zh-CN"/>
        </w:rPr>
        <w:t>2025】5号《2025年呼图壁县财经委员会第一次会议纪要》</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60万元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中国人民政治协商会议新疆维吾尔自治区呼图壁县委员会</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60万元全部用于</w:t>
      </w:r>
      <w:r>
        <w:rPr>
          <w:rFonts w:hint="eastAsia" w:ascii="仿宋_GB2312" w:hAnsi="黑体" w:eastAsia="仿宋_GB2312"/>
          <w:sz w:val="32"/>
          <w:szCs w:val="32"/>
          <w:lang w:eastAsia="zh-CN"/>
        </w:rPr>
        <w:t>政协常委会、调研视察各项工作</w:t>
      </w:r>
      <w:r>
        <w:rPr>
          <w:rFonts w:hint="eastAsia" w:ascii="仿宋_GB2312" w:hAnsi="黑体" w:eastAsia="仿宋_GB2312"/>
          <w:sz w:val="32"/>
          <w:szCs w:val="32"/>
          <w:lang w:val="en-US" w:eastAsia="zh-CN"/>
        </w:rPr>
        <w:t>经费</w:t>
      </w:r>
    </w:p>
    <w:p>
      <w:pPr>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2025年1月1日-2025年12月31日</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2025年</w:t>
      </w:r>
      <w:r>
        <w:rPr>
          <w:rFonts w:hint="eastAsia" w:ascii="仿宋_GB2312" w:hAnsi="宋体" w:eastAsia="仿宋_GB2312" w:cs="宋体"/>
          <w:kern w:val="0"/>
          <w:sz w:val="32"/>
          <w:szCs w:val="32"/>
          <w:lang w:eastAsia="zh-CN"/>
        </w:rPr>
        <w:t>自治区基层政协补助经费</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昌州财行[2024]52号《关于提前下达</w:t>
      </w:r>
      <w:r>
        <w:rPr>
          <w:rFonts w:hint="eastAsia" w:ascii="仿宋_GB2312" w:hAnsi="宋体" w:eastAsia="仿宋_GB2312" w:cs="宋体"/>
          <w:kern w:val="0"/>
          <w:sz w:val="32"/>
          <w:szCs w:val="32"/>
          <w:lang w:val="en-US" w:eastAsia="zh-CN"/>
        </w:rPr>
        <w:t>2025年度</w:t>
      </w:r>
      <w:r>
        <w:rPr>
          <w:rFonts w:hint="eastAsia" w:ascii="仿宋_GB2312" w:hAnsi="宋体" w:eastAsia="仿宋_GB2312" w:cs="宋体"/>
          <w:kern w:val="0"/>
          <w:sz w:val="32"/>
          <w:szCs w:val="32"/>
          <w:lang w:eastAsia="zh-CN"/>
        </w:rPr>
        <w:t>自治区基层政协补助经费的通知》</w:t>
      </w:r>
      <w:bookmarkStart w:id="1" w:name="_GoBack"/>
      <w:bookmarkEnd w:id="1"/>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中国人民政治协商会议新疆维吾尔自治区呼图壁县委员会</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5万元全部用于办公设备购置费用</w:t>
      </w:r>
    </w:p>
    <w:p>
      <w:pPr>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lang w:eastAsia="zh-CN"/>
        </w:rPr>
        <w:t>中国人民政治协商会议新疆维吾尔自治区呼图壁县委员会202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eastAsia="zh-CN"/>
        </w:rPr>
        <w:t>中国人民政治协商会议新疆维吾尔自治区呼图壁县委员会202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kern w:val="0"/>
          <w:sz w:val="32"/>
          <w:szCs w:val="32"/>
          <w:lang w:eastAsia="zh-CN"/>
        </w:rPr>
        <w:t>中国人民政治协商会议新疆维吾尔自治区呼图壁县委员会202</w:t>
      </w:r>
      <w:r>
        <w:rPr>
          <w:rFonts w:hint="eastAsia" w:ascii="仿宋_GB2312" w:hAnsi="仿宋_GB2312" w:eastAsia="仿宋_GB2312" w:cs="仿宋_GB2312"/>
          <w:kern w:val="0"/>
          <w:sz w:val="32"/>
          <w:szCs w:val="32"/>
          <w:lang w:val="en-US" w:eastAsia="zh-CN"/>
        </w:rPr>
        <w:t>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10.25</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19.76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65.84%，</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2024年和2025年均</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2024年和2025年均</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65.52%，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去年预算列入了政协运转经费和自治区政协基层补助资金中列支的公务用车运行经费，今年未列入</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75.25%，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去年预算列入了自治区政协基层补助资金中列支的</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eastAsia="zh-CN"/>
        </w:rPr>
        <w:t>，今年未列入</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eastAsia="zh-CN"/>
        </w:rPr>
        <w:t>中国人民政治协商会议新疆维吾尔自治区呼图壁县委员会202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上年结转结余9.53万元，包括：财政拨款9.53万元，</w:t>
      </w:r>
      <w:r>
        <w:rPr>
          <w:rFonts w:hint="eastAsia" w:ascii="仿宋_GB2312" w:hAnsi="黑体" w:eastAsia="仿宋_GB2312"/>
          <w:sz w:val="32"/>
          <w:szCs w:val="32"/>
          <w:lang w:val="en-US" w:eastAsia="zh-CN"/>
        </w:rPr>
        <w:t>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黑体" w:eastAsia="仿宋_GB2312"/>
          <w:sz w:val="32"/>
          <w:szCs w:val="32"/>
          <w:lang w:eastAsia="zh-CN"/>
        </w:rPr>
        <w:t>呼图壁县</w:t>
      </w:r>
      <w:r>
        <w:rPr>
          <w:rFonts w:hint="eastAsia" w:ascii="仿宋_GB2312" w:hAnsi="黑体" w:eastAsia="仿宋_GB2312"/>
          <w:sz w:val="32"/>
          <w:szCs w:val="32"/>
          <w:lang w:val="en-US" w:eastAsia="zh-CN"/>
        </w:rPr>
        <w:t>2024年为民办实事经费9.53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sz w:val="32"/>
          <w:szCs w:val="32"/>
          <w:lang w:eastAsia="zh-CN"/>
        </w:rPr>
        <w:t>服务群众，解决困难群众</w:t>
      </w:r>
      <w:r>
        <w:rPr>
          <w:rFonts w:hint="eastAsia" w:ascii="仿宋_GB2312" w:hAnsi="黑体" w:eastAsia="仿宋_GB2312"/>
          <w:sz w:val="32"/>
          <w:szCs w:val="32"/>
          <w:lang w:val="en-US" w:eastAsia="zh-CN"/>
        </w:rPr>
        <w:t>生活所需</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60.47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28.06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86.58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将编外人员工资列入劳务费中</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97.79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53.51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44.28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70.79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70.79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82.3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auto"/>
          <w:kern w:val="0"/>
          <w:sz w:val="32"/>
          <w:szCs w:val="32"/>
          <w:highlight w:val="none"/>
        </w:rPr>
        <w:t>；其中：</w:t>
      </w:r>
      <w:r>
        <w:rPr>
          <w:rFonts w:hint="eastAsia" w:ascii="仿宋_GB2312" w:hAnsi="仿宋_GB2312" w:eastAsia="仿宋_GB2312" w:cs="仿宋_GB2312"/>
          <w:kern w:val="0"/>
          <w:sz w:val="32"/>
          <w:szCs w:val="32"/>
        </w:rPr>
        <w:t>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82.3</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8.64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24.12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预算绩效情况</w:t>
      </w:r>
    </w:p>
    <w:p>
      <w:pPr>
        <w:pStyle w:val="10"/>
        <w:ind w:left="0" w:leftChars="0" w:firstLine="640" w:firstLineChars="200"/>
        <w:rPr>
          <w:rFonts w:hint="eastAsia" w:ascii="仿宋_GB2312" w:hAnsi="仿宋_GB2312" w:eastAsia="仿宋_GB2312" w:cs="仿宋_GB2312"/>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整体预算绩效目标1个，涉及预算金额623.4万元；当年预算安排项目共3个，其中: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涉及预算金额80万元；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pPr>
        <w:pStyle w:val="10"/>
        <w:ind w:left="0" w:leftChars="0" w:firstLine="0" w:firstLineChars="0"/>
        <w:rPr>
          <w:rFonts w:hint="eastAsia" w:ascii="仿宋_GB2312" w:hAnsi="仿宋_GB2312" w:eastAsia="仿宋_GB2312" w:cs="仿宋_GB2312"/>
          <w:color w:val="auto"/>
          <w:kern w:val="0"/>
          <w:sz w:val="32"/>
          <w:szCs w:val="32"/>
          <w:highlight w:val="none"/>
        </w:rPr>
      </w:pPr>
    </w:p>
    <w:p>
      <w:pPr>
        <w:pStyle w:val="10"/>
        <w:ind w:left="0" w:leftChars="0" w:firstLine="0" w:firstLineChars="0"/>
        <w:rPr>
          <w:rFonts w:hint="eastAsia" w:ascii="仿宋_GB2312" w:hAnsi="仿宋_GB2312" w:eastAsia="仿宋_GB2312" w:cs="仿宋_GB2312"/>
          <w:color w:val="auto"/>
          <w:kern w:val="0"/>
          <w:sz w:val="32"/>
          <w:szCs w:val="32"/>
          <w:highlight w:val="none"/>
        </w:rPr>
      </w:pPr>
    </w:p>
    <w:p>
      <w:pPr>
        <w:pStyle w:val="10"/>
        <w:ind w:left="0" w:leftChars="0" w:firstLine="0" w:firstLineChars="0"/>
        <w:rPr>
          <w:rFonts w:hint="eastAsia" w:ascii="仿宋_GB2312" w:hAnsi="仿宋_GB2312" w:eastAsia="仿宋_GB2312" w:cs="仿宋_GB2312"/>
          <w:color w:val="auto"/>
          <w:kern w:val="0"/>
          <w:sz w:val="32"/>
          <w:szCs w:val="32"/>
          <w:highlight w:val="none"/>
        </w:rPr>
      </w:pPr>
    </w:p>
    <w:p>
      <w:pPr>
        <w:pStyle w:val="10"/>
        <w:ind w:left="0" w:leftChars="0" w:firstLine="0" w:firstLineChars="0"/>
        <w:rPr>
          <w:rFonts w:hint="eastAsia" w:ascii="仿宋_GB2312" w:hAnsi="仿宋_GB2312" w:eastAsia="仿宋_GB2312" w:cs="仿宋_GB2312"/>
          <w:color w:val="auto"/>
          <w:kern w:val="0"/>
          <w:sz w:val="32"/>
          <w:szCs w:val="32"/>
          <w:highlight w:val="none"/>
        </w:rPr>
      </w:pPr>
    </w:p>
    <w:p>
      <w:pPr>
        <w:pStyle w:val="10"/>
        <w:ind w:left="0" w:leftChars="0" w:firstLine="0" w:firstLineChars="0"/>
        <w:rPr>
          <w:rFonts w:hint="eastAsia" w:ascii="仿宋_GB2312" w:hAnsi="仿宋_GB2312" w:eastAsia="仿宋_GB2312" w:cs="仿宋_GB2312"/>
          <w:color w:val="auto"/>
          <w:kern w:val="0"/>
          <w:sz w:val="32"/>
          <w:szCs w:val="32"/>
          <w:highlight w:val="none"/>
        </w:rPr>
      </w:pPr>
    </w:p>
    <w:p>
      <w:pPr>
        <w:pStyle w:val="10"/>
        <w:ind w:left="0" w:leftChars="0" w:firstLine="0" w:firstLineChars="0"/>
        <w:rPr>
          <w:rFonts w:hint="eastAsia" w:ascii="仿宋_GB2312" w:hAnsi="仿宋_GB2312" w:eastAsia="仿宋_GB2312" w:cs="仿宋_GB2312"/>
          <w:color w:val="auto"/>
          <w:kern w:val="0"/>
          <w:sz w:val="32"/>
          <w:szCs w:val="32"/>
          <w:highlight w:val="none"/>
        </w:rPr>
      </w:pPr>
    </w:p>
    <w:p>
      <w:pPr>
        <w:pStyle w:val="10"/>
        <w:ind w:left="0" w:leftChars="0" w:firstLine="0" w:firstLineChars="0"/>
        <w:rPr>
          <w:rFonts w:hint="eastAsia" w:ascii="仿宋_GB2312" w:hAnsi="仿宋_GB2312" w:eastAsia="仿宋_GB2312" w:cs="仿宋_GB2312"/>
          <w:color w:val="auto"/>
          <w:kern w:val="0"/>
          <w:sz w:val="32"/>
          <w:szCs w:val="32"/>
          <w:highlight w:val="none"/>
        </w:rPr>
      </w:pPr>
    </w:p>
    <w:tbl>
      <w:tblPr>
        <w:tblStyle w:val="11"/>
        <w:tblW w:w="9450" w:type="dxa"/>
        <w:tblInd w:w="-5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30"/>
        <w:gridCol w:w="1425"/>
        <w:gridCol w:w="1228"/>
        <w:gridCol w:w="1469"/>
        <w:gridCol w:w="1098"/>
        <w:gridCol w:w="330"/>
        <w:gridCol w:w="1651"/>
        <w:gridCol w:w="10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5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0" w:name="OLE_LINK1"/>
            <w:r>
              <w:rPr>
                <w:rFonts w:hint="eastAsia" w:ascii="宋体" w:hAnsi="宋体" w:cs="宋体"/>
                <w:i w:val="0"/>
                <w:iCs w:val="0"/>
                <w:color w:val="000000"/>
                <w:kern w:val="0"/>
                <w:sz w:val="32"/>
                <w:szCs w:val="32"/>
                <w:u w:val="none"/>
                <w:lang w:val="en-US" w:eastAsia="zh-CN" w:bidi="ar"/>
              </w:rPr>
              <w:t>部门</w:t>
            </w:r>
            <w:r>
              <w:rPr>
                <w:rFonts w:hint="eastAsia" w:ascii="宋体" w:hAnsi="宋体" w:eastAsia="宋体" w:cs="宋体"/>
                <w:i w:val="0"/>
                <w:iCs w:val="0"/>
                <w:color w:val="000000"/>
                <w:kern w:val="0"/>
                <w:sz w:val="32"/>
                <w:szCs w:val="32"/>
                <w:u w:val="none"/>
                <w:lang w:val="en-US" w:eastAsia="zh-CN" w:bidi="ar"/>
              </w:rPr>
              <w:t>整体绩效目标</w:t>
            </w:r>
            <w:bookmarkEnd w:id="0"/>
            <w:r>
              <w:rPr>
                <w:rFonts w:hint="eastAsia" w:ascii="宋体" w:hAnsi="宋体" w:eastAsia="宋体" w:cs="宋体"/>
                <w:i w:val="0"/>
                <w:iCs w:val="0"/>
                <w:color w:val="000000"/>
                <w:kern w:val="0"/>
                <w:sz w:val="32"/>
                <w:szCs w:val="32"/>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45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679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69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许瑛</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13999968420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5" w:hRule="atLeast"/>
        </w:trPr>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7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6"/>
                <w:szCs w:val="16"/>
                <w:u w:val="none"/>
                <w:lang w:val="en-US" w:eastAsia="zh-CN" w:bidi="ar"/>
              </w:rPr>
              <w:t>1.统筹政协各类会议筹备工作，组织做好政协专题民主生活会、政协全体会议、政协常委会、专题协商会议、委员培训等服务保障工作。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2.组织并参与多项调研视察，通过学习研讨、实地走访、座谈交流、征求意见、整理形成报告初稿、针对重点问题再调研再协商、形成报告终稿呈县委、政府等。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3.提出高质量提案，组织提案委员与提案承办单位进行协商，提案承办单位通报提案办理情况，征求提案委员意见建议。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4.组织委员通过问卷调查、实地走访、征求被评议单位服务对象意见建议等方式，了解县商务工信局工作开展情况，邀请县政府分管领导参加民主评议会，并将评议结果上报县委、政府。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5.组织委员深入基层、深入群众，常态化开展社情民意收集工作。全年编发社情民意信息不少于25期，并及时向委员反馈社情民意信息办理情况。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679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上级资金</w:t>
            </w:r>
          </w:p>
        </w:tc>
        <w:tc>
          <w:tcPr>
            <w:tcW w:w="40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本级资金</w:t>
            </w:r>
          </w:p>
        </w:tc>
        <w:tc>
          <w:tcPr>
            <w:tcW w:w="40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40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9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40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指标值设定依据</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履职效能</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召开政协全会</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&gt;=1次</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政协机关2024年工作总结和2025年工作要点</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编发社情民意</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&gt;=25篇</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政协机关2024年工作总结和2025年工作要点</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开展调研视察活动</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&gt;=6次</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政协机关2024年工作总结和2025年工作要点</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社情民意报告合格率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&gt;=80%</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政协机关2024年工作总结和2025年工作要点</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调研视察及时率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&gt;=90%</w:t>
            </w: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政协机关2024年工作总结和2025年工作要点</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可持续发展能力</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年度绩效指标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Pr>
        <w:pStyle w:val="10"/>
        <w:ind w:left="0" w:leftChars="0" w:firstLine="0" w:firstLineChars="0"/>
        <w:rPr>
          <w:rFonts w:hint="eastAsia" w:ascii="仿宋_GB2312" w:hAnsi="仿宋_GB2312" w:eastAsia="仿宋_GB2312" w:cs="仿宋_GB2312"/>
          <w:color w:val="auto"/>
          <w:kern w:val="0"/>
          <w:sz w:val="32"/>
          <w:szCs w:val="32"/>
          <w:highlight w:val="none"/>
        </w:rPr>
      </w:pPr>
    </w:p>
    <w:tbl>
      <w:tblPr>
        <w:tblStyle w:val="11"/>
        <w:tblW w:w="9390" w:type="dxa"/>
        <w:tblInd w:w="-4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0"/>
        <w:gridCol w:w="306"/>
        <w:gridCol w:w="478"/>
        <w:gridCol w:w="163"/>
        <w:gridCol w:w="1169"/>
        <w:gridCol w:w="280"/>
        <w:gridCol w:w="824"/>
        <w:gridCol w:w="74"/>
        <w:gridCol w:w="1070"/>
        <w:gridCol w:w="121"/>
        <w:gridCol w:w="360"/>
        <w:gridCol w:w="405"/>
        <w:gridCol w:w="89"/>
        <w:gridCol w:w="886"/>
        <w:gridCol w:w="300"/>
        <w:gridCol w:w="870"/>
        <w:gridCol w:w="945"/>
        <w:gridCol w:w="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405" w:hRule="atLeast"/>
        </w:trPr>
        <w:tc>
          <w:tcPr>
            <w:tcW w:w="9240"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450" w:hRule="atLeast"/>
        </w:trPr>
        <w:tc>
          <w:tcPr>
            <w:tcW w:w="9240"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450" w:hRule="atLeast"/>
        </w:trPr>
        <w:tc>
          <w:tcPr>
            <w:tcW w:w="18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9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450" w:hRule="atLeast"/>
        </w:trPr>
        <w:tc>
          <w:tcPr>
            <w:tcW w:w="18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政协会议费</w:t>
            </w:r>
          </w:p>
        </w:tc>
        <w:tc>
          <w:tcPr>
            <w:tcW w:w="21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寇立新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620" w:hRule="atLeast"/>
        </w:trPr>
        <w:tc>
          <w:tcPr>
            <w:tcW w:w="18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551"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1320" w:hRule="atLeast"/>
        </w:trPr>
        <w:tc>
          <w:tcPr>
            <w:tcW w:w="18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93" w:type="dxa"/>
            <w:gridSpan w:val="13"/>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听取和审议常务委员会的工作报告、提案工作情况报告和其他报告；讨论并通过有关的决议；参与对国家和地方事务的重要问题的讨论，提出建议和批评。购买会议桌椅4万元，委员食宿7万元，会议筹备4万元，通过项目实施收集社会意见、进行民主监督、促进共识并集中各方面的智慧和力量，为国家的繁荣发展和社会的和谐稳定做出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800" w:hRule="atLeast"/>
        </w:trPr>
        <w:tc>
          <w:tcPr>
            <w:tcW w:w="120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4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9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18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620" w:hRule="atLeast"/>
        </w:trPr>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会期天数</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&gt;=3天</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=3天</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600" w:hRule="atLeast"/>
        </w:trPr>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政协全委会召开合格率</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500" w:hRule="atLeast"/>
        </w:trPr>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会议举办及时率</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500" w:hRule="atLeast"/>
        </w:trPr>
        <w:tc>
          <w:tcPr>
            <w:tcW w:w="1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委员食宿费</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&gt;=7万元</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=5.5万元</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500" w:hRule="atLeast"/>
        </w:trPr>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会议桌椅费用</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&gt;=4万元</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500" w:hRule="atLeast"/>
        </w:trPr>
        <w:tc>
          <w:tcPr>
            <w:tcW w:w="1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会务费用</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&gt;=4万元</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=4.5万元</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820" w:hRule="atLeast"/>
        </w:trPr>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提高民主监督，促进国家繁荣富强</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1000" w:hRule="atLeast"/>
        </w:trPr>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政协委员对会议满意度</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39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9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70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7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2025年度自治区基层政协补助经费</w:t>
            </w:r>
          </w:p>
        </w:tc>
        <w:tc>
          <w:tcPr>
            <w:tcW w:w="1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寇立新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6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706" w:type="dxa"/>
            <w:gridSpan w:val="15"/>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提前下达2025年度自治区基层政协补助经费》的通知（昌州财行[2024]52号）文件附带的区域目标，结合呼图壁县实际情况，本项目计划投入5万元用于补充基层政协工作经费不足，保障机关正常运转，通过项目的实施，更好的履行好政治协商、参政议政、民主监督三大职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8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3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10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26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6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7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9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召开政协常委会次数</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完成调研视察报告数量</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&gt;=4篇</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=4篇</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组织政协委员调研视察</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调研视察报告的合格率</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&lt;=1.2万元</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车辆运行维护费</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&lt;=3万元</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调研视察活动经费</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&lt;=0.8万元</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保障工作持续性开展</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按照评判等级赋分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政协委员满意度</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&gt;=98%</w:t>
            </w:r>
          </w:p>
        </w:tc>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10"/>
        <w:rPr>
          <w:rFonts w:hint="eastAsia" w:ascii="仿宋_GB2312" w:hAnsi="仿宋_GB2312" w:eastAsia="仿宋_GB2312" w:cs="仿宋_GB2312"/>
          <w:b/>
          <w:kern w:val="0"/>
          <w:sz w:val="32"/>
          <w:szCs w:val="32"/>
          <w:highlight w:val="none"/>
        </w:rPr>
      </w:pPr>
    </w:p>
    <w:tbl>
      <w:tblPr>
        <w:tblStyle w:val="11"/>
        <w:tblW w:w="9315" w:type="dxa"/>
        <w:tblInd w:w="-5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8"/>
        <w:gridCol w:w="612"/>
        <w:gridCol w:w="130"/>
        <w:gridCol w:w="958"/>
        <w:gridCol w:w="197"/>
        <w:gridCol w:w="775"/>
        <w:gridCol w:w="980"/>
        <w:gridCol w:w="1021"/>
        <w:gridCol w:w="576"/>
        <w:gridCol w:w="263"/>
        <w:gridCol w:w="855"/>
        <w:gridCol w:w="795"/>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315"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15"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2025年政协运转经费</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寇立新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15" w:type="dxa"/>
            <w:gridSpan w:val="11"/>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呼财预字【2025】5号的通知，结合呼图壁县实际情况，本项目计划投入60万元用于保障机关正常运转，日常办公、车辆运行，调研视察等费用，通过项目的实施，更好的履行好政治协商、参政议政、民主监督三大职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4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5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3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65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编发社情民意</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=22篇</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开展界别活动次数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=6次</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调研报告合格率</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编写调研报告及时率</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车辆运行维护费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&lt;=12万元</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界别活动举办费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&lt;=4万元</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=1万元</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文史资料印刷排版费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&lt;=15万元</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=13.7万元</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调研视察活动费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&lt;=15万元</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=3万元</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设备款</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&lt;=14万元</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提高辖区内居民居住幸福指数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按照评判等级赋分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政协委员满意度</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10"/>
        <w:ind w:left="0" w:leftChars="0" w:firstLine="0" w:firstLineChars="0"/>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pStyle w:val="10"/>
        <w:numPr>
          <w:ilvl w:val="0"/>
          <w:numId w:val="0"/>
        </w:numPr>
        <w:ind w:leftChars="400"/>
        <w:rPr>
          <w:rFonts w:hint="eastAsia" w:eastAsia="宋体"/>
          <w:lang w:val="en-US" w:eastAsia="zh-CN"/>
        </w:rPr>
      </w:pPr>
      <w:r>
        <w:rPr>
          <w:rFonts w:hint="eastAsia"/>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4480" w:firstLineChars="14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中国人民政治协商会议</w:t>
      </w:r>
    </w:p>
    <w:p>
      <w:pPr>
        <w:keepNext w:val="0"/>
        <w:keepLines w:val="0"/>
        <w:pageBreakBefore w:val="0"/>
        <w:widowControl w:val="0"/>
        <w:kinsoku/>
        <w:wordWrap/>
        <w:overflowPunct/>
        <w:topLinePunct w:val="0"/>
        <w:autoSpaceDE/>
        <w:autoSpaceDN/>
        <w:bidi w:val="0"/>
        <w:adjustRightInd/>
        <w:snapToGrid/>
        <w:spacing w:before="0" w:beforeLines="0" w:line="600" w:lineRule="exact"/>
        <w:jc w:val="right"/>
        <w:textAlignment w:val="auto"/>
        <w:outlineLvl w:val="9"/>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新疆维吾尔自治区呼图壁县委员会</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4800" w:firstLineChars="1500"/>
        <w:jc w:val="lef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10</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4302D"/>
    <w:multiLevelType w:val="singleLevel"/>
    <w:tmpl w:val="8F54302D"/>
    <w:lvl w:ilvl="0" w:tentative="0">
      <w:start w:val="5"/>
      <w:numFmt w:val="chineseCounting"/>
      <w:suff w:val="nothing"/>
      <w:lvlText w:val="（%1）"/>
      <w:lvlJc w:val="left"/>
      <w:rPr>
        <w:rFonts w:hint="eastAsia"/>
      </w:rPr>
    </w:lvl>
  </w:abstractNum>
  <w:abstractNum w:abstractNumId="1">
    <w:nsid w:val="906846A7"/>
    <w:multiLevelType w:val="singleLevel"/>
    <w:tmpl w:val="906846A7"/>
    <w:lvl w:ilvl="0" w:tentative="0">
      <w:start w:val="4"/>
      <w:numFmt w:val="chineseCounting"/>
      <w:suff w:val="nothing"/>
      <w:lvlText w:val="（%1）"/>
      <w:lvlJc w:val="left"/>
      <w:rPr>
        <w:rFonts w:hint="eastAsia"/>
      </w:rPr>
    </w:lvl>
  </w:abstractNum>
  <w:abstractNum w:abstractNumId="2">
    <w:nsid w:val="639CD1B0"/>
    <w:multiLevelType w:val="singleLevel"/>
    <w:tmpl w:val="639CD1B0"/>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E41A1F"/>
    <w:rsid w:val="017B2F92"/>
    <w:rsid w:val="01857471"/>
    <w:rsid w:val="020E507E"/>
    <w:rsid w:val="02732F8E"/>
    <w:rsid w:val="02CB7F49"/>
    <w:rsid w:val="03416EDB"/>
    <w:rsid w:val="037800D1"/>
    <w:rsid w:val="04267087"/>
    <w:rsid w:val="04267B2D"/>
    <w:rsid w:val="044C330C"/>
    <w:rsid w:val="05397FD9"/>
    <w:rsid w:val="057A5F58"/>
    <w:rsid w:val="05CA273A"/>
    <w:rsid w:val="070E6657"/>
    <w:rsid w:val="080E3E4F"/>
    <w:rsid w:val="084451C2"/>
    <w:rsid w:val="08450B28"/>
    <w:rsid w:val="08762705"/>
    <w:rsid w:val="088F5575"/>
    <w:rsid w:val="08E81855"/>
    <w:rsid w:val="0A4168EC"/>
    <w:rsid w:val="0AD672A7"/>
    <w:rsid w:val="0B247F12"/>
    <w:rsid w:val="0B7C3034"/>
    <w:rsid w:val="0B841FFD"/>
    <w:rsid w:val="0BD56A2F"/>
    <w:rsid w:val="0C0A3890"/>
    <w:rsid w:val="0CD07A0D"/>
    <w:rsid w:val="0CD20198"/>
    <w:rsid w:val="0CEC568C"/>
    <w:rsid w:val="0D6E5FD0"/>
    <w:rsid w:val="0E320E7D"/>
    <w:rsid w:val="0E9208E7"/>
    <w:rsid w:val="0EFC5B1D"/>
    <w:rsid w:val="0FBD5C79"/>
    <w:rsid w:val="10587512"/>
    <w:rsid w:val="105D0E37"/>
    <w:rsid w:val="10916BDA"/>
    <w:rsid w:val="11036B00"/>
    <w:rsid w:val="11301FEB"/>
    <w:rsid w:val="11B6451D"/>
    <w:rsid w:val="121E62E8"/>
    <w:rsid w:val="122B598A"/>
    <w:rsid w:val="135B2445"/>
    <w:rsid w:val="14757C3A"/>
    <w:rsid w:val="149870E3"/>
    <w:rsid w:val="14E86739"/>
    <w:rsid w:val="1697741D"/>
    <w:rsid w:val="19A215AC"/>
    <w:rsid w:val="1A132B78"/>
    <w:rsid w:val="1AC437A4"/>
    <w:rsid w:val="1B153D26"/>
    <w:rsid w:val="1BEB54C3"/>
    <w:rsid w:val="1C3C6084"/>
    <w:rsid w:val="1C8C02F2"/>
    <w:rsid w:val="1D126EEC"/>
    <w:rsid w:val="1D3E1AFE"/>
    <w:rsid w:val="1DEF352E"/>
    <w:rsid w:val="1E6432D4"/>
    <w:rsid w:val="1E89232D"/>
    <w:rsid w:val="1EB61656"/>
    <w:rsid w:val="1F7B325A"/>
    <w:rsid w:val="20407429"/>
    <w:rsid w:val="207E6B63"/>
    <w:rsid w:val="20A97B61"/>
    <w:rsid w:val="20CF3CE4"/>
    <w:rsid w:val="20DD55C0"/>
    <w:rsid w:val="21BE0E1A"/>
    <w:rsid w:val="22922CB8"/>
    <w:rsid w:val="22DB78DD"/>
    <w:rsid w:val="244D65B8"/>
    <w:rsid w:val="2489657E"/>
    <w:rsid w:val="2492221D"/>
    <w:rsid w:val="24B42D8E"/>
    <w:rsid w:val="24E72569"/>
    <w:rsid w:val="250855AF"/>
    <w:rsid w:val="258B383C"/>
    <w:rsid w:val="25C75206"/>
    <w:rsid w:val="2610789E"/>
    <w:rsid w:val="263B7010"/>
    <w:rsid w:val="26B4291F"/>
    <w:rsid w:val="26BD282A"/>
    <w:rsid w:val="26E30AC3"/>
    <w:rsid w:val="26E769FA"/>
    <w:rsid w:val="2779376A"/>
    <w:rsid w:val="283B6338"/>
    <w:rsid w:val="283D12EA"/>
    <w:rsid w:val="286D65BC"/>
    <w:rsid w:val="28D9041B"/>
    <w:rsid w:val="293B2E83"/>
    <w:rsid w:val="29E614D2"/>
    <w:rsid w:val="2AFC4894"/>
    <w:rsid w:val="2B3A05DE"/>
    <w:rsid w:val="2B4324C3"/>
    <w:rsid w:val="2B6901C6"/>
    <w:rsid w:val="2B710DDE"/>
    <w:rsid w:val="2D480265"/>
    <w:rsid w:val="2D977453"/>
    <w:rsid w:val="2E2943BA"/>
    <w:rsid w:val="2EF22236"/>
    <w:rsid w:val="2F45234C"/>
    <w:rsid w:val="2FED29FE"/>
    <w:rsid w:val="300E1D4A"/>
    <w:rsid w:val="307D632F"/>
    <w:rsid w:val="30B05F05"/>
    <w:rsid w:val="310F3573"/>
    <w:rsid w:val="31EB35C3"/>
    <w:rsid w:val="32D560F7"/>
    <w:rsid w:val="33A76F60"/>
    <w:rsid w:val="341E7629"/>
    <w:rsid w:val="35F117C8"/>
    <w:rsid w:val="369552B0"/>
    <w:rsid w:val="38284F1B"/>
    <w:rsid w:val="39B0409D"/>
    <w:rsid w:val="3A23064C"/>
    <w:rsid w:val="3AD26D10"/>
    <w:rsid w:val="3BE45FB7"/>
    <w:rsid w:val="3BF21AC7"/>
    <w:rsid w:val="3C013037"/>
    <w:rsid w:val="3E166F15"/>
    <w:rsid w:val="3FDF4D23"/>
    <w:rsid w:val="41083B3B"/>
    <w:rsid w:val="41270465"/>
    <w:rsid w:val="41DB2FFE"/>
    <w:rsid w:val="42F779C3"/>
    <w:rsid w:val="43502DA9"/>
    <w:rsid w:val="43C26223"/>
    <w:rsid w:val="43D8307E"/>
    <w:rsid w:val="43EA4BDE"/>
    <w:rsid w:val="44507CD3"/>
    <w:rsid w:val="44AF5181"/>
    <w:rsid w:val="455A018C"/>
    <w:rsid w:val="458F06AB"/>
    <w:rsid w:val="467D6F24"/>
    <w:rsid w:val="46B02CAB"/>
    <w:rsid w:val="46C85418"/>
    <w:rsid w:val="46CE3131"/>
    <w:rsid w:val="48690DD9"/>
    <w:rsid w:val="488F05C9"/>
    <w:rsid w:val="493059DD"/>
    <w:rsid w:val="494F7907"/>
    <w:rsid w:val="4ADF73DC"/>
    <w:rsid w:val="4B011BC7"/>
    <w:rsid w:val="4B1B26BD"/>
    <w:rsid w:val="4B315A3D"/>
    <w:rsid w:val="4BB0307E"/>
    <w:rsid w:val="4C0055E5"/>
    <w:rsid w:val="4C3677AE"/>
    <w:rsid w:val="4C706B3A"/>
    <w:rsid w:val="4CD57F2B"/>
    <w:rsid w:val="4E6132F0"/>
    <w:rsid w:val="4F3B332E"/>
    <w:rsid w:val="50E31F76"/>
    <w:rsid w:val="51C15CED"/>
    <w:rsid w:val="52285DEB"/>
    <w:rsid w:val="523F21F9"/>
    <w:rsid w:val="524E1026"/>
    <w:rsid w:val="52AD62F0"/>
    <w:rsid w:val="53A94D0A"/>
    <w:rsid w:val="53C652FA"/>
    <w:rsid w:val="546308FE"/>
    <w:rsid w:val="56FE59C9"/>
    <w:rsid w:val="570D735E"/>
    <w:rsid w:val="571B2674"/>
    <w:rsid w:val="5739533F"/>
    <w:rsid w:val="582A1BF5"/>
    <w:rsid w:val="589917F1"/>
    <w:rsid w:val="59B241EC"/>
    <w:rsid w:val="5A502CA0"/>
    <w:rsid w:val="5A5E27F6"/>
    <w:rsid w:val="5A704801"/>
    <w:rsid w:val="5A8C5E4D"/>
    <w:rsid w:val="5A932270"/>
    <w:rsid w:val="5AED2A9A"/>
    <w:rsid w:val="5B4B66A7"/>
    <w:rsid w:val="5CB868A4"/>
    <w:rsid w:val="5D9E1657"/>
    <w:rsid w:val="5E225DE5"/>
    <w:rsid w:val="5E257683"/>
    <w:rsid w:val="5E60182E"/>
    <w:rsid w:val="5E7802BC"/>
    <w:rsid w:val="5E984B75"/>
    <w:rsid w:val="5EE078B0"/>
    <w:rsid w:val="5F0D5523"/>
    <w:rsid w:val="5F2346ED"/>
    <w:rsid w:val="61086613"/>
    <w:rsid w:val="61686204"/>
    <w:rsid w:val="621E3684"/>
    <w:rsid w:val="62917095"/>
    <w:rsid w:val="630E06E5"/>
    <w:rsid w:val="6408782B"/>
    <w:rsid w:val="649A40E6"/>
    <w:rsid w:val="65322CBF"/>
    <w:rsid w:val="65B35574"/>
    <w:rsid w:val="65C658ED"/>
    <w:rsid w:val="67533D74"/>
    <w:rsid w:val="68CC52CB"/>
    <w:rsid w:val="68DE4FFE"/>
    <w:rsid w:val="691B0000"/>
    <w:rsid w:val="694B58D7"/>
    <w:rsid w:val="69CE4E15"/>
    <w:rsid w:val="6A8B0F4C"/>
    <w:rsid w:val="6B3E7E06"/>
    <w:rsid w:val="6B7F3246"/>
    <w:rsid w:val="6BA3028F"/>
    <w:rsid w:val="6BF904A6"/>
    <w:rsid w:val="6CB5251A"/>
    <w:rsid w:val="6CD429A0"/>
    <w:rsid w:val="6EF07839"/>
    <w:rsid w:val="6F375468"/>
    <w:rsid w:val="6F63000B"/>
    <w:rsid w:val="6FCF0C72"/>
    <w:rsid w:val="6FD261FE"/>
    <w:rsid w:val="70923A96"/>
    <w:rsid w:val="71500A63"/>
    <w:rsid w:val="717C1858"/>
    <w:rsid w:val="72B56DCF"/>
    <w:rsid w:val="72E964BC"/>
    <w:rsid w:val="732267F0"/>
    <w:rsid w:val="735C7C42"/>
    <w:rsid w:val="73D565AB"/>
    <w:rsid w:val="74572C00"/>
    <w:rsid w:val="74D07EF1"/>
    <w:rsid w:val="75406876"/>
    <w:rsid w:val="75B570E6"/>
    <w:rsid w:val="75BF3AC1"/>
    <w:rsid w:val="76BE7452"/>
    <w:rsid w:val="7706409E"/>
    <w:rsid w:val="7797777E"/>
    <w:rsid w:val="780A1873"/>
    <w:rsid w:val="787D11B8"/>
    <w:rsid w:val="78A771BA"/>
    <w:rsid w:val="78AC6820"/>
    <w:rsid w:val="792C5912"/>
    <w:rsid w:val="7CBA4FE2"/>
    <w:rsid w:val="7D06612B"/>
    <w:rsid w:val="7E880152"/>
    <w:rsid w:val="7E8B30DA"/>
    <w:rsid w:val="7F5904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 w:type="paragraph" w:customStyle="1" w:styleId="1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36</Pages>
  <Words>1339</Words>
  <Characters>1394</Characters>
  <Lines>0</Lines>
  <Paragraphs>0</Paragraphs>
  <TotalTime>0</TotalTime>
  <ScaleCrop>false</ScaleCrop>
  <LinksUpToDate>false</LinksUpToDate>
  <CharactersWithSpaces>1416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2025-05-29T09:29:37Z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D34E1A9A42A543F3B719F0E12577C76F_13</vt:lpwstr>
  </property>
  <property fmtid="{D5CDD505-2E9C-101B-9397-08002B2CF9AE}" pid="4" name="KSOTemplateDocerSaveRecord">
    <vt:lpwstr>eyJoZGlkIjoiN2RlYTBkYmM5MGQ5ZjBiYjJhZDlkM2QzNTI2MTNlZWMifQ==</vt:lpwstr>
  </property>
</Properties>
</file>