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呼图壁县财政局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w:t>
      </w:r>
      <w:r>
        <w:rPr>
          <w:rFonts w:hint="eastAsia" w:ascii="仿宋_GB2312" w:hAnsi="仿宋_GB2312" w:eastAsia="仿宋_GB2312" w:cs="仿宋_GB2312"/>
          <w:b/>
          <w:color w:val="auto"/>
          <w:kern w:val="0"/>
          <w:sz w:val="32"/>
          <w:szCs w:val="32"/>
          <w:highlight w:val="none"/>
          <w:lang w:eastAsia="zh-CN"/>
        </w:rPr>
        <w:t>呼图壁县财政局</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部门预算</w:t>
      </w:r>
      <w:r>
        <w:rPr>
          <w:rFonts w:hint="eastAsia" w:ascii="仿宋_GB2312" w:hAnsi="仿宋_GB2312" w:eastAsia="仿宋_GB2312" w:cs="仿宋_GB2312"/>
          <w:b/>
          <w:color w:val="auto"/>
          <w:kern w:val="0"/>
          <w:sz w:val="32"/>
          <w:szCs w:val="32"/>
          <w:highlight w:val="none"/>
        </w:rPr>
        <w:t>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呼图壁县财政局</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hint="eastAsia" w:ascii="仿宋_GB2312" w:hAnsi="黑体" w:eastAsia="仿宋_GB2312" w:cs="宋体"/>
          <w:bCs/>
          <w:color w:val="auto"/>
          <w:kern w:val="0"/>
          <w:sz w:val="32"/>
          <w:szCs w:val="32"/>
          <w:highlight w:val="none"/>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lang w:eastAsia="zh-CN"/>
        </w:rPr>
        <w:t>呼图壁县财政局是主管县财政收支、财税政策、国有资产管理、会计资格认定和财务人员继续教育等工作的综合经济管理部门。主要职能：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1.根据国家有关法律、法规、规章、政策以及本县经济和社会发展战略，编制本县中长期财政计划；参与制定本县重大经济决策，研究提出运用财政、税收政策对经济进行调控和综合平衡的建议；贯彻执行国家有关财政分配政策；拟订和执行县与镇政府、街道和企业间的财政分配政策。</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2.编制本县年度预决算草案并组织执行；受县政府委托，向县人民代表大会报告本县预算及其执行情况，向县人大常委会报告决算；管理本县各项财政收入和预算外资金、财政专户；管理有关政府性基金；确定本县财政税收收入计划。</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3.根据国家有关政策规定，做好本县财政非经营性国有资产、财务、会计的管理和监督工作。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4.管理本县公共支出；制定行政、事业单位开支标准和支出政策；制定基本建设财务制度。办理和监督本县财政的经济发展支出、本县投资项目的财政拨款、企业挖潜改造和科技支出；支援农业发展支出；农业综合开发支出。</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 xml:space="preserve">5.管理本县财政的社会保障支出；拟订并执行社会保障资金的财务管理制度；组织实施对社会保障资金使用的财政监督。 </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6.负责企业财务会计数据的统计、分析和报告工作；负责本县县级粮食储备资金的使用管理及粮食直补资金的发放监管工作。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呼图壁县财政局无下属预算单位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下设4个科室，2个中心，分别是：行政办公室、预算科、综合业务科、国库科、财政综合保障中心、财政公共服务中心（金融工作服务中心）。</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s="宋体"/>
          <w:bCs/>
          <w:color w:val="auto"/>
          <w:kern w:val="0"/>
          <w:sz w:val="32"/>
          <w:szCs w:val="32"/>
          <w:highlight w:val="none"/>
        </w:rPr>
        <w:t>呼图壁县财政局编制数</w:t>
      </w:r>
      <w:r>
        <w:rPr>
          <w:rFonts w:hint="eastAsia" w:ascii="仿宋_GB2312" w:hAnsi="黑体" w:eastAsia="仿宋_GB2312" w:cs="宋体"/>
          <w:bCs/>
          <w:color w:val="auto"/>
          <w:kern w:val="0"/>
          <w:sz w:val="32"/>
          <w:szCs w:val="32"/>
          <w:highlight w:val="none"/>
          <w:lang w:val="en-US" w:eastAsia="zh-CN"/>
        </w:rPr>
        <w:t>57</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实有人数</w:t>
      </w:r>
      <w:r>
        <w:rPr>
          <w:rFonts w:hint="eastAsia" w:ascii="仿宋_GB2312" w:hAnsi="黑体" w:eastAsia="仿宋_GB2312" w:cs="宋体"/>
          <w:bCs/>
          <w:color w:val="auto"/>
          <w:kern w:val="0"/>
          <w:sz w:val="32"/>
          <w:szCs w:val="32"/>
          <w:highlight w:val="none"/>
          <w:lang w:val="en-US" w:eastAsia="zh-CN"/>
        </w:rPr>
        <w:t>83</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其中</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在职</w:t>
      </w:r>
      <w:r>
        <w:rPr>
          <w:rFonts w:hint="eastAsia" w:ascii="仿宋_GB2312" w:hAnsi="黑体" w:eastAsia="仿宋_GB2312" w:cs="宋体"/>
          <w:bCs/>
          <w:color w:val="auto"/>
          <w:kern w:val="0"/>
          <w:sz w:val="32"/>
          <w:szCs w:val="32"/>
          <w:highlight w:val="none"/>
          <w:lang w:val="en-US" w:eastAsia="zh-CN"/>
        </w:rPr>
        <w:t>50</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eastAsia="zh-CN"/>
        </w:rPr>
        <w:t>，减少</w:t>
      </w:r>
      <w:r>
        <w:rPr>
          <w:rFonts w:hint="eastAsia" w:ascii="仿宋_GB2312" w:hAnsi="黑体" w:eastAsia="仿宋_GB2312" w:cs="宋体"/>
          <w:bCs/>
          <w:color w:val="auto"/>
          <w:kern w:val="0"/>
          <w:sz w:val="32"/>
          <w:szCs w:val="32"/>
          <w:highlight w:val="none"/>
          <w:lang w:val="en-US" w:eastAsia="zh-CN"/>
        </w:rPr>
        <w:t>5</w:t>
      </w:r>
      <w:r>
        <w:rPr>
          <w:rFonts w:hint="eastAsia" w:ascii="仿宋_GB2312" w:hAnsi="黑体" w:eastAsia="仿宋_GB2312" w:cs="宋体"/>
          <w:bCs/>
          <w:color w:val="auto"/>
          <w:kern w:val="0"/>
          <w:sz w:val="32"/>
          <w:szCs w:val="32"/>
          <w:highlight w:val="none"/>
        </w:rPr>
        <w:t>人；退休</w:t>
      </w:r>
      <w:r>
        <w:rPr>
          <w:rFonts w:hint="eastAsia" w:ascii="仿宋_GB2312" w:hAnsi="黑体" w:eastAsia="仿宋_GB2312" w:cs="宋体"/>
          <w:bCs/>
          <w:color w:val="auto"/>
          <w:kern w:val="0"/>
          <w:sz w:val="32"/>
          <w:szCs w:val="32"/>
          <w:highlight w:val="none"/>
          <w:lang w:val="en-US" w:eastAsia="zh-CN"/>
        </w:rPr>
        <w:t>33</w:t>
      </w:r>
      <w:r>
        <w:rPr>
          <w:rFonts w:hint="eastAsia" w:ascii="仿宋_GB2312" w:hAnsi="黑体" w:eastAsia="仿宋_GB2312" w:cs="宋体"/>
          <w:bCs/>
          <w:color w:val="auto"/>
          <w:kern w:val="0"/>
          <w:sz w:val="32"/>
          <w:szCs w:val="32"/>
          <w:highlight w:val="none"/>
        </w:rPr>
        <w:t>人</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增加</w:t>
      </w:r>
      <w:r>
        <w:rPr>
          <w:rFonts w:hint="eastAsia" w:ascii="仿宋_GB2312" w:hAnsi="黑体" w:eastAsia="仿宋_GB2312" w:cs="宋体"/>
          <w:bCs/>
          <w:color w:val="auto"/>
          <w:kern w:val="0"/>
          <w:sz w:val="32"/>
          <w:szCs w:val="32"/>
          <w:highlight w:val="none"/>
          <w:lang w:val="en-US" w:eastAsia="zh-CN"/>
        </w:rPr>
        <w:t>3</w:t>
      </w:r>
      <w:r>
        <w:rPr>
          <w:rFonts w:hint="eastAsia" w:ascii="仿宋_GB2312" w:hAnsi="黑体" w:eastAsia="仿宋_GB2312" w:cs="宋体"/>
          <w:bCs/>
          <w:color w:val="auto"/>
          <w:kern w:val="0"/>
          <w:sz w:val="32"/>
          <w:szCs w:val="32"/>
          <w:highlight w:val="none"/>
        </w:rPr>
        <w:t>人；离</w:t>
      </w:r>
      <w:r>
        <w:rPr>
          <w:rFonts w:hint="eastAsia" w:ascii="仿宋_GB2312" w:hAnsi="黑体" w:eastAsia="仿宋_GB2312" w:cs="宋体"/>
          <w:bCs/>
          <w:color w:val="auto"/>
          <w:kern w:val="0"/>
          <w:sz w:val="32"/>
          <w:szCs w:val="32"/>
          <w:highlight w:val="none"/>
          <w:lang w:eastAsia="zh-CN"/>
        </w:rPr>
        <w:t>休</w:t>
      </w:r>
      <w:r>
        <w:rPr>
          <w:rFonts w:hint="eastAsia" w:ascii="仿宋_GB2312" w:hAnsi="黑体" w:eastAsia="仿宋_GB2312" w:cs="宋体"/>
          <w:bCs/>
          <w:color w:val="auto"/>
          <w:kern w:val="0"/>
          <w:sz w:val="32"/>
          <w:szCs w:val="32"/>
          <w:highlight w:val="none"/>
        </w:rPr>
        <w:t>0人</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增加0人</w:t>
      </w:r>
      <w:r>
        <w:rPr>
          <w:rFonts w:hint="eastAsia" w:ascii="仿宋_GB2312" w:hAnsi="黑体" w:eastAsia="仿宋_GB2312" w:cs="宋体"/>
          <w:bCs/>
          <w:color w:val="auto"/>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p>
    <w:p>
      <w:pPr>
        <w:pStyle w:val="2"/>
        <w:rPr>
          <w:rFonts w:hint="eastAsia"/>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1414.90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1096.38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949.90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949.90</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104.98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68.18</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460.00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460.00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145.37</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1414.90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1414.90</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宋体" w:eastAsia="仿宋_GB2312"/>
          <w:b/>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rPr>
        <w:t xml:space="preserve">                                  单位：万元</w:t>
      </w:r>
    </w:p>
    <w:tbl>
      <w:tblPr>
        <w:tblStyle w:val="8"/>
        <w:tblW w:w="14888" w:type="dxa"/>
        <w:tblInd w:w="-450" w:type="dxa"/>
        <w:tblLayout w:type="fixed"/>
        <w:tblCellMar>
          <w:top w:w="0" w:type="dxa"/>
          <w:left w:w="108" w:type="dxa"/>
          <w:bottom w:w="0" w:type="dxa"/>
          <w:right w:w="108" w:type="dxa"/>
        </w:tblCellMar>
      </w:tblPr>
      <w:tblGrid>
        <w:gridCol w:w="572"/>
        <w:gridCol w:w="564"/>
        <w:gridCol w:w="492"/>
        <w:gridCol w:w="1968"/>
        <w:gridCol w:w="960"/>
        <w:gridCol w:w="1044"/>
        <w:gridCol w:w="1104"/>
        <w:gridCol w:w="948"/>
        <w:gridCol w:w="792"/>
        <w:gridCol w:w="1176"/>
        <w:gridCol w:w="828"/>
        <w:gridCol w:w="972"/>
        <w:gridCol w:w="792"/>
        <w:gridCol w:w="924"/>
        <w:gridCol w:w="816"/>
        <w:gridCol w:w="936"/>
      </w:tblGrid>
      <w:tr>
        <w:tblPrEx>
          <w:tblCellMar>
            <w:top w:w="0" w:type="dxa"/>
            <w:left w:w="108" w:type="dxa"/>
            <w:bottom w:w="0" w:type="dxa"/>
            <w:right w:w="108" w:type="dxa"/>
          </w:tblCellMar>
        </w:tblPrEx>
        <w:trPr>
          <w:trHeight w:val="1088" w:hRule="atLeast"/>
        </w:trPr>
        <w:tc>
          <w:tcPr>
            <w:tcW w:w="162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86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24"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81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9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630" w:hRule="atLeast"/>
        </w:trPr>
        <w:tc>
          <w:tcPr>
            <w:tcW w:w="572"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64"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92"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968"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60"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10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4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28"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92"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24"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6" w:type="dxa"/>
            <w:tcBorders>
              <w:top w:val="single" w:color="auto" w:sz="4" w:space="0"/>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201</w:t>
            </w:r>
            <w:r>
              <w:rPr>
                <w:rFonts w:hint="eastAsia" w:asciiTheme="majorEastAsia" w:hAnsiTheme="majorEastAsia" w:eastAsiaTheme="majorEastAsia" w:cstheme="majorEastAsia"/>
                <w:b/>
                <w:bCs/>
                <w:color w:val="auto"/>
                <w:sz w:val="18"/>
                <w:szCs w:val="18"/>
                <w:highlight w:val="none"/>
              </w:rPr>
              <w:t>　</w:t>
            </w:r>
          </w:p>
        </w:tc>
        <w:tc>
          <w:tcPr>
            <w:tcW w:w="564" w:type="dxa"/>
            <w:tcBorders>
              <w:top w:val="nil"/>
              <w:left w:val="nil"/>
              <w:bottom w:val="single" w:color="auto" w:sz="4" w:space="0"/>
              <w:right w:val="single" w:color="auto" w:sz="4" w:space="0"/>
            </w:tcBorders>
            <w:shd w:val="clear" w:color="auto" w:fill="auto"/>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492" w:type="dxa"/>
            <w:tcBorders>
              <w:top w:val="nil"/>
              <w:left w:val="nil"/>
              <w:bottom w:val="single" w:color="auto" w:sz="4" w:space="0"/>
              <w:right w:val="single" w:color="auto" w:sz="4" w:space="0"/>
            </w:tcBorders>
            <w:shd w:val="clear" w:color="auto" w:fill="auto"/>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968" w:type="dxa"/>
            <w:tcBorders>
              <w:top w:val="single" w:color="auto" w:sz="4" w:space="0"/>
              <w:left w:val="nil"/>
              <w:bottom w:val="single" w:color="auto" w:sz="4" w:space="0"/>
              <w:right w:val="single" w:color="auto" w:sz="4" w:space="0"/>
            </w:tcBorders>
            <w:shd w:val="clear" w:color="auto" w:fill="auto"/>
            <w:noWrap w:val="0"/>
            <w:vAlign w:val="center"/>
          </w:tcPr>
          <w:p>
            <w:pPr>
              <w:jc w:val="both"/>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一般公共服务支出</w:t>
            </w:r>
          </w:p>
        </w:tc>
        <w:tc>
          <w:tcPr>
            <w:tcW w:w="960"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1096.38</w:t>
            </w:r>
            <w:r>
              <w:rPr>
                <w:rFonts w:hint="eastAsia" w:asciiTheme="majorEastAsia" w:hAnsiTheme="majorEastAsia" w:eastAsiaTheme="majorEastAsia" w:cstheme="majorEastAsia"/>
                <w:b/>
                <w:bCs/>
                <w:color w:val="auto"/>
                <w:sz w:val="18"/>
                <w:szCs w:val="18"/>
                <w:highlight w:val="none"/>
              </w:rPr>
              <w:t>　</w:t>
            </w:r>
          </w:p>
        </w:tc>
        <w:tc>
          <w:tcPr>
            <w:tcW w:w="1044"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726.38　</w:t>
            </w:r>
          </w:p>
        </w:tc>
        <w:tc>
          <w:tcPr>
            <w:tcW w:w="1104"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726.38　</w:t>
            </w:r>
          </w:p>
        </w:tc>
        <w:tc>
          <w:tcPr>
            <w:tcW w:w="948"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p>
        </w:tc>
        <w:tc>
          <w:tcPr>
            <w:tcW w:w="792"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single" w:color="auto" w:sz="4" w:space="0"/>
              <w:left w:val="nil"/>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p>
        </w:tc>
        <w:tc>
          <w:tcPr>
            <w:tcW w:w="92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365.00</w:t>
            </w:r>
          </w:p>
        </w:tc>
        <w:tc>
          <w:tcPr>
            <w:tcW w:w="8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5.00</w:t>
            </w:r>
          </w:p>
        </w:tc>
        <w:tc>
          <w:tcPr>
            <w:tcW w:w="93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201</w:t>
            </w:r>
            <w:r>
              <w:rPr>
                <w:rFonts w:hint="eastAsia" w:asciiTheme="majorEastAsia" w:hAnsiTheme="majorEastAsia" w:eastAsiaTheme="majorEastAsia" w:cstheme="majorEastAsia"/>
                <w:b/>
                <w:bCs/>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06</w:t>
            </w:r>
            <w:r>
              <w:rPr>
                <w:rFonts w:hint="eastAsia" w:asciiTheme="majorEastAsia" w:hAnsiTheme="majorEastAsia" w:eastAsiaTheme="majorEastAsia" w:cstheme="majorEastAsia"/>
                <w:b/>
                <w:bCs/>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181" w:firstLineChars="100"/>
              <w:jc w:val="both"/>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财政事务　</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1096.38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726.38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726.38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365.00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5.00</w:t>
            </w: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201</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06</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01</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r>
              <w:rPr>
                <w:rFonts w:hint="eastAsia" w:asciiTheme="majorEastAsia" w:hAnsiTheme="majorEastAsia" w:eastAsiaTheme="majorEastAsia" w:cstheme="majorEastAsia"/>
                <w:color w:val="auto"/>
                <w:sz w:val="18"/>
                <w:szCs w:val="18"/>
                <w:highlight w:val="none"/>
                <w:lang w:val="en-US" w:eastAsia="zh-CN"/>
              </w:rPr>
              <w:t xml:space="preserve"> </w:t>
            </w:r>
            <w:r>
              <w:rPr>
                <w:rFonts w:hint="eastAsia" w:asciiTheme="majorEastAsia" w:hAnsiTheme="majorEastAsia" w:eastAsiaTheme="majorEastAsia" w:cstheme="majorEastAsia"/>
                <w:color w:val="auto"/>
                <w:sz w:val="18"/>
                <w:szCs w:val="18"/>
                <w:highlight w:val="none"/>
              </w:rPr>
              <w:t>行政运行</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663.88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398.88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398.88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265.00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201</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06</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02</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一般行政管理事务</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88.00</w:t>
            </w:r>
            <w:r>
              <w:rPr>
                <w:rFonts w:hint="eastAsia" w:asciiTheme="majorEastAsia" w:hAnsiTheme="majorEastAsia" w:eastAsiaTheme="majorEastAsia" w:cstheme="majorEastAsia"/>
                <w:color w:val="auto"/>
                <w:sz w:val="18"/>
                <w:szCs w:val="18"/>
                <w:highlight w:val="none"/>
              </w:rPr>
              <w:t>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88.00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201</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06</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50</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事业运行</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203.74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191.74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191.74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12.00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tabs>
                <w:tab w:val="center" w:pos="100"/>
                <w:tab w:val="right" w:pos="521"/>
              </w:tabs>
              <w:jc w:val="lef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eastAsia="zh-CN"/>
              </w:rPr>
              <w:tab/>
            </w:r>
            <w:r>
              <w:rPr>
                <w:rFonts w:hint="eastAsia" w:asciiTheme="majorEastAsia" w:hAnsiTheme="majorEastAsia" w:eastAsiaTheme="majorEastAsia" w:cstheme="majorEastAsia"/>
                <w:color w:val="auto"/>
                <w:sz w:val="18"/>
                <w:szCs w:val="18"/>
                <w:highlight w:val="none"/>
                <w:lang w:val="en-US" w:eastAsia="zh-CN"/>
              </w:rPr>
              <w:t>201</w:t>
            </w:r>
            <w:r>
              <w:rPr>
                <w:rFonts w:hint="eastAsia" w:asciiTheme="majorEastAsia" w:hAnsiTheme="majorEastAsia" w:eastAsiaTheme="majorEastAsia" w:cstheme="majorEastAsia"/>
                <w:color w:val="auto"/>
                <w:sz w:val="18"/>
                <w:szCs w:val="18"/>
                <w:highlight w:val="none"/>
                <w:lang w:eastAsia="zh-CN"/>
              </w:rPr>
              <w:tab/>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06</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99</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其他财政事务支出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140.76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135.76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135.76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5.00</w:t>
            </w: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208</w:t>
            </w:r>
            <w:r>
              <w:rPr>
                <w:rFonts w:hint="eastAsia" w:asciiTheme="majorEastAsia" w:hAnsiTheme="majorEastAsia" w:eastAsiaTheme="majorEastAsia" w:cstheme="majorEastAsia"/>
                <w:b/>
                <w:bCs/>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社会保障和就业支出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104.98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98.98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98.98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6.00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208</w:t>
            </w:r>
            <w:r>
              <w:rPr>
                <w:rFonts w:hint="eastAsia" w:asciiTheme="majorEastAsia" w:hAnsiTheme="majorEastAsia" w:eastAsiaTheme="majorEastAsia" w:cstheme="majorEastAsia"/>
                <w:b/>
                <w:bCs/>
                <w:color w:val="auto"/>
                <w:sz w:val="18"/>
                <w:szCs w:val="18"/>
                <w:highlight w:val="none"/>
              </w:rPr>
              <w:t>　</w:t>
            </w:r>
          </w:p>
        </w:tc>
        <w:tc>
          <w:tcPr>
            <w:tcW w:w="564"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05</w:t>
            </w:r>
            <w:r>
              <w:rPr>
                <w:rFonts w:hint="eastAsia" w:asciiTheme="majorEastAsia" w:hAnsiTheme="majorEastAsia" w:eastAsiaTheme="majorEastAsia" w:cstheme="majorEastAsia"/>
                <w:b/>
                <w:bCs/>
                <w:color w:val="auto"/>
                <w:sz w:val="18"/>
                <w:szCs w:val="18"/>
                <w:highlight w:val="none"/>
              </w:rPr>
              <w:t>　</w:t>
            </w:r>
          </w:p>
        </w:tc>
        <w:tc>
          <w:tcPr>
            <w:tcW w:w="492"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968" w:type="dxa"/>
            <w:tcBorders>
              <w:top w:val="single" w:color="auto" w:sz="4" w:space="0"/>
              <w:left w:val="nil"/>
              <w:bottom w:val="single" w:color="auto" w:sz="4" w:space="0"/>
              <w:right w:val="single" w:color="auto" w:sz="4" w:space="0"/>
            </w:tcBorders>
            <w:noWrap w:val="0"/>
            <w:vAlign w:val="center"/>
          </w:tcPr>
          <w:p>
            <w:pPr>
              <w:ind w:firstLine="181" w:firstLineChars="100"/>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行政事业单位养老支出</w:t>
            </w:r>
          </w:p>
        </w:tc>
        <w:tc>
          <w:tcPr>
            <w:tcW w:w="960"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104.98　</w:t>
            </w:r>
          </w:p>
        </w:tc>
        <w:tc>
          <w:tcPr>
            <w:tcW w:w="1044"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98.98　</w:t>
            </w:r>
          </w:p>
        </w:tc>
        <w:tc>
          <w:tcPr>
            <w:tcW w:w="1104"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98.98　</w:t>
            </w:r>
          </w:p>
        </w:tc>
        <w:tc>
          <w:tcPr>
            <w:tcW w:w="948"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single" w:color="auto" w:sz="4" w:space="0"/>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6.00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208</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05</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02</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事业单位离退休</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20.73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20.73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20.73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208</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05</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05</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机关事业单位基本养老保险缴费支出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84.25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78.25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78.25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6.00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210</w:t>
            </w:r>
            <w:r>
              <w:rPr>
                <w:rFonts w:hint="eastAsia" w:asciiTheme="majorEastAsia" w:hAnsiTheme="majorEastAsia" w:eastAsiaTheme="majorEastAsia" w:cstheme="majorEastAsia"/>
                <w:b/>
                <w:bCs/>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卫生健康支出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68.18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59.18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59.18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9.00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210</w:t>
            </w:r>
            <w:r>
              <w:rPr>
                <w:rFonts w:hint="eastAsia" w:asciiTheme="majorEastAsia" w:hAnsiTheme="majorEastAsia" w:eastAsiaTheme="majorEastAsia" w:cstheme="majorEastAsia"/>
                <w:b/>
                <w:bCs/>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11</w:t>
            </w:r>
            <w:r>
              <w:rPr>
                <w:rFonts w:hint="eastAsia" w:asciiTheme="majorEastAsia" w:hAnsiTheme="majorEastAsia" w:eastAsiaTheme="majorEastAsia" w:cstheme="majorEastAsia"/>
                <w:b/>
                <w:bCs/>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181" w:firstLineChars="100"/>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行政事业单位医疗</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68.18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59.18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59.18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9.00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210</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11</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01</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行政单位医疗</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30.48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25.48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25.48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5.00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210</w:t>
            </w: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11</w:t>
            </w: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lang w:val="en-US" w:eastAsia="zh-CN"/>
              </w:rPr>
              <w:t>02</w:t>
            </w: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事业单位医疗</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13.64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13.64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13.64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210</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03</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公务员医疗补助</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21.56</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19.56</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19.56</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2.00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210</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11</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99</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其他行政事业单位医疗支出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2.49</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0.49</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0.49</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2.00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221</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1968" w:type="dxa"/>
            <w:tcBorders>
              <w:top w:val="nil"/>
              <w:left w:val="nil"/>
              <w:bottom w:val="single" w:color="auto" w:sz="4" w:space="0"/>
              <w:right w:val="single" w:color="auto" w:sz="4" w:space="0"/>
            </w:tcBorders>
            <w:noWrap w:val="0"/>
            <w:vAlign w:val="center"/>
          </w:tcPr>
          <w:p>
            <w:pPr>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住房保障支出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145.37</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65.37</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65.37</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80.00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221</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02</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1968" w:type="dxa"/>
            <w:tcBorders>
              <w:top w:val="nil"/>
              <w:left w:val="nil"/>
              <w:bottom w:val="single" w:color="auto" w:sz="4" w:space="0"/>
              <w:right w:val="single" w:color="auto" w:sz="4" w:space="0"/>
            </w:tcBorders>
            <w:noWrap w:val="0"/>
            <w:vAlign w:val="center"/>
          </w:tcPr>
          <w:p>
            <w:pPr>
              <w:ind w:firstLine="181" w:firstLineChars="100"/>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住房改革支出</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145.37</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65.37</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65.37</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default"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80.00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221</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02</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01</w:t>
            </w:r>
          </w:p>
        </w:tc>
        <w:tc>
          <w:tcPr>
            <w:tcW w:w="1968" w:type="dxa"/>
            <w:tcBorders>
              <w:top w:val="nil"/>
              <w:left w:val="nil"/>
              <w:bottom w:val="single" w:color="auto" w:sz="4" w:space="0"/>
              <w:right w:val="single" w:color="auto" w:sz="4" w:space="0"/>
            </w:tcBorders>
            <w:noWrap w:val="0"/>
            <w:vAlign w:val="center"/>
          </w:tcPr>
          <w:p>
            <w:pPr>
              <w:ind w:firstLine="360" w:firstLineChars="200"/>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住房公积金</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145.37</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65.37</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65.37</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default" w:asciiTheme="majorEastAsia" w:hAnsiTheme="majorEastAsia" w:eastAsiaTheme="majorEastAsia" w:cstheme="majorEastAsia"/>
                <w:color w:val="auto"/>
                <w:sz w:val="18"/>
                <w:szCs w:val="18"/>
                <w:highlight w:val="none"/>
                <w:lang w:val="en-US" w:eastAsia="zh-CN"/>
              </w:rPr>
            </w:pPr>
            <w:r>
              <w:rPr>
                <w:rFonts w:hint="eastAsia" w:asciiTheme="majorEastAsia" w:hAnsiTheme="majorEastAsia" w:eastAsiaTheme="majorEastAsia" w:cstheme="majorEastAsia"/>
                <w:color w:val="auto"/>
                <w:sz w:val="18"/>
                <w:szCs w:val="18"/>
                <w:highlight w:val="none"/>
                <w:lang w:val="en-US" w:eastAsia="zh-CN"/>
              </w:rPr>
              <w:t>80.00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7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56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4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color w:val="auto"/>
                <w:sz w:val="18"/>
                <w:szCs w:val="18"/>
                <w:highlight w:val="none"/>
              </w:rPr>
              <w:t>　</w:t>
            </w:r>
          </w:p>
        </w:tc>
        <w:tc>
          <w:tcPr>
            <w:tcW w:w="1968" w:type="dxa"/>
            <w:tcBorders>
              <w:top w:val="nil"/>
              <w:left w:val="nil"/>
              <w:bottom w:val="single" w:color="auto" w:sz="4" w:space="0"/>
              <w:right w:val="single" w:color="auto" w:sz="4" w:space="0"/>
            </w:tcBorders>
            <w:noWrap w:val="0"/>
            <w:vAlign w:val="center"/>
          </w:tcPr>
          <w:p>
            <w:pPr>
              <w:jc w:val="center"/>
              <w:rPr>
                <w:rFonts w:hint="eastAsia" w:asciiTheme="majorEastAsia" w:hAnsiTheme="majorEastAsia" w:eastAsiaTheme="majorEastAsia" w:cstheme="majorEastAsia"/>
                <w:color w:val="auto"/>
                <w:sz w:val="18"/>
                <w:szCs w:val="18"/>
                <w:highlight w:val="none"/>
              </w:rPr>
            </w:pPr>
            <w:r>
              <w:rPr>
                <w:rFonts w:hint="eastAsia" w:asciiTheme="majorEastAsia" w:hAnsiTheme="majorEastAsia" w:eastAsiaTheme="majorEastAsia" w:cstheme="majorEastAsia"/>
                <w:b/>
                <w:bCs/>
                <w:color w:val="auto"/>
                <w:sz w:val="18"/>
                <w:szCs w:val="18"/>
                <w:highlight w:val="none"/>
              </w:rPr>
              <w:t>合  计</w:t>
            </w:r>
            <w:r>
              <w:rPr>
                <w:rFonts w:hint="eastAsia" w:asciiTheme="majorEastAsia" w:hAnsiTheme="majorEastAsia" w:eastAsiaTheme="majorEastAsia" w:cstheme="majorEastAsia"/>
                <w:color w:val="auto"/>
                <w:sz w:val="18"/>
                <w:szCs w:val="18"/>
                <w:highlight w:val="none"/>
              </w:rPr>
              <w:t>　</w:t>
            </w:r>
          </w:p>
        </w:tc>
        <w:tc>
          <w:tcPr>
            <w:tcW w:w="960"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1414.90</w:t>
            </w:r>
            <w:r>
              <w:rPr>
                <w:rFonts w:hint="eastAsia" w:asciiTheme="majorEastAsia" w:hAnsiTheme="majorEastAsia" w:eastAsiaTheme="majorEastAsia" w:cstheme="majorEastAsia"/>
                <w:b/>
                <w:bCs/>
                <w:color w:val="auto"/>
                <w:sz w:val="18"/>
                <w:szCs w:val="18"/>
                <w:highlight w:val="none"/>
              </w:rPr>
              <w:t>　</w:t>
            </w:r>
          </w:p>
        </w:tc>
        <w:tc>
          <w:tcPr>
            <w:tcW w:w="104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949.90</w:t>
            </w:r>
            <w:r>
              <w:rPr>
                <w:rFonts w:hint="eastAsia" w:asciiTheme="majorEastAsia" w:hAnsiTheme="majorEastAsia" w:eastAsiaTheme="majorEastAsia" w:cstheme="majorEastAsia"/>
                <w:b/>
                <w:bCs/>
                <w:color w:val="auto"/>
                <w:sz w:val="18"/>
                <w:szCs w:val="18"/>
                <w:highlight w:val="none"/>
              </w:rPr>
              <w:t>　</w:t>
            </w:r>
          </w:p>
        </w:tc>
        <w:tc>
          <w:tcPr>
            <w:tcW w:w="1104"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lang w:val="en-US" w:eastAsia="zh-CN"/>
              </w:rPr>
              <w:t>949.90</w:t>
            </w:r>
            <w:r>
              <w:rPr>
                <w:rFonts w:hint="eastAsia" w:asciiTheme="majorEastAsia" w:hAnsiTheme="majorEastAsia" w:eastAsiaTheme="majorEastAsia" w:cstheme="majorEastAsia"/>
                <w:b/>
                <w:bCs/>
                <w:color w:val="auto"/>
                <w:sz w:val="18"/>
                <w:szCs w:val="18"/>
                <w:highlight w:val="none"/>
              </w:rPr>
              <w:t>　</w:t>
            </w:r>
          </w:p>
        </w:tc>
        <w:tc>
          <w:tcPr>
            <w:tcW w:w="94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79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1176"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828"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972" w:type="dxa"/>
            <w:tcBorders>
              <w:top w:val="nil"/>
              <w:left w:val="nil"/>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r>
              <w:rPr>
                <w:rFonts w:hint="eastAsia" w:asciiTheme="majorEastAsia" w:hAnsiTheme="majorEastAsia" w:eastAsiaTheme="majorEastAsia" w:cstheme="majorEastAsia"/>
                <w:b/>
                <w:bCs/>
                <w:color w:val="auto"/>
                <w:sz w:val="18"/>
                <w:szCs w:val="18"/>
                <w:highlight w:val="none"/>
              </w:rPr>
              <w:t>　</w:t>
            </w:r>
          </w:p>
        </w:tc>
        <w:tc>
          <w:tcPr>
            <w:tcW w:w="792"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c>
          <w:tcPr>
            <w:tcW w:w="924" w:type="dxa"/>
            <w:tcBorders>
              <w:top w:val="nil"/>
              <w:left w:val="single" w:color="auto" w:sz="4" w:space="0"/>
              <w:bottom w:val="single" w:color="auto" w:sz="4" w:space="0"/>
              <w:right w:val="single" w:color="auto" w:sz="4" w:space="0"/>
            </w:tcBorders>
            <w:noWrap w:val="0"/>
            <w:vAlign w:val="center"/>
          </w:tcPr>
          <w:p>
            <w:pPr>
              <w:jc w:val="right"/>
              <w:rPr>
                <w:rFonts w:hint="default"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460.00</w:t>
            </w:r>
          </w:p>
        </w:tc>
        <w:tc>
          <w:tcPr>
            <w:tcW w:w="816" w:type="dxa"/>
            <w:tcBorders>
              <w:top w:val="nil"/>
              <w:left w:val="single" w:color="auto" w:sz="4" w:space="0"/>
              <w:bottom w:val="single" w:color="auto" w:sz="4" w:space="0"/>
              <w:right w:val="single" w:color="auto" w:sz="4" w:space="0"/>
            </w:tcBorders>
            <w:noWrap w:val="0"/>
            <w:vAlign w:val="center"/>
          </w:tcPr>
          <w:p>
            <w:pPr>
              <w:jc w:val="right"/>
              <w:rPr>
                <w:rFonts w:hint="default" w:asciiTheme="majorEastAsia" w:hAnsiTheme="majorEastAsia" w:eastAsiaTheme="majorEastAsia" w:cstheme="majorEastAsia"/>
                <w:b/>
                <w:bCs/>
                <w:color w:val="auto"/>
                <w:sz w:val="18"/>
                <w:szCs w:val="18"/>
                <w:highlight w:val="none"/>
                <w:lang w:val="en-US" w:eastAsia="zh-CN"/>
              </w:rPr>
            </w:pPr>
            <w:r>
              <w:rPr>
                <w:rFonts w:hint="eastAsia" w:asciiTheme="majorEastAsia" w:hAnsiTheme="majorEastAsia" w:eastAsiaTheme="majorEastAsia" w:cstheme="majorEastAsia"/>
                <w:b/>
                <w:bCs/>
                <w:color w:val="auto"/>
                <w:sz w:val="18"/>
                <w:szCs w:val="18"/>
                <w:highlight w:val="none"/>
                <w:lang w:val="en-US" w:eastAsia="zh-CN"/>
              </w:rPr>
              <w:t>5.00</w:t>
            </w:r>
          </w:p>
        </w:tc>
        <w:tc>
          <w:tcPr>
            <w:tcW w:w="936" w:type="dxa"/>
            <w:tcBorders>
              <w:top w:val="nil"/>
              <w:left w:val="single" w:color="auto" w:sz="4" w:space="0"/>
              <w:bottom w:val="single" w:color="auto" w:sz="4" w:space="0"/>
              <w:right w:val="single" w:color="auto" w:sz="4" w:space="0"/>
            </w:tcBorders>
            <w:noWrap w:val="0"/>
            <w:vAlign w:val="center"/>
          </w:tcPr>
          <w:p>
            <w:pPr>
              <w:jc w:val="right"/>
              <w:rPr>
                <w:rFonts w:hint="eastAsia" w:asciiTheme="majorEastAsia" w:hAnsiTheme="majorEastAsia" w:eastAsiaTheme="majorEastAsia" w:cstheme="majorEastAsia"/>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rPr>
        <w:t xml:space="preserve">                            单位：万元</w:t>
      </w:r>
    </w:p>
    <w:tbl>
      <w:tblPr>
        <w:tblStyle w:val="8"/>
        <w:tblW w:w="9472" w:type="dxa"/>
        <w:tblInd w:w="-292" w:type="dxa"/>
        <w:tblLayout w:type="fixed"/>
        <w:tblCellMar>
          <w:top w:w="0" w:type="dxa"/>
          <w:left w:w="108" w:type="dxa"/>
          <w:bottom w:w="0" w:type="dxa"/>
          <w:right w:w="108" w:type="dxa"/>
        </w:tblCellMar>
      </w:tblPr>
      <w:tblGrid>
        <w:gridCol w:w="469"/>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89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0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一般公共服务支出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1096.38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867.62</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228.76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财政事务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1096.38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867.62</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228.76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06</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行政运行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663.88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663.88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201</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r>
              <w:rPr>
                <w:rFonts w:hint="eastAsia" w:ascii="宋体" w:hAnsi="宋体" w:cs="宋体"/>
                <w:b w:val="0"/>
                <w:bCs w:val="0"/>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一般行政管理事务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88.00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88.00</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201</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50</w:t>
            </w:r>
            <w:r>
              <w:rPr>
                <w:rFonts w:hint="eastAsia" w:ascii="宋体" w:hAnsi="宋体" w:cs="宋体"/>
                <w:b w:val="0"/>
                <w:bCs w:val="0"/>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事业运行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203.74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203.74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201</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99</w:t>
            </w:r>
            <w:r>
              <w:rPr>
                <w:rFonts w:hint="eastAsia" w:ascii="宋体" w:hAnsi="宋体" w:cs="宋体"/>
                <w:b w:val="0"/>
                <w:bCs w:val="0"/>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其他财政事务支出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140.76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140.76</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社会保障和就业支出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104.98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104.98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208</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lang w:val="en-US" w:eastAsia="zh-CN"/>
              </w:rPr>
              <w:t>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行政事业单位养老支出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104.98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104.98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r>
              <w:rPr>
                <w:rFonts w:hint="eastAsia" w:ascii="宋体" w:hAnsi="宋体" w:cs="宋体"/>
                <w:b w:val="0"/>
                <w:bCs w:val="0"/>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事业单位离退休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20.73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20.73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r>
              <w:rPr>
                <w:rFonts w:hint="eastAsia" w:ascii="宋体" w:hAnsi="宋体" w:cs="宋体"/>
                <w:b w:val="0"/>
                <w:bCs w:val="0"/>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机关事业单位基本养老保险缴费支出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84.25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84.25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卫生健康支出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68.18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68.18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68.18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68.18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30.48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30.48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13.64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13.64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公务员医疗补助</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21.56</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21.56</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2.49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2.49</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住房保障支出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145.37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145.37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住房改革支出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145.37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145.37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住房公积金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145.37</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145.37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6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rPr>
              <w:t>　1414.9</w:t>
            </w:r>
            <w:r>
              <w:rPr>
                <w:rFonts w:hint="eastAsia" w:asciiTheme="majorEastAsia" w:hAnsiTheme="majorEastAsia" w:eastAsiaTheme="majorEastAsia" w:cstheme="majorEastAsia"/>
                <w:b/>
                <w:bCs/>
                <w:color w:val="auto"/>
                <w:kern w:val="0"/>
                <w:sz w:val="18"/>
                <w:szCs w:val="18"/>
                <w:highlight w:val="none"/>
                <w:lang w:val="en-US" w:eastAsia="zh-CN"/>
              </w:rPr>
              <w:t>0</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1186.14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228.76</w:t>
            </w:r>
          </w:p>
        </w:tc>
      </w:tr>
    </w:tbl>
    <w:p>
      <w:pPr>
        <w:keepNext w:val="0"/>
        <w:keepLines w:val="0"/>
        <w:widowControl/>
        <w:suppressLineNumbers w:val="0"/>
        <w:jc w:val="left"/>
        <w:textAlignment w:val="bottom"/>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color w:val="FF0000"/>
          <w:kern w:val="0"/>
          <w:sz w:val="28"/>
          <w:szCs w:val="32"/>
          <w:highlight w:val="none"/>
          <w:lang w:val="en-US" w:eastAsia="zh-CN"/>
        </w:rPr>
        <w:t xml:space="preserve">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呼图壁县财政局</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Hans"/>
              </w:rPr>
              <w:t>一、</w:t>
            </w:r>
            <w:r>
              <w:rPr>
                <w:rFonts w:hint="eastAsia" w:ascii="仿宋_GB2312" w:hAnsi="宋体" w:eastAsia="仿宋_GB2312" w:cs="宋体"/>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949.90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726</w:t>
            </w:r>
            <w:r>
              <w:rPr>
                <w:rFonts w:hint="eastAsia" w:ascii="宋体" w:hAnsi="宋体" w:cs="宋体"/>
                <w:color w:val="auto"/>
                <w:kern w:val="0"/>
                <w:sz w:val="18"/>
                <w:szCs w:val="18"/>
                <w:highlight w:val="none"/>
              </w:rPr>
              <w:t>.38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726</w:t>
            </w:r>
            <w:r>
              <w:rPr>
                <w:rFonts w:hint="eastAsia" w:ascii="宋体" w:hAnsi="宋体" w:cs="宋体"/>
                <w:color w:val="auto"/>
                <w:kern w:val="0"/>
                <w:sz w:val="18"/>
                <w:szCs w:val="18"/>
                <w:highlight w:val="none"/>
              </w:rPr>
              <w:t>.38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949.90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98.98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98.98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59.18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59.18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65.37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65.37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lang w:val="en-US" w:eastAsia="zh-CN"/>
              </w:rPr>
              <w:t>949.90</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949.90</w:t>
            </w:r>
            <w:r>
              <w:rPr>
                <w:rFonts w:hint="eastAsia" w:ascii="宋体" w:hAnsi="宋体" w:cs="宋体"/>
                <w:b/>
                <w:bCs/>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949.90</w:t>
            </w:r>
            <w:r>
              <w:rPr>
                <w:rFonts w:hint="eastAsia" w:ascii="宋体" w:hAnsi="宋体" w:cs="宋体"/>
                <w:b/>
                <w:bCs/>
                <w:color w:val="auto"/>
                <w:kern w:val="0"/>
                <w:sz w:val="18"/>
                <w:szCs w:val="18"/>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6"/>
        <w:rPr>
          <w:rFonts w:hint="default"/>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328" w:type="dxa"/>
        <w:jc w:val="center"/>
        <w:tblLayout w:type="fixed"/>
        <w:tblCellMar>
          <w:top w:w="0" w:type="dxa"/>
          <w:left w:w="108" w:type="dxa"/>
          <w:bottom w:w="0" w:type="dxa"/>
          <w:right w:w="108" w:type="dxa"/>
        </w:tblCellMar>
      </w:tblPr>
      <w:tblGrid>
        <w:gridCol w:w="588"/>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jc w:val="center"/>
        </w:trPr>
        <w:tc>
          <w:tcPr>
            <w:tcW w:w="9328"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4101"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呼图壁县财政局</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410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59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val="0"/>
                <w:color w:val="auto"/>
                <w:kern w:val="0"/>
                <w:sz w:val="18"/>
                <w:szCs w:val="18"/>
                <w:highlight w:val="none"/>
                <w:lang w:val="en-US" w:eastAsia="zh-CN"/>
              </w:rPr>
            </w:pPr>
            <w:r>
              <w:rPr>
                <w:rFonts w:hint="eastAsia" w:ascii="仿宋_GB2312" w:hAnsi="宋体" w:eastAsia="仿宋_GB2312" w:cs="宋体"/>
                <w:b/>
                <w:bCs w:val="0"/>
                <w:color w:val="auto"/>
                <w:kern w:val="0"/>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val="0"/>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val="0"/>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val="0"/>
                <w:color w:val="auto"/>
                <w:kern w:val="0"/>
                <w:sz w:val="18"/>
                <w:szCs w:val="18"/>
                <w:highlight w:val="none"/>
              </w:rPr>
            </w:pPr>
            <w:r>
              <w:rPr>
                <w:rFonts w:hint="eastAsia" w:asciiTheme="majorEastAsia" w:hAnsiTheme="majorEastAsia" w:eastAsiaTheme="majorEastAsia" w:cstheme="majorEastAsia"/>
                <w:b/>
                <w:bCs w:val="0"/>
                <w:color w:val="auto"/>
                <w:kern w:val="0"/>
                <w:sz w:val="18"/>
                <w:szCs w:val="18"/>
                <w:highlight w:val="none"/>
              </w:rPr>
              <w:t>一般公共服务支出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仿宋_GB2312" w:hAnsi="宋体" w:eastAsia="仿宋_GB2312"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rPr>
              <w:t>7</w:t>
            </w:r>
            <w:r>
              <w:rPr>
                <w:rFonts w:hint="eastAsia" w:ascii="仿宋_GB2312" w:hAnsi="宋体" w:eastAsia="仿宋_GB2312" w:cs="宋体"/>
                <w:b/>
                <w:bCs w:val="0"/>
                <w:color w:val="auto"/>
                <w:kern w:val="0"/>
                <w:sz w:val="18"/>
                <w:szCs w:val="18"/>
                <w:highlight w:val="none"/>
                <w:lang w:val="en-US" w:eastAsia="zh-CN"/>
              </w:rPr>
              <w:t>26.38</w:t>
            </w:r>
            <w:r>
              <w:rPr>
                <w:rFonts w:hint="eastAsia" w:ascii="仿宋_GB2312" w:hAnsi="宋体" w:eastAsia="仿宋_GB2312" w:cs="宋体"/>
                <w:b/>
                <w:bCs w:val="0"/>
                <w:color w:val="auto"/>
                <w:kern w:val="0"/>
                <w:sz w:val="18"/>
                <w:szCs w:val="18"/>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仿宋_GB2312" w:hAnsi="宋体" w:eastAsia="仿宋_GB2312"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rPr>
              <w:t>　590.62</w:t>
            </w:r>
          </w:p>
        </w:tc>
        <w:tc>
          <w:tcPr>
            <w:tcW w:w="1701" w:type="dxa"/>
            <w:tcBorders>
              <w:top w:val="nil"/>
              <w:left w:val="nil"/>
              <w:bottom w:val="single" w:color="auto" w:sz="4" w:space="0"/>
              <w:right w:val="single" w:color="auto" w:sz="4" w:space="0"/>
            </w:tcBorders>
            <w:noWrap w:val="0"/>
            <w:vAlign w:val="center"/>
          </w:tcPr>
          <w:p>
            <w:pPr>
              <w:widowControl/>
              <w:jc w:val="right"/>
              <w:rPr>
                <w:rFonts w:ascii="仿宋_GB2312" w:hAnsi="宋体" w:eastAsia="仿宋_GB2312"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rPr>
              <w:t>　</w:t>
            </w:r>
            <w:r>
              <w:rPr>
                <w:rFonts w:hint="eastAsia" w:ascii="仿宋_GB2312" w:hAnsi="宋体" w:eastAsia="仿宋_GB2312" w:cs="宋体"/>
                <w:b/>
                <w:bCs w:val="0"/>
                <w:color w:val="auto"/>
                <w:kern w:val="0"/>
                <w:sz w:val="18"/>
                <w:szCs w:val="18"/>
                <w:highlight w:val="none"/>
                <w:lang w:val="en-US" w:eastAsia="zh-CN"/>
              </w:rPr>
              <w:t>135</w:t>
            </w:r>
            <w:r>
              <w:rPr>
                <w:rFonts w:hint="eastAsia" w:ascii="仿宋_GB2312" w:hAnsi="宋体" w:eastAsia="仿宋_GB2312" w:cs="宋体"/>
                <w:b/>
                <w:bCs w:val="0"/>
                <w:color w:val="auto"/>
                <w:kern w:val="0"/>
                <w:sz w:val="18"/>
                <w:szCs w:val="18"/>
                <w:highlight w:val="none"/>
              </w:rPr>
              <w:t>.76</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val="0"/>
                <w:color w:val="auto"/>
                <w:kern w:val="0"/>
                <w:sz w:val="18"/>
                <w:szCs w:val="18"/>
                <w:highlight w:val="none"/>
                <w:lang w:val="en-US" w:eastAsia="zh-CN"/>
              </w:rPr>
            </w:pPr>
            <w:r>
              <w:rPr>
                <w:rFonts w:hint="eastAsia" w:ascii="宋体" w:hAnsi="宋体" w:cs="宋体"/>
                <w:b/>
                <w:bCs w:val="0"/>
                <w:color w:val="auto"/>
                <w:kern w:val="0"/>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val="0"/>
                <w:color w:val="auto"/>
                <w:kern w:val="0"/>
                <w:sz w:val="18"/>
                <w:szCs w:val="18"/>
                <w:highlight w:val="none"/>
                <w:lang w:val="en-US" w:eastAsia="zh-CN"/>
              </w:rPr>
            </w:pPr>
            <w:r>
              <w:rPr>
                <w:rFonts w:hint="eastAsia" w:ascii="宋体" w:hAnsi="宋体" w:cs="宋体"/>
                <w:b/>
                <w:bCs w:val="0"/>
                <w:color w:val="auto"/>
                <w:kern w:val="0"/>
                <w:sz w:val="18"/>
                <w:szCs w:val="18"/>
                <w:highlight w:val="none"/>
                <w:lang w:val="en-US" w:eastAsia="zh-CN"/>
              </w:rPr>
              <w:t>06</w:t>
            </w:r>
          </w:p>
        </w:tc>
        <w:tc>
          <w:tcPr>
            <w:tcW w:w="503" w:type="dxa"/>
            <w:tcBorders>
              <w:top w:val="nil"/>
              <w:left w:val="nil"/>
              <w:bottom w:val="single" w:color="auto" w:sz="4" w:space="0"/>
              <w:right w:val="single" w:color="auto" w:sz="4" w:space="0"/>
            </w:tcBorders>
            <w:noWrap w:val="0"/>
            <w:vAlign w:val="center"/>
          </w:tcPr>
          <w:p>
            <w:pPr>
              <w:widowControl/>
              <w:jc w:val="center"/>
              <w:rPr>
                <w:rFonts w:ascii="宋体" w:hAnsi="宋体" w:cs="宋体"/>
                <w:b/>
                <w:bCs w:val="0"/>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ind w:firstLine="181" w:firstLineChars="100"/>
              <w:jc w:val="left"/>
              <w:rPr>
                <w:rFonts w:ascii="宋体" w:hAnsi="宋体" w:cs="宋体"/>
                <w:b/>
                <w:bCs w:val="0"/>
                <w:color w:val="auto"/>
                <w:kern w:val="0"/>
                <w:sz w:val="18"/>
                <w:szCs w:val="18"/>
                <w:highlight w:val="none"/>
              </w:rPr>
            </w:pPr>
            <w:r>
              <w:rPr>
                <w:rFonts w:hint="eastAsia" w:ascii="宋体" w:hAnsi="宋体" w:cs="宋体"/>
                <w:b/>
                <w:bCs w:val="0"/>
                <w:color w:val="auto"/>
                <w:kern w:val="0"/>
                <w:sz w:val="18"/>
                <w:szCs w:val="18"/>
                <w:highlight w:val="none"/>
              </w:rPr>
              <w:t>财政事务</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rPr>
              <w:t>7</w:t>
            </w:r>
            <w:r>
              <w:rPr>
                <w:rFonts w:hint="eastAsia" w:ascii="仿宋_GB2312" w:hAnsi="宋体" w:eastAsia="仿宋_GB2312" w:cs="宋体"/>
                <w:b/>
                <w:bCs w:val="0"/>
                <w:color w:val="auto"/>
                <w:kern w:val="0"/>
                <w:sz w:val="18"/>
                <w:szCs w:val="18"/>
                <w:highlight w:val="none"/>
                <w:lang w:val="en-US" w:eastAsia="zh-CN"/>
              </w:rPr>
              <w:t>26.38</w:t>
            </w:r>
            <w:r>
              <w:rPr>
                <w:rFonts w:hint="eastAsia" w:ascii="仿宋_GB2312" w:hAnsi="宋体" w:eastAsia="仿宋_GB2312" w:cs="宋体"/>
                <w:b/>
                <w:bCs w:val="0"/>
                <w:color w:val="auto"/>
                <w:kern w:val="0"/>
                <w:sz w:val="18"/>
                <w:szCs w:val="18"/>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rPr>
              <w:t>　590.62</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val="0"/>
                <w:color w:val="auto"/>
                <w:kern w:val="0"/>
                <w:sz w:val="18"/>
                <w:szCs w:val="18"/>
                <w:highlight w:val="none"/>
              </w:rPr>
            </w:pPr>
            <w:r>
              <w:rPr>
                <w:rFonts w:hint="eastAsia" w:ascii="仿宋_GB2312" w:hAnsi="宋体" w:eastAsia="仿宋_GB2312" w:cs="宋体"/>
                <w:b/>
                <w:bCs w:val="0"/>
                <w:color w:val="auto"/>
                <w:kern w:val="0"/>
                <w:sz w:val="18"/>
                <w:szCs w:val="18"/>
                <w:highlight w:val="none"/>
              </w:rPr>
              <w:t>　</w:t>
            </w:r>
            <w:r>
              <w:rPr>
                <w:rFonts w:hint="eastAsia" w:ascii="仿宋_GB2312" w:hAnsi="宋体" w:eastAsia="仿宋_GB2312" w:cs="宋体"/>
                <w:b/>
                <w:bCs w:val="0"/>
                <w:color w:val="auto"/>
                <w:kern w:val="0"/>
                <w:sz w:val="18"/>
                <w:szCs w:val="18"/>
                <w:highlight w:val="none"/>
                <w:lang w:val="en-US" w:eastAsia="zh-CN"/>
              </w:rPr>
              <w:t>135</w:t>
            </w:r>
            <w:r>
              <w:rPr>
                <w:rFonts w:hint="eastAsia" w:ascii="仿宋_GB2312" w:hAnsi="宋体" w:eastAsia="仿宋_GB2312" w:cs="宋体"/>
                <w:b/>
                <w:bCs w:val="0"/>
                <w:color w:val="auto"/>
                <w:kern w:val="0"/>
                <w:sz w:val="18"/>
                <w:szCs w:val="18"/>
                <w:highlight w:val="none"/>
              </w:rPr>
              <w:t>.76</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06</w:t>
            </w:r>
          </w:p>
        </w:tc>
        <w:tc>
          <w:tcPr>
            <w:tcW w:w="50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行政运行</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398.88</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398.88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06</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50</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事业运行</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191.74</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191.74</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201</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06</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99</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其他财政事务支出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35</w:t>
            </w:r>
            <w:r>
              <w:rPr>
                <w:rFonts w:hint="eastAsia" w:ascii="宋体" w:hAnsi="宋体" w:cs="宋体"/>
                <w:color w:val="auto"/>
                <w:kern w:val="0"/>
                <w:sz w:val="18"/>
                <w:szCs w:val="18"/>
                <w:highlight w:val="none"/>
              </w:rPr>
              <w:t>.76</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35</w:t>
            </w:r>
            <w:r>
              <w:rPr>
                <w:rFonts w:hint="eastAsia" w:ascii="宋体" w:hAnsi="宋体" w:cs="宋体"/>
                <w:color w:val="auto"/>
                <w:kern w:val="0"/>
                <w:sz w:val="18"/>
                <w:szCs w:val="18"/>
                <w:highlight w:val="none"/>
              </w:rPr>
              <w:t>.76</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社会保障和就业支出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98.98</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98.98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ind w:firstLine="181" w:firstLineChars="100"/>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行政事业单位养老支出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98.98</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98.98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208</w:t>
            </w:r>
            <w:r>
              <w:rPr>
                <w:rFonts w:hint="eastAsia" w:ascii="宋体" w:hAnsi="宋体" w:cs="宋体"/>
                <w:color w:val="auto"/>
                <w:kern w:val="0"/>
                <w:sz w:val="18"/>
                <w:szCs w:val="18"/>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05</w:t>
            </w:r>
            <w:r>
              <w:rPr>
                <w:rFonts w:hint="eastAsia" w:ascii="宋体" w:hAnsi="宋体" w:cs="宋体"/>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cs="宋体"/>
                <w:color w:val="auto"/>
                <w:kern w:val="0"/>
                <w:sz w:val="18"/>
                <w:szCs w:val="18"/>
                <w:highlight w:val="none"/>
                <w:lang w:val="en-US"/>
              </w:rPr>
            </w:pPr>
            <w:r>
              <w:rPr>
                <w:rFonts w:hint="eastAsia" w:ascii="宋体" w:hAnsi="宋体" w:cs="宋体"/>
                <w:color w:val="auto"/>
                <w:kern w:val="0"/>
                <w:sz w:val="18"/>
                <w:szCs w:val="18"/>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 xml:space="preserve"> </w:t>
            </w:r>
            <w:r>
              <w:rPr>
                <w:rFonts w:hint="eastAsia" w:ascii="宋体" w:hAnsi="宋体" w:cs="宋体"/>
                <w:color w:val="auto"/>
                <w:kern w:val="0"/>
                <w:sz w:val="18"/>
                <w:szCs w:val="18"/>
                <w:highlight w:val="none"/>
              </w:rPr>
              <w:t>事业单位离退休</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20.73</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20.73</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 xml:space="preserve"> </w:t>
            </w:r>
            <w:r>
              <w:rPr>
                <w:rFonts w:hint="eastAsia" w:ascii="宋体" w:hAnsi="宋体" w:cs="宋体"/>
                <w:color w:val="auto"/>
                <w:kern w:val="0"/>
                <w:sz w:val="18"/>
                <w:szCs w:val="18"/>
                <w:highlight w:val="none"/>
              </w:rPr>
              <w:t>机关事业单位基本养老保险缴费支出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78.25</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78.25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卫生健康支出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59.18</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59.18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ind w:firstLine="181" w:firstLineChars="100"/>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行政事业单位医疗</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59.18</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59.18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行政单位医疗</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25.48</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25.48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事业单位医疗</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13.64</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13.64</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03</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 xml:space="preserve">  </w:t>
            </w:r>
            <w:r>
              <w:rPr>
                <w:rFonts w:hint="eastAsia" w:ascii="宋体" w:hAnsi="宋体" w:cs="宋体"/>
                <w:color w:val="auto"/>
                <w:kern w:val="0"/>
                <w:sz w:val="18"/>
                <w:szCs w:val="18"/>
                <w:highlight w:val="none"/>
              </w:rPr>
              <w:t>公务员医疗补助</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19.56</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19.56</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588"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210</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99</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其他行政事业单位医疗支出</w:t>
            </w:r>
          </w:p>
        </w:tc>
        <w:tc>
          <w:tcPr>
            <w:tcW w:w="1684"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0.49　</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0.49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住房保障支出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65.37</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65.37</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10" w:type="dxa"/>
            <w:tcBorders>
              <w:top w:val="nil"/>
              <w:left w:val="nil"/>
              <w:bottom w:val="single" w:color="auto" w:sz="4" w:space="0"/>
              <w:right w:val="single" w:color="auto" w:sz="4" w:space="0"/>
            </w:tcBorders>
            <w:noWrap w:val="0"/>
            <w:vAlign w:val="center"/>
          </w:tcPr>
          <w:p>
            <w:pPr>
              <w:widowControl/>
              <w:ind w:firstLine="181" w:firstLineChars="100"/>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住房改革支出</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65.37</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65.37</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02</w:t>
            </w:r>
            <w:r>
              <w:rPr>
                <w:rFonts w:hint="eastAsia" w:ascii="宋体" w:hAnsi="宋体" w:cs="宋体"/>
                <w:color w:val="auto"/>
                <w:kern w:val="0"/>
                <w:sz w:val="18"/>
                <w:szCs w:val="18"/>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noWrap w:val="0"/>
            <w:vAlign w:val="center"/>
          </w:tcPr>
          <w:p>
            <w:pPr>
              <w:widowControl/>
              <w:ind w:firstLine="360" w:firstLineChars="2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住房公积金</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65.37</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65.37</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588"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right"/>
              <w:rPr>
                <w:rFonts w:hint="default"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lang w:val="en-US" w:eastAsia="zh-CN"/>
              </w:rPr>
              <w:t>949.90</w:t>
            </w:r>
          </w:p>
        </w:tc>
        <w:tc>
          <w:tcPr>
            <w:tcW w:w="1842"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814.14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lang w:val="en-US" w:eastAsia="zh-CN"/>
              </w:rPr>
              <w:t>135.76</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412" w:type="dxa"/>
        <w:jc w:val="center"/>
        <w:tblLayout w:type="fixed"/>
        <w:tblCellMar>
          <w:top w:w="0" w:type="dxa"/>
          <w:left w:w="108" w:type="dxa"/>
          <w:bottom w:w="0" w:type="dxa"/>
          <w:right w:w="108" w:type="dxa"/>
        </w:tblCellMar>
      </w:tblPr>
      <w:tblGrid>
        <w:gridCol w:w="744"/>
        <w:gridCol w:w="540"/>
        <w:gridCol w:w="3025"/>
        <w:gridCol w:w="995"/>
        <w:gridCol w:w="706"/>
        <w:gridCol w:w="976"/>
        <w:gridCol w:w="725"/>
        <w:gridCol w:w="1701"/>
      </w:tblGrid>
      <w:tr>
        <w:tblPrEx>
          <w:tblCellMar>
            <w:top w:w="0" w:type="dxa"/>
            <w:left w:w="108" w:type="dxa"/>
            <w:bottom w:w="0" w:type="dxa"/>
            <w:right w:w="108" w:type="dxa"/>
          </w:tblCellMar>
        </w:tblPrEx>
        <w:trPr>
          <w:trHeight w:val="516" w:hRule="atLeast"/>
          <w:jc w:val="center"/>
        </w:trPr>
        <w:tc>
          <w:tcPr>
            <w:tcW w:w="9412"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4309" w:type="dxa"/>
            <w:gridSpan w:val="3"/>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呼图壁县财政局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30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552" w:hRule="atLeast"/>
          <w:jc w:val="center"/>
        </w:trPr>
        <w:tc>
          <w:tcPr>
            <w:tcW w:w="128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2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156"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25"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4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lang w:val="en-US" w:eastAsia="zh-CN"/>
              </w:rPr>
            </w:pP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750.35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750.35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w:t>
            </w:r>
          </w:p>
        </w:tc>
      </w:tr>
      <w:tr>
        <w:tblPrEx>
          <w:tblCellMar>
            <w:top w:w="0" w:type="dxa"/>
            <w:left w:w="108" w:type="dxa"/>
            <w:bottom w:w="0" w:type="dxa"/>
            <w:right w:w="108" w:type="dxa"/>
          </w:tblCellMar>
        </w:tblPrEx>
        <w:trPr>
          <w:trHeight w:val="354"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01</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185.80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185.80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66"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02</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津贴补贴</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151.40</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151.40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54"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03</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奖金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161.37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161.37</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66"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07</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绩效工资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46.18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46.18</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66"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08</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78.25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78.25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78"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10</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39.12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39.12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4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11</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19.56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19.56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54"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12</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3.30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3.30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354"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301</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13</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住房公积金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65.37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65.37</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40.44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40.44</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rPr>
            </w:pPr>
            <w:r>
              <w:rPr>
                <w:rFonts w:hint="eastAsia" w:asciiTheme="majorEastAsia" w:hAnsiTheme="majorEastAsia" w:eastAsiaTheme="majorEastAsia" w:cstheme="majorEastAsia"/>
                <w:color w:val="auto"/>
                <w:kern w:val="0"/>
                <w:sz w:val="18"/>
                <w:szCs w:val="18"/>
                <w:highlight w:val="none"/>
                <w:lang w:val="en-US" w:eastAsia="zh-CN"/>
              </w:rPr>
              <w:t>01</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办公费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1.49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1.49</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02</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印刷费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1.50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1.50</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05</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0.54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0.54</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06</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电费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2.80　</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2.80</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07</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邮电费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1.73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1.73</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08</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取暖费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 xml:space="preserve"> 16.14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 xml:space="preserve"> 16.14</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11</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差旅费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1.43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1.43</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17</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公务接待费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0.53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0.53</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28</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9.47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9.47</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lang w:val="en-US" w:eastAsia="zh-CN"/>
              </w:rPr>
              <w:t>302</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31</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4.80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4.80</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lang w:val="en-US" w:eastAsia="zh-CN"/>
              </w:rPr>
              <w:t>303</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w:t>
            </w:r>
          </w:p>
        </w:tc>
        <w:tc>
          <w:tcPr>
            <w:tcW w:w="3025"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23.35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23.35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w:t>
            </w: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303</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02</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20.73</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20.73</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303</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05</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0.03</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0.03</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303</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lang w:val="en-US" w:eastAsia="zh-CN"/>
              </w:rPr>
            </w:pPr>
            <w:r>
              <w:rPr>
                <w:rFonts w:hint="eastAsia" w:asciiTheme="majorEastAsia" w:hAnsiTheme="majorEastAsia" w:eastAsiaTheme="majorEastAsia" w:cstheme="majorEastAsia"/>
                <w:color w:val="auto"/>
                <w:kern w:val="0"/>
                <w:sz w:val="18"/>
                <w:szCs w:val="18"/>
                <w:highlight w:val="none"/>
                <w:lang w:val="en-US" w:eastAsia="zh-CN"/>
              </w:rPr>
              <w:t>09</w:t>
            </w:r>
          </w:p>
        </w:tc>
        <w:tc>
          <w:tcPr>
            <w:tcW w:w="3025" w:type="dxa"/>
            <w:tcBorders>
              <w:top w:val="nil"/>
              <w:left w:val="nil"/>
              <w:bottom w:val="single" w:color="auto" w:sz="4" w:space="0"/>
              <w:right w:val="single" w:color="auto" w:sz="4" w:space="0"/>
            </w:tcBorders>
            <w:noWrap w:val="0"/>
            <w:vAlign w:val="center"/>
          </w:tcPr>
          <w:p>
            <w:pPr>
              <w:widowControl/>
              <w:ind w:firstLine="180" w:firstLineChars="100"/>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2.60</w:t>
            </w:r>
          </w:p>
        </w:tc>
        <w:tc>
          <w:tcPr>
            <w:tcW w:w="1701" w:type="dxa"/>
            <w:gridSpan w:val="2"/>
            <w:tcBorders>
              <w:top w:val="nil"/>
              <w:left w:val="nil"/>
              <w:bottom w:val="single" w:color="auto" w:sz="4" w:space="0"/>
              <w:right w:val="single" w:color="auto" w:sz="4" w:space="0"/>
            </w:tcBorders>
            <w:noWrap w:val="0"/>
            <w:vAlign w:val="center"/>
          </w:tcPr>
          <w:p>
            <w:pPr>
              <w:widowControl/>
              <w:ind w:firstLine="180" w:firstLineChars="100"/>
              <w:jc w:val="righ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2.60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color w:val="auto"/>
                <w:kern w:val="0"/>
                <w:sz w:val="18"/>
                <w:szCs w:val="18"/>
                <w:highlight w:val="none"/>
              </w:rPr>
            </w:pPr>
          </w:p>
        </w:tc>
      </w:tr>
      <w:tr>
        <w:tblPrEx>
          <w:tblCellMar>
            <w:top w:w="0" w:type="dxa"/>
            <w:left w:w="108" w:type="dxa"/>
            <w:bottom w:w="0" w:type="dxa"/>
            <w:right w:w="108" w:type="dxa"/>
          </w:tblCellMar>
        </w:tblPrEx>
        <w:trPr>
          <w:trHeight w:val="402" w:hRule="atLeast"/>
          <w:jc w:val="center"/>
        </w:trPr>
        <w:tc>
          <w:tcPr>
            <w:tcW w:w="744" w:type="dxa"/>
            <w:tcBorders>
              <w:top w:val="nil"/>
              <w:left w:val="single" w:color="auto" w:sz="4" w:space="0"/>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c>
          <w:tcPr>
            <w:tcW w:w="540" w:type="dxa"/>
            <w:tcBorders>
              <w:top w:val="nil"/>
              <w:left w:val="nil"/>
              <w:bottom w:val="single" w:color="auto" w:sz="4" w:space="0"/>
              <w:right w:val="single" w:color="auto" w:sz="4" w:space="0"/>
            </w:tcBorders>
            <w:noWrap w:val="0"/>
            <w:vAlign w:val="center"/>
          </w:tcPr>
          <w:p>
            <w:pPr>
              <w:widowControl/>
              <w:jc w:val="left"/>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color w:val="auto"/>
                <w:kern w:val="0"/>
                <w:sz w:val="18"/>
                <w:szCs w:val="18"/>
                <w:highlight w:val="none"/>
              </w:rPr>
              <w:t>　</w:t>
            </w:r>
          </w:p>
        </w:tc>
        <w:tc>
          <w:tcPr>
            <w:tcW w:w="3025" w:type="dxa"/>
            <w:tcBorders>
              <w:top w:val="nil"/>
              <w:left w:val="nil"/>
              <w:bottom w:val="single" w:color="auto" w:sz="4" w:space="0"/>
              <w:right w:val="single" w:color="auto" w:sz="4" w:space="0"/>
            </w:tcBorders>
            <w:noWrap w:val="0"/>
            <w:vAlign w:val="center"/>
          </w:tcPr>
          <w:p>
            <w:pPr>
              <w:widowControl/>
              <w:jc w:val="center"/>
              <w:rPr>
                <w:rFonts w:hint="eastAsia" w:asciiTheme="majorEastAsia" w:hAnsiTheme="majorEastAsia" w:eastAsiaTheme="majorEastAsia" w:cstheme="majorEastAsia"/>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rPr>
              <w:t>　</w:t>
            </w:r>
            <w:r>
              <w:rPr>
                <w:rFonts w:hint="eastAsia" w:asciiTheme="majorEastAsia" w:hAnsiTheme="majorEastAsia" w:eastAsiaTheme="majorEastAsia" w:cstheme="majorEastAsia"/>
                <w:b/>
                <w:bCs/>
                <w:color w:val="auto"/>
                <w:kern w:val="0"/>
                <w:sz w:val="18"/>
                <w:szCs w:val="18"/>
                <w:highlight w:val="none"/>
                <w:lang w:val="en-US" w:eastAsia="zh-CN"/>
              </w:rPr>
              <w:t>814.14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773.71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Theme="majorEastAsia" w:hAnsiTheme="majorEastAsia" w:eastAsiaTheme="majorEastAsia" w:cstheme="majorEastAsia"/>
                <w:b/>
                <w:bCs/>
                <w:color w:val="auto"/>
                <w:kern w:val="0"/>
                <w:sz w:val="18"/>
                <w:szCs w:val="18"/>
                <w:highlight w:val="none"/>
              </w:rPr>
            </w:pPr>
            <w:r>
              <w:rPr>
                <w:rFonts w:hint="eastAsia" w:asciiTheme="majorEastAsia" w:hAnsiTheme="majorEastAsia" w:eastAsiaTheme="majorEastAsia" w:cstheme="majorEastAsia"/>
                <w:b/>
                <w:bCs/>
                <w:color w:val="auto"/>
                <w:kern w:val="0"/>
                <w:sz w:val="18"/>
                <w:szCs w:val="18"/>
                <w:highlight w:val="none"/>
              </w:rPr>
              <w:t>　40.44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640" w:type="dxa"/>
        <w:tblInd w:w="-460" w:type="dxa"/>
        <w:tblLayout w:type="fixed"/>
        <w:tblCellMar>
          <w:top w:w="0" w:type="dxa"/>
          <w:left w:w="108" w:type="dxa"/>
          <w:bottom w:w="0" w:type="dxa"/>
          <w:right w:w="108" w:type="dxa"/>
        </w:tblCellMar>
      </w:tblPr>
      <w:tblGrid>
        <w:gridCol w:w="517"/>
        <w:gridCol w:w="417"/>
        <w:gridCol w:w="417"/>
        <w:gridCol w:w="828"/>
        <w:gridCol w:w="1400"/>
        <w:gridCol w:w="732"/>
        <w:gridCol w:w="110"/>
        <w:gridCol w:w="451"/>
        <w:gridCol w:w="804"/>
        <w:gridCol w:w="492"/>
        <w:gridCol w:w="512"/>
        <w:gridCol w:w="404"/>
        <w:gridCol w:w="214"/>
        <w:gridCol w:w="419"/>
        <w:gridCol w:w="618"/>
        <w:gridCol w:w="420"/>
        <w:gridCol w:w="420"/>
        <w:gridCol w:w="388"/>
        <w:gridCol w:w="77"/>
      </w:tblGrid>
      <w:tr>
        <w:tblPrEx>
          <w:tblCellMar>
            <w:top w:w="0" w:type="dxa"/>
            <w:left w:w="108" w:type="dxa"/>
            <w:bottom w:w="0" w:type="dxa"/>
            <w:right w:w="108" w:type="dxa"/>
          </w:tblCellMar>
        </w:tblPrEx>
        <w:trPr>
          <w:gridAfter w:val="1"/>
          <w:wAfter w:w="77" w:type="dxa"/>
          <w:trHeight w:val="375" w:hRule="atLeast"/>
        </w:trPr>
        <w:tc>
          <w:tcPr>
            <w:tcW w:w="9563"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7" w:type="dxa"/>
          <w:trHeight w:val="405" w:hRule="atLeast"/>
        </w:trPr>
        <w:tc>
          <w:tcPr>
            <w:tcW w:w="4421"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呼图壁县财政局</w:t>
            </w:r>
          </w:p>
        </w:tc>
        <w:tc>
          <w:tcPr>
            <w:tcW w:w="1255"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408"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1"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0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9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1"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0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9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7" w:type="dxa"/>
            <w:noWrap w:val="0"/>
            <w:vAlign w:val="center"/>
          </w:tcPr>
          <w:p>
            <w:pPr>
              <w:widowControl/>
              <w:jc w:val="center"/>
              <w:outlineLvl w:val="1"/>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201</w:t>
            </w:r>
          </w:p>
        </w:tc>
        <w:tc>
          <w:tcPr>
            <w:tcW w:w="417" w:type="dxa"/>
            <w:noWrap w:val="0"/>
            <w:vAlign w:val="center"/>
          </w:tcPr>
          <w:p>
            <w:pPr>
              <w:widowControl/>
              <w:jc w:val="center"/>
              <w:outlineLvl w:val="1"/>
              <w:rPr>
                <w:rFonts w:hint="eastAsia" w:ascii="宋体" w:hAnsi="宋体" w:eastAsia="宋体" w:cs="宋体"/>
                <w:b/>
                <w:bCs/>
                <w:color w:val="auto"/>
                <w:kern w:val="0"/>
                <w:sz w:val="15"/>
                <w:szCs w:val="15"/>
                <w:highlight w:val="none"/>
                <w:lang w:val="en-US" w:eastAsia="zh-Hans"/>
              </w:rPr>
            </w:pPr>
          </w:p>
        </w:tc>
        <w:tc>
          <w:tcPr>
            <w:tcW w:w="417"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828"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一般公共服务支出</w:t>
            </w:r>
          </w:p>
        </w:tc>
        <w:tc>
          <w:tcPr>
            <w:tcW w:w="1400"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c>
          <w:tcPr>
            <w:tcW w:w="732" w:type="dxa"/>
            <w:noWrap w:val="0"/>
            <w:vAlign w:val="center"/>
          </w:tcPr>
          <w:p>
            <w:pPr>
              <w:widowControl/>
              <w:jc w:val="center"/>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135.76</w:t>
            </w:r>
          </w:p>
        </w:tc>
        <w:tc>
          <w:tcPr>
            <w:tcW w:w="561" w:type="dxa"/>
            <w:gridSpan w:val="2"/>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804" w:type="dxa"/>
            <w:noWrap w:val="0"/>
            <w:vAlign w:val="center"/>
          </w:tcPr>
          <w:p>
            <w:pPr>
              <w:widowControl/>
              <w:jc w:val="center"/>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128.09</w:t>
            </w:r>
          </w:p>
        </w:tc>
        <w:tc>
          <w:tcPr>
            <w:tcW w:w="492"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512"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618" w:type="dxa"/>
            <w:gridSpan w:val="2"/>
            <w:noWrap w:val="0"/>
            <w:vAlign w:val="center"/>
          </w:tcPr>
          <w:p>
            <w:pPr>
              <w:widowControl/>
              <w:jc w:val="center"/>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7.67</w:t>
            </w:r>
          </w:p>
        </w:tc>
        <w:tc>
          <w:tcPr>
            <w:tcW w:w="419"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618"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420"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420"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465" w:type="dxa"/>
            <w:gridSpan w:val="2"/>
            <w:noWrap w:val="0"/>
            <w:vAlign w:val="center"/>
          </w:tcPr>
          <w:p>
            <w:pPr>
              <w:widowControl/>
              <w:jc w:val="center"/>
              <w:outlineLvl w:val="1"/>
              <w:rPr>
                <w:rFonts w:hint="eastAsia" w:ascii="宋体" w:hAnsi="宋体" w:eastAsia="宋体" w:cs="宋体"/>
                <w:b/>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7" w:type="dxa"/>
            <w:noWrap w:val="0"/>
            <w:vAlign w:val="center"/>
          </w:tcPr>
          <w:p>
            <w:pPr>
              <w:widowControl/>
              <w:jc w:val="center"/>
              <w:outlineLvl w:val="1"/>
              <w:rPr>
                <w:rFonts w:hint="default"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201</w:t>
            </w:r>
          </w:p>
        </w:tc>
        <w:tc>
          <w:tcPr>
            <w:tcW w:w="417" w:type="dxa"/>
            <w:noWrap w:val="0"/>
            <w:vAlign w:val="center"/>
          </w:tcPr>
          <w:p>
            <w:pPr>
              <w:widowControl/>
              <w:jc w:val="center"/>
              <w:outlineLvl w:val="1"/>
              <w:rPr>
                <w:rFonts w:hint="eastAsia" w:ascii="宋体" w:hAnsi="宋体" w:eastAsia="宋体" w:cs="宋体"/>
                <w:b/>
                <w:bCs/>
                <w:color w:val="auto"/>
                <w:kern w:val="0"/>
                <w:sz w:val="15"/>
                <w:szCs w:val="15"/>
                <w:highlight w:val="none"/>
                <w:lang w:val="en-US" w:eastAsia="zh-CN"/>
              </w:rPr>
            </w:pPr>
            <w:r>
              <w:rPr>
                <w:rFonts w:hint="eastAsia" w:ascii="宋体" w:hAnsi="宋体" w:eastAsia="宋体" w:cs="宋体"/>
                <w:b/>
                <w:bCs/>
                <w:color w:val="auto"/>
                <w:kern w:val="0"/>
                <w:sz w:val="15"/>
                <w:szCs w:val="15"/>
                <w:highlight w:val="none"/>
                <w:lang w:val="en-US" w:eastAsia="zh-CN"/>
              </w:rPr>
              <w:t>06</w:t>
            </w:r>
          </w:p>
        </w:tc>
        <w:tc>
          <w:tcPr>
            <w:tcW w:w="417"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828"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财政事务</w:t>
            </w:r>
          </w:p>
        </w:tc>
        <w:tc>
          <w:tcPr>
            <w:tcW w:w="1400"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c>
          <w:tcPr>
            <w:tcW w:w="732" w:type="dxa"/>
            <w:noWrap w:val="0"/>
            <w:vAlign w:val="center"/>
          </w:tcPr>
          <w:p>
            <w:pPr>
              <w:widowControl/>
              <w:jc w:val="center"/>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135.76</w:t>
            </w:r>
          </w:p>
        </w:tc>
        <w:tc>
          <w:tcPr>
            <w:tcW w:w="561" w:type="dxa"/>
            <w:gridSpan w:val="2"/>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804" w:type="dxa"/>
            <w:noWrap w:val="0"/>
            <w:vAlign w:val="center"/>
          </w:tcPr>
          <w:p>
            <w:pPr>
              <w:widowControl/>
              <w:jc w:val="center"/>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128.09</w:t>
            </w:r>
          </w:p>
        </w:tc>
        <w:tc>
          <w:tcPr>
            <w:tcW w:w="492"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512"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618" w:type="dxa"/>
            <w:gridSpan w:val="2"/>
            <w:noWrap w:val="0"/>
            <w:vAlign w:val="center"/>
          </w:tcPr>
          <w:p>
            <w:pPr>
              <w:widowControl/>
              <w:jc w:val="center"/>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7.67</w:t>
            </w:r>
          </w:p>
        </w:tc>
        <w:tc>
          <w:tcPr>
            <w:tcW w:w="419"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618"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420"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420" w:type="dxa"/>
            <w:noWrap w:val="0"/>
            <w:vAlign w:val="center"/>
          </w:tcPr>
          <w:p>
            <w:pPr>
              <w:widowControl/>
              <w:jc w:val="center"/>
              <w:outlineLvl w:val="1"/>
              <w:rPr>
                <w:rFonts w:hint="eastAsia" w:ascii="宋体" w:hAnsi="宋体" w:eastAsia="宋体" w:cs="宋体"/>
                <w:b/>
                <w:bCs/>
                <w:color w:val="auto"/>
                <w:kern w:val="0"/>
                <w:sz w:val="15"/>
                <w:szCs w:val="15"/>
                <w:highlight w:val="none"/>
              </w:rPr>
            </w:pPr>
          </w:p>
        </w:tc>
        <w:tc>
          <w:tcPr>
            <w:tcW w:w="465" w:type="dxa"/>
            <w:gridSpan w:val="2"/>
            <w:noWrap w:val="0"/>
            <w:vAlign w:val="center"/>
          </w:tcPr>
          <w:p>
            <w:pPr>
              <w:widowControl/>
              <w:jc w:val="center"/>
              <w:outlineLvl w:val="1"/>
              <w:rPr>
                <w:rFonts w:hint="eastAsia" w:ascii="宋体" w:hAnsi="宋体" w:eastAsia="宋体" w:cs="宋体"/>
                <w:b/>
                <w:bCs/>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7"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201</w:t>
            </w:r>
          </w:p>
        </w:tc>
        <w:tc>
          <w:tcPr>
            <w:tcW w:w="417"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06</w:t>
            </w:r>
          </w:p>
        </w:tc>
        <w:tc>
          <w:tcPr>
            <w:tcW w:w="417"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lang w:val="en-US" w:eastAsia="zh-CN"/>
              </w:rPr>
              <w:t>99</w:t>
            </w:r>
          </w:p>
        </w:tc>
        <w:tc>
          <w:tcPr>
            <w:tcW w:w="828" w:type="dxa"/>
            <w:noWrap w:val="0"/>
            <w:vAlign w:val="top"/>
          </w:tcPr>
          <w:p>
            <w:pPr>
              <w:widowControl/>
              <w:jc w:val="left"/>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其他财政事务支出</w:t>
            </w:r>
          </w:p>
        </w:tc>
        <w:tc>
          <w:tcPr>
            <w:tcW w:w="1400" w:type="dxa"/>
            <w:noWrap w:val="0"/>
            <w:vAlign w:val="top"/>
          </w:tcPr>
          <w:p>
            <w:pPr>
              <w:widowControl/>
              <w:jc w:val="left"/>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财政预算管理系统等软件运行使用费（非定额）</w:t>
            </w:r>
          </w:p>
        </w:tc>
        <w:tc>
          <w:tcPr>
            <w:tcW w:w="732"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135.76</w:t>
            </w:r>
          </w:p>
        </w:tc>
        <w:tc>
          <w:tcPr>
            <w:tcW w:w="561" w:type="dxa"/>
            <w:gridSpan w:val="2"/>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804"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128.09</w:t>
            </w:r>
          </w:p>
        </w:tc>
        <w:tc>
          <w:tcPr>
            <w:tcW w:w="492"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512"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618" w:type="dxa"/>
            <w:gridSpan w:val="2"/>
            <w:noWrap w:val="0"/>
            <w:vAlign w:val="center"/>
          </w:tcPr>
          <w:p>
            <w:pPr>
              <w:widowControl/>
              <w:jc w:val="center"/>
              <w:outlineLvl w:val="1"/>
              <w:rPr>
                <w:rFonts w:hint="eastAsia" w:ascii="宋体" w:hAnsi="宋体" w:eastAsia="宋体" w:cs="宋体"/>
                <w:b w:val="0"/>
                <w:bCs w:val="0"/>
                <w:color w:val="auto"/>
                <w:kern w:val="0"/>
                <w:sz w:val="15"/>
                <w:szCs w:val="15"/>
                <w:highlight w:val="none"/>
              </w:rPr>
            </w:pPr>
            <w:r>
              <w:rPr>
                <w:rFonts w:hint="eastAsia" w:ascii="宋体" w:hAnsi="宋体" w:eastAsia="宋体" w:cs="宋体"/>
                <w:b w:val="0"/>
                <w:bCs w:val="0"/>
                <w:color w:val="auto"/>
                <w:kern w:val="0"/>
                <w:sz w:val="15"/>
                <w:szCs w:val="15"/>
                <w:highlight w:val="none"/>
              </w:rPr>
              <w:t>7.67</w:t>
            </w:r>
          </w:p>
        </w:tc>
        <w:tc>
          <w:tcPr>
            <w:tcW w:w="419"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618"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420"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420" w:type="dxa"/>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c>
          <w:tcPr>
            <w:tcW w:w="465" w:type="dxa"/>
            <w:gridSpan w:val="2"/>
            <w:noWrap w:val="0"/>
            <w:vAlign w:val="center"/>
          </w:tcPr>
          <w:p>
            <w:pPr>
              <w:widowControl/>
              <w:jc w:val="center"/>
              <w:outlineLvl w:val="1"/>
              <w:rPr>
                <w:rFonts w:hint="eastAsia" w:ascii="宋体" w:hAnsi="宋体" w:eastAsia="宋体" w:cs="宋体"/>
                <w:b w:val="0"/>
                <w:bCs w:val="0"/>
                <w:color w:val="auto"/>
                <w:kern w:val="0"/>
                <w:sz w:val="15"/>
                <w:szCs w:val="15"/>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7"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c>
          <w:tcPr>
            <w:tcW w:w="417"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c>
          <w:tcPr>
            <w:tcW w:w="417"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c>
          <w:tcPr>
            <w:tcW w:w="828" w:type="dxa"/>
            <w:noWrap w:val="0"/>
            <w:vAlign w:val="top"/>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　</w:t>
            </w:r>
          </w:p>
        </w:tc>
        <w:tc>
          <w:tcPr>
            <w:tcW w:w="1400" w:type="dxa"/>
            <w:noWrap w:val="0"/>
            <w:vAlign w:val="center"/>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合 计</w:t>
            </w:r>
          </w:p>
        </w:tc>
        <w:tc>
          <w:tcPr>
            <w:tcW w:w="732" w:type="dxa"/>
            <w:noWrap w:val="0"/>
            <w:vAlign w:val="center"/>
          </w:tcPr>
          <w:p>
            <w:pPr>
              <w:widowControl/>
              <w:jc w:val="left"/>
              <w:outlineLvl w:val="1"/>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135</w:t>
            </w:r>
            <w:r>
              <w:rPr>
                <w:rFonts w:hint="eastAsia" w:ascii="宋体" w:hAnsi="宋体" w:eastAsia="宋体" w:cs="宋体"/>
                <w:b/>
                <w:bCs/>
                <w:color w:val="auto"/>
                <w:kern w:val="0"/>
                <w:sz w:val="15"/>
                <w:szCs w:val="15"/>
                <w:highlight w:val="none"/>
                <w:lang w:val="en-US" w:eastAsia="zh-CN"/>
              </w:rPr>
              <w:t>.76</w:t>
            </w:r>
          </w:p>
        </w:tc>
        <w:tc>
          <w:tcPr>
            <w:tcW w:w="561" w:type="dxa"/>
            <w:gridSpan w:val="2"/>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804" w:type="dxa"/>
            <w:noWrap w:val="0"/>
            <w:vAlign w:val="center"/>
          </w:tcPr>
          <w:p>
            <w:pPr>
              <w:widowControl/>
              <w:jc w:val="left"/>
              <w:outlineLvl w:val="1"/>
              <w:rPr>
                <w:rFonts w:hint="default" w:ascii="宋体" w:hAnsi="宋体" w:eastAsia="宋体" w:cs="宋体"/>
                <w:b/>
                <w:bCs/>
                <w:color w:val="auto"/>
                <w:kern w:val="0"/>
                <w:sz w:val="15"/>
                <w:szCs w:val="15"/>
                <w:highlight w:val="none"/>
                <w:lang w:val="en-US" w:eastAsia="zh-CN"/>
              </w:rPr>
            </w:pPr>
            <w:r>
              <w:rPr>
                <w:rFonts w:hint="eastAsia" w:ascii="宋体" w:hAnsi="宋体" w:cs="宋体"/>
                <w:b/>
                <w:bCs/>
                <w:color w:val="auto"/>
                <w:kern w:val="0"/>
                <w:sz w:val="15"/>
                <w:szCs w:val="15"/>
                <w:highlight w:val="none"/>
                <w:lang w:val="en-US" w:eastAsia="zh-CN"/>
              </w:rPr>
              <w:t>128.09</w:t>
            </w:r>
          </w:p>
        </w:tc>
        <w:tc>
          <w:tcPr>
            <w:tcW w:w="492" w:type="dxa"/>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512" w:type="dxa"/>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618" w:type="dxa"/>
            <w:gridSpan w:val="2"/>
            <w:noWrap w:val="0"/>
            <w:vAlign w:val="center"/>
          </w:tcPr>
          <w:p>
            <w:pPr>
              <w:widowControl/>
              <w:jc w:val="left"/>
              <w:outlineLvl w:val="1"/>
              <w:rPr>
                <w:rFonts w:hint="eastAsia" w:ascii="宋体" w:hAnsi="宋体" w:eastAsia="宋体" w:cs="宋体"/>
                <w:b/>
                <w:bCs/>
                <w:color w:val="auto"/>
                <w:kern w:val="0"/>
                <w:sz w:val="15"/>
                <w:szCs w:val="15"/>
                <w:highlight w:val="none"/>
              </w:rPr>
            </w:pPr>
            <w:r>
              <w:rPr>
                <w:rFonts w:hint="eastAsia" w:ascii="宋体" w:hAnsi="宋体" w:eastAsia="宋体" w:cs="宋体"/>
                <w:b/>
                <w:bCs/>
                <w:color w:val="auto"/>
                <w:kern w:val="0"/>
                <w:sz w:val="15"/>
                <w:szCs w:val="15"/>
                <w:highlight w:val="none"/>
              </w:rPr>
              <w:t>7.67</w:t>
            </w:r>
          </w:p>
        </w:tc>
        <w:tc>
          <w:tcPr>
            <w:tcW w:w="419" w:type="dxa"/>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618" w:type="dxa"/>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420" w:type="dxa"/>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420" w:type="dxa"/>
            <w:noWrap w:val="0"/>
            <w:vAlign w:val="center"/>
          </w:tcPr>
          <w:p>
            <w:pPr>
              <w:widowControl/>
              <w:jc w:val="left"/>
              <w:outlineLvl w:val="1"/>
              <w:rPr>
                <w:rFonts w:hint="eastAsia" w:ascii="宋体" w:hAnsi="宋体" w:eastAsia="宋体" w:cs="宋体"/>
                <w:b/>
                <w:bCs/>
                <w:color w:val="auto"/>
                <w:kern w:val="0"/>
                <w:sz w:val="15"/>
                <w:szCs w:val="15"/>
                <w:highlight w:val="none"/>
              </w:rPr>
            </w:pPr>
          </w:p>
        </w:tc>
        <w:tc>
          <w:tcPr>
            <w:tcW w:w="465" w:type="dxa"/>
            <w:gridSpan w:val="2"/>
            <w:noWrap w:val="0"/>
            <w:vAlign w:val="center"/>
          </w:tcPr>
          <w:p>
            <w:pPr>
              <w:widowControl/>
              <w:jc w:val="left"/>
              <w:outlineLvl w:val="1"/>
              <w:rPr>
                <w:rFonts w:hint="eastAsia" w:ascii="宋体" w:hAnsi="宋体" w:eastAsia="宋体" w:cs="宋体"/>
                <w:b/>
                <w:bCs/>
                <w:color w:val="auto"/>
                <w:kern w:val="0"/>
                <w:sz w:val="15"/>
                <w:szCs w:val="15"/>
                <w:highlight w:val="none"/>
              </w:rPr>
            </w:pPr>
          </w:p>
        </w:tc>
      </w:tr>
    </w:tbl>
    <w:p>
      <w:pPr>
        <w:widowControl/>
        <w:outlineLvl w:val="1"/>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bCs w:val="0"/>
          <w:color w:val="auto"/>
          <w:kern w:val="0"/>
          <w:sz w:val="21"/>
          <w:szCs w:val="21"/>
          <w:highlight w:val="none"/>
          <w:lang w:eastAsia="zh-CN"/>
        </w:rPr>
      </w:pPr>
      <w:r>
        <w:rPr>
          <w:rFonts w:hint="eastAsia" w:ascii="仿宋_GB2312" w:hAnsi="宋体" w:eastAsia="仿宋_GB2312"/>
          <w:b/>
          <w:bCs w:val="0"/>
          <w:color w:val="auto"/>
          <w:kern w:val="0"/>
          <w:sz w:val="21"/>
          <w:szCs w:val="21"/>
          <w:highlight w:val="none"/>
          <w:lang w:eastAsia="zh-CN"/>
        </w:rPr>
        <w:t>呼图壁县财政局2025年没有使用政</w:t>
      </w:r>
      <w:r>
        <w:rPr>
          <w:rFonts w:hint="eastAsia" w:ascii="仿宋_GB2312" w:hAnsi="宋体" w:eastAsia="仿宋_GB2312"/>
          <w:b/>
          <w:bCs w:val="0"/>
          <w:color w:val="auto"/>
          <w:kern w:val="0"/>
          <w:sz w:val="21"/>
          <w:szCs w:val="21"/>
          <w:highlight w:val="none"/>
          <w:lang w:val="en-US" w:eastAsia="zh-CN"/>
        </w:rPr>
        <w:t>府性基金预算</w:t>
      </w:r>
      <w:r>
        <w:rPr>
          <w:rFonts w:hint="eastAsia" w:ascii="仿宋_GB2312" w:hAnsi="宋体" w:eastAsia="仿宋_GB2312"/>
          <w:b/>
          <w:bCs w:val="0"/>
          <w:color w:val="auto"/>
          <w:kern w:val="0"/>
          <w:sz w:val="21"/>
          <w:szCs w:val="21"/>
          <w:highlight w:val="none"/>
          <w:lang w:eastAsia="zh-CN"/>
        </w:rPr>
        <w:t>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bCs w:val="0"/>
          <w:color w:val="FF0000"/>
          <w:kern w:val="0"/>
          <w:sz w:val="28"/>
          <w:szCs w:val="28"/>
          <w:highlight w:val="none"/>
          <w:lang w:val="en-US" w:eastAsia="zh-CN"/>
        </w:rPr>
      </w:pPr>
      <w:r>
        <w:rPr>
          <w:rFonts w:hint="eastAsia" w:ascii="仿宋_GB2312" w:hAnsi="宋体" w:eastAsia="仿宋_GB2312"/>
          <w:b/>
          <w:bCs w:val="0"/>
          <w:color w:val="auto"/>
          <w:kern w:val="0"/>
          <w:sz w:val="21"/>
          <w:szCs w:val="21"/>
          <w:highlight w:val="none"/>
          <w:lang w:eastAsia="zh-CN"/>
        </w:rPr>
        <w:t>呼图壁县财政局2025年没有使用</w:t>
      </w:r>
      <w:r>
        <w:rPr>
          <w:rFonts w:hint="eastAsia" w:ascii="仿宋_GB2312" w:hAnsi="宋体" w:eastAsia="仿宋_GB2312"/>
          <w:b/>
          <w:bCs w:val="0"/>
          <w:color w:val="auto"/>
          <w:kern w:val="0"/>
          <w:sz w:val="21"/>
          <w:szCs w:val="21"/>
          <w:highlight w:val="none"/>
          <w:lang w:val="en-US" w:eastAsia="zh-CN"/>
        </w:rPr>
        <w:t>国有资本经营</w:t>
      </w:r>
      <w:r>
        <w:rPr>
          <w:rFonts w:hint="eastAsia" w:ascii="仿宋_GB2312" w:hAnsi="宋体" w:eastAsia="仿宋_GB2312"/>
          <w:b/>
          <w:bCs w:val="0"/>
          <w:color w:val="auto"/>
          <w:kern w:val="0"/>
          <w:sz w:val="21"/>
          <w:szCs w:val="21"/>
          <w:highlight w:val="none"/>
          <w:lang w:eastAsia="zh-CN"/>
        </w:rPr>
        <w:t>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3818" w:type="dxa"/>
            <w:noWrap w:val="0"/>
            <w:vAlign w:val="center"/>
          </w:tcPr>
          <w:p>
            <w:pPr>
              <w:widowControl/>
              <w:jc w:val="center"/>
              <w:outlineLvl w:val="1"/>
              <w:rPr>
                <w:rFonts w:hint="eastAsia" w:asciiTheme="majorEastAsia" w:hAnsiTheme="majorEastAsia" w:eastAsiaTheme="majorEastAsia" w:cstheme="majorEastAsia"/>
                <w:b/>
                <w:color w:val="auto"/>
                <w:kern w:val="0"/>
                <w:sz w:val="18"/>
                <w:szCs w:val="18"/>
                <w:highlight w:val="none"/>
                <w:vertAlign w:val="baseline"/>
              </w:rPr>
            </w:pPr>
            <w:r>
              <w:rPr>
                <w:rFonts w:hint="eastAsia" w:asciiTheme="majorEastAsia" w:hAnsiTheme="majorEastAsia" w:eastAsiaTheme="majorEastAsia" w:cstheme="majorEastAsia"/>
                <w:b/>
                <w:color w:val="auto"/>
                <w:kern w:val="0"/>
                <w:sz w:val="18"/>
                <w:szCs w:val="18"/>
                <w:highlight w:val="none"/>
                <w:vertAlign w:val="baseline"/>
              </w:rPr>
              <w:t>合计</w:t>
            </w:r>
          </w:p>
        </w:tc>
        <w:tc>
          <w:tcPr>
            <w:tcW w:w="1215" w:type="dxa"/>
            <w:noWrap w:val="0"/>
            <w:vAlign w:val="center"/>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lang w:val="en-US" w:eastAsia="zh-CN"/>
              </w:rPr>
            </w:pPr>
            <w:r>
              <w:rPr>
                <w:rFonts w:hint="eastAsia" w:asciiTheme="majorEastAsia" w:hAnsiTheme="majorEastAsia" w:eastAsiaTheme="majorEastAsia" w:cstheme="majorEastAsia"/>
                <w:b/>
                <w:color w:val="auto"/>
                <w:kern w:val="0"/>
                <w:sz w:val="18"/>
                <w:szCs w:val="18"/>
                <w:highlight w:val="none"/>
                <w:vertAlign w:val="baseline"/>
                <w:lang w:val="en-US" w:eastAsia="zh-CN"/>
              </w:rPr>
              <w:t>5.33</w:t>
            </w:r>
          </w:p>
        </w:tc>
        <w:tc>
          <w:tcPr>
            <w:tcW w:w="1314" w:type="dxa"/>
            <w:noWrap w:val="0"/>
            <w:vAlign w:val="center"/>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lang w:val="en-US" w:eastAsia="zh-CN"/>
              </w:rPr>
            </w:pPr>
            <w:r>
              <w:rPr>
                <w:rFonts w:hint="eastAsia" w:asciiTheme="majorEastAsia" w:hAnsiTheme="majorEastAsia" w:eastAsiaTheme="majorEastAsia" w:cstheme="majorEastAsia"/>
                <w:b/>
                <w:color w:val="auto"/>
                <w:kern w:val="0"/>
                <w:sz w:val="18"/>
                <w:szCs w:val="18"/>
                <w:highlight w:val="none"/>
                <w:vertAlign w:val="baseline"/>
                <w:lang w:val="en-US" w:eastAsia="zh-CN"/>
              </w:rPr>
              <w:t>5.33</w:t>
            </w:r>
          </w:p>
        </w:tc>
        <w:tc>
          <w:tcPr>
            <w:tcW w:w="1595" w:type="dxa"/>
            <w:noWrap w:val="0"/>
            <w:vAlign w:val="top"/>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rPr>
            </w:pPr>
          </w:p>
        </w:tc>
        <w:tc>
          <w:tcPr>
            <w:tcW w:w="1621" w:type="dxa"/>
            <w:noWrap w:val="0"/>
            <w:vAlign w:val="top"/>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818" w:type="dxa"/>
            <w:noWrap w:val="0"/>
            <w:vAlign w:val="center"/>
          </w:tcPr>
          <w:p>
            <w:pPr>
              <w:widowControl/>
              <w:jc w:val="center"/>
              <w:outlineLvl w:val="1"/>
              <w:rPr>
                <w:rFonts w:hint="eastAsia" w:asciiTheme="majorEastAsia" w:hAnsiTheme="majorEastAsia" w:eastAsiaTheme="majorEastAsia" w:cstheme="majorEastAsia"/>
                <w:b w:val="0"/>
                <w:bCs/>
                <w:color w:val="auto"/>
                <w:kern w:val="0"/>
                <w:sz w:val="18"/>
                <w:szCs w:val="18"/>
                <w:highlight w:val="none"/>
                <w:vertAlign w:val="baseline"/>
              </w:rPr>
            </w:pPr>
            <w:r>
              <w:rPr>
                <w:rFonts w:hint="eastAsia" w:asciiTheme="majorEastAsia" w:hAnsiTheme="majorEastAsia" w:eastAsiaTheme="majorEastAsia" w:cstheme="majorEastAsia"/>
                <w:b w:val="0"/>
                <w:bCs/>
                <w:color w:val="auto"/>
                <w:kern w:val="0"/>
                <w:sz w:val="18"/>
                <w:szCs w:val="18"/>
                <w:highlight w:val="none"/>
                <w:vertAlign w:val="baseline"/>
              </w:rPr>
              <w:t>因公出国（境）费</w:t>
            </w:r>
          </w:p>
        </w:tc>
        <w:tc>
          <w:tcPr>
            <w:tcW w:w="1215"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314"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595"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621"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3818" w:type="dxa"/>
            <w:noWrap w:val="0"/>
            <w:vAlign w:val="center"/>
          </w:tcPr>
          <w:p>
            <w:pPr>
              <w:widowControl/>
              <w:jc w:val="center"/>
              <w:outlineLvl w:val="1"/>
              <w:rPr>
                <w:rFonts w:hint="eastAsia" w:asciiTheme="majorEastAsia" w:hAnsiTheme="majorEastAsia" w:eastAsiaTheme="majorEastAsia" w:cstheme="majorEastAsia"/>
                <w:b w:val="0"/>
                <w:bCs/>
                <w:color w:val="auto"/>
                <w:kern w:val="0"/>
                <w:sz w:val="18"/>
                <w:szCs w:val="18"/>
                <w:highlight w:val="none"/>
                <w:vertAlign w:val="baseline"/>
              </w:rPr>
            </w:pPr>
            <w:r>
              <w:rPr>
                <w:rFonts w:hint="eastAsia" w:asciiTheme="majorEastAsia" w:hAnsiTheme="majorEastAsia" w:eastAsiaTheme="majorEastAsia" w:cstheme="majorEastAsia"/>
                <w:b w:val="0"/>
                <w:bCs/>
                <w:color w:val="auto"/>
                <w:kern w:val="0"/>
                <w:sz w:val="18"/>
                <w:szCs w:val="18"/>
                <w:highlight w:val="none"/>
                <w:vertAlign w:val="baseline"/>
              </w:rPr>
              <w:t>公务接待费</w:t>
            </w:r>
          </w:p>
        </w:tc>
        <w:tc>
          <w:tcPr>
            <w:tcW w:w="1215"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lang w:val="en-US" w:eastAsia="zh-CN"/>
              </w:rPr>
            </w:pPr>
            <w:r>
              <w:rPr>
                <w:rFonts w:hint="eastAsia" w:asciiTheme="majorEastAsia" w:hAnsiTheme="majorEastAsia" w:eastAsiaTheme="majorEastAsia" w:cstheme="majorEastAsia"/>
                <w:b w:val="0"/>
                <w:bCs/>
                <w:color w:val="auto"/>
                <w:kern w:val="0"/>
                <w:sz w:val="18"/>
                <w:szCs w:val="18"/>
                <w:highlight w:val="none"/>
                <w:vertAlign w:val="baseline"/>
                <w:lang w:val="en-US" w:eastAsia="zh-CN"/>
              </w:rPr>
              <w:t>0.53</w:t>
            </w:r>
          </w:p>
        </w:tc>
        <w:tc>
          <w:tcPr>
            <w:tcW w:w="1314"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lang w:val="en-US" w:eastAsia="zh-CN"/>
              </w:rPr>
            </w:pPr>
            <w:r>
              <w:rPr>
                <w:rFonts w:hint="eastAsia" w:asciiTheme="majorEastAsia" w:hAnsiTheme="majorEastAsia" w:eastAsiaTheme="majorEastAsia" w:cstheme="majorEastAsia"/>
                <w:b w:val="0"/>
                <w:bCs/>
                <w:color w:val="auto"/>
                <w:kern w:val="0"/>
                <w:sz w:val="18"/>
                <w:szCs w:val="18"/>
                <w:highlight w:val="none"/>
                <w:vertAlign w:val="baseline"/>
                <w:lang w:val="en-US" w:eastAsia="zh-CN"/>
              </w:rPr>
              <w:t>0.53</w:t>
            </w:r>
          </w:p>
        </w:tc>
        <w:tc>
          <w:tcPr>
            <w:tcW w:w="1595"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621"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Theme="majorEastAsia" w:hAnsiTheme="majorEastAsia" w:eastAsiaTheme="majorEastAsia" w:cstheme="majorEastAsia"/>
                <w:b/>
                <w:color w:val="auto"/>
                <w:kern w:val="0"/>
                <w:sz w:val="18"/>
                <w:szCs w:val="18"/>
                <w:highlight w:val="none"/>
                <w:vertAlign w:val="baseline"/>
              </w:rPr>
            </w:pPr>
            <w:r>
              <w:rPr>
                <w:rFonts w:hint="eastAsia" w:asciiTheme="majorEastAsia" w:hAnsiTheme="majorEastAsia" w:eastAsiaTheme="majorEastAsia" w:cstheme="majorEastAsia"/>
                <w:b/>
                <w:color w:val="auto"/>
                <w:kern w:val="0"/>
                <w:sz w:val="18"/>
                <w:szCs w:val="18"/>
                <w:highlight w:val="none"/>
                <w:vertAlign w:val="baseline"/>
              </w:rPr>
              <w:t>公务用车购置及运行费（小计）</w:t>
            </w:r>
          </w:p>
        </w:tc>
        <w:tc>
          <w:tcPr>
            <w:tcW w:w="1215" w:type="dxa"/>
            <w:noWrap w:val="0"/>
            <w:vAlign w:val="center"/>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lang w:val="en-US" w:eastAsia="zh-CN"/>
              </w:rPr>
            </w:pPr>
            <w:r>
              <w:rPr>
                <w:rFonts w:hint="eastAsia" w:asciiTheme="majorEastAsia" w:hAnsiTheme="majorEastAsia" w:eastAsiaTheme="majorEastAsia" w:cstheme="majorEastAsia"/>
                <w:b/>
                <w:color w:val="auto"/>
                <w:kern w:val="0"/>
                <w:sz w:val="18"/>
                <w:szCs w:val="18"/>
                <w:highlight w:val="none"/>
                <w:vertAlign w:val="baseline"/>
                <w:lang w:val="en-US" w:eastAsia="zh-CN"/>
              </w:rPr>
              <w:t>4.80</w:t>
            </w:r>
          </w:p>
        </w:tc>
        <w:tc>
          <w:tcPr>
            <w:tcW w:w="1314" w:type="dxa"/>
            <w:noWrap w:val="0"/>
            <w:vAlign w:val="center"/>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lang w:val="en-US" w:eastAsia="zh-CN"/>
              </w:rPr>
            </w:pPr>
            <w:r>
              <w:rPr>
                <w:rFonts w:hint="eastAsia" w:asciiTheme="majorEastAsia" w:hAnsiTheme="majorEastAsia" w:eastAsiaTheme="majorEastAsia" w:cstheme="majorEastAsia"/>
                <w:b/>
                <w:color w:val="auto"/>
                <w:kern w:val="0"/>
                <w:sz w:val="18"/>
                <w:szCs w:val="18"/>
                <w:highlight w:val="none"/>
                <w:vertAlign w:val="baseline"/>
                <w:lang w:val="en-US" w:eastAsia="zh-CN"/>
              </w:rPr>
              <w:t>4.80</w:t>
            </w:r>
          </w:p>
        </w:tc>
        <w:tc>
          <w:tcPr>
            <w:tcW w:w="1595" w:type="dxa"/>
            <w:noWrap w:val="0"/>
            <w:vAlign w:val="top"/>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rPr>
            </w:pPr>
          </w:p>
        </w:tc>
        <w:tc>
          <w:tcPr>
            <w:tcW w:w="1621" w:type="dxa"/>
            <w:noWrap w:val="0"/>
            <w:vAlign w:val="top"/>
          </w:tcPr>
          <w:p>
            <w:pPr>
              <w:widowControl/>
              <w:jc w:val="right"/>
              <w:outlineLvl w:val="1"/>
              <w:rPr>
                <w:rFonts w:hint="eastAsia" w:asciiTheme="majorEastAsia" w:hAnsiTheme="majorEastAsia" w:eastAsiaTheme="majorEastAsia" w:cstheme="majorEastAsia"/>
                <w:b/>
                <w:color w:val="auto"/>
                <w:kern w:val="0"/>
                <w:sz w:val="18"/>
                <w:szCs w:val="1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818" w:type="dxa"/>
            <w:noWrap w:val="0"/>
            <w:vAlign w:val="top"/>
          </w:tcPr>
          <w:p>
            <w:pPr>
              <w:widowControl/>
              <w:ind w:firstLine="180" w:firstLineChars="100"/>
              <w:jc w:val="center"/>
              <w:outlineLvl w:val="1"/>
              <w:rPr>
                <w:rFonts w:hint="eastAsia" w:asciiTheme="majorEastAsia" w:hAnsiTheme="majorEastAsia" w:eastAsiaTheme="majorEastAsia" w:cstheme="majorEastAsia"/>
                <w:b w:val="0"/>
                <w:bCs/>
                <w:color w:val="auto"/>
                <w:kern w:val="0"/>
                <w:sz w:val="18"/>
                <w:szCs w:val="18"/>
                <w:highlight w:val="none"/>
                <w:vertAlign w:val="baseline"/>
              </w:rPr>
            </w:pPr>
            <w:r>
              <w:rPr>
                <w:rFonts w:hint="eastAsia" w:asciiTheme="majorEastAsia" w:hAnsiTheme="majorEastAsia" w:eastAsiaTheme="majorEastAsia" w:cstheme="majorEastAsia"/>
                <w:b w:val="0"/>
                <w:bCs/>
                <w:color w:val="auto"/>
                <w:kern w:val="0"/>
                <w:sz w:val="18"/>
                <w:szCs w:val="18"/>
                <w:highlight w:val="none"/>
                <w:vertAlign w:val="baseline"/>
              </w:rPr>
              <w:t>其中：公务用车购置费</w:t>
            </w:r>
          </w:p>
        </w:tc>
        <w:tc>
          <w:tcPr>
            <w:tcW w:w="1215"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314"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595"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621"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3818" w:type="dxa"/>
            <w:noWrap w:val="0"/>
            <w:vAlign w:val="top"/>
          </w:tcPr>
          <w:p>
            <w:pPr>
              <w:widowControl/>
              <w:jc w:val="center"/>
              <w:outlineLvl w:val="1"/>
              <w:rPr>
                <w:rFonts w:hint="eastAsia" w:asciiTheme="majorEastAsia" w:hAnsiTheme="majorEastAsia" w:eastAsiaTheme="majorEastAsia" w:cstheme="majorEastAsia"/>
                <w:b w:val="0"/>
                <w:bCs/>
                <w:color w:val="auto"/>
                <w:kern w:val="0"/>
                <w:sz w:val="18"/>
                <w:szCs w:val="18"/>
                <w:highlight w:val="none"/>
                <w:vertAlign w:val="baseline"/>
              </w:rPr>
            </w:pPr>
            <w:r>
              <w:rPr>
                <w:rFonts w:hint="eastAsia" w:asciiTheme="majorEastAsia" w:hAnsiTheme="majorEastAsia" w:eastAsiaTheme="majorEastAsia" w:cstheme="majorEastAsia"/>
                <w:b w:val="0"/>
                <w:bCs/>
                <w:color w:val="auto"/>
                <w:kern w:val="0"/>
                <w:sz w:val="18"/>
                <w:szCs w:val="18"/>
                <w:highlight w:val="none"/>
                <w:vertAlign w:val="baseline"/>
              </w:rPr>
              <w:t>公务用车运行费</w:t>
            </w:r>
          </w:p>
        </w:tc>
        <w:tc>
          <w:tcPr>
            <w:tcW w:w="1215"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lang w:val="en-US" w:eastAsia="zh-CN"/>
              </w:rPr>
            </w:pPr>
            <w:r>
              <w:rPr>
                <w:rFonts w:hint="eastAsia" w:asciiTheme="majorEastAsia" w:hAnsiTheme="majorEastAsia" w:eastAsiaTheme="majorEastAsia" w:cstheme="majorEastAsia"/>
                <w:b w:val="0"/>
                <w:bCs/>
                <w:color w:val="auto"/>
                <w:kern w:val="0"/>
                <w:sz w:val="18"/>
                <w:szCs w:val="18"/>
                <w:highlight w:val="none"/>
                <w:vertAlign w:val="baseline"/>
                <w:lang w:val="en-US" w:eastAsia="zh-CN"/>
              </w:rPr>
              <w:t>4.80</w:t>
            </w:r>
          </w:p>
        </w:tc>
        <w:tc>
          <w:tcPr>
            <w:tcW w:w="1314" w:type="dxa"/>
            <w:noWrap w:val="0"/>
            <w:vAlign w:val="center"/>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lang w:val="en-US" w:eastAsia="zh-CN"/>
              </w:rPr>
            </w:pPr>
            <w:r>
              <w:rPr>
                <w:rFonts w:hint="eastAsia" w:asciiTheme="majorEastAsia" w:hAnsiTheme="majorEastAsia" w:eastAsiaTheme="majorEastAsia" w:cstheme="majorEastAsia"/>
                <w:b w:val="0"/>
                <w:bCs/>
                <w:color w:val="auto"/>
                <w:kern w:val="0"/>
                <w:sz w:val="18"/>
                <w:szCs w:val="18"/>
                <w:highlight w:val="none"/>
                <w:vertAlign w:val="baseline"/>
                <w:lang w:val="en-US" w:eastAsia="zh-CN"/>
              </w:rPr>
              <w:t>4.80</w:t>
            </w:r>
          </w:p>
        </w:tc>
        <w:tc>
          <w:tcPr>
            <w:tcW w:w="1595"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c>
          <w:tcPr>
            <w:tcW w:w="1621" w:type="dxa"/>
            <w:noWrap w:val="0"/>
            <w:vAlign w:val="top"/>
          </w:tcPr>
          <w:p>
            <w:pPr>
              <w:widowControl/>
              <w:jc w:val="right"/>
              <w:outlineLvl w:val="1"/>
              <w:rPr>
                <w:rFonts w:hint="eastAsia" w:asciiTheme="majorEastAsia" w:hAnsiTheme="majorEastAsia" w:eastAsiaTheme="majorEastAsia" w:cstheme="majorEastAsia"/>
                <w:b w:val="0"/>
                <w:bCs/>
                <w:color w:val="auto"/>
                <w:kern w:val="0"/>
                <w:sz w:val="18"/>
                <w:szCs w:val="18"/>
                <w:highlight w:val="none"/>
                <w:vertAlign w:val="baseli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呼图壁县财政局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02" w:tblpY="117"/>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240" w:lineRule="auto"/>
              <w:jc w:val="center"/>
              <w:rPr>
                <w:rFonts w:hint="eastAsia" w:asciiTheme="majorEastAsia" w:hAnsiTheme="majorEastAsia" w:eastAsiaTheme="majorEastAsia" w:cstheme="majorEastAsia"/>
                <w:bCs/>
                <w:color w:val="auto"/>
                <w:kern w:val="0"/>
                <w:sz w:val="18"/>
                <w:szCs w:val="18"/>
                <w:highlight w:val="none"/>
              </w:rPr>
            </w:pPr>
            <w:r>
              <w:rPr>
                <w:rFonts w:hint="eastAsia" w:asciiTheme="majorEastAsia" w:hAnsiTheme="majorEastAsia" w:eastAsiaTheme="majorEastAsia" w:cstheme="majorEastAsia"/>
                <w:bCs/>
                <w:color w:val="auto"/>
                <w:kern w:val="0"/>
                <w:sz w:val="18"/>
                <w:szCs w:val="18"/>
                <w:highlight w:val="none"/>
              </w:rPr>
              <w:t>为民办实事项目</w:t>
            </w:r>
          </w:p>
        </w:tc>
        <w:tc>
          <w:tcPr>
            <w:tcW w:w="850" w:type="dxa"/>
            <w:noWrap w:val="0"/>
            <w:vAlign w:val="center"/>
          </w:tcPr>
          <w:p>
            <w:pPr>
              <w:spacing w:line="600" w:lineRule="exact"/>
              <w:jc w:val="right"/>
              <w:rPr>
                <w:rFonts w:hint="default" w:asciiTheme="majorEastAsia" w:hAnsiTheme="majorEastAsia" w:eastAsiaTheme="majorEastAsia" w:cstheme="majorEastAsia"/>
                <w:bCs/>
                <w:color w:val="auto"/>
                <w:kern w:val="0"/>
                <w:sz w:val="18"/>
                <w:szCs w:val="18"/>
                <w:highlight w:val="none"/>
                <w:lang w:val="en-US" w:eastAsia="zh-CN"/>
              </w:rPr>
            </w:pPr>
            <w:r>
              <w:rPr>
                <w:rFonts w:hint="eastAsia" w:asciiTheme="majorEastAsia" w:hAnsiTheme="majorEastAsia" w:eastAsiaTheme="majorEastAsia" w:cstheme="majorEastAsia"/>
                <w:bCs/>
                <w:color w:val="auto"/>
                <w:kern w:val="0"/>
                <w:sz w:val="18"/>
                <w:szCs w:val="18"/>
                <w:highlight w:val="none"/>
                <w:lang w:val="en-US" w:eastAsia="zh-CN"/>
              </w:rPr>
              <w:t>5.00</w:t>
            </w:r>
          </w:p>
        </w:tc>
        <w:tc>
          <w:tcPr>
            <w:tcW w:w="1054" w:type="dxa"/>
            <w:noWrap w:val="0"/>
            <w:vAlign w:val="center"/>
          </w:tcPr>
          <w:p>
            <w:pPr>
              <w:spacing w:line="600" w:lineRule="exact"/>
              <w:jc w:val="right"/>
              <w:rPr>
                <w:rFonts w:hint="default" w:asciiTheme="majorEastAsia" w:hAnsiTheme="majorEastAsia" w:eastAsiaTheme="majorEastAsia" w:cstheme="majorEastAsia"/>
                <w:bCs/>
                <w:color w:val="auto"/>
                <w:kern w:val="0"/>
                <w:sz w:val="18"/>
                <w:szCs w:val="18"/>
                <w:highlight w:val="none"/>
                <w:lang w:val="en-US" w:eastAsia="zh-CN"/>
              </w:rPr>
            </w:pPr>
            <w:r>
              <w:rPr>
                <w:rFonts w:hint="eastAsia" w:asciiTheme="majorEastAsia" w:hAnsiTheme="majorEastAsia" w:eastAsiaTheme="majorEastAsia" w:cstheme="majorEastAsia"/>
                <w:bCs/>
                <w:color w:val="auto"/>
                <w:kern w:val="0"/>
                <w:sz w:val="18"/>
                <w:szCs w:val="18"/>
                <w:highlight w:val="none"/>
                <w:lang w:val="en-US" w:eastAsia="zh-CN"/>
              </w:rPr>
              <w:t>5.00</w:t>
            </w:r>
          </w:p>
        </w:tc>
        <w:tc>
          <w:tcPr>
            <w:tcW w:w="890" w:type="dxa"/>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lang w:val="en-US" w:eastAsia="zh-CN"/>
              </w:rPr>
            </w:pPr>
          </w:p>
        </w:tc>
        <w:tc>
          <w:tcPr>
            <w:tcW w:w="714" w:type="dxa"/>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lang w:val="en-US" w:eastAsia="zh-CN"/>
              </w:rPr>
            </w:pPr>
          </w:p>
        </w:tc>
        <w:tc>
          <w:tcPr>
            <w:tcW w:w="1211" w:type="dxa"/>
            <w:noWrap w:val="0"/>
            <w:vAlign w:val="center"/>
          </w:tcPr>
          <w:p>
            <w:pPr>
              <w:spacing w:line="600" w:lineRule="exact"/>
              <w:jc w:val="right"/>
              <w:rPr>
                <w:rFonts w:hint="default" w:asciiTheme="majorEastAsia" w:hAnsiTheme="majorEastAsia" w:eastAsiaTheme="majorEastAsia" w:cstheme="majorEastAsia"/>
                <w:bCs/>
                <w:color w:val="auto"/>
                <w:kern w:val="0"/>
                <w:sz w:val="18"/>
                <w:szCs w:val="18"/>
                <w:highlight w:val="none"/>
                <w:lang w:val="en-US" w:eastAsia="zh-CN"/>
              </w:rPr>
            </w:pPr>
            <w:r>
              <w:rPr>
                <w:rFonts w:hint="eastAsia" w:asciiTheme="majorEastAsia" w:hAnsiTheme="majorEastAsia" w:eastAsiaTheme="majorEastAsia" w:cstheme="majorEastAsia"/>
                <w:bCs/>
                <w:color w:val="auto"/>
                <w:kern w:val="0"/>
                <w:sz w:val="18"/>
                <w:szCs w:val="18"/>
                <w:highlight w:val="none"/>
                <w:lang w:val="en-US" w:eastAsia="zh-CN"/>
              </w:rPr>
              <w:t>5.00</w:t>
            </w:r>
          </w:p>
        </w:tc>
        <w:tc>
          <w:tcPr>
            <w:tcW w:w="797"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c>
          <w:tcPr>
            <w:tcW w:w="723"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c>
          <w:tcPr>
            <w:tcW w:w="881"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c>
          <w:tcPr>
            <w:tcW w:w="1211"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50"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1054"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90" w:type="dxa"/>
            <w:noWrap w:val="0"/>
            <w:vAlign w:val="center"/>
          </w:tcPr>
          <w:p>
            <w:pPr>
              <w:widowControl/>
              <w:spacing w:line="280" w:lineRule="exact"/>
              <w:jc w:val="center"/>
              <w:rPr>
                <w:rFonts w:hint="eastAsia" w:asciiTheme="majorEastAsia" w:hAnsiTheme="majorEastAsia" w:eastAsiaTheme="majorEastAsia" w:cstheme="majorEastAsia"/>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Theme="majorEastAsia" w:hAnsiTheme="majorEastAsia" w:eastAsiaTheme="majorEastAsia" w:cstheme="majorEastAsia"/>
                <w:b/>
                <w:bCs/>
                <w:color w:val="auto"/>
                <w:kern w:val="0"/>
                <w:sz w:val="18"/>
                <w:szCs w:val="18"/>
                <w:highlight w:val="none"/>
                <w:lang w:val="en-US" w:eastAsia="zh-CN"/>
              </w:rPr>
            </w:pPr>
          </w:p>
        </w:tc>
        <w:tc>
          <w:tcPr>
            <w:tcW w:w="1211"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797"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723"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81"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1211"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50"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1054"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90" w:type="dxa"/>
            <w:noWrap w:val="0"/>
            <w:vAlign w:val="center"/>
          </w:tcPr>
          <w:p>
            <w:pPr>
              <w:widowControl/>
              <w:spacing w:line="280" w:lineRule="exact"/>
              <w:jc w:val="center"/>
              <w:rPr>
                <w:rFonts w:hint="eastAsia" w:asciiTheme="majorEastAsia" w:hAnsiTheme="majorEastAsia" w:eastAsiaTheme="majorEastAsia" w:cstheme="majorEastAsia"/>
                <w:b/>
                <w:bCs/>
                <w:color w:val="auto"/>
                <w:kern w:val="0"/>
                <w:sz w:val="18"/>
                <w:szCs w:val="18"/>
                <w:highlight w:val="none"/>
                <w:lang w:val="en-US" w:eastAsia="zh-CN"/>
              </w:rPr>
            </w:pPr>
          </w:p>
        </w:tc>
        <w:tc>
          <w:tcPr>
            <w:tcW w:w="714" w:type="dxa"/>
            <w:noWrap w:val="0"/>
            <w:vAlign w:val="center"/>
          </w:tcPr>
          <w:p>
            <w:pPr>
              <w:widowControl/>
              <w:spacing w:line="280" w:lineRule="exact"/>
              <w:jc w:val="center"/>
              <w:rPr>
                <w:rFonts w:hint="eastAsia" w:asciiTheme="majorEastAsia" w:hAnsiTheme="majorEastAsia" w:eastAsiaTheme="majorEastAsia" w:cstheme="majorEastAsia"/>
                <w:b/>
                <w:bCs/>
                <w:color w:val="auto"/>
                <w:kern w:val="0"/>
                <w:sz w:val="18"/>
                <w:szCs w:val="18"/>
                <w:highlight w:val="none"/>
                <w:lang w:val="en-US" w:eastAsia="zh-CN"/>
              </w:rPr>
            </w:pPr>
          </w:p>
        </w:tc>
        <w:tc>
          <w:tcPr>
            <w:tcW w:w="1211"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797"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723"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81"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1211"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rPr>
            </w:pPr>
          </w:p>
        </w:tc>
        <w:tc>
          <w:tcPr>
            <w:tcW w:w="850" w:type="dxa"/>
            <w:noWrap w:val="0"/>
            <w:vAlign w:val="center"/>
          </w:tcPr>
          <w:p>
            <w:pPr>
              <w:spacing w:line="600" w:lineRule="exact"/>
              <w:jc w:val="center"/>
              <w:rPr>
                <w:rFonts w:hint="eastAsia" w:asciiTheme="majorEastAsia" w:hAnsiTheme="majorEastAsia" w:eastAsiaTheme="majorEastAsia" w:cstheme="majorEastAsia"/>
                <w:bCs/>
                <w:color w:val="auto"/>
                <w:kern w:val="0"/>
                <w:sz w:val="18"/>
                <w:szCs w:val="18"/>
                <w:highlight w:val="none"/>
                <w:lang w:val="en-US" w:eastAsia="zh-CN"/>
              </w:rPr>
            </w:pPr>
            <w:r>
              <w:rPr>
                <w:rFonts w:hint="eastAsia" w:asciiTheme="majorEastAsia" w:hAnsiTheme="majorEastAsia" w:eastAsiaTheme="majorEastAsia" w:cstheme="majorEastAsia"/>
                <w:b/>
                <w:bCs/>
                <w:color w:val="auto"/>
                <w:kern w:val="0"/>
                <w:sz w:val="18"/>
                <w:szCs w:val="18"/>
                <w:highlight w:val="none"/>
                <w:lang w:val="en-US" w:eastAsia="zh-CN"/>
              </w:rPr>
              <w:t>总计</w:t>
            </w:r>
          </w:p>
        </w:tc>
        <w:tc>
          <w:tcPr>
            <w:tcW w:w="1054" w:type="dxa"/>
            <w:noWrap w:val="0"/>
            <w:vAlign w:val="center"/>
          </w:tcPr>
          <w:p>
            <w:pPr>
              <w:spacing w:line="600" w:lineRule="exact"/>
              <w:jc w:val="right"/>
              <w:rPr>
                <w:rFonts w:hint="default" w:asciiTheme="majorEastAsia" w:hAnsiTheme="majorEastAsia" w:eastAsiaTheme="majorEastAsia" w:cstheme="majorEastAsia"/>
                <w:bCs/>
                <w:color w:val="auto"/>
                <w:kern w:val="0"/>
                <w:sz w:val="18"/>
                <w:szCs w:val="18"/>
                <w:highlight w:val="none"/>
                <w:lang w:val="en-US" w:eastAsia="zh-CN"/>
              </w:rPr>
            </w:pPr>
            <w:r>
              <w:rPr>
                <w:rFonts w:hint="eastAsia" w:asciiTheme="majorEastAsia" w:hAnsiTheme="majorEastAsia" w:eastAsiaTheme="majorEastAsia" w:cstheme="majorEastAsia"/>
                <w:bCs/>
                <w:color w:val="auto"/>
                <w:kern w:val="0"/>
                <w:sz w:val="18"/>
                <w:szCs w:val="18"/>
                <w:highlight w:val="none"/>
                <w:lang w:val="en-US" w:eastAsia="zh-CN"/>
              </w:rPr>
              <w:t>5.00</w:t>
            </w:r>
          </w:p>
        </w:tc>
        <w:tc>
          <w:tcPr>
            <w:tcW w:w="890" w:type="dxa"/>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lang w:val="en-US" w:eastAsia="zh-CN"/>
              </w:rPr>
            </w:pPr>
          </w:p>
        </w:tc>
        <w:tc>
          <w:tcPr>
            <w:tcW w:w="714" w:type="dxa"/>
            <w:noWrap w:val="0"/>
            <w:vAlign w:val="center"/>
          </w:tcPr>
          <w:p>
            <w:pPr>
              <w:widowControl/>
              <w:spacing w:line="280" w:lineRule="exact"/>
              <w:jc w:val="right"/>
              <w:rPr>
                <w:rFonts w:hint="eastAsia" w:asciiTheme="majorEastAsia" w:hAnsiTheme="majorEastAsia" w:eastAsiaTheme="majorEastAsia" w:cstheme="majorEastAsia"/>
                <w:b/>
                <w:bCs/>
                <w:color w:val="auto"/>
                <w:kern w:val="0"/>
                <w:sz w:val="18"/>
                <w:szCs w:val="18"/>
                <w:highlight w:val="none"/>
                <w:lang w:val="en-US" w:eastAsia="zh-CN"/>
              </w:rPr>
            </w:pPr>
          </w:p>
        </w:tc>
        <w:tc>
          <w:tcPr>
            <w:tcW w:w="1211" w:type="dxa"/>
            <w:noWrap w:val="0"/>
            <w:vAlign w:val="center"/>
          </w:tcPr>
          <w:p>
            <w:pPr>
              <w:spacing w:line="600" w:lineRule="exact"/>
              <w:jc w:val="right"/>
              <w:rPr>
                <w:rFonts w:hint="default" w:asciiTheme="majorEastAsia" w:hAnsiTheme="majorEastAsia" w:eastAsiaTheme="majorEastAsia" w:cstheme="majorEastAsia"/>
                <w:bCs/>
                <w:color w:val="auto"/>
                <w:kern w:val="0"/>
                <w:sz w:val="18"/>
                <w:szCs w:val="18"/>
                <w:highlight w:val="none"/>
                <w:lang w:val="en-US" w:eastAsia="zh-CN"/>
              </w:rPr>
            </w:pPr>
            <w:r>
              <w:rPr>
                <w:rFonts w:hint="eastAsia" w:asciiTheme="majorEastAsia" w:hAnsiTheme="majorEastAsia" w:eastAsiaTheme="majorEastAsia" w:cstheme="majorEastAsia"/>
                <w:bCs/>
                <w:color w:val="auto"/>
                <w:kern w:val="0"/>
                <w:sz w:val="18"/>
                <w:szCs w:val="18"/>
                <w:highlight w:val="none"/>
                <w:lang w:val="en-US" w:eastAsia="zh-CN"/>
              </w:rPr>
              <w:t>5.00</w:t>
            </w:r>
          </w:p>
        </w:tc>
        <w:tc>
          <w:tcPr>
            <w:tcW w:w="797"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c>
          <w:tcPr>
            <w:tcW w:w="723"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c>
          <w:tcPr>
            <w:tcW w:w="881"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c>
          <w:tcPr>
            <w:tcW w:w="1211" w:type="dxa"/>
            <w:noWrap w:val="0"/>
            <w:vAlign w:val="center"/>
          </w:tcPr>
          <w:p>
            <w:pPr>
              <w:spacing w:line="600" w:lineRule="exact"/>
              <w:jc w:val="right"/>
              <w:rPr>
                <w:rFonts w:hint="eastAsia" w:asciiTheme="majorEastAsia" w:hAnsiTheme="majorEastAsia" w:eastAsiaTheme="majorEastAsia" w:cstheme="majorEastAsia"/>
                <w:bCs/>
                <w:color w:val="auto"/>
                <w:kern w:val="0"/>
                <w:sz w:val="18"/>
                <w:szCs w:val="1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highlight w:val="none"/>
        </w:rPr>
      </w:pP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一、关于呼图壁县财政局2025年收支预算情况的总体说明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按照全口径预算的原则，呼图壁县财政局2025年所有收入和支出均纳入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预算管理。收支总预算1414.9</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二、关于呼图壁县财政局2025年收入预算情况说明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呼图壁县财政局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1414.90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949.90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67.14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133.18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12.30%，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2024年度支付往年度财政业务运维平台费，2025年仅支付当年的运维费</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 w:hAnsi="微软雅黑" w:eastAsia="仿宋"/>
          <w:sz w:val="32"/>
          <w:szCs w:val="32"/>
          <w:highlight w:val="none"/>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 w:cs="宋体"/>
          <w:color w:val="auto"/>
          <w:kern w:val="0"/>
          <w:sz w:val="32"/>
          <w:szCs w:val="32"/>
          <w:highlight w:val="none"/>
          <w:lang w:val="en-US" w:eastAsia="zh-CN"/>
        </w:rPr>
      </w:pPr>
      <w:r>
        <w:rPr>
          <w:rFonts w:hint="eastAsia" w:ascii="仿宋" w:hAnsi="微软雅黑" w:eastAsia="仿宋"/>
          <w:sz w:val="32"/>
          <w:szCs w:val="32"/>
          <w:highlight w:val="none"/>
        </w:rPr>
        <w:t>政府性基金预算未安排</w:t>
      </w:r>
      <w:r>
        <w:rPr>
          <w:rFonts w:hint="eastAsia" w:ascii="仿宋" w:hAnsi="微软雅黑" w:eastAsia="仿宋"/>
          <w:sz w:val="32"/>
          <w:szCs w:val="32"/>
          <w:highlight w:val="none"/>
          <w:lang w:eastAsia="zh-CN"/>
        </w:rPr>
        <w:t>。</w:t>
      </w:r>
    </w:p>
    <w:p>
      <w:pPr>
        <w:widowControl/>
        <w:spacing w:line="560" w:lineRule="exact"/>
        <w:ind w:firstLine="640" w:firstLineChars="200"/>
        <w:rPr>
          <w:rFonts w:hint="default" w:ascii="仿宋" w:hAnsi="微软雅黑" w:eastAsia="仿宋"/>
          <w:sz w:val="32"/>
          <w:szCs w:val="32"/>
          <w:highlight w:val="none"/>
        </w:rPr>
      </w:pPr>
      <w:r>
        <w:rPr>
          <w:rFonts w:hint="eastAsia" w:ascii="仿宋" w:hAnsi="微软雅黑" w:eastAsia="仿宋"/>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微软雅黑" w:eastAsia="仿宋"/>
          <w:sz w:val="32"/>
          <w:szCs w:val="32"/>
          <w:highlight w:val="none"/>
          <w:lang w:eastAsia="zh-CN"/>
        </w:rPr>
      </w:pPr>
      <w:r>
        <w:rPr>
          <w:rFonts w:hint="eastAsia" w:ascii="仿宋" w:hAnsi="微软雅黑" w:eastAsia="仿宋"/>
          <w:sz w:val="32"/>
          <w:szCs w:val="32"/>
          <w:highlight w:val="none"/>
        </w:rPr>
        <w:t>国有资本经营预算未安排</w:t>
      </w:r>
      <w:r>
        <w:rPr>
          <w:rFonts w:hint="eastAsia" w:ascii="仿宋" w:hAnsi="微软雅黑" w:eastAsia="仿宋"/>
          <w:sz w:val="32"/>
          <w:szCs w:val="32"/>
          <w:highlight w:val="none"/>
          <w:lang w:eastAsia="zh-CN"/>
        </w:rPr>
        <w:t>。</w:t>
      </w:r>
    </w:p>
    <w:p>
      <w:pPr>
        <w:widowControl/>
        <w:spacing w:line="560" w:lineRule="exact"/>
        <w:ind w:firstLine="640" w:firstLineChars="200"/>
        <w:rPr>
          <w:rFonts w:hint="default" w:ascii="仿宋" w:hAnsi="微软雅黑" w:eastAsia="仿宋"/>
          <w:sz w:val="28"/>
          <w:szCs w:val="28"/>
          <w:highlight w:val="none"/>
        </w:rPr>
      </w:pPr>
      <w:r>
        <w:rPr>
          <w:rFonts w:hint="eastAsia" w:ascii="仿宋" w:hAnsi="微软雅黑" w:eastAsia="仿宋"/>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460.00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32.51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70.37%，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住房公积金个人部分</w:t>
      </w:r>
      <w:r>
        <w:rPr>
          <w:rFonts w:hint="eastAsia" w:ascii="仿宋_GB2312" w:hAnsi="宋体" w:eastAsia="仿宋_GB2312" w:cs="宋体"/>
          <w:color w:val="auto"/>
          <w:kern w:val="0"/>
          <w:sz w:val="32"/>
          <w:szCs w:val="32"/>
          <w:highlight w:val="none"/>
          <w:lang w:val="en-US" w:eastAsia="zh-CN"/>
        </w:rPr>
        <w:t>调标，职工食堂收入较上年度增加及石油捐款的拨入</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30.00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85.71%，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普惠金融项目资金结余结转至</w:t>
      </w:r>
      <w:r>
        <w:rPr>
          <w:rFonts w:hint="eastAsia" w:ascii="仿宋_GB2312" w:hAnsi="仿宋_GB2312" w:eastAsia="仿宋_GB2312" w:cs="Times New Roman"/>
          <w:sz w:val="32"/>
          <w:szCs w:val="24"/>
          <w:highlight w:val="none"/>
          <w:lang w:val="zh-CN" w:eastAsia="zh-CN"/>
        </w:rPr>
        <w:t>财政公共服务中心（金融工作服务中心），造成上下年度变动幅度较大，</w:t>
      </w:r>
      <w:r>
        <w:rPr>
          <w:rFonts w:hint="eastAsia" w:ascii="仿宋_GB2312" w:hAnsi="仿宋_GB2312" w:eastAsia="仿宋_GB2312" w:cs="Times New Roman"/>
          <w:sz w:val="32"/>
          <w:szCs w:val="24"/>
          <w:highlight w:val="none"/>
          <w:lang w:val="en-US" w:eastAsia="zh-CN"/>
        </w:rPr>
        <w:t>2024年将35.00万元结转资金执行完毕。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三、关于呼图壁县财政局2025年支出预算情况说明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1414.90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1186.14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83.83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71.96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6.46%，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增加援疆资金及石油捐款的拨入</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228.76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16.17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45.14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16.48%，</w:t>
      </w:r>
      <w:r>
        <w:rPr>
          <w:rFonts w:hint="eastAsia" w:ascii="仿宋_GB2312" w:hAnsi="宋体" w:eastAsia="仿宋_GB2312" w:cs="宋体"/>
          <w:color w:val="auto"/>
          <w:kern w:val="0"/>
          <w:sz w:val="32"/>
          <w:szCs w:val="32"/>
          <w:highlight w:val="none"/>
        </w:rPr>
        <w:t>主要原因是主要原因是</w:t>
      </w:r>
      <w:r>
        <w:rPr>
          <w:rFonts w:hint="eastAsia" w:ascii="仿宋_GB2312" w:hAnsi="宋体" w:eastAsia="仿宋_GB2312" w:cs="宋体"/>
          <w:color w:val="auto"/>
          <w:kern w:val="0"/>
          <w:sz w:val="32"/>
          <w:szCs w:val="32"/>
          <w:highlight w:val="none"/>
          <w:lang w:val="en-US" w:eastAsia="zh-CN"/>
        </w:rPr>
        <w:t>2024年度支付往年度财政业务运维平台费，2025年仅支付当年的运维费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四、关于呼图壁县财政局2025年财政拨款收支预算情况的总体说明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949.90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949.90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726.38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eastAsia="zh-CN"/>
        </w:rPr>
        <w:t>工资福利、</w:t>
      </w:r>
      <w:r>
        <w:rPr>
          <w:rFonts w:hint="eastAsia" w:ascii="仿宋_GB2312" w:hAnsi="宋体" w:eastAsia="仿宋_GB2312" w:cs="宋体"/>
          <w:kern w:val="0"/>
          <w:sz w:val="32"/>
          <w:szCs w:val="32"/>
          <w:highlight w:val="none"/>
        </w:rPr>
        <w:t>办公费等支出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98.98万元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主要用于缴纳人员养老保险</w:t>
      </w:r>
      <w:r>
        <w:rPr>
          <w:rFonts w:hint="eastAsia" w:ascii="仿宋_GB2312" w:hAnsi="宋体" w:eastAsia="仿宋_GB2312" w:cs="宋体"/>
          <w:kern w:val="0"/>
          <w:sz w:val="32"/>
          <w:szCs w:val="32"/>
          <w:highlight w:val="none"/>
          <w:lang w:eastAsia="zh-CN"/>
        </w:rPr>
        <w:t>支出；</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59.18万元，</w:t>
      </w:r>
      <w:r>
        <w:rPr>
          <w:rFonts w:hint="eastAsia" w:ascii="仿宋_GB2312" w:hAnsi="宋体" w:eastAsia="仿宋_GB2312" w:cs="宋体"/>
          <w:kern w:val="0"/>
          <w:sz w:val="32"/>
          <w:szCs w:val="32"/>
          <w:highlight w:val="none"/>
        </w:rPr>
        <w:t>主要用于缴纳人员</w:t>
      </w:r>
      <w:r>
        <w:rPr>
          <w:rFonts w:hint="eastAsia" w:ascii="仿宋_GB2312" w:hAnsi="宋体" w:eastAsia="仿宋_GB2312" w:cs="宋体"/>
          <w:kern w:val="0"/>
          <w:sz w:val="32"/>
          <w:szCs w:val="32"/>
          <w:highlight w:val="none"/>
          <w:lang w:eastAsia="zh-CN"/>
        </w:rPr>
        <w:t>医疗保险费支出；</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65.37万元，</w:t>
      </w:r>
      <w:r>
        <w:rPr>
          <w:rFonts w:hint="eastAsia" w:ascii="仿宋_GB2312" w:hAnsi="宋体" w:eastAsia="仿宋_GB2312" w:cs="宋体"/>
          <w:kern w:val="0"/>
          <w:sz w:val="32"/>
          <w:szCs w:val="32"/>
          <w:highlight w:val="none"/>
        </w:rPr>
        <w:t>主要用于缴纳人员</w:t>
      </w:r>
      <w:r>
        <w:rPr>
          <w:rFonts w:hint="eastAsia" w:ascii="仿宋_GB2312" w:hAnsi="宋体" w:eastAsia="仿宋_GB2312" w:cs="宋体"/>
          <w:kern w:val="0"/>
          <w:sz w:val="32"/>
          <w:szCs w:val="32"/>
          <w:highlight w:val="none"/>
          <w:lang w:eastAsia="zh-CN"/>
        </w:rPr>
        <w:t>住房公积金支出</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关于呼图壁县财政局2025年一般公共预算当年拨款情况说明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949.90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814.14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30.04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3.56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2025年人员调出，减少人员经费及公用经费支出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135.76</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138.14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50.43</w:t>
      </w:r>
      <w:r>
        <w:rPr>
          <w:rFonts w:hint="eastAsia" w:ascii="仿宋_GB2312" w:hAnsi="仿宋_GB2312" w:eastAsia="仿宋_GB2312" w:cs="仿宋_GB2312"/>
          <w:color w:val="auto"/>
          <w:kern w:val="0"/>
          <w:sz w:val="32"/>
          <w:szCs w:val="32"/>
          <w:highlight w:val="none"/>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2024年度支付往年度财政业务运维平台费，2025年仅支付当年的运维费。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宋体" w:eastAsia="仿宋_GB2312" w:cs="宋体"/>
          <w:kern w:val="0"/>
          <w:sz w:val="32"/>
          <w:szCs w:val="32"/>
          <w:highlight w:val="none"/>
        </w:rPr>
        <w:t>一般公共服务</w:t>
      </w:r>
      <w:r>
        <w:rPr>
          <w:rFonts w:hint="eastAsia" w:ascii="仿宋_GB2312" w:hAnsi="宋体" w:eastAsia="仿宋_GB2312" w:cs="宋体"/>
          <w:kern w:val="0"/>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hAnsi="宋体" w:eastAsia="仿宋_GB2312" w:cs="宋体"/>
          <w:color w:val="auto"/>
          <w:kern w:val="0"/>
          <w:sz w:val="32"/>
          <w:szCs w:val="32"/>
          <w:highlight w:val="none"/>
          <w:lang w:val="en-US" w:eastAsia="zh-CN"/>
        </w:rPr>
        <w:t>726.38</w:t>
      </w:r>
      <w:r>
        <w:rPr>
          <w:rFonts w:hint="eastAsia" w:ascii="仿宋_GB2312" w:hAnsi="宋体" w:eastAsia="仿宋_GB2312" w:cs="宋体"/>
          <w:kern w:val="0"/>
          <w:sz w:val="32"/>
          <w:szCs w:val="32"/>
          <w:highlight w:val="none"/>
          <w:lang w:val="en-US" w:eastAsia="zh-CN"/>
        </w:rPr>
        <w:t>万元</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76.47</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社会保障和就业支出（类）</w:t>
      </w:r>
      <w:r>
        <w:rPr>
          <w:rFonts w:hint="eastAsia" w:ascii="仿宋_GB2312" w:hAnsi="宋体" w:eastAsia="仿宋_GB2312" w:cs="宋体"/>
          <w:kern w:val="0"/>
          <w:sz w:val="32"/>
          <w:szCs w:val="32"/>
          <w:highlight w:val="none"/>
          <w:lang w:val="en-US" w:eastAsia="zh-CN"/>
        </w:rPr>
        <w:t>98.98万元</w:t>
      </w:r>
      <w:r>
        <w:rPr>
          <w:rFonts w:hint="eastAsia" w:ascii="仿宋_GB2312" w:hAnsi="宋体" w:eastAsia="仿宋_GB2312" w:cs="宋体"/>
          <w:kern w:val="0"/>
          <w:sz w:val="32"/>
          <w:szCs w:val="32"/>
          <w:highlight w:val="none"/>
          <w:lang w:eastAsia="zh-CN"/>
        </w:rPr>
        <w:t>，</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10.42</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医疗卫生健康</w:t>
      </w:r>
      <w:r>
        <w:rPr>
          <w:rFonts w:hint="eastAsia" w:ascii="仿宋_GB2312" w:hAnsi="宋体" w:eastAsia="仿宋_GB2312" w:cs="宋体"/>
          <w:kern w:val="0"/>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hAnsi="宋体" w:eastAsia="仿宋_GB2312" w:cs="宋体"/>
          <w:kern w:val="0"/>
          <w:sz w:val="32"/>
          <w:szCs w:val="32"/>
          <w:highlight w:val="none"/>
          <w:lang w:val="en-US" w:eastAsia="zh-CN"/>
        </w:rPr>
        <w:t>59.18万元，</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6.23</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住房保障</w:t>
      </w:r>
      <w:r>
        <w:rPr>
          <w:rFonts w:hint="eastAsia" w:ascii="仿宋_GB2312" w:hAnsi="宋体" w:eastAsia="仿宋_GB2312" w:cs="宋体"/>
          <w:kern w:val="0"/>
          <w:sz w:val="32"/>
          <w:szCs w:val="32"/>
          <w:highlight w:val="none"/>
          <w:lang w:val="en-US" w:eastAsia="zh-CN"/>
        </w:rPr>
        <w:t>支出</w:t>
      </w:r>
      <w:r>
        <w:rPr>
          <w:rFonts w:hint="eastAsia" w:ascii="仿宋_GB2312" w:hAnsi="仿宋_GB2312" w:eastAsia="仿宋_GB2312" w:cs="仿宋_GB2312"/>
          <w:sz w:val="32"/>
          <w:szCs w:val="32"/>
          <w:highlight w:val="none"/>
        </w:rPr>
        <w:t>（类）</w:t>
      </w:r>
      <w:r>
        <w:rPr>
          <w:rFonts w:hint="eastAsia" w:ascii="仿宋_GB2312" w:hAnsi="宋体" w:eastAsia="仿宋_GB2312" w:cs="宋体"/>
          <w:kern w:val="0"/>
          <w:sz w:val="32"/>
          <w:szCs w:val="32"/>
          <w:highlight w:val="none"/>
          <w:lang w:val="en-US" w:eastAsia="zh-CN"/>
        </w:rPr>
        <w:t>65.37万元，</w:t>
      </w:r>
      <w:r>
        <w:rPr>
          <w:rFonts w:hint="eastAsia" w:ascii="仿宋_GB2312" w:hAnsi="仿宋_GB2312" w:eastAsia="仿宋_GB2312" w:cs="仿宋_GB2312"/>
          <w:kern w:val="0"/>
          <w:sz w:val="32"/>
          <w:szCs w:val="32"/>
          <w:highlight w:val="none"/>
        </w:rPr>
        <w:t>占</w:t>
      </w:r>
      <w:r>
        <w:rPr>
          <w:rFonts w:hint="eastAsia" w:ascii="仿宋_GB2312" w:hAnsi="仿宋_GB2312" w:eastAsia="仿宋_GB2312" w:cs="仿宋_GB2312"/>
          <w:kern w:val="0"/>
          <w:sz w:val="32"/>
          <w:szCs w:val="32"/>
          <w:highlight w:val="none"/>
          <w:lang w:val="en-US" w:eastAsia="zh-CN"/>
        </w:rPr>
        <w:t>6.88</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1.一般公共服务</w:t>
      </w:r>
      <w:r>
        <w:rPr>
          <w:rFonts w:hint="eastAsia" w:ascii="仿宋_GB2312" w:hAnsi="仿宋_GB2312" w:eastAsia="仿宋_GB2312" w:cs="仿宋_GB2312"/>
          <w:kern w:val="0"/>
          <w:sz w:val="32"/>
          <w:szCs w:val="32"/>
          <w:highlight w:val="none"/>
          <w:lang w:val="en-US" w:eastAsia="zh-CN"/>
        </w:rPr>
        <w:t>支出</w:t>
      </w:r>
      <w:r>
        <w:rPr>
          <w:rFonts w:hint="eastAsia" w:ascii="仿宋_GB2312" w:hAnsi="仿宋_GB2312" w:eastAsia="仿宋_GB2312" w:cs="仿宋_GB2312"/>
          <w:kern w:val="0"/>
          <w:sz w:val="32"/>
          <w:szCs w:val="32"/>
          <w:highlight w:val="none"/>
        </w:rPr>
        <w:t>（类）财政事务（款）行政运行（项）:202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398.88</w:t>
      </w:r>
      <w:r>
        <w:rPr>
          <w:rFonts w:hint="eastAsia" w:ascii="仿宋_GB2312" w:hAnsi="仿宋_GB2312" w:eastAsia="仿宋_GB2312" w:cs="仿宋_GB2312"/>
          <w:kern w:val="0"/>
          <w:sz w:val="32"/>
          <w:szCs w:val="32"/>
          <w:highlight w:val="none"/>
        </w:rPr>
        <w:t>万元，比上年预算减少</w:t>
      </w:r>
      <w:r>
        <w:rPr>
          <w:rFonts w:hint="eastAsia" w:ascii="仿宋_GB2312" w:hAnsi="仿宋_GB2312" w:eastAsia="仿宋_GB2312" w:cs="仿宋_GB2312"/>
          <w:kern w:val="0"/>
          <w:sz w:val="32"/>
          <w:szCs w:val="32"/>
          <w:highlight w:val="none"/>
          <w:lang w:val="en-US" w:eastAsia="zh-CN"/>
        </w:rPr>
        <w:t>15.13</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3.65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2024年行政人员退休3人，其中7月退休1人、8月退休1人、9月退休1人；调出3人，其中9月调出2人，11月调出1人；新招录1人，在职人员总体减少5人，2025年预算减少人员经费的拨入</w:t>
      </w:r>
      <w:r>
        <w:rPr>
          <w:rFonts w:hint="eastAsia" w:ascii="仿宋_GB2312" w:hAnsi="仿宋_GB2312" w:eastAsia="仿宋_GB2312" w:cs="仿宋_GB2312"/>
          <w:kern w:val="0"/>
          <w:sz w:val="32"/>
          <w:szCs w:val="32"/>
          <w:highlight w:val="none"/>
        </w:rPr>
        <w:t xml:space="preserve">。     </w:t>
      </w:r>
    </w:p>
    <w:p>
      <w:pPr>
        <w:spacing w:line="600" w:lineRule="exact"/>
        <w:ind w:firstLine="640" w:firstLineChars="200"/>
        <w:rPr>
          <w:rFonts w:hint="default" w:ascii="仿宋_GB2312" w:hAnsi="仿宋_GB2312" w:eastAsia="仿宋_GB2312" w:cs="仿宋_GB2312"/>
          <w:kern w:val="0"/>
          <w:sz w:val="32"/>
          <w:szCs w:val="32"/>
          <w:highlight w:val="none"/>
          <w:lang w:val="en-US"/>
        </w:rPr>
      </w:pPr>
      <w:r>
        <w:rPr>
          <w:rFonts w:hint="eastAsia" w:ascii="仿宋_GB2312" w:hAnsi="仿宋_GB2312" w:eastAsia="仿宋_GB2312" w:cs="仿宋_GB2312"/>
          <w:kern w:val="0"/>
          <w:sz w:val="32"/>
          <w:szCs w:val="32"/>
          <w:highlight w:val="none"/>
        </w:rPr>
        <w:t>2.一般公共服务</w:t>
      </w:r>
      <w:r>
        <w:rPr>
          <w:rFonts w:hint="eastAsia" w:ascii="仿宋_GB2312" w:hAnsi="仿宋_GB2312" w:eastAsia="仿宋_GB2312" w:cs="仿宋_GB2312"/>
          <w:kern w:val="0"/>
          <w:sz w:val="32"/>
          <w:szCs w:val="32"/>
          <w:highlight w:val="none"/>
          <w:lang w:val="en-US" w:eastAsia="zh-CN"/>
        </w:rPr>
        <w:t>支出</w:t>
      </w:r>
      <w:r>
        <w:rPr>
          <w:rFonts w:hint="eastAsia" w:ascii="仿宋_GB2312" w:hAnsi="仿宋_GB2312" w:eastAsia="仿宋_GB2312" w:cs="仿宋_GB2312"/>
          <w:kern w:val="0"/>
          <w:sz w:val="32"/>
          <w:szCs w:val="32"/>
          <w:highlight w:val="none"/>
        </w:rPr>
        <w:t>（类）财政事务（款）事业运行（项）: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191.74</w:t>
      </w:r>
      <w:r>
        <w:rPr>
          <w:rFonts w:hint="eastAsia" w:ascii="仿宋_GB2312" w:hAnsi="仿宋_GB2312" w:eastAsia="仿宋_GB2312" w:cs="仿宋_GB2312"/>
          <w:kern w:val="0"/>
          <w:sz w:val="32"/>
          <w:szCs w:val="32"/>
          <w:highlight w:val="none"/>
        </w:rPr>
        <w:t>万元，比上年预算减少</w:t>
      </w:r>
      <w:r>
        <w:rPr>
          <w:rFonts w:hint="eastAsia" w:ascii="仿宋_GB2312" w:hAnsi="仿宋_GB2312" w:eastAsia="仿宋_GB2312" w:cs="仿宋_GB2312"/>
          <w:kern w:val="0"/>
          <w:sz w:val="32"/>
          <w:szCs w:val="32"/>
          <w:highlight w:val="none"/>
          <w:lang w:val="en-US" w:eastAsia="zh-CN"/>
        </w:rPr>
        <w:t>7.99</w:t>
      </w:r>
      <w:r>
        <w:rPr>
          <w:rFonts w:hint="eastAsia" w:ascii="仿宋_GB2312" w:hAnsi="仿宋_GB2312" w:eastAsia="仿宋_GB2312" w:cs="仿宋_GB2312"/>
          <w:kern w:val="0"/>
          <w:sz w:val="32"/>
          <w:szCs w:val="32"/>
          <w:highlight w:val="none"/>
        </w:rPr>
        <w:t>万元，下降</w:t>
      </w: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2024年存在社保补缴的情况，2025年正常缴纳。</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一般公共服务</w:t>
      </w:r>
      <w:r>
        <w:rPr>
          <w:rFonts w:hint="eastAsia" w:ascii="仿宋_GB2312" w:hAnsi="仿宋_GB2312" w:eastAsia="仿宋_GB2312" w:cs="仿宋_GB2312"/>
          <w:kern w:val="0"/>
          <w:sz w:val="32"/>
          <w:szCs w:val="32"/>
          <w:highlight w:val="none"/>
          <w:lang w:val="en-US" w:eastAsia="zh-CN"/>
        </w:rPr>
        <w:t>支出</w:t>
      </w:r>
      <w:r>
        <w:rPr>
          <w:rFonts w:hint="eastAsia" w:ascii="仿宋_GB2312" w:hAnsi="仿宋_GB2312" w:eastAsia="仿宋_GB2312" w:cs="仿宋_GB2312"/>
          <w:kern w:val="0"/>
          <w:sz w:val="32"/>
          <w:szCs w:val="32"/>
          <w:highlight w:val="none"/>
        </w:rPr>
        <w:t>（类）财政事务（款）其他财政事务支出（项）: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135.76</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138.14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50.43</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24年度支付往年度财政业务运维平台费，2025年仅支付当年的运维费。</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highlight w:val="none"/>
        </w:rPr>
        <w:t>社会保障和就业支出（类）行政事业单位</w:t>
      </w:r>
      <w:r>
        <w:rPr>
          <w:rFonts w:hint="eastAsia" w:ascii="仿宋_GB2312" w:hAnsi="仿宋_GB2312" w:eastAsia="仿宋_GB2312" w:cs="仿宋_GB2312"/>
          <w:kern w:val="0"/>
          <w:sz w:val="32"/>
          <w:szCs w:val="32"/>
          <w:highlight w:val="none"/>
          <w:lang w:eastAsia="zh-CN"/>
        </w:rPr>
        <w:t>养老支出</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eastAsia="zh-CN"/>
        </w:rPr>
        <w:t>事业单位离退休</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20.73</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6.84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24.81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2024年行政人员退休3人，调出3人，其中9月调出2人，11月调出1人；新招录1人，在职人员总体减少5人，减少人员经费的拨入</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.社会保障和就业支出（类）行政事业单位</w:t>
      </w:r>
      <w:r>
        <w:rPr>
          <w:rFonts w:hint="eastAsia" w:ascii="仿宋_GB2312" w:hAnsi="仿宋_GB2312" w:eastAsia="仿宋_GB2312" w:cs="仿宋_GB2312"/>
          <w:kern w:val="0"/>
          <w:sz w:val="32"/>
          <w:szCs w:val="32"/>
          <w:highlight w:val="none"/>
          <w:lang w:eastAsia="zh-CN"/>
        </w:rPr>
        <w:t>养老支出</w:t>
      </w:r>
      <w:r>
        <w:rPr>
          <w:rFonts w:hint="eastAsia" w:ascii="仿宋_GB2312" w:hAnsi="仿宋_GB2312" w:eastAsia="仿宋_GB2312" w:cs="仿宋_GB2312"/>
          <w:kern w:val="0"/>
          <w:sz w:val="32"/>
          <w:szCs w:val="32"/>
          <w:highlight w:val="none"/>
        </w:rPr>
        <w:t>（款）机关事</w:t>
      </w:r>
      <w:r>
        <w:rPr>
          <w:rFonts w:hint="eastAsia" w:ascii="仿宋_GB2312" w:hAnsi="仿宋_GB2312" w:eastAsia="仿宋_GB2312" w:cs="仿宋_GB2312"/>
          <w:kern w:val="0"/>
          <w:sz w:val="32"/>
          <w:szCs w:val="32"/>
          <w:highlight w:val="none"/>
          <w:lang w:eastAsia="zh-CN"/>
        </w:rPr>
        <w:t>业</w:t>
      </w:r>
      <w:r>
        <w:rPr>
          <w:rFonts w:hint="eastAsia" w:ascii="仿宋_GB2312" w:hAnsi="仿宋_GB2312" w:eastAsia="仿宋_GB2312" w:cs="仿宋_GB2312"/>
          <w:kern w:val="0"/>
          <w:sz w:val="32"/>
          <w:szCs w:val="32"/>
          <w:highlight w:val="none"/>
        </w:rPr>
        <w:t>单位基本养老保险缴费支出（项）: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78.25</w:t>
      </w:r>
      <w:r>
        <w:rPr>
          <w:rFonts w:hint="eastAsia" w:ascii="仿宋_GB2312" w:hAnsi="仿宋_GB2312" w:eastAsia="仿宋_GB2312" w:cs="仿宋_GB2312"/>
          <w:kern w:val="0"/>
          <w:sz w:val="32"/>
          <w:szCs w:val="32"/>
          <w:highlight w:val="none"/>
        </w:rPr>
        <w:t>万元，比上年预算数减少</w:t>
      </w:r>
      <w:r>
        <w:rPr>
          <w:rFonts w:hint="eastAsia" w:ascii="仿宋_GB2312" w:hAnsi="仿宋_GB2312" w:eastAsia="仿宋_GB2312" w:cs="仿宋_GB2312"/>
          <w:kern w:val="0"/>
          <w:sz w:val="32"/>
          <w:szCs w:val="32"/>
          <w:highlight w:val="none"/>
          <w:lang w:val="en-US" w:eastAsia="zh-CN"/>
        </w:rPr>
        <w:t>3.68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下降4.49</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2024年行政人员退休3人，调出3人，新招录1人，在职人员总体减少5人，减少人员经费的拨入</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仿宋_GB2312" w:eastAsia="仿宋_GB2312" w:cs="仿宋_GB2312"/>
          <w:kern w:val="0"/>
          <w:sz w:val="32"/>
          <w:szCs w:val="32"/>
          <w:highlight w:val="none"/>
        </w:rPr>
        <w:t>.卫生健康支出（类）行政事业单位医疗（款）行政单位医疗（项）: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25.48</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color w:val="auto"/>
          <w:kern w:val="0"/>
          <w:sz w:val="32"/>
          <w:szCs w:val="32"/>
          <w:highlight w:val="none"/>
        </w:rPr>
        <w:t>，比上年预算数减少</w:t>
      </w:r>
      <w:r>
        <w:rPr>
          <w:rFonts w:hint="eastAsia" w:ascii="仿宋_GB2312" w:hAnsi="仿宋_GB2312" w:eastAsia="仿宋_GB2312" w:cs="仿宋_GB2312"/>
          <w:color w:val="auto"/>
          <w:kern w:val="0"/>
          <w:sz w:val="32"/>
          <w:szCs w:val="32"/>
          <w:highlight w:val="none"/>
          <w:lang w:val="en-US" w:eastAsia="zh-CN"/>
        </w:rPr>
        <w:t>1.30万</w:t>
      </w:r>
      <w:r>
        <w:rPr>
          <w:rFonts w:hint="eastAsia" w:ascii="仿宋_GB2312" w:hAnsi="仿宋_GB2312" w:eastAsia="仿宋_GB2312" w:cs="仿宋_GB2312"/>
          <w:color w:val="auto"/>
          <w:kern w:val="0"/>
          <w:sz w:val="32"/>
          <w:szCs w:val="32"/>
          <w:highlight w:val="none"/>
        </w:rPr>
        <w:t>元，</w:t>
      </w:r>
      <w:r>
        <w:rPr>
          <w:rFonts w:hint="eastAsia" w:ascii="仿宋_GB2312" w:hAnsi="仿宋_GB2312" w:eastAsia="仿宋_GB2312" w:cs="仿宋_GB2312"/>
          <w:color w:val="auto"/>
          <w:kern w:val="0"/>
          <w:sz w:val="32"/>
          <w:szCs w:val="32"/>
          <w:highlight w:val="none"/>
          <w:lang w:val="en-US" w:eastAsia="zh-CN"/>
        </w:rPr>
        <w:t>下降4.85</w:t>
      </w:r>
      <w:r>
        <w:rPr>
          <w:rFonts w:hint="eastAsia" w:ascii="仿宋_GB2312" w:hAnsi="仿宋_GB2312" w:eastAsia="仿宋_GB2312" w:cs="仿宋_GB2312"/>
          <w:color w:val="auto"/>
          <w:kern w:val="0"/>
          <w:sz w:val="32"/>
          <w:szCs w:val="32"/>
          <w:highlight w:val="none"/>
        </w:rPr>
        <w:t>%，主要原因是：社保缴费政策性降费及事业人员职工基本医疗缴费调整至2101102款。</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7.</w:t>
      </w:r>
      <w:r>
        <w:rPr>
          <w:rFonts w:hint="eastAsia" w:ascii="仿宋_GB2312" w:hAnsi="仿宋_GB2312" w:eastAsia="仿宋_GB2312" w:cs="仿宋_GB2312"/>
          <w:kern w:val="0"/>
          <w:sz w:val="32"/>
          <w:szCs w:val="32"/>
          <w:highlight w:val="none"/>
        </w:rPr>
        <w:t>卫生健康支出（类）行政事业单位医疗（款）事业单位医疗（项）: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13.64</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0.55</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下降3.88</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2024年行政人员退休3人，调出3人，招录1人，减少人员经费的拨入</w:t>
      </w:r>
      <w:r>
        <w:rPr>
          <w:rFonts w:hint="eastAsia" w:ascii="仿宋_GB2312" w:hAnsi="仿宋_GB2312" w:eastAsia="仿宋_GB2312" w:cs="仿宋_GB2312"/>
          <w:kern w:val="0"/>
          <w:sz w:val="32"/>
          <w:szCs w:val="32"/>
          <w:highlight w:val="none"/>
        </w:rPr>
        <w:t>。</w:t>
      </w:r>
    </w:p>
    <w:p>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8</w:t>
      </w:r>
      <w:r>
        <w:rPr>
          <w:rFonts w:hint="eastAsia" w:ascii="仿宋_GB2312" w:hAnsi="仿宋_GB2312" w:eastAsia="仿宋_GB2312" w:cs="仿宋_GB2312"/>
          <w:kern w:val="0"/>
          <w:sz w:val="32"/>
          <w:szCs w:val="32"/>
          <w:highlight w:val="none"/>
        </w:rPr>
        <w:t>.卫生健康支出（类）行政事业单位医疗（款）公务员医疗补助（项）: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19.56</w:t>
      </w:r>
      <w:r>
        <w:rPr>
          <w:rFonts w:hint="eastAsia" w:ascii="仿宋_GB2312" w:hAnsi="仿宋_GB2312" w:eastAsia="仿宋_GB2312" w:cs="仿宋_GB2312"/>
          <w:kern w:val="0"/>
          <w:sz w:val="32"/>
          <w:szCs w:val="32"/>
          <w:highlight w:val="none"/>
        </w:rPr>
        <w:t>万元，比上年预算数</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8.29</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73.56</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社保比例调整</w:t>
      </w:r>
      <w:r>
        <w:rPr>
          <w:rFonts w:hint="eastAsia" w:ascii="仿宋_GB2312" w:hAnsi="仿宋_GB2312" w:eastAsia="仿宋_GB2312" w:cs="仿宋_GB2312"/>
          <w:kern w:val="0"/>
          <w:sz w:val="32"/>
          <w:szCs w:val="32"/>
          <w:highlight w:val="none"/>
        </w:rPr>
        <w:t>。</w:t>
      </w:r>
    </w:p>
    <w:p>
      <w:pPr>
        <w:spacing w:line="600" w:lineRule="exact"/>
        <w:ind w:firstLine="640" w:firstLineChars="200"/>
        <w:rPr>
          <w:highlight w:val="none"/>
        </w:rPr>
      </w:pPr>
      <w:r>
        <w:rPr>
          <w:rFonts w:hint="eastAsia" w:ascii="仿宋_GB2312" w:hAnsi="仿宋_GB2312" w:eastAsia="仿宋_GB2312" w:cs="仿宋_GB2312"/>
          <w:kern w:val="0"/>
          <w:sz w:val="32"/>
          <w:szCs w:val="32"/>
          <w:highlight w:val="none"/>
          <w:lang w:val="en-US" w:eastAsia="zh-CN"/>
        </w:rPr>
        <w:t>9</w:t>
      </w:r>
      <w:r>
        <w:rPr>
          <w:rFonts w:hint="eastAsia" w:ascii="仿宋_GB2312" w:hAnsi="仿宋_GB2312" w:eastAsia="仿宋_GB2312" w:cs="仿宋_GB2312"/>
          <w:kern w:val="0"/>
          <w:sz w:val="32"/>
          <w:szCs w:val="32"/>
          <w:highlight w:val="none"/>
        </w:rPr>
        <w:t>.卫生健康支出（类）行政事业单位医疗（款）其他行政事业单位医疗支出（项）: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0.49</w:t>
      </w:r>
      <w:r>
        <w:rPr>
          <w:rFonts w:hint="eastAsia" w:ascii="仿宋_GB2312" w:hAnsi="仿宋_GB2312" w:eastAsia="仿宋_GB2312" w:cs="仿宋_GB2312"/>
          <w:kern w:val="0"/>
          <w:sz w:val="32"/>
          <w:szCs w:val="32"/>
          <w:highlight w:val="none"/>
        </w:rPr>
        <w:t>万元，比上年预算数增加</w:t>
      </w:r>
      <w:r>
        <w:rPr>
          <w:rFonts w:hint="eastAsia" w:ascii="仿宋_GB2312" w:hAnsi="仿宋_GB2312" w:eastAsia="仿宋_GB2312" w:cs="仿宋_GB2312"/>
          <w:kern w:val="0"/>
          <w:sz w:val="32"/>
          <w:szCs w:val="32"/>
          <w:highlight w:val="none"/>
          <w:lang w:val="en-US" w:eastAsia="zh-CN"/>
        </w:rPr>
        <w:t>0.17</w:t>
      </w:r>
      <w:r>
        <w:rPr>
          <w:rFonts w:hint="eastAsia" w:ascii="仿宋_GB2312" w:hAnsi="仿宋_GB2312" w:eastAsia="仿宋_GB2312" w:cs="仿宋_GB2312"/>
          <w:kern w:val="0"/>
          <w:sz w:val="32"/>
          <w:szCs w:val="32"/>
          <w:highlight w:val="none"/>
        </w:rPr>
        <w:t>万元，增</w:t>
      </w:r>
      <w:r>
        <w:rPr>
          <w:rFonts w:hint="eastAsia" w:ascii="仿宋_GB2312" w:hAnsi="仿宋_GB2312" w:eastAsia="仿宋_GB2312" w:cs="仿宋_GB2312"/>
          <w:kern w:val="0"/>
          <w:sz w:val="32"/>
          <w:szCs w:val="32"/>
          <w:highlight w:val="none"/>
          <w:lang w:val="en-US" w:eastAsia="zh-CN"/>
        </w:rPr>
        <w:t>长53.13</w:t>
      </w:r>
      <w:r>
        <w:rPr>
          <w:rFonts w:hint="eastAsia" w:ascii="仿宋_GB2312" w:hAnsi="仿宋_GB2312" w:eastAsia="仿宋_GB2312" w:cs="仿宋_GB2312"/>
          <w:kern w:val="0"/>
          <w:sz w:val="32"/>
          <w:szCs w:val="32"/>
          <w:highlight w:val="none"/>
        </w:rPr>
        <w:t xml:space="preserve"> %，主要原因是</w:t>
      </w:r>
      <w:r>
        <w:rPr>
          <w:rFonts w:hint="eastAsia" w:ascii="仿宋_GB2312" w:hAnsi="仿宋_GB2312" w:eastAsia="仿宋_GB2312" w:cs="仿宋_GB2312"/>
          <w:kern w:val="0"/>
          <w:sz w:val="32"/>
          <w:szCs w:val="32"/>
          <w:highlight w:val="none"/>
          <w:lang w:eastAsia="zh-CN"/>
        </w:rPr>
        <w:t>：社保比例调整</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10</w:t>
      </w:r>
      <w:r>
        <w:rPr>
          <w:rFonts w:hint="eastAsia" w:ascii="仿宋_GB2312" w:hAnsi="仿宋_GB2312" w:eastAsia="仿宋_GB2312" w:cs="仿宋_GB2312"/>
          <w:kern w:val="0"/>
          <w:sz w:val="32"/>
          <w:szCs w:val="32"/>
          <w:highlight w:val="none"/>
        </w:rPr>
        <w:t>.住房保障支出（类）住房改革支出（款）住房公积金（项）:</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65.37</w:t>
      </w:r>
      <w:r>
        <w:rPr>
          <w:rFonts w:hint="eastAsia" w:ascii="仿宋_GB2312" w:hAnsi="仿宋_GB2312" w:eastAsia="仿宋_GB2312" w:cs="仿宋_GB2312"/>
          <w:kern w:val="0"/>
          <w:sz w:val="32"/>
          <w:szCs w:val="32"/>
          <w:highlight w:val="none"/>
        </w:rPr>
        <w:t>万元，比上年预算数减少</w:t>
      </w:r>
      <w:r>
        <w:rPr>
          <w:rFonts w:hint="eastAsia" w:ascii="仿宋_GB2312" w:hAnsi="仿宋_GB2312" w:eastAsia="仿宋_GB2312" w:cs="仿宋_GB2312"/>
          <w:kern w:val="0"/>
          <w:sz w:val="32"/>
          <w:szCs w:val="32"/>
          <w:highlight w:val="none"/>
          <w:lang w:val="en-US" w:eastAsia="zh-CN"/>
        </w:rPr>
        <w:t>3.02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下降4.42</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2024年行政人员退休3人，调出3人，招录1人，减少人员经费的拨入</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关于呼图壁县财政局2025年一般公共预算基本支出情况说明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呼图壁县财政局2025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814.14</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773.71</w:t>
      </w:r>
      <w:r>
        <w:rPr>
          <w:rFonts w:hint="eastAsia" w:ascii="仿宋_GB2312" w:hAnsi="宋体" w:eastAsia="仿宋_GB2312" w:cs="宋体"/>
          <w:color w:val="auto"/>
          <w:kern w:val="0"/>
          <w:sz w:val="32"/>
          <w:szCs w:val="32"/>
          <w:highlight w:val="none"/>
        </w:rPr>
        <w:t>万元，主要包括：基本工、津贴补贴、奖金、绩效工资、机关事业单位基本养老保险缴费、职工基本医疗保险缴费、公务员医疗补助缴费、其他社会保障缴费、住房公积金、退休费、生活补助、奖励金</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40.44</w:t>
      </w:r>
      <w:r>
        <w:rPr>
          <w:rFonts w:hint="eastAsia" w:ascii="仿宋_GB2312" w:hAnsi="宋体" w:eastAsia="仿宋_GB2312" w:cs="宋体"/>
          <w:color w:val="auto"/>
          <w:kern w:val="0"/>
          <w:sz w:val="32"/>
          <w:szCs w:val="32"/>
          <w:highlight w:val="none"/>
        </w:rPr>
        <w:t>万元，主要包括：办公费、印刷费、水费、电费、邮电费、取暖费、差旅费、公务接待费、工会经费、公务用车运行维护费。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关于呼图壁县财政局2025年一般公共预算项目支出情况说明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财政预算管理系统等软件运行使用费（非定额）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kern w:val="0"/>
          <w:sz w:val="32"/>
          <w:szCs w:val="32"/>
          <w:highlight w:val="none"/>
          <w:lang w:val="en-US" w:eastAsia="zh-CN"/>
        </w:rPr>
        <w:t>呼党财【2025】1号</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135.76万元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呼图壁县财政局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2025年预算管理一体化系统（2.0）运维费24</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政府财务报告3</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决算公开、决算会审6</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横联系统2</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博思开票软件5.76万元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政采云服务费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2024年5月-2025年5月</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绩效管理相关服务费38</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资产科电子评标室云存服务、采购费用8.4</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金融办工作经费5</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电子凭证库6.6</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金电公司服务费3</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rPr>
        <w:t>河北财祥运维5</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rPr>
        <w:t>绩效系统软件维护服务费3</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rPr>
        <w:t>固定资产清查服务费5</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w:t>
      </w:r>
      <w:r>
        <w:rPr>
          <w:rFonts w:hint="eastAsia" w:ascii="仿宋_GB2312" w:hAnsi="宋体" w:eastAsia="仿宋_GB2312" w:cs="宋体"/>
          <w:color w:val="auto"/>
          <w:kern w:val="0"/>
          <w:sz w:val="32"/>
          <w:szCs w:val="32"/>
          <w:highlight w:val="none"/>
          <w:lang w:val="en-US" w:eastAsia="zh-CN"/>
        </w:rPr>
        <w:t>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、关于呼图壁县财政局2025年政府性基金预算拨款情况说明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呼图壁县财政局2025年没有使用政府性基金预算拨款安排的支出，政府性基金预算支出情况表为空表。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关于呼图壁县财政局2025年国有资本经营预算拨款情况说明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呼图壁县财政局2025年没有使用国有资本经营预算拨款安排的支出，国有资本经营预算支出情况表为空表。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、关于呼图壁县财政局2025年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呼图壁县财政局2025年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5.33</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0.53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5.96 %，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主要原因是严格执行中央八项规定，三公经费只减不增；公务接待费增加</w:t>
      </w:r>
      <w:r>
        <w:rPr>
          <w:rFonts w:hint="eastAsia" w:ascii="仿宋_GB2312" w:hAnsi="宋体" w:eastAsia="仿宋_GB2312" w:cs="宋体"/>
          <w:color w:val="auto"/>
          <w:kern w:val="0"/>
          <w:sz w:val="32"/>
          <w:szCs w:val="32"/>
          <w:highlight w:val="none"/>
          <w:lang w:val="en-US" w:eastAsia="zh-CN"/>
        </w:rPr>
        <w:t>0.03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上级对我单位的调研指导工作增加，故增加公务接待费用</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、关于呼图壁县财政局2025年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呼图壁县财政局2025年</w:t>
      </w:r>
      <w:r>
        <w:rPr>
          <w:rFonts w:hint="eastAsia" w:ascii="仿宋_GB2312" w:hAnsi="仿宋_GB2312" w:eastAsia="仿宋_GB2312" w:cs="仿宋_GB2312"/>
          <w:color w:val="auto"/>
          <w:kern w:val="0"/>
          <w:sz w:val="32"/>
          <w:szCs w:val="32"/>
          <w:highlight w:val="none"/>
          <w:lang w:val="en-US" w:eastAsia="zh-CN"/>
        </w:rPr>
        <w:t>上年结转结余5.00万元，包括：财政拨款5.00万元，非财政拨款0万元，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1.为民办实事项目5.00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主要用于：为五工台镇林场村的村委会购买办公用品、党建宣传及在村委会与村居民开展联谊活动支出。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呼图壁县财政局2025年的机关运行经费财政拨款预算</w:t>
      </w:r>
      <w:r>
        <w:rPr>
          <w:rFonts w:hint="eastAsia" w:ascii="仿宋_GB2312" w:hAnsi="仿宋_GB2312" w:eastAsia="仿宋_GB2312" w:cs="仿宋_GB2312"/>
          <w:color w:val="auto"/>
          <w:kern w:val="0"/>
          <w:sz w:val="32"/>
          <w:szCs w:val="32"/>
          <w:highlight w:val="none"/>
          <w:lang w:val="en-US" w:eastAsia="zh-CN"/>
        </w:rPr>
        <w:t>40.44万</w:t>
      </w:r>
      <w:r>
        <w:rPr>
          <w:rFonts w:hint="eastAsia" w:ascii="仿宋_GB2312" w:hAnsi="仿宋_GB2312" w:eastAsia="仿宋_GB2312" w:cs="仿宋_GB2312"/>
          <w:color w:val="auto"/>
          <w:kern w:val="0"/>
          <w:sz w:val="32"/>
          <w:szCs w:val="32"/>
          <w:highlight w:val="none"/>
        </w:rPr>
        <w:t>元，比上年预算增加</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0.50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工资调增，工会经费按比例相应调增，整体运行经费增加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156.38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18.56</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137.82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156.38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156.38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呼图壁县财政局</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14.58</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14.58</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104.06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493.98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套，</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整体预算绩效目标1个，涉及预算金额1414.9万元；当年预算安排项目共2个，其中: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涉及预算金额135.76万元；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1个</w:t>
      </w:r>
      <w:bookmarkStart w:id="1" w:name="_GoBack"/>
      <w:bookmarkEnd w:id="1"/>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88</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8"/>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王晓双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18899036969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持续抓好财政收入；对财政平台的及时运行维护，提升财政工作运行效率；优化支出结构，强化支撑保障，做好一般公共预算、政府性基金及国本的预算收入预计和支出安排；全面实施预算绩效管理，审核预、决算并及时公开；完善财政内控机制建设，每年指导不少于40家预算单位账务处理的合规性；提升干部的综合素养，保证每年都有干部能参加财政相关业务的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954.9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460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组织财政干部次数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内控检查行政事业单位数量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40家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财政软件云运行合格率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培训开展及时率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highlight w:val="none"/>
                <w:u w:val="none"/>
                <w:lang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预决算审核及时率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2025年重点工作计划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w:t>
            </w:r>
          </w:p>
        </w:tc>
      </w:tr>
    </w:tbl>
    <w:p>
      <w:pPr>
        <w:pStyle w:val="6"/>
        <w:rPr>
          <w:rFonts w:hint="eastAsia" w:ascii="仿宋_GB2312" w:hAnsi="仿宋_GB2312" w:eastAsia="仿宋_GB2312" w:cs="仿宋_GB2312"/>
          <w:b/>
          <w:kern w:val="0"/>
          <w:sz w:val="32"/>
          <w:szCs w:val="32"/>
          <w:highlight w:val="none"/>
        </w:rPr>
      </w:pPr>
    </w:p>
    <w:tbl>
      <w:tblPr>
        <w:tblStyle w:val="8"/>
        <w:tblpPr w:leftFromText="180" w:rightFromText="180" w:vertAnchor="text" w:horzAnchor="page" w:tblpX="1148" w:tblpY="-11266"/>
        <w:tblOverlap w:val="never"/>
        <w:tblW w:w="946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0"/>
        <w:gridCol w:w="1380"/>
        <w:gridCol w:w="1318"/>
        <w:gridCol w:w="1382"/>
        <w:gridCol w:w="1280"/>
        <w:gridCol w:w="735"/>
        <w:gridCol w:w="917"/>
        <w:gridCol w:w="828"/>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467"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highlight w:val="none"/>
              </w:rPr>
            </w:pPr>
          </w:p>
          <w:p>
            <w:pPr>
              <w:widowControl/>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467"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cs="宋体"/>
                <w:color w:val="000000"/>
                <w:sz w:val="22"/>
                <w:szCs w:val="22"/>
                <w:highlight w:val="none"/>
              </w:rPr>
              <w:t>（</w:t>
            </w:r>
            <w:r>
              <w:rPr>
                <w:rFonts w:ascii="宋体" w:hAnsi="宋体" w:cs="宋体"/>
                <w:color w:val="000000"/>
                <w:sz w:val="22"/>
                <w:szCs w:val="22"/>
                <w:highlight w:val="none"/>
              </w:rPr>
              <w:t>202</w:t>
            </w:r>
            <w:r>
              <w:rPr>
                <w:rFonts w:hint="eastAsia" w:ascii="宋体" w:hAnsi="宋体" w:cs="宋体"/>
                <w:color w:val="000000"/>
                <w:sz w:val="22"/>
                <w:szCs w:val="22"/>
                <w:highlight w:val="none"/>
                <w:lang w:val="en-US" w:eastAsia="zh-CN"/>
              </w:rPr>
              <w:t>5</w:t>
            </w:r>
            <w:r>
              <w:rPr>
                <w:rFonts w:hint="eastAsia" w:ascii="宋体" w:hAnsi="宋体" w:cs="宋体"/>
                <w:color w:val="000000"/>
                <w:sz w:val="22"/>
                <w:szCs w:val="22"/>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预算单位</w:t>
            </w:r>
          </w:p>
        </w:tc>
        <w:tc>
          <w:tcPr>
            <w:tcW w:w="7467"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highlight w:val="none"/>
              </w:rPr>
              <w:t>呼图壁县财政局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项目名称</w:t>
            </w:r>
          </w:p>
        </w:tc>
        <w:tc>
          <w:tcPr>
            <w:tcW w:w="3980"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highlight w:val="none"/>
              </w:rPr>
              <w:t>2024年财政网络系统软件运行服务费</w:t>
            </w:r>
          </w:p>
        </w:tc>
        <w:tc>
          <w:tcPr>
            <w:tcW w:w="16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项目负责人</w:t>
            </w:r>
          </w:p>
        </w:tc>
        <w:tc>
          <w:tcPr>
            <w:tcW w:w="183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highlight w:val="none"/>
                <w:lang w:val="en-US" w:eastAsia="zh-CN"/>
              </w:rPr>
              <w:t>许婷婷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项目资金（万元）</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年度预算总额：</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sz w:val="18"/>
                <w:szCs w:val="18"/>
                <w:highlight w:val="none"/>
                <w:lang w:val="en-US" w:eastAsia="zh-CN"/>
              </w:rPr>
              <w:t>135.76</w:t>
            </w:r>
          </w:p>
        </w:tc>
        <w:tc>
          <w:tcPr>
            <w:tcW w:w="1280"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其中：财政拨款</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sz w:val="18"/>
                <w:szCs w:val="18"/>
                <w:highlight w:val="none"/>
                <w:lang w:val="en-US" w:eastAsia="zh-CN"/>
              </w:rPr>
              <w:t>135.76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其他资金：</w:t>
            </w:r>
          </w:p>
        </w:tc>
        <w:tc>
          <w:tcPr>
            <w:tcW w:w="183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0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项目总体目标</w:t>
            </w:r>
          </w:p>
        </w:tc>
        <w:tc>
          <w:tcPr>
            <w:tcW w:w="7467" w:type="dxa"/>
            <w:gridSpan w:val="7"/>
            <w:tcBorders>
              <w:top w:val="single" w:color="000000" w:sz="4" w:space="0"/>
              <w:left w:val="nil"/>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highlight w:val="none"/>
              </w:rPr>
              <w:t>保障财政系统各类软件系统正常运行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一级指标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二级指标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三级指标</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指标值</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指标值设置依据</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指标分值权重</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指标赋分规则</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产出指标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数量指标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系统维护数量</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sz w:val="18"/>
                <w:szCs w:val="18"/>
                <w:highlight w:val="none"/>
              </w:rPr>
              <w:t>≥5个</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eastAsia" w:ascii="宋体" w:hAnsi="宋体" w:eastAsia="宋体" w:cs="宋体"/>
                <w:i w:val="0"/>
                <w:iCs w:val="0"/>
                <w:color w:val="000000"/>
                <w:sz w:val="18"/>
                <w:szCs w:val="18"/>
                <w:highlight w:val="none"/>
                <w:u w:val="none"/>
                <w:lang w:val="en-US" w:eastAsia="zh-CN"/>
              </w:rPr>
            </w:pPr>
            <w:r>
              <w:rPr>
                <w:rFonts w:hint="eastAsia"/>
                <w:highlight w:val="none"/>
                <w:lang w:val="en-US" w:eastAsia="zh-CN"/>
              </w:rPr>
              <w:t>5个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sz w:val="18"/>
                <w:szCs w:val="18"/>
                <w:highlight w:val="none"/>
                <w:lang w:val="en-US" w:eastAsia="zh-CN"/>
              </w:rPr>
              <w:t>13</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380" w:type="dxa"/>
            <w:tcBorders>
              <w:top w:val="single" w:color="000000" w:sz="4" w:space="0"/>
              <w:left w:val="single" w:color="000000" w:sz="4" w:space="0"/>
              <w:bottom w:val="nil"/>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质量指标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软件运行维护质量达标率</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≥98%</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sz w:val="18"/>
                <w:szCs w:val="18"/>
                <w:highlight w:val="none"/>
                <w:lang w:val="en-US" w:eastAsia="zh-CN"/>
              </w:rPr>
              <w:t>17</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时效指标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软件运行维护及时性</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Arial" w:hAnsi="Arial" w:cs="Arial"/>
                <w:color w:val="000000"/>
                <w:sz w:val="18"/>
                <w:szCs w:val="18"/>
                <w:highlight w:val="none"/>
              </w:rPr>
              <w:t>实际维护效果</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及时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color w:val="000000"/>
                <w:sz w:val="18"/>
                <w:szCs w:val="18"/>
                <w:highlight w:val="none"/>
                <w:lang w:val="en-US" w:eastAsia="zh-CN"/>
              </w:rPr>
              <w:t>16</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成本指标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经济成本指标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软件运行维护费用</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≤233.9万元</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215.16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10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20" w:type="dxa"/>
            <w:vMerge w:val="restart"/>
            <w:tcBorders>
              <w:top w:val="single" w:color="000000" w:sz="4" w:space="0"/>
              <w:left w:val="single" w:color="000000" w:sz="4" w:space="0"/>
              <w:bottom w:val="nil"/>
              <w:right w:val="single" w:color="000000" w:sz="4" w:space="0"/>
            </w:tcBorders>
            <w:noWrap w:val="0"/>
            <w:vAlign w:val="center"/>
          </w:tcPr>
          <w:p>
            <w:pPr>
              <w:widowControl/>
              <w:shd w:val="clear"/>
              <w:textAlignment w:val="center"/>
              <w:rPr>
                <w:rFonts w:ascii="宋体" w:hAnsi="宋体" w:cs="宋体"/>
                <w:color w:val="000000"/>
                <w:kern w:val="0"/>
                <w:sz w:val="18"/>
                <w:szCs w:val="18"/>
                <w:highlight w:val="none"/>
              </w:rPr>
            </w:pPr>
          </w:p>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效益指标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经济效益指标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财政业务办事效率提升</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显著提升</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highlight w:val="none"/>
                <w:lang w:eastAsia="zh-CN"/>
              </w:rPr>
              <w:t>达到预期效果</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lang w:eastAsia="zh-CN"/>
              </w:rPr>
            </w:pPr>
            <w:r>
              <w:rPr>
                <w:rFonts w:hint="eastAsia" w:ascii="宋体" w:hAnsi="宋体" w:cs="宋体"/>
                <w:color w:val="000000"/>
                <w:sz w:val="18"/>
                <w:szCs w:val="18"/>
                <w:highlight w:val="none"/>
                <w:lang w:val="en-US" w:eastAsia="zh-CN"/>
              </w:rPr>
              <w:t>9</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620"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社会效益指标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可持续影响指标</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信息网络安全运行稳定性</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15</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62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满意度指标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kern w:val="0"/>
                <w:sz w:val="18"/>
                <w:szCs w:val="18"/>
                <w:highlight w:val="none"/>
              </w:rPr>
              <w:t>满意度指标</w:t>
            </w:r>
          </w:p>
        </w:tc>
        <w:tc>
          <w:tcPr>
            <w:tcW w:w="1318"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服务对象满意度</w:t>
            </w:r>
          </w:p>
        </w:tc>
        <w:tc>
          <w:tcPr>
            <w:tcW w:w="1382"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≥98%</w:t>
            </w:r>
          </w:p>
        </w:tc>
        <w:tc>
          <w:tcPr>
            <w:tcW w:w="12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计划标准</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shd w:val="clea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20</w:t>
            </w:r>
          </w:p>
        </w:tc>
        <w:tc>
          <w:tcPr>
            <w:tcW w:w="828"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按照完成比例赋分</w:t>
            </w:r>
          </w:p>
        </w:tc>
        <w:tc>
          <w:tcPr>
            <w:tcW w:w="1007" w:type="dxa"/>
            <w:tcBorders>
              <w:top w:val="single" w:color="000000" w:sz="4" w:space="0"/>
              <w:left w:val="single" w:color="000000" w:sz="4" w:space="0"/>
              <w:bottom w:val="single" w:color="000000" w:sz="4" w:space="0"/>
              <w:right w:val="single" w:color="000000" w:sz="4" w:space="0"/>
            </w:tcBorders>
            <w:noWrap w:val="0"/>
            <w:vAlign w:val="center"/>
          </w:tcPr>
          <w:p>
            <w:pPr>
              <w:shd w:val="clear"/>
              <w:spacing w:line="200" w:lineRule="exact"/>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highlight w:val="none"/>
              </w:rPr>
              <w:t>工作资料</w:t>
            </w:r>
          </w:p>
        </w:tc>
      </w:tr>
    </w:tbl>
    <w:p>
      <w:pPr>
        <w:keepNext w:val="0"/>
        <w:keepLines w:val="0"/>
        <w:pageBreakBefore w:val="0"/>
        <w:widowControl w:val="0"/>
        <w:numPr>
          <w:ilvl w:val="0"/>
          <w:numId w:val="1"/>
        </w:numPr>
        <w:shd w:val="clear"/>
        <w:kinsoku/>
        <w:wordWrap/>
        <w:overflowPunct/>
        <w:topLinePunct w:val="0"/>
        <w:autoSpaceDE/>
        <w:autoSpaceDN/>
        <w:bidi w:val="0"/>
        <w:adjustRightInd/>
        <w:snapToGrid/>
        <w:spacing w:before="0" w:beforeLines="0" w:line="600" w:lineRule="exact"/>
        <w:ind w:firstLine="321" w:firstLineChars="1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shd w:val="clea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 w:hAnsi="仿宋" w:eastAsia="仿宋" w:cs="仿宋"/>
          <w:b w:val="0"/>
          <w:bCs w:val="0"/>
          <w:kern w:val="0"/>
          <w:sz w:val="32"/>
          <w:szCs w:val="32"/>
          <w:highlight w:val="none"/>
          <w:lang w:val="en-US" w:eastAsia="zh-CN"/>
        </w:rPr>
        <w:t>本部门涉及非财政拨款项目1个,涉及预算资金88万元,主要原因是财政拨款基本户资金，不重复做绩效目标表</w:t>
      </w:r>
      <w:r>
        <w:rPr>
          <w:rFonts w:hint="eastAsia" w:ascii="仿宋_GB2312" w:hAnsi="宋体" w:eastAsia="仿宋_GB2312" w:cs="宋体"/>
          <w:kern w:val="0"/>
          <w:sz w:val="32"/>
          <w:szCs w:val="32"/>
          <w:highlight w:val="none"/>
          <w:lang w:eastAsia="zh-CN"/>
        </w:rPr>
        <w:t>。</w:t>
      </w:r>
    </w:p>
    <w:p>
      <w:pPr>
        <w:rPr>
          <w:rFonts w:hint="eastAsia" w:ascii="黑体" w:hAnsi="黑体" w:eastAsia="黑体"/>
          <w:kern w:val="0"/>
          <w:sz w:val="32"/>
          <w:szCs w:val="32"/>
          <w:highlight w:val="none"/>
        </w:rPr>
      </w:pPr>
      <w:r>
        <w:rPr>
          <w:rFonts w:hint="eastAsia" w:ascii="黑体" w:hAnsi="黑体" w:eastAsia="黑体"/>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呼图壁县财政局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D5353"/>
    <w:multiLevelType w:val="singleLevel"/>
    <w:tmpl w:val="BB6D535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11410E"/>
    <w:rsid w:val="003B0466"/>
    <w:rsid w:val="007665E3"/>
    <w:rsid w:val="00886389"/>
    <w:rsid w:val="00A26D4D"/>
    <w:rsid w:val="00E41A1F"/>
    <w:rsid w:val="010C61E8"/>
    <w:rsid w:val="016A04A9"/>
    <w:rsid w:val="017B2F92"/>
    <w:rsid w:val="01BE4391"/>
    <w:rsid w:val="020E507E"/>
    <w:rsid w:val="02496CBA"/>
    <w:rsid w:val="02732F8E"/>
    <w:rsid w:val="02CB7F49"/>
    <w:rsid w:val="02E019A2"/>
    <w:rsid w:val="03115135"/>
    <w:rsid w:val="0338234E"/>
    <w:rsid w:val="03737BA3"/>
    <w:rsid w:val="037800D1"/>
    <w:rsid w:val="03B3596E"/>
    <w:rsid w:val="03F303CF"/>
    <w:rsid w:val="041D3B27"/>
    <w:rsid w:val="04267087"/>
    <w:rsid w:val="04267B2D"/>
    <w:rsid w:val="04316311"/>
    <w:rsid w:val="044C330C"/>
    <w:rsid w:val="045D6C2E"/>
    <w:rsid w:val="046F545A"/>
    <w:rsid w:val="04946ABF"/>
    <w:rsid w:val="04E030F2"/>
    <w:rsid w:val="05397FD9"/>
    <w:rsid w:val="056F43E6"/>
    <w:rsid w:val="057A5F58"/>
    <w:rsid w:val="05CA273A"/>
    <w:rsid w:val="070E6657"/>
    <w:rsid w:val="07482B3F"/>
    <w:rsid w:val="075F791C"/>
    <w:rsid w:val="080E3E4F"/>
    <w:rsid w:val="084451C2"/>
    <w:rsid w:val="08450B28"/>
    <w:rsid w:val="08762705"/>
    <w:rsid w:val="088F5575"/>
    <w:rsid w:val="08A46520"/>
    <w:rsid w:val="08E810ED"/>
    <w:rsid w:val="08E81855"/>
    <w:rsid w:val="09352104"/>
    <w:rsid w:val="095002FA"/>
    <w:rsid w:val="09823AED"/>
    <w:rsid w:val="09942843"/>
    <w:rsid w:val="0A2225D4"/>
    <w:rsid w:val="0A4168EC"/>
    <w:rsid w:val="0A647A15"/>
    <w:rsid w:val="0A98368A"/>
    <w:rsid w:val="0AD672A7"/>
    <w:rsid w:val="0B247F12"/>
    <w:rsid w:val="0B7C3034"/>
    <w:rsid w:val="0B841FFD"/>
    <w:rsid w:val="0BD56A2F"/>
    <w:rsid w:val="0BE03E5E"/>
    <w:rsid w:val="0C0A3890"/>
    <w:rsid w:val="0CD20198"/>
    <w:rsid w:val="0CDF1A03"/>
    <w:rsid w:val="0CEC568C"/>
    <w:rsid w:val="0D1D563D"/>
    <w:rsid w:val="0D570BC1"/>
    <w:rsid w:val="0D6E5FD0"/>
    <w:rsid w:val="0DBD526E"/>
    <w:rsid w:val="0DD347C6"/>
    <w:rsid w:val="0E320E7D"/>
    <w:rsid w:val="0E9208E7"/>
    <w:rsid w:val="0F681C53"/>
    <w:rsid w:val="0FC07491"/>
    <w:rsid w:val="0FD550FD"/>
    <w:rsid w:val="10587512"/>
    <w:rsid w:val="105D0E37"/>
    <w:rsid w:val="10916BDA"/>
    <w:rsid w:val="10A759B8"/>
    <w:rsid w:val="11036B00"/>
    <w:rsid w:val="11235C1C"/>
    <w:rsid w:val="11266AC1"/>
    <w:rsid w:val="11301FEB"/>
    <w:rsid w:val="11985A6D"/>
    <w:rsid w:val="11B6451D"/>
    <w:rsid w:val="11E72B67"/>
    <w:rsid w:val="121E62E8"/>
    <w:rsid w:val="122404A2"/>
    <w:rsid w:val="12A17EC0"/>
    <w:rsid w:val="12A32281"/>
    <w:rsid w:val="13780E7F"/>
    <w:rsid w:val="14365BC0"/>
    <w:rsid w:val="1443272C"/>
    <w:rsid w:val="14682006"/>
    <w:rsid w:val="1484019E"/>
    <w:rsid w:val="14DA2703"/>
    <w:rsid w:val="152370AE"/>
    <w:rsid w:val="15394924"/>
    <w:rsid w:val="15796EF8"/>
    <w:rsid w:val="15DC5334"/>
    <w:rsid w:val="166014CD"/>
    <w:rsid w:val="1697741D"/>
    <w:rsid w:val="18236746"/>
    <w:rsid w:val="18F60C79"/>
    <w:rsid w:val="19925A47"/>
    <w:rsid w:val="19A215AC"/>
    <w:rsid w:val="1A132B78"/>
    <w:rsid w:val="1A251C7E"/>
    <w:rsid w:val="1AC437A4"/>
    <w:rsid w:val="1B153D26"/>
    <w:rsid w:val="1BEA75A8"/>
    <w:rsid w:val="1BEB54C3"/>
    <w:rsid w:val="1BF32AC0"/>
    <w:rsid w:val="1BF859CD"/>
    <w:rsid w:val="1C3C6084"/>
    <w:rsid w:val="1C8C02F2"/>
    <w:rsid w:val="1CC0054D"/>
    <w:rsid w:val="1D3E1AFE"/>
    <w:rsid w:val="1DC01C58"/>
    <w:rsid w:val="1DDF68F7"/>
    <w:rsid w:val="1E6432D4"/>
    <w:rsid w:val="1E696884"/>
    <w:rsid w:val="1E89232D"/>
    <w:rsid w:val="1EB61656"/>
    <w:rsid w:val="1F3261EE"/>
    <w:rsid w:val="1F4E7D3E"/>
    <w:rsid w:val="1F990594"/>
    <w:rsid w:val="20407429"/>
    <w:rsid w:val="20CF3CE4"/>
    <w:rsid w:val="20DD55C0"/>
    <w:rsid w:val="20FD19F8"/>
    <w:rsid w:val="215D6D4E"/>
    <w:rsid w:val="21AB79B2"/>
    <w:rsid w:val="22922CB8"/>
    <w:rsid w:val="22A22DF7"/>
    <w:rsid w:val="22DB78DD"/>
    <w:rsid w:val="23732E62"/>
    <w:rsid w:val="23BC6DFD"/>
    <w:rsid w:val="244D65B8"/>
    <w:rsid w:val="245A65EF"/>
    <w:rsid w:val="247E2927"/>
    <w:rsid w:val="2492221D"/>
    <w:rsid w:val="249F04FB"/>
    <w:rsid w:val="24A46586"/>
    <w:rsid w:val="24B11389"/>
    <w:rsid w:val="24B42D8E"/>
    <w:rsid w:val="24B438CA"/>
    <w:rsid w:val="250855AF"/>
    <w:rsid w:val="258B383C"/>
    <w:rsid w:val="261D352C"/>
    <w:rsid w:val="263B7010"/>
    <w:rsid w:val="26B4291F"/>
    <w:rsid w:val="26BD282A"/>
    <w:rsid w:val="26E769FA"/>
    <w:rsid w:val="274E5A4F"/>
    <w:rsid w:val="2782173D"/>
    <w:rsid w:val="286D65BC"/>
    <w:rsid w:val="28D410D1"/>
    <w:rsid w:val="28D9041B"/>
    <w:rsid w:val="28E11BAD"/>
    <w:rsid w:val="28F77562"/>
    <w:rsid w:val="293B2E83"/>
    <w:rsid w:val="295E07B2"/>
    <w:rsid w:val="298F23FE"/>
    <w:rsid w:val="2A575DC7"/>
    <w:rsid w:val="2AFC4894"/>
    <w:rsid w:val="2B0A5597"/>
    <w:rsid w:val="2B3A05DE"/>
    <w:rsid w:val="2B6901C6"/>
    <w:rsid w:val="2BDA043B"/>
    <w:rsid w:val="2C250686"/>
    <w:rsid w:val="2C2D6105"/>
    <w:rsid w:val="2D480265"/>
    <w:rsid w:val="2D615883"/>
    <w:rsid w:val="2D977453"/>
    <w:rsid w:val="2DB219DB"/>
    <w:rsid w:val="2DC2679D"/>
    <w:rsid w:val="2E0E1104"/>
    <w:rsid w:val="2E2943BA"/>
    <w:rsid w:val="2E536D6F"/>
    <w:rsid w:val="2EF22236"/>
    <w:rsid w:val="2F4B460A"/>
    <w:rsid w:val="2FED29FE"/>
    <w:rsid w:val="300E1D4A"/>
    <w:rsid w:val="30B05F05"/>
    <w:rsid w:val="310F3573"/>
    <w:rsid w:val="314A11A8"/>
    <w:rsid w:val="315841EA"/>
    <w:rsid w:val="31BF5944"/>
    <w:rsid w:val="320614DE"/>
    <w:rsid w:val="32676D4E"/>
    <w:rsid w:val="328B2140"/>
    <w:rsid w:val="32D560F7"/>
    <w:rsid w:val="3315447D"/>
    <w:rsid w:val="33A76F60"/>
    <w:rsid w:val="33F26422"/>
    <w:rsid w:val="341E7629"/>
    <w:rsid w:val="34A12A97"/>
    <w:rsid w:val="350A21EB"/>
    <w:rsid w:val="35E351B4"/>
    <w:rsid w:val="35F117C8"/>
    <w:rsid w:val="37195466"/>
    <w:rsid w:val="37905446"/>
    <w:rsid w:val="3806231C"/>
    <w:rsid w:val="38284F1B"/>
    <w:rsid w:val="385631BB"/>
    <w:rsid w:val="389B1327"/>
    <w:rsid w:val="38D43F88"/>
    <w:rsid w:val="38DC74D4"/>
    <w:rsid w:val="3978359B"/>
    <w:rsid w:val="39B0409D"/>
    <w:rsid w:val="3B166E9D"/>
    <w:rsid w:val="3B7F1C9A"/>
    <w:rsid w:val="3BE45FB7"/>
    <w:rsid w:val="3BF21AC7"/>
    <w:rsid w:val="3C013037"/>
    <w:rsid w:val="3C8C29D5"/>
    <w:rsid w:val="3CB850E3"/>
    <w:rsid w:val="3CEF624F"/>
    <w:rsid w:val="3DB553EE"/>
    <w:rsid w:val="3DBB3F2C"/>
    <w:rsid w:val="3FDF4D23"/>
    <w:rsid w:val="40053B2F"/>
    <w:rsid w:val="40605B65"/>
    <w:rsid w:val="406655DB"/>
    <w:rsid w:val="40E0150F"/>
    <w:rsid w:val="41083B3B"/>
    <w:rsid w:val="41270465"/>
    <w:rsid w:val="412C43E7"/>
    <w:rsid w:val="41DB2FFE"/>
    <w:rsid w:val="4289634B"/>
    <w:rsid w:val="42F779C3"/>
    <w:rsid w:val="43502DA9"/>
    <w:rsid w:val="43C26223"/>
    <w:rsid w:val="43D6287E"/>
    <w:rsid w:val="43D8307E"/>
    <w:rsid w:val="44507CD3"/>
    <w:rsid w:val="44AF5181"/>
    <w:rsid w:val="44F06930"/>
    <w:rsid w:val="454849EE"/>
    <w:rsid w:val="455A018C"/>
    <w:rsid w:val="46B02CAB"/>
    <w:rsid w:val="46CE3131"/>
    <w:rsid w:val="483269A3"/>
    <w:rsid w:val="48A149F3"/>
    <w:rsid w:val="493059DD"/>
    <w:rsid w:val="49437FAA"/>
    <w:rsid w:val="494F7907"/>
    <w:rsid w:val="49FE389A"/>
    <w:rsid w:val="4A000BC2"/>
    <w:rsid w:val="4A00365C"/>
    <w:rsid w:val="4A3B2264"/>
    <w:rsid w:val="4A58343D"/>
    <w:rsid w:val="4A8E5944"/>
    <w:rsid w:val="4ABA7A6E"/>
    <w:rsid w:val="4ADF73DC"/>
    <w:rsid w:val="4B1B26BD"/>
    <w:rsid w:val="4B315A3D"/>
    <w:rsid w:val="4B7309ED"/>
    <w:rsid w:val="4BFC57B5"/>
    <w:rsid w:val="4C0055E5"/>
    <w:rsid w:val="4C3677AE"/>
    <w:rsid w:val="4C706B3A"/>
    <w:rsid w:val="4D283CA5"/>
    <w:rsid w:val="4D6120E8"/>
    <w:rsid w:val="4DCC319C"/>
    <w:rsid w:val="4E3E38FE"/>
    <w:rsid w:val="4F3B332E"/>
    <w:rsid w:val="4FFB59EA"/>
    <w:rsid w:val="506D31C8"/>
    <w:rsid w:val="50B74F93"/>
    <w:rsid w:val="50CD64FC"/>
    <w:rsid w:val="51444AF1"/>
    <w:rsid w:val="51C15CED"/>
    <w:rsid w:val="52285DEB"/>
    <w:rsid w:val="52AD62F0"/>
    <w:rsid w:val="53A94D0A"/>
    <w:rsid w:val="53B85EC1"/>
    <w:rsid w:val="546308FE"/>
    <w:rsid w:val="54971BFC"/>
    <w:rsid w:val="553E2974"/>
    <w:rsid w:val="55696F4C"/>
    <w:rsid w:val="559E593B"/>
    <w:rsid w:val="55E17AE4"/>
    <w:rsid w:val="56656982"/>
    <w:rsid w:val="56FE59C9"/>
    <w:rsid w:val="570D735E"/>
    <w:rsid w:val="571B2674"/>
    <w:rsid w:val="5785457A"/>
    <w:rsid w:val="589917F1"/>
    <w:rsid w:val="58AD3B91"/>
    <w:rsid w:val="58E84419"/>
    <w:rsid w:val="58E9590A"/>
    <w:rsid w:val="593371FB"/>
    <w:rsid w:val="59905E2B"/>
    <w:rsid w:val="59B241EC"/>
    <w:rsid w:val="5A5E27F6"/>
    <w:rsid w:val="5A704801"/>
    <w:rsid w:val="5A8C5E4D"/>
    <w:rsid w:val="5AEC2CFC"/>
    <w:rsid w:val="5AED2A9A"/>
    <w:rsid w:val="5B2D0D58"/>
    <w:rsid w:val="5B2E73F2"/>
    <w:rsid w:val="5B794092"/>
    <w:rsid w:val="5BBC6749"/>
    <w:rsid w:val="5C2A05A6"/>
    <w:rsid w:val="5C467AAA"/>
    <w:rsid w:val="5C672EB2"/>
    <w:rsid w:val="5C9725A5"/>
    <w:rsid w:val="5D7015BA"/>
    <w:rsid w:val="5D9E1657"/>
    <w:rsid w:val="5E225DE5"/>
    <w:rsid w:val="5E257683"/>
    <w:rsid w:val="5E7802BC"/>
    <w:rsid w:val="5EE078B0"/>
    <w:rsid w:val="5F0D5523"/>
    <w:rsid w:val="5F2346ED"/>
    <w:rsid w:val="5F7D2CAF"/>
    <w:rsid w:val="60337EB7"/>
    <w:rsid w:val="604C2768"/>
    <w:rsid w:val="60555BCD"/>
    <w:rsid w:val="6070229D"/>
    <w:rsid w:val="61086613"/>
    <w:rsid w:val="61686204"/>
    <w:rsid w:val="61EC7124"/>
    <w:rsid w:val="622F6B82"/>
    <w:rsid w:val="623F2AF5"/>
    <w:rsid w:val="62754EA1"/>
    <w:rsid w:val="62917095"/>
    <w:rsid w:val="62D77DBE"/>
    <w:rsid w:val="62E27A43"/>
    <w:rsid w:val="62F07008"/>
    <w:rsid w:val="630E06E5"/>
    <w:rsid w:val="63A5450B"/>
    <w:rsid w:val="6408782B"/>
    <w:rsid w:val="64381BFF"/>
    <w:rsid w:val="643D1688"/>
    <w:rsid w:val="65322CBF"/>
    <w:rsid w:val="65803D06"/>
    <w:rsid w:val="65B35574"/>
    <w:rsid w:val="65C658ED"/>
    <w:rsid w:val="66841813"/>
    <w:rsid w:val="673B362C"/>
    <w:rsid w:val="67432AEB"/>
    <w:rsid w:val="67E24DFC"/>
    <w:rsid w:val="680B13F6"/>
    <w:rsid w:val="684E266A"/>
    <w:rsid w:val="68CC52CB"/>
    <w:rsid w:val="68DE4FFE"/>
    <w:rsid w:val="68F92BFB"/>
    <w:rsid w:val="691B0000"/>
    <w:rsid w:val="694B58D7"/>
    <w:rsid w:val="699679D6"/>
    <w:rsid w:val="69CE4E15"/>
    <w:rsid w:val="6A0804CF"/>
    <w:rsid w:val="6B3E7E06"/>
    <w:rsid w:val="6B747A7C"/>
    <w:rsid w:val="6B7F3246"/>
    <w:rsid w:val="6BEE2029"/>
    <w:rsid w:val="6BF904A6"/>
    <w:rsid w:val="6CB5251A"/>
    <w:rsid w:val="6CD429A0"/>
    <w:rsid w:val="6CEA24B0"/>
    <w:rsid w:val="6E294B48"/>
    <w:rsid w:val="6E851143"/>
    <w:rsid w:val="6EF07839"/>
    <w:rsid w:val="6F0820F9"/>
    <w:rsid w:val="6F63000B"/>
    <w:rsid w:val="6FAE204D"/>
    <w:rsid w:val="6FCF0C72"/>
    <w:rsid w:val="705770B2"/>
    <w:rsid w:val="707846A8"/>
    <w:rsid w:val="709A2F73"/>
    <w:rsid w:val="70B476AF"/>
    <w:rsid w:val="7133355A"/>
    <w:rsid w:val="71500A63"/>
    <w:rsid w:val="71743CCC"/>
    <w:rsid w:val="717A047A"/>
    <w:rsid w:val="717C1858"/>
    <w:rsid w:val="71B135C9"/>
    <w:rsid w:val="71E24E0E"/>
    <w:rsid w:val="72517CC5"/>
    <w:rsid w:val="72B56DCF"/>
    <w:rsid w:val="72C86AF7"/>
    <w:rsid w:val="72E964BC"/>
    <w:rsid w:val="735C7C42"/>
    <w:rsid w:val="746674A3"/>
    <w:rsid w:val="74A73803"/>
    <w:rsid w:val="74CB4DD5"/>
    <w:rsid w:val="74D07EF1"/>
    <w:rsid w:val="755B1FFA"/>
    <w:rsid w:val="75B570E6"/>
    <w:rsid w:val="75BF2F45"/>
    <w:rsid w:val="75BF3AC1"/>
    <w:rsid w:val="75E76182"/>
    <w:rsid w:val="76006E26"/>
    <w:rsid w:val="768F7529"/>
    <w:rsid w:val="769E215A"/>
    <w:rsid w:val="7706409E"/>
    <w:rsid w:val="7797777E"/>
    <w:rsid w:val="779C0BD9"/>
    <w:rsid w:val="780A1873"/>
    <w:rsid w:val="78785DB7"/>
    <w:rsid w:val="787D11B8"/>
    <w:rsid w:val="78A771BA"/>
    <w:rsid w:val="78AC6820"/>
    <w:rsid w:val="78B9085B"/>
    <w:rsid w:val="791C1B91"/>
    <w:rsid w:val="792C49F8"/>
    <w:rsid w:val="792C5912"/>
    <w:rsid w:val="796024CA"/>
    <w:rsid w:val="796D702C"/>
    <w:rsid w:val="7A204D4A"/>
    <w:rsid w:val="7B0F608B"/>
    <w:rsid w:val="7B661A4C"/>
    <w:rsid w:val="7B7B280B"/>
    <w:rsid w:val="7B813F06"/>
    <w:rsid w:val="7C044EE8"/>
    <w:rsid w:val="7C603B27"/>
    <w:rsid w:val="7CBA4FE2"/>
    <w:rsid w:val="7CE16237"/>
    <w:rsid w:val="7D06612B"/>
    <w:rsid w:val="7D4B6595"/>
    <w:rsid w:val="7DC71517"/>
    <w:rsid w:val="7DF44BF8"/>
    <w:rsid w:val="7E880152"/>
    <w:rsid w:val="7E8B30DA"/>
    <w:rsid w:val="7F037DEB"/>
    <w:rsid w:val="7FCB4851"/>
    <w:rsid w:val="7FD771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hint="eastAsia" w:ascii="Arial" w:hAnsi="Arial" w:eastAsia="黑体"/>
      <w:b/>
      <w:sz w:val="21"/>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3846</Words>
  <Characters>5402</Characters>
  <Lines>0</Lines>
  <Paragraphs>0</Paragraphs>
  <TotalTime>24</TotalTime>
  <ScaleCrop>false</ScaleCrop>
  <LinksUpToDate>false</LinksUpToDate>
  <CharactersWithSpaces>6594</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2025-05-27T11:46:58Z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