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8"/>
        <w:rPr>
          <w:rFonts w:hint="default"/>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呼图壁县</w:t>
      </w:r>
      <w:r>
        <w:rPr>
          <w:rFonts w:hint="eastAsia" w:ascii="方正小标宋_GBK" w:hAnsi="宋体" w:eastAsia="方正小标宋_GBK"/>
          <w:color w:val="auto"/>
          <w:kern w:val="0"/>
          <w:sz w:val="44"/>
          <w:szCs w:val="44"/>
          <w:highlight w:val="none"/>
        </w:rPr>
        <w:t>自然资源局</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2025年部门</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val="en-US" w:eastAsia="zh-CN"/>
        </w:rPr>
        <w:t>2025年呼图壁县</w:t>
      </w:r>
      <w:r>
        <w:rPr>
          <w:rFonts w:hint="eastAsia" w:ascii="仿宋_GB2312" w:hAnsi="仿宋_GB2312" w:eastAsia="仿宋_GB2312" w:cs="仿宋_GB2312"/>
          <w:b/>
          <w:sz w:val="32"/>
        </w:rPr>
        <w:t>自然资源局</w:t>
      </w:r>
      <w:r>
        <w:rPr>
          <w:rFonts w:hint="eastAsia" w:ascii="仿宋_GB2312" w:hAnsi="仿宋_GB2312" w:eastAsia="仿宋_GB2312" w:cs="仿宋_GB2312"/>
          <w:b/>
          <w:sz w:val="32"/>
          <w:lang w:val="en-US" w:eastAsia="zh-CN"/>
        </w:rPr>
        <w:t>部门</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val="en-US" w:eastAsia="zh-CN"/>
        </w:rPr>
        <w:t>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val="en-US" w:eastAsia="zh-CN"/>
        </w:rPr>
        <w:t>呼图壁自然资源局</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val="en-US" w:eastAsia="zh-CN"/>
        </w:rPr>
        <w:t>呼图壁自然资源局</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val="en-US" w:eastAsia="zh-CN"/>
        </w:rPr>
        <w:t>呼图壁自然资源局</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val="en-US" w:eastAsia="zh-CN"/>
        </w:rPr>
        <w:t>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val="en-US" w:eastAsia="zh-CN"/>
        </w:rPr>
        <w:t>呼图壁自然资源局2025</w:t>
      </w:r>
      <w:r>
        <w:rPr>
          <w:rFonts w:hint="eastAsia" w:ascii="仿宋_GB2312" w:hAnsi="仿宋_GB2312" w:eastAsia="仿宋_GB2312" w:cs="仿宋_GB2312"/>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val="en-US" w:eastAsia="zh-CN"/>
        </w:rPr>
        <w:t>呼图壁自然资源局2025</w:t>
      </w:r>
      <w:r>
        <w:rPr>
          <w:rFonts w:hint="eastAsia" w:ascii="仿宋_GB2312" w:hAnsi="仿宋_GB2312" w:eastAsia="仿宋_GB2312" w:cs="仿宋_GB2312"/>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val="en-US" w:eastAsia="zh-CN"/>
        </w:rPr>
        <w:t>呼图壁自然资源局2025</w:t>
      </w:r>
      <w:r>
        <w:rPr>
          <w:rFonts w:hint="eastAsia" w:ascii="仿宋_GB2312" w:hAnsi="仿宋_GB2312" w:eastAsia="仿宋_GB2312" w:cs="仿宋_GB2312"/>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val="en-US" w:eastAsia="zh-CN"/>
        </w:rPr>
        <w:t>呼图壁自然资源局2025</w:t>
      </w:r>
      <w:r>
        <w:rPr>
          <w:rFonts w:hint="eastAsia" w:ascii="仿宋_GB2312" w:hAnsi="仿宋_GB2312" w:eastAsia="仿宋_GB2312" w:cs="仿宋_GB2312"/>
          <w:bCs/>
          <w:color w:val="auto"/>
          <w:kern w:val="0"/>
          <w:sz w:val="32"/>
          <w:szCs w:val="32"/>
          <w:highlight w:val="none"/>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呼图壁自然资源局2025</w:t>
      </w:r>
      <w:r>
        <w:rPr>
          <w:rFonts w:hint="eastAsia" w:ascii="仿宋_GB2312" w:hAnsi="仿宋_GB2312" w:eastAsia="仿宋_GB2312" w:cs="仿宋_GB2312"/>
          <w:color w:val="auto"/>
          <w:spacing w:val="-6"/>
          <w:kern w:val="0"/>
          <w:sz w:val="32"/>
          <w:szCs w:val="32"/>
          <w:highlight w:val="none"/>
        </w:rPr>
        <w:t>年一般公共预算当年拨款情况说明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呼图壁自然资源局2025</w:t>
      </w:r>
      <w:r>
        <w:rPr>
          <w:rFonts w:hint="eastAsia" w:ascii="仿宋_GB2312" w:hAnsi="仿宋_GB2312" w:eastAsia="仿宋_GB2312" w:cs="仿宋_GB2312"/>
          <w:color w:val="auto"/>
          <w:spacing w:val="-6"/>
          <w:kern w:val="0"/>
          <w:sz w:val="32"/>
          <w:szCs w:val="32"/>
          <w:highlight w:val="none"/>
        </w:rPr>
        <w:t>年一般公共预算基本支出情况说明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呼图壁自然资源局2025</w:t>
      </w:r>
      <w:r>
        <w:rPr>
          <w:rFonts w:hint="eastAsia" w:ascii="仿宋_GB2312" w:hAnsi="仿宋_GB2312" w:eastAsia="仿宋_GB2312" w:cs="仿宋_GB2312"/>
          <w:color w:val="auto"/>
          <w:spacing w:val="-6"/>
          <w:kern w:val="0"/>
          <w:sz w:val="32"/>
          <w:szCs w:val="32"/>
          <w:highlight w:val="none"/>
        </w:rPr>
        <w:t>年一般公共预算项目支出情况说明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呼图壁自然资源局2025</w:t>
      </w:r>
      <w:r>
        <w:rPr>
          <w:rFonts w:hint="eastAsia" w:ascii="仿宋_GB2312" w:hAnsi="仿宋_GB2312" w:eastAsia="仿宋_GB2312" w:cs="仿宋_GB2312"/>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呼图壁自然资源局2025</w:t>
      </w:r>
      <w:r>
        <w:rPr>
          <w:rFonts w:hint="eastAsia" w:ascii="仿宋_GB2312" w:hAnsi="仿宋_GB2312" w:eastAsia="仿宋_GB2312" w:cs="仿宋_GB2312"/>
          <w:color w:val="auto"/>
          <w:kern w:val="0"/>
          <w:sz w:val="32"/>
          <w:szCs w:val="32"/>
          <w:highlight w:val="none"/>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呼图壁自然资源局2025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呼图壁自然资源局2025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val="en-US" w:eastAsia="zh-CN"/>
        </w:rPr>
        <w:t>2025年呼图壁县自然资源局部门</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line="560" w:lineRule="exact"/>
        <w:ind w:right="0"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pStyle w:val="5"/>
        <w:keepNext w:val="0"/>
        <w:keepLines w:val="0"/>
        <w:pageBreakBefore w:val="0"/>
        <w:kinsoku/>
        <w:wordWrap/>
        <w:overflowPunct/>
        <w:topLinePunct w:val="0"/>
        <w:autoSpaceDE/>
        <w:autoSpaceDN/>
        <w:bidi w:val="0"/>
        <w:adjustRightInd/>
        <w:snapToGrid/>
        <w:spacing w:line="560" w:lineRule="exact"/>
        <w:ind w:left="0" w:right="0" w:firstLine="616" w:firstLineChars="200"/>
        <w:jc w:val="left"/>
        <w:textAlignment w:val="auto"/>
      </w:pPr>
      <w:r>
        <w:rPr>
          <w:spacing w:val="-6"/>
        </w:rPr>
        <w:t>呼图壁县自然资源局是县人民政府工作单位，主要贯彻落实</w:t>
      </w:r>
      <w:r>
        <w:rPr>
          <w:spacing w:val="-11"/>
        </w:rPr>
        <w:t>党中央关于自然资源工作的方针政策和决策部署，在履行职责过程中坚持和加强党对自然资源的集中统一领导。主要职责是：</w:t>
      </w:r>
    </w:p>
    <w:p>
      <w:pPr>
        <w:pStyle w:val="5"/>
        <w:keepNext w:val="0"/>
        <w:keepLines w:val="0"/>
        <w:pageBreakBefore w:val="0"/>
        <w:kinsoku/>
        <w:wordWrap/>
        <w:overflowPunct/>
        <w:topLinePunct w:val="0"/>
        <w:autoSpaceDE/>
        <w:autoSpaceDN/>
        <w:bidi w:val="0"/>
        <w:adjustRightInd/>
        <w:snapToGrid/>
        <w:spacing w:line="560" w:lineRule="exact"/>
        <w:ind w:left="0" w:right="0" w:firstLine="616" w:firstLineChars="200"/>
        <w:jc w:val="left"/>
        <w:textAlignment w:val="auto"/>
        <w:rPr>
          <w:spacing w:val="-6"/>
        </w:rPr>
      </w:pPr>
      <w:r>
        <w:rPr>
          <w:spacing w:val="-6"/>
        </w:rPr>
        <w:t>（一）履行全民所有土地、矿产、等自然资源资产所有者职责和所有国土空间用途管制职责。贯彻执行自然资源、国土空间 规划、城乡规划和测绘等法律法规。</w:t>
      </w:r>
    </w:p>
    <w:p>
      <w:pPr>
        <w:pStyle w:val="5"/>
        <w:keepNext w:val="0"/>
        <w:keepLines w:val="0"/>
        <w:pageBreakBefore w:val="0"/>
        <w:kinsoku/>
        <w:wordWrap/>
        <w:overflowPunct/>
        <w:topLinePunct w:val="0"/>
        <w:autoSpaceDE/>
        <w:autoSpaceDN/>
        <w:bidi w:val="0"/>
        <w:adjustRightInd/>
        <w:snapToGrid/>
        <w:spacing w:line="560" w:lineRule="exact"/>
        <w:ind w:left="0" w:right="0" w:firstLine="616" w:firstLineChars="200"/>
        <w:jc w:val="left"/>
        <w:textAlignment w:val="auto"/>
        <w:rPr>
          <w:spacing w:val="-6"/>
        </w:rPr>
      </w:pPr>
      <w:r>
        <w:rPr>
          <w:spacing w:val="-6"/>
        </w:rPr>
        <w:t>（二）负责自然资源调查监测评价。贯彻落实自然资源调查监测评价的指标体系和统计标准,执行自然资源调查监测评价制度,实施自然资源基础调查、专项调查和监测。负责自然资源调查监测评价成果的监督管理和信息发布。贯彻落实各类自然资源和不动产统一确权登记、权籍调查、不动产测绘、争议调处、成 果应用的制度、标准、规范。建立健全自然资源和不动产登记信息管理基础平台。负责全县自然资源和不动产登记资料收集、整理、共享、汇交管理等。</w:t>
      </w:r>
    </w:p>
    <w:p>
      <w:pPr>
        <w:pStyle w:val="5"/>
        <w:keepNext w:val="0"/>
        <w:keepLines w:val="0"/>
        <w:pageBreakBefore w:val="0"/>
        <w:kinsoku/>
        <w:wordWrap/>
        <w:overflowPunct/>
        <w:topLinePunct w:val="0"/>
        <w:autoSpaceDE/>
        <w:autoSpaceDN/>
        <w:bidi w:val="0"/>
        <w:adjustRightInd/>
        <w:snapToGrid/>
        <w:spacing w:line="560" w:lineRule="exact"/>
        <w:ind w:left="0" w:right="0" w:firstLine="616" w:firstLineChars="200"/>
        <w:jc w:val="left"/>
        <w:textAlignment w:val="auto"/>
        <w:rPr>
          <w:spacing w:val="-6"/>
        </w:rPr>
      </w:pPr>
      <w:r>
        <w:rPr>
          <w:spacing w:val="-6"/>
        </w:rPr>
        <w:t>（三）负责自然资源资产有偿使用工作。贯彻执行全民所有自然资源资产统计制度,负责全县全民所有自然资源资产核算编制全县全民所有自然资源资产负债表,贯彻执行全民所有自然资源资产划拨、出让、租赁、作价出资和土地储备政策,合理配置全县全民所有自然资源资产。负责全县自然资源资产价值评估管理,依法收缴相关资产收益。</w:t>
      </w:r>
    </w:p>
    <w:p>
      <w:pPr>
        <w:pStyle w:val="5"/>
        <w:keepNext w:val="0"/>
        <w:keepLines w:val="0"/>
        <w:pageBreakBefore w:val="0"/>
        <w:kinsoku/>
        <w:wordWrap/>
        <w:overflowPunct/>
        <w:topLinePunct w:val="0"/>
        <w:autoSpaceDE/>
        <w:autoSpaceDN/>
        <w:bidi w:val="0"/>
        <w:adjustRightInd/>
        <w:snapToGrid/>
        <w:spacing w:line="560" w:lineRule="exact"/>
        <w:ind w:left="0" w:right="0" w:firstLine="616" w:firstLineChars="200"/>
        <w:jc w:val="left"/>
        <w:textAlignment w:val="auto"/>
        <w:rPr>
          <w:spacing w:val="-6"/>
        </w:rPr>
      </w:pPr>
      <w:r>
        <w:rPr>
          <w:spacing w:val="-6"/>
        </w:rPr>
        <w:t>（四）负责自然资源的合理开发利用。研究拟订全县自然资源发展规划,按照自然资源开发利用标准组织实施,建立政府公 示自然资源价格体系,组织开展自然资源分等定级价格评估,指 导节约集约利用。负责全县自然资源市场监管。</w:t>
      </w:r>
    </w:p>
    <w:p>
      <w:pPr>
        <w:pStyle w:val="5"/>
        <w:keepNext w:val="0"/>
        <w:keepLines w:val="0"/>
        <w:pageBreakBefore w:val="0"/>
        <w:kinsoku/>
        <w:wordWrap/>
        <w:overflowPunct/>
        <w:topLinePunct w:val="0"/>
        <w:autoSpaceDE/>
        <w:autoSpaceDN/>
        <w:bidi w:val="0"/>
        <w:adjustRightInd/>
        <w:snapToGrid/>
        <w:spacing w:line="560" w:lineRule="exact"/>
        <w:ind w:left="0" w:right="0" w:firstLine="616" w:firstLineChars="200"/>
        <w:jc w:val="left"/>
        <w:textAlignment w:val="auto"/>
        <w:rPr>
          <w:spacing w:val="-6"/>
        </w:rPr>
      </w:pPr>
      <w:r>
        <w:rPr>
          <w:spacing w:val="-6"/>
        </w:rPr>
        <w:t>（五）负责建立空间规划体系并组织实施。推进县主体功能区战略和制度,组织编制并监督实施国土空间规划和相关专项规划。开展县国土空间开发适宜性评价,建立国土空间规划实施监测、评估和预警体系。组织划定县生态保护红线、永久基本农田、  城镇开发边界等控制线,构建节约资源和保护环境的生产、生活、 生态空间布局。建立健全县国土空间用途管制制度。负责全县土地等国土空间用途转用工作。负责全县土地征收征用管理。组织编制全县总体规划、控制性详细规划、修建性详细规划并组织实施；编制县域乡村建设规划、乡规划、村庄规划;负责权限内选址意见书审批、上报工作;指导城镇地下空间开发利用的规划管理工作。负渍城乡规划审批实施、修改工作。</w:t>
      </w:r>
    </w:p>
    <w:p>
      <w:pPr>
        <w:pStyle w:val="5"/>
        <w:keepNext w:val="0"/>
        <w:keepLines w:val="0"/>
        <w:pageBreakBefore w:val="0"/>
        <w:kinsoku/>
        <w:wordWrap/>
        <w:overflowPunct/>
        <w:topLinePunct w:val="0"/>
        <w:autoSpaceDE/>
        <w:autoSpaceDN/>
        <w:bidi w:val="0"/>
        <w:adjustRightInd/>
        <w:snapToGrid/>
        <w:spacing w:line="560" w:lineRule="exact"/>
        <w:ind w:left="0" w:right="0" w:firstLine="616" w:firstLineChars="200"/>
        <w:jc w:val="left"/>
        <w:textAlignment w:val="auto"/>
        <w:rPr>
          <w:spacing w:val="-6"/>
        </w:rPr>
      </w:pPr>
      <w:r>
        <w:rPr>
          <w:spacing w:val="-6"/>
        </w:rPr>
        <w:t>（六）负责统筹国土空间生态修复。牵头组织编制全县国土间生态修复规划并实施有关生态修复重大工程负责全县国土空间综合整治、土地整理复垦、矿山地质环境恢复治理等工作。牵头拟订和实施全县生态保护补偿制度拟订合理利用社会资金进行生态修复的政策措施。</w:t>
      </w:r>
    </w:p>
    <w:p>
      <w:pPr>
        <w:pStyle w:val="5"/>
        <w:keepNext w:val="0"/>
        <w:keepLines w:val="0"/>
        <w:pageBreakBefore w:val="0"/>
        <w:kinsoku/>
        <w:wordWrap/>
        <w:overflowPunct/>
        <w:topLinePunct w:val="0"/>
        <w:autoSpaceDE/>
        <w:autoSpaceDN/>
        <w:bidi w:val="0"/>
        <w:adjustRightInd/>
        <w:snapToGrid/>
        <w:spacing w:line="560" w:lineRule="exact"/>
        <w:ind w:left="0" w:right="0" w:firstLine="616" w:firstLineChars="200"/>
        <w:jc w:val="left"/>
        <w:textAlignment w:val="auto"/>
        <w:rPr>
          <w:spacing w:val="-6"/>
        </w:rPr>
      </w:pPr>
      <w:r>
        <w:rPr>
          <w:spacing w:val="-6"/>
        </w:rPr>
        <w:t>（七）贯彻落实最严格的耕地保护制度。贯彻落实国家耕地</w:t>
      </w:r>
    </w:p>
    <w:p>
      <w:pPr>
        <w:pStyle w:val="5"/>
        <w:keepNext w:val="0"/>
        <w:keepLines w:val="0"/>
        <w:pageBreakBefore w:val="0"/>
        <w:kinsoku/>
        <w:wordWrap/>
        <w:overflowPunct/>
        <w:topLinePunct w:val="0"/>
        <w:autoSpaceDE/>
        <w:autoSpaceDN/>
        <w:bidi w:val="0"/>
        <w:adjustRightInd/>
        <w:snapToGrid/>
        <w:spacing w:line="560" w:lineRule="exact"/>
        <w:ind w:left="0" w:right="0" w:firstLine="616" w:firstLineChars="200"/>
        <w:jc w:val="left"/>
        <w:textAlignment w:val="auto"/>
        <w:rPr>
          <w:spacing w:val="-6"/>
        </w:rPr>
        <w:sectPr>
          <w:pgSz w:w="11910" w:h="16840"/>
          <w:pgMar w:top="1440" w:right="1803" w:bottom="1440" w:left="1803" w:header="0" w:footer="1322" w:gutter="0"/>
          <w:cols w:space="720" w:num="1"/>
        </w:sectPr>
      </w:pPr>
    </w:p>
    <w:p>
      <w:pPr>
        <w:pStyle w:val="5"/>
        <w:keepNext w:val="0"/>
        <w:keepLines w:val="0"/>
        <w:pageBreakBefore w:val="0"/>
        <w:kinsoku/>
        <w:wordWrap/>
        <w:overflowPunct/>
        <w:topLinePunct w:val="0"/>
        <w:autoSpaceDE/>
        <w:autoSpaceDN/>
        <w:bidi w:val="0"/>
        <w:adjustRightInd/>
        <w:snapToGrid/>
        <w:spacing w:line="560" w:lineRule="exact"/>
        <w:ind w:left="0" w:right="0" w:firstLine="616" w:firstLineChars="200"/>
        <w:jc w:val="left"/>
        <w:textAlignment w:val="auto"/>
        <w:rPr>
          <w:spacing w:val="-6"/>
        </w:rPr>
      </w:pPr>
      <w:r>
        <w:rPr>
          <w:spacing w:val="-6"/>
        </w:rPr>
        <w:t>保护政策并牵头拟订和实施全县有关政策,负责耕地数量、质量、生态保护。组织实施耕地保护责任目标考核和永久基本农田特殊保护。落实土地占补平衡制度和占用耕地补偿制度。负责管理全县地质勘查工作。负责对县域内实施的地质勘查工作进行监督检查。负责全县地质灾害预防和治理,监督管理地下水过量开采引发的地面沉降等地质问题。负责全县古生物化看的监督管理。</w:t>
      </w:r>
    </w:p>
    <w:p>
      <w:pPr>
        <w:pStyle w:val="5"/>
        <w:keepNext w:val="0"/>
        <w:keepLines w:val="0"/>
        <w:pageBreakBefore w:val="0"/>
        <w:kinsoku/>
        <w:wordWrap/>
        <w:overflowPunct/>
        <w:topLinePunct w:val="0"/>
        <w:autoSpaceDE/>
        <w:autoSpaceDN/>
        <w:bidi w:val="0"/>
        <w:adjustRightInd/>
        <w:snapToGrid/>
        <w:spacing w:line="560" w:lineRule="exact"/>
        <w:ind w:left="0" w:right="0" w:firstLine="616" w:firstLineChars="200"/>
        <w:jc w:val="left"/>
        <w:textAlignment w:val="auto"/>
        <w:rPr>
          <w:spacing w:val="-6"/>
        </w:rPr>
      </w:pPr>
      <w:r>
        <w:rPr>
          <w:spacing w:val="-6"/>
        </w:rPr>
        <w:t>（八）负责矿产资源管理工作。负责全县矿产资源储量管理及压覆矿产资源审查。监督指导全县矿产资源合理利用和保护。负责地质资料汇交、保管和利用。承担全县保护性开采的特定矿种、优势矿产的调控及相关管理工作。</w:t>
      </w:r>
    </w:p>
    <w:p>
      <w:pPr>
        <w:pStyle w:val="5"/>
        <w:keepNext w:val="0"/>
        <w:keepLines w:val="0"/>
        <w:pageBreakBefore w:val="0"/>
        <w:kinsoku/>
        <w:wordWrap/>
        <w:overflowPunct/>
        <w:topLinePunct w:val="0"/>
        <w:autoSpaceDE/>
        <w:autoSpaceDN/>
        <w:bidi w:val="0"/>
        <w:adjustRightInd/>
        <w:snapToGrid/>
        <w:spacing w:line="560" w:lineRule="exact"/>
        <w:ind w:left="0" w:right="0" w:firstLine="616" w:firstLineChars="200"/>
        <w:jc w:val="left"/>
        <w:textAlignment w:val="auto"/>
        <w:rPr>
          <w:spacing w:val="-6"/>
        </w:rPr>
      </w:pPr>
      <w:r>
        <w:rPr>
          <w:spacing w:val="-6"/>
        </w:rPr>
        <w:t>（九）负责测绘地理信息管理工作。负责全县基础测绘和测绘行业管理。负责全县测绘资质资格与信用管理,监督管理全县地理信息安全和市场秩序。负责全县地理信息公共服务管理。负责全县测量标志保护。</w:t>
      </w:r>
    </w:p>
    <w:p>
      <w:pPr>
        <w:pStyle w:val="5"/>
        <w:keepNext w:val="0"/>
        <w:keepLines w:val="0"/>
        <w:pageBreakBefore w:val="0"/>
        <w:kinsoku/>
        <w:wordWrap/>
        <w:overflowPunct/>
        <w:topLinePunct w:val="0"/>
        <w:autoSpaceDE/>
        <w:autoSpaceDN/>
        <w:bidi w:val="0"/>
        <w:adjustRightInd/>
        <w:snapToGrid/>
        <w:spacing w:line="560" w:lineRule="exact"/>
        <w:ind w:left="0" w:right="0" w:firstLine="616" w:firstLineChars="200"/>
        <w:jc w:val="left"/>
        <w:textAlignment w:val="auto"/>
        <w:rPr>
          <w:spacing w:val="-6"/>
        </w:rPr>
      </w:pPr>
      <w:r>
        <w:rPr>
          <w:spacing w:val="-6"/>
        </w:rPr>
        <w:t>（十）监督检查各乡镇执行和遵守自然资源法律法规的情况, 依法调查处理全县国土空间规划和自然资源违法案件。</w:t>
      </w:r>
    </w:p>
    <w:p>
      <w:pPr>
        <w:keepNext w:val="0"/>
        <w:keepLines w:val="0"/>
        <w:pageBreakBefore w:val="0"/>
        <w:widowControl/>
        <w:kinsoku/>
        <w:wordWrap/>
        <w:overflowPunct/>
        <w:topLinePunct w:val="0"/>
        <w:autoSpaceDE/>
        <w:autoSpaceDN/>
        <w:bidi w:val="0"/>
        <w:adjustRightInd/>
        <w:snapToGrid/>
        <w:spacing w:line="560" w:lineRule="exact"/>
        <w:ind w:right="0"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pStyle w:val="5"/>
        <w:keepNext w:val="0"/>
        <w:keepLines w:val="0"/>
        <w:pageBreakBefore w:val="0"/>
        <w:kinsoku/>
        <w:wordWrap/>
        <w:overflowPunct/>
        <w:topLinePunct w:val="0"/>
        <w:autoSpaceDE/>
        <w:autoSpaceDN/>
        <w:bidi w:val="0"/>
        <w:adjustRightInd/>
        <w:snapToGrid/>
        <w:spacing w:line="560" w:lineRule="exact"/>
        <w:ind w:left="0" w:right="0" w:firstLine="616" w:firstLineChars="200"/>
        <w:jc w:val="left"/>
        <w:textAlignment w:val="auto"/>
        <w:rPr>
          <w:spacing w:val="-6"/>
        </w:rPr>
      </w:pPr>
      <w:r>
        <w:rPr>
          <w:spacing w:val="-6"/>
        </w:rPr>
        <w:t>呼图壁县自然资源局单位无下属预算单位，下设7个处室， 分别是：办公室（财务室）、地籍管理科（地理信息测绘）、建 设用地岗（耕地保护）、土地利用规划科、地质矿产管理科、城 乡规划管理科、法规岗。</w:t>
      </w:r>
    </w:p>
    <w:p>
      <w:pPr>
        <w:pStyle w:val="5"/>
        <w:keepNext w:val="0"/>
        <w:keepLines w:val="0"/>
        <w:pageBreakBefore w:val="0"/>
        <w:kinsoku/>
        <w:wordWrap/>
        <w:overflowPunct/>
        <w:topLinePunct w:val="0"/>
        <w:autoSpaceDE/>
        <w:autoSpaceDN/>
        <w:bidi w:val="0"/>
        <w:adjustRightInd/>
        <w:snapToGrid/>
        <w:spacing w:line="560" w:lineRule="exact"/>
        <w:ind w:left="0" w:right="0" w:firstLine="616" w:firstLineChars="200"/>
        <w:jc w:val="left"/>
        <w:textAlignment w:val="auto"/>
        <w:rPr>
          <w:rFonts w:hint="eastAsia"/>
          <w:lang w:val="en-US" w:eastAsia="zh-CN"/>
        </w:rPr>
      </w:pPr>
      <w:r>
        <w:rPr>
          <w:spacing w:val="-6"/>
        </w:rPr>
        <w:t>呼图壁县自然资源局单位编制数4</w:t>
      </w:r>
      <w:r>
        <w:rPr>
          <w:rFonts w:hint="eastAsia"/>
          <w:spacing w:val="-6"/>
          <w:lang w:val="en-US" w:eastAsia="zh-CN"/>
        </w:rPr>
        <w:t>8</w:t>
      </w:r>
      <w:r>
        <w:rPr>
          <w:spacing w:val="-6"/>
        </w:rPr>
        <w:t>，实有人数</w:t>
      </w:r>
      <w:r>
        <w:rPr>
          <w:rFonts w:hint="eastAsia"/>
          <w:spacing w:val="-6"/>
          <w:lang w:val="en-US" w:eastAsia="zh-CN"/>
        </w:rPr>
        <w:t>71</w:t>
      </w:r>
      <w:r>
        <w:rPr>
          <w:spacing w:val="-6"/>
        </w:rPr>
        <w:t>人，其中：</w:t>
      </w:r>
      <w:r>
        <w:rPr>
          <w:rFonts w:hint="eastAsia"/>
          <w:spacing w:val="-6"/>
        </w:rPr>
        <w:t>在职4</w:t>
      </w:r>
      <w:r>
        <w:rPr>
          <w:rFonts w:hint="eastAsia"/>
          <w:spacing w:val="-6"/>
          <w:lang w:val="en-US" w:eastAsia="zh-CN"/>
        </w:rPr>
        <w:t>8</w:t>
      </w:r>
      <w:r>
        <w:rPr>
          <w:rFonts w:hint="eastAsia"/>
          <w:spacing w:val="-6"/>
        </w:rPr>
        <w:t>人，</w:t>
      </w:r>
      <w:r>
        <w:rPr>
          <w:rFonts w:hint="eastAsia"/>
          <w:spacing w:val="-6"/>
          <w:lang w:val="en-US" w:eastAsia="zh-CN"/>
        </w:rPr>
        <w:t>增加7</w:t>
      </w:r>
      <w:r>
        <w:rPr>
          <w:rFonts w:hint="eastAsia"/>
          <w:spacing w:val="-6"/>
        </w:rPr>
        <w:t>人；退休2</w:t>
      </w:r>
      <w:r>
        <w:rPr>
          <w:rFonts w:hint="eastAsia"/>
          <w:spacing w:val="-6"/>
          <w:lang w:val="en-US" w:eastAsia="zh-CN"/>
        </w:rPr>
        <w:t>3</w:t>
      </w:r>
      <w:r>
        <w:rPr>
          <w:rFonts w:hint="eastAsia"/>
          <w:spacing w:val="-6"/>
        </w:rPr>
        <w:t>人，</w:t>
      </w:r>
      <w:r>
        <w:rPr>
          <w:rFonts w:hint="eastAsia"/>
          <w:spacing w:val="-6"/>
          <w:lang w:val="en-US" w:eastAsia="zh-CN"/>
        </w:rPr>
        <w:t>增加1</w:t>
      </w:r>
      <w:r>
        <w:rPr>
          <w:rFonts w:hint="eastAsia"/>
          <w:spacing w:val="-6"/>
        </w:rPr>
        <w:t>人；离休0人，减少0</w:t>
      </w:r>
      <w:r>
        <w:rPr>
          <w:rFonts w:hint="eastAsia"/>
        </w:rPr>
        <w:t>人</w:t>
      </w:r>
      <w:r>
        <w:rPr>
          <w:rFonts w:hint="eastAsia"/>
          <w:lang w:val="en-US" w:eastAsia="zh-CN"/>
        </w:rPr>
        <w:t xml:space="preserve"> 。</w:t>
      </w:r>
    </w:p>
    <w:p>
      <w:pPr>
        <w:pStyle w:val="5"/>
        <w:keepNext w:val="0"/>
        <w:keepLines w:val="0"/>
        <w:pageBreakBefore w:val="0"/>
        <w:kinsoku/>
        <w:wordWrap/>
        <w:overflowPunct/>
        <w:topLinePunct w:val="0"/>
        <w:autoSpaceDE/>
        <w:autoSpaceDN/>
        <w:bidi w:val="0"/>
        <w:adjustRightInd/>
        <w:snapToGrid/>
        <w:spacing w:line="560" w:lineRule="exact"/>
        <w:ind w:left="0" w:right="0"/>
        <w:jc w:val="left"/>
        <w:textAlignment w:val="auto"/>
        <w:rPr>
          <w:rFonts w:hint="eastAsia"/>
          <w:lang w:val="en-US" w:eastAsia="zh-CN"/>
        </w:rPr>
        <w:sectPr>
          <w:pgSz w:w="11910" w:h="16840"/>
          <w:pgMar w:top="1440" w:right="1803" w:bottom="1440" w:left="1803" w:header="0" w:footer="1322" w:gutter="0"/>
          <w:cols w:space="720" w:num="1"/>
        </w:sect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黑体" w:hAnsi="黑体" w:eastAsia="黑体"/>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 xml:space="preserve">呼图壁县自然资源局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10"/>
        <w:tblW w:w="8662" w:type="dxa"/>
        <w:jc w:val="center"/>
        <w:tblLayout w:type="autofit"/>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jc w:val="center"/>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jc w:val="center"/>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jc w:val="center"/>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eastAsia" w:eastAsia="仿宋_GB2312" w:cs="Times New Roman"/>
                <w:color w:val="auto"/>
                <w:kern w:val="0"/>
                <w:sz w:val="18"/>
                <w:szCs w:val="18"/>
                <w:highlight w:val="none"/>
                <w:lang w:val="en-US" w:eastAsia="zh-CN"/>
              </w:rPr>
              <w:t>11</w:t>
            </w:r>
            <w:r>
              <w:rPr>
                <w:rFonts w:hint="default" w:ascii="Times New Roman" w:hAnsi="Times New Roman" w:eastAsia="仿宋_GB2312" w:cs="Times New Roman"/>
                <w:color w:val="auto"/>
                <w:kern w:val="0"/>
                <w:sz w:val="18"/>
                <w:szCs w:val="18"/>
                <w:highlight w:val="none"/>
                <w:lang w:val="en-US" w:eastAsia="zh-CN"/>
              </w:rPr>
              <w:t>02.63</w:t>
            </w:r>
            <w:r>
              <w:rPr>
                <w:rFonts w:hint="default" w:ascii="Times New Roman" w:hAnsi="Times New Roman" w:eastAsia="仿宋_GB2312" w:cs="Times New Roman"/>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lang w:val="en-US" w:eastAsia="zh-CN"/>
              </w:rPr>
              <w:t>802.63</w:t>
            </w:r>
            <w:r>
              <w:rPr>
                <w:rFonts w:hint="default" w:ascii="Times New Roman" w:hAnsi="Times New Roman" w:eastAsia="仿宋_GB2312" w:cs="Times New Roman"/>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r>
      <w:tr>
        <w:tblPrEx>
          <w:tblCellMar>
            <w:top w:w="0" w:type="dxa"/>
            <w:left w:w="108" w:type="dxa"/>
            <w:bottom w:w="0" w:type="dxa"/>
            <w:right w:w="108" w:type="dxa"/>
          </w:tblCellMar>
        </w:tblPrEx>
        <w:trPr>
          <w:trHeight w:val="375" w:hRule="exact"/>
          <w:jc w:val="center"/>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lang w:val="en-US" w:eastAsia="zh-CN"/>
              </w:rPr>
              <w:t>93.42</w:t>
            </w:r>
          </w:p>
        </w:tc>
      </w:tr>
      <w:tr>
        <w:tblPrEx>
          <w:tblCellMar>
            <w:top w:w="0" w:type="dxa"/>
            <w:left w:w="108" w:type="dxa"/>
            <w:bottom w:w="0" w:type="dxa"/>
            <w:right w:w="108" w:type="dxa"/>
          </w:tblCellMar>
        </w:tblPrEx>
        <w:trPr>
          <w:trHeight w:val="315" w:hRule="exact"/>
          <w:jc w:val="center"/>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color w:val="auto"/>
                <w:kern w:val="0"/>
                <w:sz w:val="18"/>
                <w:szCs w:val="18"/>
                <w:highlight w:val="none"/>
              </w:rPr>
            </w:pPr>
          </w:p>
        </w:tc>
      </w:tr>
      <w:tr>
        <w:tblPrEx>
          <w:tblCellMar>
            <w:top w:w="0" w:type="dxa"/>
            <w:left w:w="108" w:type="dxa"/>
            <w:bottom w:w="0" w:type="dxa"/>
            <w:right w:w="108" w:type="dxa"/>
          </w:tblCellMar>
        </w:tblPrEx>
        <w:trPr>
          <w:trHeight w:val="297" w:hRule="exact"/>
          <w:jc w:val="center"/>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color w:val="auto"/>
                <w:kern w:val="0"/>
                <w:sz w:val="18"/>
                <w:szCs w:val="18"/>
                <w:highlight w:val="none"/>
                <w:lang w:val="en-US" w:eastAsia="zh-CN"/>
              </w:rPr>
            </w:pPr>
            <w:r>
              <w:rPr>
                <w:rFonts w:hint="default" w:ascii="Times New Roman" w:hAnsi="Times New Roman" w:eastAsia="仿宋_GB2312" w:cs="Times New Roman"/>
                <w:color w:val="auto"/>
                <w:kern w:val="0"/>
                <w:sz w:val="18"/>
                <w:szCs w:val="18"/>
                <w:highlight w:val="none"/>
                <w:lang w:val="en-US" w:eastAsia="zh-CN"/>
              </w:rPr>
              <w:t>61.60</w:t>
            </w:r>
          </w:p>
        </w:tc>
      </w:tr>
      <w:tr>
        <w:tblPrEx>
          <w:tblCellMar>
            <w:top w:w="0" w:type="dxa"/>
            <w:left w:w="108" w:type="dxa"/>
            <w:bottom w:w="0" w:type="dxa"/>
            <w:right w:w="108" w:type="dxa"/>
          </w:tblCellMar>
        </w:tblPrEx>
        <w:trPr>
          <w:trHeight w:val="312" w:hRule="exact"/>
          <w:jc w:val="center"/>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Times New Roman" w:hAnsi="Times New Roman" w:eastAsia="仿宋_GB2312" w:cs="Times New Roman"/>
                <w:color w:val="auto"/>
                <w:kern w:val="0"/>
                <w:sz w:val="18"/>
                <w:szCs w:val="18"/>
                <w:highlight w:val="none"/>
                <w:lang w:val="en-US" w:eastAsia="zh-CN"/>
              </w:rPr>
            </w:pPr>
            <w:r>
              <w:rPr>
                <w:rFonts w:hint="default" w:ascii="Times New Roman" w:hAnsi="Times New Roman" w:eastAsia="仿宋_GB2312" w:cs="Times New Roman"/>
                <w:color w:val="auto"/>
                <w:kern w:val="0"/>
                <w:sz w:val="18"/>
                <w:szCs w:val="18"/>
                <w:highlight w:val="none"/>
              </w:rPr>
              <w:t>　</w:t>
            </w:r>
            <w:r>
              <w:rPr>
                <w:rFonts w:hint="default" w:ascii="Times New Roman" w:hAnsi="Times New Roman" w:eastAsia="仿宋_GB2312" w:cs="Times New Roman"/>
                <w:color w:val="auto"/>
                <w:kern w:val="0"/>
                <w:sz w:val="18"/>
                <w:szCs w:val="18"/>
                <w:highlight w:val="none"/>
                <w:lang w:val="en-US" w:eastAsia="zh-CN"/>
              </w:rPr>
              <w:t>300.00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r>
      <w:tr>
        <w:tblPrEx>
          <w:tblCellMar>
            <w:top w:w="0" w:type="dxa"/>
            <w:left w:w="108" w:type="dxa"/>
            <w:bottom w:w="0" w:type="dxa"/>
            <w:right w:w="108" w:type="dxa"/>
          </w:tblCellMar>
        </w:tblPrEx>
        <w:trPr>
          <w:trHeight w:val="280" w:hRule="exact"/>
          <w:jc w:val="center"/>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Times New Roman" w:hAnsi="Times New Roman" w:eastAsia="仿宋_GB2312" w:cs="Times New Roman"/>
                <w:color w:val="auto"/>
                <w:kern w:val="0"/>
                <w:sz w:val="18"/>
                <w:szCs w:val="18"/>
                <w:highlight w:val="none"/>
                <w:lang w:val="en-US" w:eastAsia="zh-CN"/>
              </w:rPr>
            </w:pPr>
            <w:r>
              <w:rPr>
                <w:rFonts w:hint="default" w:ascii="Times New Roman" w:hAnsi="Times New Roman" w:eastAsia="仿宋_GB2312" w:cs="Times New Roman"/>
                <w:color w:val="auto"/>
                <w:kern w:val="0"/>
                <w:sz w:val="18"/>
                <w:szCs w:val="18"/>
                <w:highlight w:val="none"/>
              </w:rPr>
              <w:t>　</w:t>
            </w:r>
            <w:r>
              <w:rPr>
                <w:rFonts w:hint="default" w:ascii="Times New Roman" w:hAnsi="Times New Roman" w:eastAsia="仿宋_GB2312" w:cs="Times New Roman"/>
                <w:color w:val="auto"/>
                <w:kern w:val="0"/>
                <w:sz w:val="18"/>
                <w:szCs w:val="18"/>
                <w:highlight w:val="none"/>
                <w:lang w:val="en-US" w:eastAsia="zh-CN"/>
              </w:rPr>
              <w:t>300.00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Times New Roman" w:hAnsi="Times New Roman" w:eastAsia="仿宋_GB2312" w:cs="Times New Roman"/>
                <w:color w:val="auto"/>
                <w:kern w:val="0"/>
                <w:sz w:val="18"/>
                <w:szCs w:val="18"/>
                <w:highlight w:val="none"/>
                <w:lang w:val="en-US" w:eastAsia="zh-CN"/>
              </w:rPr>
            </w:pPr>
            <w:r>
              <w:rPr>
                <w:rFonts w:hint="default" w:ascii="Times New Roman" w:hAnsi="Times New Roman" w:eastAsia="仿宋_GB2312" w:cs="Times New Roman"/>
                <w:color w:val="auto"/>
                <w:kern w:val="0"/>
                <w:sz w:val="18"/>
                <w:szCs w:val="18"/>
                <w:highlight w:val="none"/>
              </w:rPr>
              <w:t>　</w:t>
            </w:r>
            <w:r>
              <w:rPr>
                <w:rFonts w:hint="default" w:ascii="Times New Roman" w:hAnsi="Times New Roman" w:eastAsia="仿宋_GB2312" w:cs="Times New Roman"/>
                <w:color w:val="auto"/>
                <w:kern w:val="0"/>
                <w:sz w:val="18"/>
                <w:szCs w:val="18"/>
                <w:highlight w:val="none"/>
                <w:lang w:val="en-US" w:eastAsia="zh-CN"/>
              </w:rPr>
              <w:t>14.20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Times New Roman" w:hAnsi="Times New Roman" w:eastAsia="仿宋_GB2312" w:cs="Times New Roman"/>
                <w:color w:val="auto"/>
                <w:kern w:val="0"/>
                <w:sz w:val="18"/>
                <w:szCs w:val="18"/>
                <w:highlight w:val="none"/>
                <w:lang w:val="en-US" w:eastAsia="zh-CN"/>
              </w:rPr>
            </w:pPr>
            <w:r>
              <w:rPr>
                <w:rFonts w:hint="default" w:ascii="Times New Roman" w:hAnsi="Times New Roman" w:eastAsia="仿宋_GB2312" w:cs="Times New Roman"/>
                <w:color w:val="auto"/>
                <w:kern w:val="0"/>
                <w:sz w:val="18"/>
                <w:szCs w:val="18"/>
                <w:highlight w:val="none"/>
              </w:rPr>
              <w:t>　</w:t>
            </w:r>
            <w:r>
              <w:rPr>
                <w:rFonts w:hint="default" w:ascii="Times New Roman" w:hAnsi="Times New Roman" w:eastAsia="仿宋_GB2312" w:cs="Times New Roman"/>
                <w:color w:val="auto"/>
                <w:kern w:val="0"/>
                <w:sz w:val="18"/>
                <w:szCs w:val="18"/>
                <w:highlight w:val="none"/>
                <w:lang w:val="en-US" w:eastAsia="zh-CN"/>
              </w:rPr>
              <w:t>14.20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lang w:val="en-US" w:eastAsia="zh-CN"/>
              </w:rPr>
              <w:t>833.79</w:t>
            </w:r>
          </w:p>
        </w:tc>
      </w:tr>
      <w:tr>
        <w:tblPrEx>
          <w:tblCellMar>
            <w:top w:w="0" w:type="dxa"/>
            <w:left w:w="108" w:type="dxa"/>
            <w:bottom w:w="0" w:type="dxa"/>
            <w:right w:w="108" w:type="dxa"/>
          </w:tblCellMar>
        </w:tblPrEx>
        <w:trPr>
          <w:trHeight w:val="312" w:hRule="exact"/>
          <w:jc w:val="center"/>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Times New Roman" w:hAnsi="Times New Roman" w:eastAsia="仿宋_GB2312" w:cs="Times New Roman"/>
                <w:color w:val="auto"/>
                <w:kern w:val="0"/>
                <w:sz w:val="18"/>
                <w:szCs w:val="18"/>
                <w:highlight w:val="none"/>
                <w:lang w:val="en-US" w:eastAsia="zh-CN"/>
              </w:rPr>
            </w:pPr>
            <w:r>
              <w:rPr>
                <w:rFonts w:hint="default" w:ascii="Times New Roman" w:hAnsi="Times New Roman" w:eastAsia="仿宋_GB2312" w:cs="Times New Roman"/>
                <w:color w:val="auto"/>
                <w:kern w:val="0"/>
                <w:sz w:val="18"/>
                <w:szCs w:val="18"/>
                <w:highlight w:val="none"/>
              </w:rPr>
              <w:t>　</w:t>
            </w:r>
            <w:r>
              <w:rPr>
                <w:rFonts w:hint="default" w:ascii="Times New Roman" w:hAnsi="Times New Roman" w:eastAsia="仿宋_GB2312" w:cs="Times New Roman"/>
                <w:color w:val="auto"/>
                <w:kern w:val="0"/>
                <w:sz w:val="18"/>
                <w:szCs w:val="18"/>
                <w:highlight w:val="none"/>
                <w:lang w:val="en-US" w:eastAsia="zh-CN"/>
              </w:rPr>
              <w:t>14.20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lang w:val="en-US" w:eastAsia="zh-CN"/>
              </w:rPr>
              <w:t>128.02</w:t>
            </w:r>
          </w:p>
        </w:tc>
      </w:tr>
      <w:tr>
        <w:tblPrEx>
          <w:tblCellMar>
            <w:top w:w="0" w:type="dxa"/>
            <w:left w:w="108" w:type="dxa"/>
            <w:bottom w:w="0" w:type="dxa"/>
            <w:right w:w="108" w:type="dxa"/>
          </w:tblCellMar>
        </w:tblPrEx>
        <w:trPr>
          <w:trHeight w:val="312" w:hRule="exact"/>
          <w:jc w:val="center"/>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Times New Roman" w:hAnsi="Times New Roman" w:eastAsia="仿宋_GB2312" w:cs="Times New Roman"/>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296" w:hRule="exact"/>
          <w:jc w:val="center"/>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xml:space="preserve">                    </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jc w:val="center"/>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b/>
                <w:bCs/>
                <w:color w:val="auto"/>
                <w:kern w:val="0"/>
                <w:sz w:val="20"/>
                <w:szCs w:val="20"/>
                <w:highlight w:val="none"/>
                <w:lang w:val="en-US" w:eastAsia="zh-CN"/>
              </w:rPr>
            </w:pPr>
            <w:r>
              <w:rPr>
                <w:rFonts w:hint="default" w:ascii="Times New Roman" w:hAnsi="Times New Roman" w:eastAsia="仿宋_GB2312" w:cs="Times New Roman"/>
                <w:b/>
                <w:bCs/>
                <w:color w:val="auto"/>
                <w:kern w:val="0"/>
                <w:sz w:val="20"/>
                <w:szCs w:val="20"/>
                <w:highlight w:val="none"/>
                <w:lang w:val="en-US" w:eastAsia="zh-CN"/>
              </w:rPr>
              <w:t>1116.83</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default" w:ascii="Times New Roman" w:hAnsi="Times New Roman" w:eastAsia="仿宋_GB2312" w:cs="Times New Roman"/>
                <w:b/>
                <w:bCs/>
                <w:color w:val="auto"/>
                <w:kern w:val="0"/>
                <w:sz w:val="18"/>
                <w:szCs w:val="18"/>
                <w:highlight w:val="none"/>
                <w:lang w:val="en-US" w:eastAsia="zh-CN"/>
              </w:rPr>
              <w:t>1116.83</w:t>
            </w:r>
          </w:p>
        </w:tc>
      </w:tr>
    </w:tbl>
    <w:p>
      <w:pPr>
        <w:widowControl/>
        <w:spacing w:line="280" w:lineRule="exact"/>
        <w:outlineLvl w:val="1"/>
        <w:rPr>
          <w:rFonts w:hint="eastAsia" w:ascii="仿宋_GB2312" w:hAnsi="宋体" w:eastAsia="仿宋_GB2312"/>
          <w:b/>
          <w:color w:val="FF0000"/>
          <w:kern w:val="0"/>
          <w:sz w:val="28"/>
          <w:szCs w:val="32"/>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宋体" w:eastAsia="仿宋_GB2312"/>
          <w:b/>
          <w:color w:val="auto"/>
          <w:kern w:val="0"/>
          <w:sz w:val="32"/>
          <w:szCs w:val="32"/>
          <w:highlight w:val="none"/>
          <w:lang w:val="en-US"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呼图壁县自然资源局</w:t>
      </w:r>
      <w:r>
        <w:rPr>
          <w:rFonts w:hint="eastAsia" w:ascii="仿宋_GB2312" w:hAnsi="宋体" w:eastAsia="仿宋_GB2312"/>
          <w:color w:val="auto"/>
          <w:kern w:val="0"/>
          <w:sz w:val="24"/>
          <w:highlight w:val="none"/>
        </w:rPr>
        <w:t xml:space="preserve">                                单位：万元</w:t>
      </w:r>
    </w:p>
    <w:tbl>
      <w:tblPr>
        <w:tblStyle w:val="10"/>
        <w:tblW w:w="10855" w:type="dxa"/>
        <w:jc w:val="center"/>
        <w:tblLayout w:type="fixed"/>
        <w:tblCellMar>
          <w:top w:w="0" w:type="dxa"/>
          <w:left w:w="108" w:type="dxa"/>
          <w:bottom w:w="0" w:type="dxa"/>
          <w:right w:w="108" w:type="dxa"/>
        </w:tblCellMar>
      </w:tblPr>
      <w:tblGrid>
        <w:gridCol w:w="502"/>
        <w:gridCol w:w="549"/>
        <w:gridCol w:w="468"/>
        <w:gridCol w:w="1066"/>
        <w:gridCol w:w="696"/>
        <w:gridCol w:w="881"/>
        <w:gridCol w:w="782"/>
        <w:gridCol w:w="503"/>
        <w:gridCol w:w="655"/>
        <w:gridCol w:w="712"/>
        <w:gridCol w:w="700"/>
        <w:gridCol w:w="884"/>
        <w:gridCol w:w="645"/>
        <w:gridCol w:w="593"/>
        <w:gridCol w:w="658"/>
        <w:gridCol w:w="561"/>
      </w:tblGrid>
      <w:tr>
        <w:tblPrEx>
          <w:tblCellMar>
            <w:top w:w="0" w:type="dxa"/>
            <w:left w:w="108" w:type="dxa"/>
            <w:bottom w:w="0" w:type="dxa"/>
            <w:right w:w="108" w:type="dxa"/>
          </w:tblCellMar>
        </w:tblPrEx>
        <w:trPr>
          <w:trHeight w:val="752" w:hRule="atLeast"/>
          <w:jc w:val="center"/>
        </w:trPr>
        <w:tc>
          <w:tcPr>
            <w:tcW w:w="1519"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066"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696"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5117"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64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593"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658"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561"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4535" w:hRule="atLeast"/>
          <w:jc w:val="center"/>
        </w:trPr>
        <w:tc>
          <w:tcPr>
            <w:tcW w:w="502"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549"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68"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066"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696"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881"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782"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503"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65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712"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70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884"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64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593"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658"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561"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422" w:hRule="atLeast"/>
          <w:jc w:val="center"/>
        </w:trPr>
        <w:tc>
          <w:tcPr>
            <w:tcW w:w="502" w:type="dxa"/>
            <w:tcBorders>
              <w:top w:val="nil"/>
              <w:left w:val="single" w:color="auto" w:sz="4" w:space="0"/>
              <w:bottom w:val="single" w:color="auto" w:sz="4" w:space="0"/>
              <w:right w:val="single" w:color="auto" w:sz="4" w:space="0"/>
            </w:tcBorders>
            <w:shd w:val="clear" w:color="auto" w:fill="auto"/>
            <w:noWrap w:val="0"/>
            <w:vAlign w:val="center"/>
          </w:tcPr>
          <w:p>
            <w:pPr>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rPr>
              <w:t>208</w:t>
            </w:r>
          </w:p>
        </w:tc>
        <w:tc>
          <w:tcPr>
            <w:tcW w:w="549" w:type="dxa"/>
            <w:tcBorders>
              <w:top w:val="nil"/>
              <w:left w:val="nil"/>
              <w:bottom w:val="single" w:color="auto" w:sz="4" w:space="0"/>
              <w:right w:val="single" w:color="auto" w:sz="4" w:space="0"/>
            </w:tcBorders>
            <w:shd w:val="clear" w:color="auto" w:fill="auto"/>
            <w:noWrap w:val="0"/>
            <w:vAlign w:val="center"/>
          </w:tcPr>
          <w:p>
            <w:pPr>
              <w:jc w:val="center"/>
              <w:rPr>
                <w:rFonts w:hint="default" w:ascii="Times New Roman" w:hAnsi="Times New Roman" w:eastAsia="仿宋_GB2312" w:cs="Times New Roman"/>
                <w:color w:val="auto"/>
                <w:sz w:val="13"/>
                <w:szCs w:val="13"/>
                <w:highlight w:val="none"/>
              </w:rPr>
            </w:pPr>
          </w:p>
        </w:tc>
        <w:tc>
          <w:tcPr>
            <w:tcW w:w="468" w:type="dxa"/>
            <w:tcBorders>
              <w:top w:val="nil"/>
              <w:left w:val="nil"/>
              <w:bottom w:val="single" w:color="auto" w:sz="4" w:space="0"/>
              <w:right w:val="single" w:color="auto" w:sz="4" w:space="0"/>
            </w:tcBorders>
            <w:shd w:val="clear" w:color="auto" w:fill="auto"/>
            <w:noWrap w:val="0"/>
            <w:vAlign w:val="center"/>
          </w:tcPr>
          <w:p>
            <w:pPr>
              <w:jc w:val="center"/>
              <w:rPr>
                <w:rFonts w:hint="default" w:ascii="Times New Roman" w:hAnsi="Times New Roman" w:eastAsia="仿宋_GB2312" w:cs="Times New Roman"/>
                <w:color w:val="auto"/>
                <w:sz w:val="13"/>
                <w:szCs w:val="13"/>
                <w:highlight w:val="none"/>
              </w:rPr>
            </w:pPr>
          </w:p>
        </w:tc>
        <w:tc>
          <w:tcPr>
            <w:tcW w:w="1066" w:type="dxa"/>
            <w:tcBorders>
              <w:top w:val="nil"/>
              <w:left w:val="nil"/>
              <w:bottom w:val="single" w:color="auto" w:sz="4" w:space="0"/>
              <w:right w:val="single" w:color="auto" w:sz="4" w:space="0"/>
            </w:tcBorders>
            <w:shd w:val="clear" w:color="auto" w:fill="auto"/>
            <w:noWrap w:val="0"/>
            <w:vAlign w:val="center"/>
          </w:tcPr>
          <w:p>
            <w:pPr>
              <w:tabs>
                <w:tab w:val="left" w:pos="340"/>
              </w:tabs>
              <w:jc w:val="center"/>
              <w:rPr>
                <w:rFonts w:hint="eastAsia" w:ascii="仿宋_GB2312" w:hAnsi="宋体" w:eastAsia="仿宋_GB2312" w:cs="宋体"/>
                <w:color w:val="auto"/>
                <w:sz w:val="13"/>
                <w:szCs w:val="13"/>
                <w:highlight w:val="none"/>
                <w:lang w:eastAsia="zh-CN"/>
              </w:rPr>
            </w:pPr>
            <w:r>
              <w:rPr>
                <w:rFonts w:hint="eastAsia" w:ascii="仿宋_GB2312" w:hAnsi="宋体" w:eastAsia="仿宋_GB2312" w:cs="宋体"/>
                <w:color w:val="auto"/>
                <w:sz w:val="13"/>
                <w:szCs w:val="13"/>
                <w:highlight w:val="none"/>
                <w:lang w:eastAsia="zh-CN"/>
              </w:rPr>
              <w:t>社会保障和就业支出</w:t>
            </w:r>
          </w:p>
        </w:tc>
        <w:tc>
          <w:tcPr>
            <w:tcW w:w="696" w:type="dxa"/>
            <w:tcBorders>
              <w:top w:val="nil"/>
              <w:left w:val="nil"/>
              <w:bottom w:val="single" w:color="auto" w:sz="4" w:space="0"/>
              <w:right w:val="single" w:color="auto" w:sz="4" w:space="0"/>
            </w:tcBorders>
            <w:shd w:val="clear" w:color="000000" w:fill="FFFFFF"/>
            <w:noWrap w:val="0"/>
            <w:vAlign w:val="center"/>
          </w:tcPr>
          <w:p>
            <w:pPr>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93.42</w:t>
            </w:r>
          </w:p>
        </w:tc>
        <w:tc>
          <w:tcPr>
            <w:tcW w:w="881" w:type="dxa"/>
            <w:tcBorders>
              <w:top w:val="nil"/>
              <w:left w:val="nil"/>
              <w:bottom w:val="single" w:color="auto" w:sz="4" w:space="0"/>
              <w:right w:val="single" w:color="auto" w:sz="4" w:space="0"/>
            </w:tcBorders>
            <w:shd w:val="clear" w:color="000000" w:fill="FFFFFF"/>
            <w:noWrap w:val="0"/>
            <w:vAlign w:val="center"/>
          </w:tcPr>
          <w:p>
            <w:pPr>
              <w:jc w:val="center"/>
              <w:rPr>
                <w:rFonts w:hint="default" w:ascii="Times New Roman" w:hAnsi="Times New Roman" w:eastAsia="仿宋_GB2312" w:cs="Times New Roman"/>
                <w:color w:val="auto"/>
                <w:sz w:val="13"/>
                <w:szCs w:val="13"/>
                <w:highlight w:val="none"/>
                <w:lang w:val="en-US"/>
              </w:rPr>
            </w:pPr>
            <w:r>
              <w:rPr>
                <w:rFonts w:hint="default" w:ascii="Times New Roman" w:hAnsi="Times New Roman" w:eastAsia="仿宋_GB2312" w:cs="Times New Roman"/>
                <w:color w:val="auto"/>
                <w:sz w:val="13"/>
                <w:szCs w:val="13"/>
                <w:highlight w:val="none"/>
                <w:lang w:val="en-US" w:eastAsia="zh-CN"/>
              </w:rPr>
              <w:t>89.42</w:t>
            </w:r>
          </w:p>
        </w:tc>
        <w:tc>
          <w:tcPr>
            <w:tcW w:w="782" w:type="dxa"/>
            <w:tcBorders>
              <w:top w:val="nil"/>
              <w:left w:val="nil"/>
              <w:bottom w:val="single" w:color="auto" w:sz="4" w:space="0"/>
              <w:right w:val="single" w:color="auto" w:sz="4" w:space="0"/>
            </w:tcBorders>
            <w:shd w:val="clear" w:color="000000" w:fill="FFFFFF"/>
            <w:noWrap w:val="0"/>
            <w:vAlign w:val="center"/>
          </w:tcPr>
          <w:p>
            <w:pPr>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89.42</w:t>
            </w:r>
          </w:p>
        </w:tc>
        <w:tc>
          <w:tcPr>
            <w:tcW w:w="503" w:type="dxa"/>
            <w:tcBorders>
              <w:top w:val="nil"/>
              <w:left w:val="nil"/>
              <w:bottom w:val="single" w:color="auto" w:sz="4" w:space="0"/>
              <w:right w:val="single" w:color="auto" w:sz="4" w:space="0"/>
            </w:tcBorders>
            <w:shd w:val="clear" w:color="000000" w:fill="FFFFFF"/>
            <w:noWrap w:val="0"/>
            <w:vAlign w:val="center"/>
          </w:tcPr>
          <w:p>
            <w:pPr>
              <w:jc w:val="center"/>
              <w:rPr>
                <w:rFonts w:hint="default" w:ascii="Times New Roman" w:hAnsi="Times New Roman" w:eastAsia="仿宋_GB2312" w:cs="Times New Roman"/>
                <w:color w:val="auto"/>
                <w:sz w:val="13"/>
                <w:szCs w:val="13"/>
                <w:highlight w:val="none"/>
              </w:rPr>
            </w:pPr>
          </w:p>
        </w:tc>
        <w:tc>
          <w:tcPr>
            <w:tcW w:w="655" w:type="dxa"/>
            <w:tcBorders>
              <w:top w:val="nil"/>
              <w:left w:val="nil"/>
              <w:bottom w:val="single" w:color="auto" w:sz="4" w:space="0"/>
              <w:right w:val="single" w:color="auto" w:sz="4" w:space="0"/>
            </w:tcBorders>
            <w:shd w:val="clear" w:color="000000" w:fill="FFFFFF"/>
            <w:noWrap w:val="0"/>
            <w:vAlign w:val="center"/>
          </w:tcPr>
          <w:p>
            <w:pPr>
              <w:jc w:val="center"/>
              <w:rPr>
                <w:rFonts w:hint="default" w:ascii="Times New Roman" w:hAnsi="Times New Roman" w:eastAsia="仿宋_GB2312" w:cs="Times New Roman"/>
                <w:color w:val="auto"/>
                <w:sz w:val="13"/>
                <w:szCs w:val="13"/>
                <w:highlight w:val="none"/>
              </w:rPr>
            </w:pPr>
          </w:p>
        </w:tc>
        <w:tc>
          <w:tcPr>
            <w:tcW w:w="712" w:type="dxa"/>
            <w:tcBorders>
              <w:top w:val="nil"/>
              <w:left w:val="nil"/>
              <w:bottom w:val="single" w:color="auto" w:sz="4" w:space="0"/>
              <w:right w:val="single" w:color="auto" w:sz="4" w:space="0"/>
            </w:tcBorders>
            <w:shd w:val="clear" w:color="000000" w:fill="FFFFFF"/>
            <w:noWrap w:val="0"/>
            <w:vAlign w:val="center"/>
          </w:tcPr>
          <w:p>
            <w:pPr>
              <w:jc w:val="center"/>
              <w:rPr>
                <w:rFonts w:hint="default" w:ascii="Times New Roman" w:hAnsi="Times New Roman" w:eastAsia="仿宋_GB2312" w:cs="Times New Roman"/>
                <w:color w:val="auto"/>
                <w:sz w:val="13"/>
                <w:szCs w:val="13"/>
                <w:highlight w:val="none"/>
              </w:rPr>
            </w:pPr>
          </w:p>
        </w:tc>
        <w:tc>
          <w:tcPr>
            <w:tcW w:w="700" w:type="dxa"/>
            <w:tcBorders>
              <w:top w:val="nil"/>
              <w:left w:val="nil"/>
              <w:bottom w:val="single" w:color="auto" w:sz="4" w:space="0"/>
              <w:right w:val="single" w:color="auto" w:sz="4" w:space="0"/>
            </w:tcBorders>
            <w:shd w:val="clear" w:color="000000" w:fill="FFFFFF"/>
            <w:noWrap w:val="0"/>
            <w:vAlign w:val="center"/>
          </w:tcPr>
          <w:p>
            <w:pPr>
              <w:jc w:val="center"/>
              <w:rPr>
                <w:rFonts w:hint="default" w:ascii="Times New Roman" w:hAnsi="Times New Roman" w:eastAsia="仿宋_GB2312" w:cs="Times New Roman"/>
                <w:color w:val="auto"/>
                <w:sz w:val="13"/>
                <w:szCs w:val="13"/>
                <w:highlight w:val="none"/>
              </w:rPr>
            </w:pPr>
          </w:p>
        </w:tc>
        <w:tc>
          <w:tcPr>
            <w:tcW w:w="884" w:type="dxa"/>
            <w:tcBorders>
              <w:top w:val="nil"/>
              <w:left w:val="nil"/>
              <w:bottom w:val="single" w:color="auto" w:sz="4" w:space="0"/>
              <w:right w:val="single" w:color="auto" w:sz="4" w:space="0"/>
            </w:tcBorders>
            <w:shd w:val="clear" w:color="000000" w:fill="FFFFFF"/>
            <w:noWrap w:val="0"/>
            <w:vAlign w:val="center"/>
          </w:tcPr>
          <w:p>
            <w:pPr>
              <w:jc w:val="center"/>
              <w:rPr>
                <w:rFonts w:hint="default" w:ascii="Times New Roman" w:hAnsi="Times New Roman" w:eastAsia="仿宋_GB2312" w:cs="Times New Roman"/>
                <w:color w:val="auto"/>
                <w:sz w:val="13"/>
                <w:szCs w:val="13"/>
                <w:highlight w:val="none"/>
              </w:rPr>
            </w:pPr>
          </w:p>
        </w:tc>
        <w:tc>
          <w:tcPr>
            <w:tcW w:w="645"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default" w:ascii="Times New Roman" w:hAnsi="Times New Roman" w:eastAsia="仿宋_GB2312" w:cs="Times New Roman"/>
                <w:color w:val="auto"/>
                <w:sz w:val="13"/>
                <w:szCs w:val="13"/>
                <w:highlight w:val="none"/>
              </w:rPr>
            </w:pPr>
          </w:p>
        </w:tc>
        <w:tc>
          <w:tcPr>
            <w:tcW w:w="593"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default" w:ascii="Times New Roman" w:hAnsi="Times New Roman" w:eastAsia="仿宋_GB2312" w:cs="Times New Roman"/>
                <w:color w:val="auto"/>
                <w:sz w:val="13"/>
                <w:szCs w:val="13"/>
                <w:highlight w:val="none"/>
                <w:lang w:val="en-US" w:eastAsia="zh-CN"/>
              </w:rPr>
            </w:pPr>
            <w:r>
              <w:rPr>
                <w:rFonts w:hint="default" w:ascii="Times New Roman" w:hAnsi="Times New Roman" w:eastAsia="仿宋_GB2312" w:cs="Times New Roman"/>
                <w:color w:val="auto"/>
                <w:sz w:val="13"/>
                <w:szCs w:val="13"/>
                <w:highlight w:val="none"/>
                <w:lang w:val="en-US" w:eastAsia="zh-CN"/>
              </w:rPr>
              <w:t>4</w:t>
            </w:r>
            <w:r>
              <w:rPr>
                <w:rFonts w:hint="eastAsia" w:eastAsia="仿宋_GB2312" w:cs="Times New Roman"/>
                <w:color w:val="auto"/>
                <w:sz w:val="13"/>
                <w:szCs w:val="13"/>
                <w:highlight w:val="none"/>
                <w:lang w:val="en-US" w:eastAsia="zh-CN"/>
              </w:rPr>
              <w:t>.00</w:t>
            </w:r>
          </w:p>
        </w:tc>
        <w:tc>
          <w:tcPr>
            <w:tcW w:w="658"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13"/>
                <w:szCs w:val="13"/>
                <w:highlight w:val="none"/>
              </w:rPr>
            </w:pPr>
          </w:p>
        </w:tc>
        <w:tc>
          <w:tcPr>
            <w:tcW w:w="561"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22" w:hRule="atLeast"/>
          <w:jc w:val="center"/>
        </w:trPr>
        <w:tc>
          <w:tcPr>
            <w:tcW w:w="502"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lang w:val="en-US" w:eastAsia="zh-CN"/>
              </w:rPr>
            </w:pPr>
            <w:r>
              <w:rPr>
                <w:rFonts w:hint="default" w:ascii="Times New Roman" w:hAnsi="Times New Roman" w:eastAsia="仿宋_GB2312" w:cs="Times New Roman"/>
                <w:color w:val="auto"/>
                <w:sz w:val="13"/>
                <w:szCs w:val="13"/>
                <w:highlight w:val="none"/>
                <w:lang w:val="en-US" w:eastAsia="zh-CN"/>
              </w:rPr>
              <w:t>208</w:t>
            </w:r>
          </w:p>
        </w:tc>
        <w:tc>
          <w:tcPr>
            <w:tcW w:w="549"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05</w:t>
            </w:r>
          </w:p>
        </w:tc>
        <w:tc>
          <w:tcPr>
            <w:tcW w:w="468"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106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行政事业单位养老支出</w:t>
            </w:r>
          </w:p>
        </w:tc>
        <w:tc>
          <w:tcPr>
            <w:tcW w:w="696" w:type="dxa"/>
            <w:tcBorders>
              <w:top w:val="nil"/>
              <w:left w:val="nil"/>
              <w:bottom w:val="single" w:color="auto" w:sz="4" w:space="0"/>
              <w:right w:val="single" w:color="auto" w:sz="4" w:space="0"/>
            </w:tcBorders>
            <w:noWrap w:val="0"/>
            <w:vAlign w:val="center"/>
          </w:tcPr>
          <w:p>
            <w:pPr>
              <w:tabs>
                <w:tab w:val="center" w:pos="127"/>
                <w:tab w:val="right" w:pos="574"/>
              </w:tabs>
              <w:jc w:val="center"/>
              <w:rPr>
                <w:rFonts w:hint="default" w:ascii="Times New Roman" w:hAnsi="Times New Roman" w:eastAsia="仿宋_GB2312" w:cs="Times New Roman"/>
                <w:color w:val="auto"/>
                <w:sz w:val="13"/>
                <w:szCs w:val="13"/>
                <w:highlight w:val="none"/>
                <w:lang w:val="en-US" w:eastAsia="zh-CN"/>
              </w:rPr>
            </w:pPr>
            <w:r>
              <w:rPr>
                <w:rFonts w:hint="default" w:ascii="Times New Roman" w:hAnsi="Times New Roman" w:eastAsia="仿宋_GB2312" w:cs="Times New Roman"/>
                <w:color w:val="auto"/>
                <w:sz w:val="13"/>
                <w:szCs w:val="13"/>
                <w:highlight w:val="none"/>
                <w:lang w:val="en-US" w:eastAsia="zh-CN"/>
              </w:rPr>
              <w:t>93.42</w:t>
            </w:r>
          </w:p>
        </w:tc>
        <w:tc>
          <w:tcPr>
            <w:tcW w:w="881"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89.42</w:t>
            </w:r>
          </w:p>
        </w:tc>
        <w:tc>
          <w:tcPr>
            <w:tcW w:w="782"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89.42</w:t>
            </w:r>
          </w:p>
        </w:tc>
        <w:tc>
          <w:tcPr>
            <w:tcW w:w="503"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655"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712"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700"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884"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645"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593"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lang w:val="en-US" w:eastAsia="zh-CN"/>
              </w:rPr>
            </w:pPr>
            <w:r>
              <w:rPr>
                <w:rFonts w:hint="default" w:ascii="Times New Roman" w:hAnsi="Times New Roman" w:eastAsia="仿宋_GB2312" w:cs="Times New Roman"/>
                <w:color w:val="auto"/>
                <w:sz w:val="13"/>
                <w:szCs w:val="13"/>
                <w:highlight w:val="none"/>
                <w:lang w:val="en-US" w:eastAsia="zh-CN"/>
              </w:rPr>
              <w:t>4</w:t>
            </w:r>
            <w:r>
              <w:rPr>
                <w:rFonts w:hint="eastAsia" w:eastAsia="仿宋_GB2312" w:cs="Times New Roman"/>
                <w:color w:val="auto"/>
                <w:sz w:val="13"/>
                <w:szCs w:val="13"/>
                <w:highlight w:val="none"/>
                <w:lang w:val="en-US" w:eastAsia="zh-CN"/>
              </w:rPr>
              <w:t>.00</w:t>
            </w:r>
          </w:p>
        </w:tc>
        <w:tc>
          <w:tcPr>
            <w:tcW w:w="65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56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22" w:hRule="atLeast"/>
          <w:jc w:val="center"/>
        </w:trPr>
        <w:tc>
          <w:tcPr>
            <w:tcW w:w="502"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lang w:val="en-US" w:eastAsia="zh-CN"/>
              </w:rPr>
            </w:pPr>
            <w:r>
              <w:rPr>
                <w:rFonts w:hint="default" w:ascii="Times New Roman" w:hAnsi="Times New Roman" w:eastAsia="仿宋_GB2312" w:cs="Times New Roman"/>
                <w:color w:val="auto"/>
                <w:sz w:val="13"/>
                <w:szCs w:val="13"/>
                <w:highlight w:val="none"/>
                <w:lang w:val="en-US" w:eastAsia="zh-CN"/>
              </w:rPr>
              <w:t>208</w:t>
            </w:r>
          </w:p>
        </w:tc>
        <w:tc>
          <w:tcPr>
            <w:tcW w:w="549" w:type="dxa"/>
            <w:tcBorders>
              <w:top w:val="nil"/>
              <w:left w:val="nil"/>
              <w:bottom w:val="single" w:color="auto" w:sz="4" w:space="0"/>
              <w:right w:val="single" w:color="auto" w:sz="4" w:space="0"/>
            </w:tcBorders>
            <w:noWrap w:val="0"/>
            <w:vAlign w:val="center"/>
          </w:tcPr>
          <w:p>
            <w:pPr>
              <w:tabs>
                <w:tab w:val="center" w:pos="100"/>
                <w:tab w:val="right" w:pos="521"/>
              </w:tabs>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05</w:t>
            </w:r>
          </w:p>
        </w:tc>
        <w:tc>
          <w:tcPr>
            <w:tcW w:w="468" w:type="dxa"/>
            <w:tcBorders>
              <w:top w:val="nil"/>
              <w:left w:val="nil"/>
              <w:bottom w:val="single" w:color="auto" w:sz="4" w:space="0"/>
              <w:right w:val="single" w:color="auto" w:sz="4" w:space="0"/>
            </w:tcBorders>
            <w:noWrap w:val="0"/>
            <w:vAlign w:val="center"/>
          </w:tcPr>
          <w:p>
            <w:pPr>
              <w:tabs>
                <w:tab w:val="center" w:pos="100"/>
                <w:tab w:val="right" w:pos="521"/>
              </w:tabs>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01</w:t>
            </w:r>
          </w:p>
        </w:tc>
        <w:tc>
          <w:tcPr>
            <w:tcW w:w="106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行政单位离退休</w:t>
            </w:r>
          </w:p>
        </w:tc>
        <w:tc>
          <w:tcPr>
            <w:tcW w:w="696"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13.26</w:t>
            </w:r>
          </w:p>
        </w:tc>
        <w:tc>
          <w:tcPr>
            <w:tcW w:w="881" w:type="dxa"/>
            <w:tcBorders>
              <w:top w:val="nil"/>
              <w:left w:val="nil"/>
              <w:bottom w:val="single" w:color="auto" w:sz="4" w:space="0"/>
              <w:right w:val="single" w:color="auto" w:sz="4" w:space="0"/>
            </w:tcBorders>
            <w:noWrap w:val="0"/>
            <w:vAlign w:val="center"/>
          </w:tcPr>
          <w:p>
            <w:pPr>
              <w:tabs>
                <w:tab w:val="left" w:pos="372"/>
                <w:tab w:val="right" w:pos="829"/>
              </w:tabs>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13.26</w:t>
            </w:r>
          </w:p>
        </w:tc>
        <w:tc>
          <w:tcPr>
            <w:tcW w:w="782"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13.26</w:t>
            </w:r>
          </w:p>
        </w:tc>
        <w:tc>
          <w:tcPr>
            <w:tcW w:w="503"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655"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712"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700"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884"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645"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593"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65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56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616" w:hRule="atLeast"/>
          <w:jc w:val="center"/>
        </w:trPr>
        <w:tc>
          <w:tcPr>
            <w:tcW w:w="502" w:type="dxa"/>
            <w:tcBorders>
              <w:top w:val="nil"/>
              <w:left w:val="single" w:color="auto" w:sz="4" w:space="0"/>
              <w:bottom w:val="single" w:color="auto" w:sz="4" w:space="0"/>
              <w:right w:val="single" w:color="auto" w:sz="4" w:space="0"/>
            </w:tcBorders>
            <w:noWrap w:val="0"/>
            <w:vAlign w:val="center"/>
          </w:tcPr>
          <w:p>
            <w:pPr>
              <w:tabs>
                <w:tab w:val="center" w:pos="158"/>
                <w:tab w:val="right" w:pos="637"/>
              </w:tabs>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208</w:t>
            </w:r>
          </w:p>
        </w:tc>
        <w:tc>
          <w:tcPr>
            <w:tcW w:w="549" w:type="dxa"/>
            <w:tcBorders>
              <w:top w:val="nil"/>
              <w:left w:val="nil"/>
              <w:bottom w:val="single" w:color="auto" w:sz="4" w:space="0"/>
              <w:right w:val="single" w:color="auto" w:sz="4" w:space="0"/>
            </w:tcBorders>
            <w:noWrap w:val="0"/>
            <w:vAlign w:val="center"/>
          </w:tcPr>
          <w:p>
            <w:pPr>
              <w:tabs>
                <w:tab w:val="center" w:pos="100"/>
                <w:tab w:val="right" w:pos="521"/>
              </w:tabs>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05</w:t>
            </w:r>
          </w:p>
        </w:tc>
        <w:tc>
          <w:tcPr>
            <w:tcW w:w="468"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05</w:t>
            </w:r>
          </w:p>
        </w:tc>
        <w:tc>
          <w:tcPr>
            <w:tcW w:w="106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机关事业单位基本养老保险缴费支出</w:t>
            </w:r>
          </w:p>
        </w:tc>
        <w:tc>
          <w:tcPr>
            <w:tcW w:w="696"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80.16</w:t>
            </w:r>
          </w:p>
        </w:tc>
        <w:tc>
          <w:tcPr>
            <w:tcW w:w="881"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lang w:val="en-US"/>
              </w:rPr>
            </w:pPr>
            <w:r>
              <w:rPr>
                <w:rFonts w:hint="default" w:ascii="Times New Roman" w:hAnsi="Times New Roman" w:eastAsia="仿宋_GB2312" w:cs="Times New Roman"/>
                <w:color w:val="auto"/>
                <w:sz w:val="13"/>
                <w:szCs w:val="13"/>
                <w:highlight w:val="none"/>
                <w:lang w:val="en-US" w:eastAsia="zh-CN"/>
              </w:rPr>
              <w:t>76.16</w:t>
            </w:r>
          </w:p>
        </w:tc>
        <w:tc>
          <w:tcPr>
            <w:tcW w:w="782"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76.16</w:t>
            </w:r>
          </w:p>
        </w:tc>
        <w:tc>
          <w:tcPr>
            <w:tcW w:w="503"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655"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712"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700"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884"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645"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593"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lang w:val="en-US" w:eastAsia="zh-CN"/>
              </w:rPr>
            </w:pPr>
            <w:r>
              <w:rPr>
                <w:rFonts w:hint="default" w:ascii="Times New Roman" w:hAnsi="Times New Roman" w:eastAsia="仿宋_GB2312" w:cs="Times New Roman"/>
                <w:color w:val="auto"/>
                <w:sz w:val="13"/>
                <w:szCs w:val="13"/>
                <w:highlight w:val="none"/>
                <w:lang w:val="en-US" w:eastAsia="zh-CN"/>
              </w:rPr>
              <w:t>4</w:t>
            </w:r>
            <w:r>
              <w:rPr>
                <w:rFonts w:hint="eastAsia" w:eastAsia="仿宋_GB2312" w:cs="Times New Roman"/>
                <w:color w:val="auto"/>
                <w:sz w:val="13"/>
                <w:szCs w:val="13"/>
                <w:highlight w:val="none"/>
                <w:lang w:val="en-US" w:eastAsia="zh-CN"/>
              </w:rPr>
              <w:t>.00</w:t>
            </w:r>
          </w:p>
        </w:tc>
        <w:tc>
          <w:tcPr>
            <w:tcW w:w="65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56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226" w:hRule="atLeast"/>
          <w:jc w:val="center"/>
        </w:trPr>
        <w:tc>
          <w:tcPr>
            <w:tcW w:w="502"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210</w:t>
            </w:r>
          </w:p>
        </w:tc>
        <w:tc>
          <w:tcPr>
            <w:tcW w:w="549"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468"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106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卫生健康支出</w:t>
            </w:r>
          </w:p>
        </w:tc>
        <w:tc>
          <w:tcPr>
            <w:tcW w:w="696" w:type="dxa"/>
            <w:tcBorders>
              <w:top w:val="nil"/>
              <w:left w:val="nil"/>
              <w:bottom w:val="single" w:color="auto" w:sz="4" w:space="0"/>
              <w:right w:val="single" w:color="auto" w:sz="4" w:space="0"/>
            </w:tcBorders>
            <w:noWrap w:val="0"/>
            <w:vAlign w:val="center"/>
          </w:tcPr>
          <w:p>
            <w:pPr>
              <w:bidi w:val="0"/>
              <w:jc w:val="center"/>
              <w:rPr>
                <w:rFonts w:hint="default" w:ascii="Times New Roman" w:hAnsi="Times New Roman" w:eastAsia="宋体" w:cs="Times New Roman"/>
                <w:kern w:val="2"/>
                <w:sz w:val="21"/>
                <w:szCs w:val="24"/>
                <w:lang w:val="en-US" w:eastAsia="zh-CN" w:bidi="ar-SA"/>
              </w:rPr>
            </w:pPr>
            <w:r>
              <w:rPr>
                <w:rFonts w:hint="default" w:ascii="Times New Roman" w:hAnsi="Times New Roman" w:eastAsia="仿宋_GB2312" w:cs="Times New Roman"/>
                <w:color w:val="auto"/>
                <w:sz w:val="13"/>
                <w:szCs w:val="13"/>
                <w:highlight w:val="none"/>
                <w:lang w:val="en-US" w:eastAsia="zh-CN"/>
              </w:rPr>
              <w:t>61.60</w:t>
            </w:r>
          </w:p>
        </w:tc>
        <w:tc>
          <w:tcPr>
            <w:tcW w:w="881"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57.60</w:t>
            </w:r>
          </w:p>
        </w:tc>
        <w:tc>
          <w:tcPr>
            <w:tcW w:w="782"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57.60</w:t>
            </w:r>
          </w:p>
        </w:tc>
        <w:tc>
          <w:tcPr>
            <w:tcW w:w="503"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655"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712"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700"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884"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645"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593"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lang w:val="en-US" w:eastAsia="zh-CN"/>
              </w:rPr>
            </w:pPr>
            <w:r>
              <w:rPr>
                <w:rFonts w:hint="default" w:ascii="Times New Roman" w:hAnsi="Times New Roman" w:eastAsia="仿宋_GB2312" w:cs="Times New Roman"/>
                <w:color w:val="auto"/>
                <w:sz w:val="13"/>
                <w:szCs w:val="13"/>
                <w:highlight w:val="none"/>
                <w:lang w:val="en-US" w:eastAsia="zh-CN"/>
              </w:rPr>
              <w:t>4</w:t>
            </w:r>
            <w:r>
              <w:rPr>
                <w:rFonts w:hint="eastAsia" w:eastAsia="仿宋_GB2312" w:cs="Times New Roman"/>
                <w:color w:val="auto"/>
                <w:sz w:val="13"/>
                <w:szCs w:val="13"/>
                <w:highlight w:val="none"/>
                <w:lang w:val="en-US" w:eastAsia="zh-CN"/>
              </w:rPr>
              <w:t>.00</w:t>
            </w:r>
          </w:p>
        </w:tc>
        <w:tc>
          <w:tcPr>
            <w:tcW w:w="65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56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22" w:hRule="atLeast"/>
          <w:jc w:val="center"/>
        </w:trPr>
        <w:tc>
          <w:tcPr>
            <w:tcW w:w="502"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210</w:t>
            </w:r>
          </w:p>
        </w:tc>
        <w:tc>
          <w:tcPr>
            <w:tcW w:w="549"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11</w:t>
            </w:r>
          </w:p>
        </w:tc>
        <w:tc>
          <w:tcPr>
            <w:tcW w:w="468"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1066" w:type="dxa"/>
            <w:tcBorders>
              <w:top w:val="nil"/>
              <w:left w:val="nil"/>
              <w:bottom w:val="single" w:color="auto" w:sz="4" w:space="0"/>
              <w:right w:val="single" w:color="auto" w:sz="4" w:space="0"/>
            </w:tcBorders>
            <w:noWrap w:val="0"/>
            <w:vAlign w:val="center"/>
          </w:tcPr>
          <w:p>
            <w:pPr>
              <w:tabs>
                <w:tab w:val="left" w:pos="295"/>
              </w:tabs>
              <w:jc w:val="center"/>
              <w:rPr>
                <w:rFonts w:hint="eastAsia" w:ascii="仿宋_GB2312" w:hAnsi="宋体" w:eastAsia="仿宋_GB2312" w:cs="宋体"/>
                <w:color w:val="auto"/>
                <w:sz w:val="13"/>
                <w:szCs w:val="13"/>
                <w:highlight w:val="none"/>
                <w:lang w:eastAsia="zh-CN"/>
              </w:rPr>
            </w:pPr>
            <w:r>
              <w:rPr>
                <w:rFonts w:hint="eastAsia" w:ascii="仿宋_GB2312" w:eastAsia="仿宋_GB2312"/>
                <w:color w:val="auto"/>
                <w:sz w:val="13"/>
                <w:szCs w:val="13"/>
                <w:highlight w:val="none"/>
                <w:lang w:eastAsia="zh-CN"/>
              </w:rPr>
              <w:t>行政事业单位医疗</w:t>
            </w:r>
          </w:p>
        </w:tc>
        <w:tc>
          <w:tcPr>
            <w:tcW w:w="696" w:type="dxa"/>
            <w:tcBorders>
              <w:top w:val="nil"/>
              <w:left w:val="nil"/>
              <w:bottom w:val="single" w:color="auto" w:sz="4" w:space="0"/>
              <w:right w:val="single" w:color="auto" w:sz="4" w:space="0"/>
            </w:tcBorders>
            <w:noWrap w:val="0"/>
            <w:vAlign w:val="center"/>
          </w:tcPr>
          <w:p>
            <w:pPr>
              <w:tabs>
                <w:tab w:val="left" w:pos="237"/>
                <w:tab w:val="right" w:pos="814"/>
              </w:tabs>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61.60</w:t>
            </w:r>
          </w:p>
        </w:tc>
        <w:tc>
          <w:tcPr>
            <w:tcW w:w="881"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57.60</w:t>
            </w:r>
          </w:p>
        </w:tc>
        <w:tc>
          <w:tcPr>
            <w:tcW w:w="782"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57.60</w:t>
            </w:r>
          </w:p>
        </w:tc>
        <w:tc>
          <w:tcPr>
            <w:tcW w:w="503"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655"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712"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700"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884"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645"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593"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lang w:val="en-US" w:eastAsia="zh-CN"/>
              </w:rPr>
            </w:pPr>
            <w:r>
              <w:rPr>
                <w:rFonts w:hint="default" w:ascii="Times New Roman" w:hAnsi="Times New Roman" w:eastAsia="仿宋_GB2312" w:cs="Times New Roman"/>
                <w:color w:val="auto"/>
                <w:sz w:val="13"/>
                <w:szCs w:val="13"/>
                <w:highlight w:val="none"/>
                <w:lang w:val="en-US" w:eastAsia="zh-CN"/>
              </w:rPr>
              <w:t>4</w:t>
            </w:r>
            <w:r>
              <w:rPr>
                <w:rFonts w:hint="eastAsia" w:eastAsia="仿宋_GB2312" w:cs="Times New Roman"/>
                <w:color w:val="auto"/>
                <w:sz w:val="13"/>
                <w:szCs w:val="13"/>
                <w:highlight w:val="none"/>
                <w:lang w:val="en-US" w:eastAsia="zh-CN"/>
              </w:rPr>
              <w:t>.00</w:t>
            </w:r>
          </w:p>
        </w:tc>
        <w:tc>
          <w:tcPr>
            <w:tcW w:w="65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56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226" w:hRule="atLeast"/>
          <w:jc w:val="center"/>
        </w:trPr>
        <w:tc>
          <w:tcPr>
            <w:tcW w:w="502"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210</w:t>
            </w:r>
          </w:p>
        </w:tc>
        <w:tc>
          <w:tcPr>
            <w:tcW w:w="549"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11</w:t>
            </w:r>
          </w:p>
        </w:tc>
        <w:tc>
          <w:tcPr>
            <w:tcW w:w="468"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01</w:t>
            </w:r>
          </w:p>
        </w:tc>
        <w:tc>
          <w:tcPr>
            <w:tcW w:w="106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行政单位医疗</w:t>
            </w:r>
          </w:p>
        </w:tc>
        <w:tc>
          <w:tcPr>
            <w:tcW w:w="696"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28.07</w:t>
            </w:r>
          </w:p>
        </w:tc>
        <w:tc>
          <w:tcPr>
            <w:tcW w:w="881"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24.07</w:t>
            </w:r>
          </w:p>
        </w:tc>
        <w:tc>
          <w:tcPr>
            <w:tcW w:w="782"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24.07</w:t>
            </w:r>
          </w:p>
        </w:tc>
        <w:tc>
          <w:tcPr>
            <w:tcW w:w="503"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655"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712"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700"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884"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645"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593"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lang w:val="en-US" w:eastAsia="zh-CN"/>
              </w:rPr>
            </w:pPr>
            <w:r>
              <w:rPr>
                <w:rFonts w:hint="default" w:ascii="Times New Roman" w:hAnsi="Times New Roman" w:eastAsia="仿宋_GB2312" w:cs="Times New Roman"/>
                <w:color w:val="auto"/>
                <w:sz w:val="13"/>
                <w:szCs w:val="13"/>
                <w:highlight w:val="none"/>
                <w:lang w:val="en-US" w:eastAsia="zh-CN"/>
              </w:rPr>
              <w:t>4</w:t>
            </w:r>
            <w:r>
              <w:rPr>
                <w:rFonts w:hint="eastAsia" w:eastAsia="仿宋_GB2312" w:cs="Times New Roman"/>
                <w:color w:val="auto"/>
                <w:sz w:val="13"/>
                <w:szCs w:val="13"/>
                <w:highlight w:val="none"/>
                <w:lang w:val="en-US" w:eastAsia="zh-CN"/>
              </w:rPr>
              <w:t>.00</w:t>
            </w:r>
          </w:p>
        </w:tc>
        <w:tc>
          <w:tcPr>
            <w:tcW w:w="65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56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226" w:hRule="atLeast"/>
          <w:jc w:val="center"/>
        </w:trPr>
        <w:tc>
          <w:tcPr>
            <w:tcW w:w="502"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210</w:t>
            </w:r>
          </w:p>
        </w:tc>
        <w:tc>
          <w:tcPr>
            <w:tcW w:w="549"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11</w:t>
            </w:r>
          </w:p>
        </w:tc>
        <w:tc>
          <w:tcPr>
            <w:tcW w:w="468"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02</w:t>
            </w:r>
          </w:p>
        </w:tc>
        <w:tc>
          <w:tcPr>
            <w:tcW w:w="106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事业单位医疗</w:t>
            </w:r>
          </w:p>
        </w:tc>
        <w:tc>
          <w:tcPr>
            <w:tcW w:w="696"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14.01</w:t>
            </w:r>
          </w:p>
        </w:tc>
        <w:tc>
          <w:tcPr>
            <w:tcW w:w="881"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14.01</w:t>
            </w:r>
          </w:p>
        </w:tc>
        <w:tc>
          <w:tcPr>
            <w:tcW w:w="782"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14.01</w:t>
            </w:r>
          </w:p>
        </w:tc>
        <w:tc>
          <w:tcPr>
            <w:tcW w:w="503"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655"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712"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700"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884"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645"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593"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65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56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22" w:hRule="atLeast"/>
          <w:jc w:val="center"/>
        </w:trPr>
        <w:tc>
          <w:tcPr>
            <w:tcW w:w="502"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210</w:t>
            </w:r>
          </w:p>
        </w:tc>
        <w:tc>
          <w:tcPr>
            <w:tcW w:w="549"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11</w:t>
            </w:r>
          </w:p>
        </w:tc>
        <w:tc>
          <w:tcPr>
            <w:tcW w:w="468"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03</w:t>
            </w:r>
          </w:p>
        </w:tc>
        <w:tc>
          <w:tcPr>
            <w:tcW w:w="106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公务员医疗补助</w:t>
            </w:r>
          </w:p>
        </w:tc>
        <w:tc>
          <w:tcPr>
            <w:tcW w:w="696"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19.04</w:t>
            </w:r>
          </w:p>
        </w:tc>
        <w:tc>
          <w:tcPr>
            <w:tcW w:w="881"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19.04</w:t>
            </w:r>
          </w:p>
        </w:tc>
        <w:tc>
          <w:tcPr>
            <w:tcW w:w="782"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19.04</w:t>
            </w:r>
          </w:p>
        </w:tc>
        <w:tc>
          <w:tcPr>
            <w:tcW w:w="503"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655"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712"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700"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884"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645"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593"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65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56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22" w:hRule="atLeast"/>
          <w:jc w:val="center"/>
        </w:trPr>
        <w:tc>
          <w:tcPr>
            <w:tcW w:w="502"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210</w:t>
            </w:r>
          </w:p>
        </w:tc>
        <w:tc>
          <w:tcPr>
            <w:tcW w:w="549"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11</w:t>
            </w:r>
          </w:p>
        </w:tc>
        <w:tc>
          <w:tcPr>
            <w:tcW w:w="468"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99</w:t>
            </w:r>
          </w:p>
        </w:tc>
        <w:tc>
          <w:tcPr>
            <w:tcW w:w="106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其他行政事业单位医疗支出</w:t>
            </w:r>
          </w:p>
        </w:tc>
        <w:tc>
          <w:tcPr>
            <w:tcW w:w="696"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0.48</w:t>
            </w:r>
          </w:p>
        </w:tc>
        <w:tc>
          <w:tcPr>
            <w:tcW w:w="881"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0.48</w:t>
            </w:r>
          </w:p>
        </w:tc>
        <w:tc>
          <w:tcPr>
            <w:tcW w:w="782"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0.48</w:t>
            </w:r>
          </w:p>
        </w:tc>
        <w:tc>
          <w:tcPr>
            <w:tcW w:w="503"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655"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712"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700"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884"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645"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593"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65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56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422" w:hRule="atLeast"/>
          <w:jc w:val="center"/>
        </w:trPr>
        <w:tc>
          <w:tcPr>
            <w:tcW w:w="502"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220</w:t>
            </w:r>
          </w:p>
        </w:tc>
        <w:tc>
          <w:tcPr>
            <w:tcW w:w="549"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468"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106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自然资源海洋气象等支出</w:t>
            </w:r>
          </w:p>
        </w:tc>
        <w:tc>
          <w:tcPr>
            <w:tcW w:w="696"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833.79</w:t>
            </w:r>
          </w:p>
        </w:tc>
        <w:tc>
          <w:tcPr>
            <w:tcW w:w="881"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592.59</w:t>
            </w:r>
          </w:p>
        </w:tc>
        <w:tc>
          <w:tcPr>
            <w:tcW w:w="782"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592.59</w:t>
            </w:r>
          </w:p>
        </w:tc>
        <w:tc>
          <w:tcPr>
            <w:tcW w:w="503"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655"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712"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700"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884"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645"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593"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lang w:val="en-US" w:eastAsia="zh-CN"/>
              </w:rPr>
            </w:pPr>
            <w:r>
              <w:rPr>
                <w:rFonts w:hint="default" w:ascii="Times New Roman" w:hAnsi="Times New Roman" w:eastAsia="仿宋_GB2312" w:cs="Times New Roman"/>
                <w:color w:val="auto"/>
                <w:sz w:val="13"/>
                <w:szCs w:val="13"/>
                <w:highlight w:val="none"/>
                <w:lang w:val="en-US" w:eastAsia="zh-CN"/>
              </w:rPr>
              <w:t>227</w:t>
            </w:r>
            <w:r>
              <w:rPr>
                <w:rFonts w:hint="eastAsia" w:eastAsia="仿宋_GB2312" w:cs="Times New Roman"/>
                <w:color w:val="auto"/>
                <w:sz w:val="13"/>
                <w:szCs w:val="13"/>
                <w:highlight w:val="none"/>
                <w:lang w:val="en-US" w:eastAsia="zh-CN"/>
              </w:rPr>
              <w:t>.00</w:t>
            </w:r>
          </w:p>
        </w:tc>
        <w:tc>
          <w:tcPr>
            <w:tcW w:w="658"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lang w:val="en-US" w:eastAsia="zh-CN"/>
              </w:rPr>
            </w:pPr>
            <w:r>
              <w:rPr>
                <w:rFonts w:hint="default" w:ascii="Times New Roman" w:hAnsi="Times New Roman" w:eastAsia="仿宋_GB2312" w:cs="Times New Roman"/>
                <w:color w:val="auto"/>
                <w:sz w:val="13"/>
                <w:szCs w:val="13"/>
                <w:highlight w:val="none"/>
                <w:lang w:val="en-US" w:eastAsia="zh-CN"/>
              </w:rPr>
              <w:t>14.20</w:t>
            </w:r>
          </w:p>
        </w:tc>
        <w:tc>
          <w:tcPr>
            <w:tcW w:w="56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226" w:hRule="atLeast"/>
          <w:jc w:val="center"/>
        </w:trPr>
        <w:tc>
          <w:tcPr>
            <w:tcW w:w="502"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220</w:t>
            </w:r>
          </w:p>
        </w:tc>
        <w:tc>
          <w:tcPr>
            <w:tcW w:w="549"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01</w:t>
            </w:r>
          </w:p>
        </w:tc>
        <w:tc>
          <w:tcPr>
            <w:tcW w:w="468"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106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自然资源事务</w:t>
            </w:r>
          </w:p>
        </w:tc>
        <w:tc>
          <w:tcPr>
            <w:tcW w:w="696"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833.79</w:t>
            </w:r>
          </w:p>
        </w:tc>
        <w:tc>
          <w:tcPr>
            <w:tcW w:w="881"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592.59</w:t>
            </w:r>
          </w:p>
        </w:tc>
        <w:tc>
          <w:tcPr>
            <w:tcW w:w="782"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592.59</w:t>
            </w:r>
          </w:p>
        </w:tc>
        <w:tc>
          <w:tcPr>
            <w:tcW w:w="503"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655"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712"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700"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884"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645"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593"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lang w:val="en-US" w:eastAsia="zh-CN"/>
              </w:rPr>
            </w:pPr>
            <w:r>
              <w:rPr>
                <w:rFonts w:hint="default" w:ascii="Times New Roman" w:hAnsi="Times New Roman" w:eastAsia="仿宋_GB2312" w:cs="Times New Roman"/>
                <w:color w:val="auto"/>
                <w:sz w:val="13"/>
                <w:szCs w:val="13"/>
                <w:highlight w:val="none"/>
                <w:lang w:val="en-US" w:eastAsia="zh-CN"/>
              </w:rPr>
              <w:t>227</w:t>
            </w:r>
            <w:r>
              <w:rPr>
                <w:rFonts w:hint="eastAsia" w:eastAsia="仿宋_GB2312" w:cs="Times New Roman"/>
                <w:color w:val="auto"/>
                <w:sz w:val="13"/>
                <w:szCs w:val="13"/>
                <w:highlight w:val="none"/>
                <w:lang w:val="en-US" w:eastAsia="zh-CN"/>
              </w:rPr>
              <w:t>.00</w:t>
            </w:r>
          </w:p>
        </w:tc>
        <w:tc>
          <w:tcPr>
            <w:tcW w:w="658"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lang w:val="en-US" w:eastAsia="zh-CN"/>
              </w:rPr>
            </w:pPr>
            <w:r>
              <w:rPr>
                <w:rFonts w:hint="default" w:ascii="Times New Roman" w:hAnsi="Times New Roman" w:eastAsia="仿宋_GB2312" w:cs="Times New Roman"/>
                <w:color w:val="auto"/>
                <w:sz w:val="13"/>
                <w:szCs w:val="13"/>
                <w:highlight w:val="none"/>
                <w:lang w:val="en-US" w:eastAsia="zh-CN"/>
              </w:rPr>
              <w:t>14.20</w:t>
            </w:r>
          </w:p>
        </w:tc>
        <w:tc>
          <w:tcPr>
            <w:tcW w:w="56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226" w:hRule="atLeast"/>
          <w:jc w:val="center"/>
        </w:trPr>
        <w:tc>
          <w:tcPr>
            <w:tcW w:w="502"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220</w:t>
            </w:r>
          </w:p>
        </w:tc>
        <w:tc>
          <w:tcPr>
            <w:tcW w:w="549"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01</w:t>
            </w:r>
          </w:p>
        </w:tc>
        <w:tc>
          <w:tcPr>
            <w:tcW w:w="468"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01</w:t>
            </w:r>
          </w:p>
        </w:tc>
        <w:tc>
          <w:tcPr>
            <w:tcW w:w="106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行政运行</w:t>
            </w:r>
          </w:p>
        </w:tc>
        <w:tc>
          <w:tcPr>
            <w:tcW w:w="696"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609.28</w:t>
            </w:r>
          </w:p>
        </w:tc>
        <w:tc>
          <w:tcPr>
            <w:tcW w:w="881"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397.28</w:t>
            </w:r>
          </w:p>
        </w:tc>
        <w:tc>
          <w:tcPr>
            <w:tcW w:w="782"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397.28</w:t>
            </w:r>
          </w:p>
        </w:tc>
        <w:tc>
          <w:tcPr>
            <w:tcW w:w="503"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655"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712"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700"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884"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645"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593"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lang w:val="en-US" w:eastAsia="zh-CN"/>
              </w:rPr>
            </w:pPr>
            <w:r>
              <w:rPr>
                <w:rFonts w:hint="default" w:ascii="Times New Roman" w:hAnsi="Times New Roman" w:eastAsia="仿宋_GB2312" w:cs="Times New Roman"/>
                <w:color w:val="auto"/>
                <w:sz w:val="13"/>
                <w:szCs w:val="13"/>
                <w:highlight w:val="none"/>
                <w:lang w:val="en-US" w:eastAsia="zh-CN"/>
              </w:rPr>
              <w:t>212</w:t>
            </w:r>
            <w:r>
              <w:rPr>
                <w:rFonts w:hint="eastAsia" w:eastAsia="仿宋_GB2312" w:cs="Times New Roman"/>
                <w:color w:val="auto"/>
                <w:sz w:val="13"/>
                <w:szCs w:val="13"/>
                <w:highlight w:val="none"/>
                <w:lang w:val="en-US" w:eastAsia="zh-CN"/>
              </w:rPr>
              <w:t>.00</w:t>
            </w:r>
          </w:p>
        </w:tc>
        <w:tc>
          <w:tcPr>
            <w:tcW w:w="658"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56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332" w:hRule="atLeast"/>
          <w:jc w:val="center"/>
        </w:trPr>
        <w:tc>
          <w:tcPr>
            <w:tcW w:w="502"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lang w:val="en-US" w:eastAsia="zh-CN"/>
              </w:rPr>
            </w:pPr>
            <w:r>
              <w:rPr>
                <w:rFonts w:hint="default" w:ascii="Times New Roman" w:hAnsi="Times New Roman" w:eastAsia="仿宋_GB2312" w:cs="Times New Roman"/>
                <w:color w:val="auto"/>
                <w:sz w:val="13"/>
                <w:szCs w:val="13"/>
                <w:highlight w:val="none"/>
                <w:lang w:val="en-US" w:eastAsia="zh-CN"/>
              </w:rPr>
              <w:t>220</w:t>
            </w:r>
          </w:p>
        </w:tc>
        <w:tc>
          <w:tcPr>
            <w:tcW w:w="549"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lang w:val="en-US" w:eastAsia="zh-CN"/>
              </w:rPr>
            </w:pPr>
            <w:r>
              <w:rPr>
                <w:rFonts w:hint="default" w:ascii="Times New Roman" w:hAnsi="Times New Roman" w:eastAsia="仿宋_GB2312" w:cs="Times New Roman"/>
                <w:color w:val="auto"/>
                <w:sz w:val="13"/>
                <w:szCs w:val="13"/>
                <w:highlight w:val="none"/>
                <w:lang w:val="en-US" w:eastAsia="zh-CN"/>
              </w:rPr>
              <w:t>01</w:t>
            </w:r>
          </w:p>
        </w:tc>
        <w:tc>
          <w:tcPr>
            <w:tcW w:w="468"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lang w:val="en-US" w:eastAsia="zh-CN"/>
              </w:rPr>
            </w:pPr>
            <w:r>
              <w:rPr>
                <w:rFonts w:hint="default" w:ascii="Times New Roman" w:hAnsi="Times New Roman" w:eastAsia="仿宋_GB2312" w:cs="Times New Roman"/>
                <w:color w:val="auto"/>
                <w:sz w:val="13"/>
                <w:szCs w:val="13"/>
                <w:highlight w:val="none"/>
                <w:lang w:val="en-US" w:eastAsia="zh-CN"/>
              </w:rPr>
              <w:t>02</w:t>
            </w:r>
          </w:p>
        </w:tc>
        <w:tc>
          <w:tcPr>
            <w:tcW w:w="106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r>
              <w:rPr>
                <w:rFonts w:hint="eastAsia" w:ascii="仿宋_GB2312" w:eastAsia="仿宋_GB2312"/>
                <w:color w:val="auto"/>
                <w:sz w:val="13"/>
                <w:szCs w:val="13"/>
                <w:highlight w:val="none"/>
              </w:rPr>
              <w:t>一般行政管理事务</w:t>
            </w:r>
          </w:p>
        </w:tc>
        <w:tc>
          <w:tcPr>
            <w:tcW w:w="696"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lang w:val="en-US" w:eastAsia="zh-CN"/>
              </w:rPr>
            </w:pPr>
            <w:r>
              <w:rPr>
                <w:rFonts w:hint="default" w:ascii="Times New Roman" w:hAnsi="Times New Roman" w:eastAsia="仿宋_GB2312" w:cs="Times New Roman"/>
                <w:color w:val="auto"/>
                <w:sz w:val="13"/>
                <w:szCs w:val="13"/>
                <w:highlight w:val="none"/>
                <w:lang w:val="en-US" w:eastAsia="zh-CN"/>
              </w:rPr>
              <w:t>14.20</w:t>
            </w:r>
          </w:p>
        </w:tc>
        <w:tc>
          <w:tcPr>
            <w:tcW w:w="881"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782"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503"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655"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712"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700"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884"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645"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593"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lang w:val="en-US" w:eastAsia="zh-CN"/>
              </w:rPr>
            </w:pPr>
          </w:p>
        </w:tc>
        <w:tc>
          <w:tcPr>
            <w:tcW w:w="658"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lang w:val="en-US" w:eastAsia="zh-CN"/>
              </w:rPr>
            </w:pPr>
            <w:r>
              <w:rPr>
                <w:rFonts w:hint="default" w:ascii="Times New Roman" w:hAnsi="Times New Roman" w:eastAsia="仿宋_GB2312" w:cs="Times New Roman"/>
                <w:color w:val="auto"/>
                <w:sz w:val="13"/>
                <w:szCs w:val="13"/>
                <w:highlight w:val="none"/>
                <w:lang w:val="en-US" w:eastAsia="zh-CN"/>
              </w:rPr>
              <w:t>14.20</w:t>
            </w:r>
          </w:p>
        </w:tc>
        <w:tc>
          <w:tcPr>
            <w:tcW w:w="56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226" w:hRule="atLeast"/>
          <w:jc w:val="center"/>
        </w:trPr>
        <w:tc>
          <w:tcPr>
            <w:tcW w:w="502"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lang w:val="en-US" w:eastAsia="zh-CN"/>
              </w:rPr>
            </w:pPr>
            <w:r>
              <w:rPr>
                <w:rFonts w:hint="default" w:ascii="Times New Roman" w:hAnsi="Times New Roman" w:eastAsia="仿宋_GB2312" w:cs="Times New Roman"/>
                <w:color w:val="auto"/>
                <w:sz w:val="13"/>
                <w:szCs w:val="13"/>
                <w:highlight w:val="none"/>
                <w:lang w:val="en-US" w:eastAsia="zh-CN"/>
              </w:rPr>
              <w:t>220</w:t>
            </w:r>
          </w:p>
        </w:tc>
        <w:tc>
          <w:tcPr>
            <w:tcW w:w="549"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lang w:val="en-US" w:eastAsia="zh-CN"/>
              </w:rPr>
            </w:pPr>
            <w:r>
              <w:rPr>
                <w:rFonts w:hint="default" w:ascii="Times New Roman" w:hAnsi="Times New Roman" w:eastAsia="仿宋_GB2312" w:cs="Times New Roman"/>
                <w:color w:val="auto"/>
                <w:sz w:val="13"/>
                <w:szCs w:val="13"/>
                <w:highlight w:val="none"/>
                <w:lang w:val="en-US" w:eastAsia="zh-CN"/>
              </w:rPr>
              <w:t>01</w:t>
            </w:r>
          </w:p>
        </w:tc>
        <w:tc>
          <w:tcPr>
            <w:tcW w:w="468"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lang w:val="en-US" w:eastAsia="zh-CN"/>
              </w:rPr>
            </w:pPr>
            <w:r>
              <w:rPr>
                <w:rFonts w:hint="default" w:ascii="Times New Roman" w:hAnsi="Times New Roman" w:eastAsia="仿宋_GB2312" w:cs="Times New Roman"/>
                <w:color w:val="auto"/>
                <w:sz w:val="13"/>
                <w:szCs w:val="13"/>
                <w:highlight w:val="none"/>
                <w:lang w:val="en-US" w:eastAsia="zh-CN"/>
              </w:rPr>
              <w:t>50</w:t>
            </w:r>
          </w:p>
        </w:tc>
        <w:tc>
          <w:tcPr>
            <w:tcW w:w="106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r>
              <w:rPr>
                <w:rFonts w:hint="eastAsia" w:ascii="仿宋_GB2312" w:eastAsia="仿宋_GB2312"/>
                <w:color w:val="auto"/>
                <w:sz w:val="13"/>
                <w:szCs w:val="13"/>
                <w:highlight w:val="none"/>
              </w:rPr>
              <w:t>事业运行</w:t>
            </w:r>
          </w:p>
        </w:tc>
        <w:tc>
          <w:tcPr>
            <w:tcW w:w="696" w:type="dxa"/>
            <w:tcBorders>
              <w:top w:val="nil"/>
              <w:left w:val="nil"/>
              <w:bottom w:val="single" w:color="auto" w:sz="4" w:space="0"/>
              <w:right w:val="single" w:color="auto" w:sz="4" w:space="0"/>
            </w:tcBorders>
            <w:noWrap w:val="0"/>
            <w:vAlign w:val="center"/>
          </w:tcPr>
          <w:p>
            <w:pPr>
              <w:tabs>
                <w:tab w:val="left" w:pos="312"/>
              </w:tabs>
              <w:jc w:val="center"/>
              <w:rPr>
                <w:rFonts w:hint="default" w:ascii="Times New Roman" w:hAnsi="Times New Roman" w:eastAsia="仿宋_GB2312" w:cs="Times New Roman"/>
                <w:color w:val="auto"/>
                <w:sz w:val="13"/>
                <w:szCs w:val="13"/>
                <w:highlight w:val="none"/>
                <w:lang w:val="en-US" w:eastAsia="zh-CN"/>
              </w:rPr>
            </w:pPr>
            <w:r>
              <w:rPr>
                <w:rFonts w:hint="default" w:ascii="Times New Roman" w:hAnsi="Times New Roman" w:eastAsia="仿宋_GB2312" w:cs="Times New Roman"/>
                <w:color w:val="auto"/>
                <w:sz w:val="13"/>
                <w:szCs w:val="13"/>
                <w:highlight w:val="none"/>
                <w:lang w:val="en-US" w:eastAsia="zh-CN"/>
              </w:rPr>
              <w:t>210.31</w:t>
            </w:r>
          </w:p>
        </w:tc>
        <w:tc>
          <w:tcPr>
            <w:tcW w:w="881"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lang w:val="en-US" w:eastAsia="zh-CN"/>
              </w:rPr>
            </w:pPr>
            <w:r>
              <w:rPr>
                <w:rFonts w:hint="default" w:ascii="Times New Roman" w:hAnsi="Times New Roman" w:eastAsia="仿宋_GB2312" w:cs="Times New Roman"/>
                <w:color w:val="auto"/>
                <w:sz w:val="13"/>
                <w:szCs w:val="13"/>
                <w:highlight w:val="none"/>
                <w:lang w:val="en-US" w:eastAsia="zh-CN"/>
              </w:rPr>
              <w:t>195.31</w:t>
            </w:r>
          </w:p>
        </w:tc>
        <w:tc>
          <w:tcPr>
            <w:tcW w:w="782"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lang w:val="en-US" w:eastAsia="zh-CN"/>
              </w:rPr>
            </w:pPr>
            <w:r>
              <w:rPr>
                <w:rFonts w:hint="default" w:ascii="Times New Roman" w:hAnsi="Times New Roman" w:eastAsia="仿宋_GB2312" w:cs="Times New Roman"/>
                <w:color w:val="auto"/>
                <w:sz w:val="13"/>
                <w:szCs w:val="13"/>
                <w:highlight w:val="none"/>
                <w:lang w:val="en-US" w:eastAsia="zh-CN"/>
              </w:rPr>
              <w:t>195.31</w:t>
            </w:r>
          </w:p>
        </w:tc>
        <w:tc>
          <w:tcPr>
            <w:tcW w:w="503"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655"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712"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700"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884"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645"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593"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lang w:val="en-US" w:eastAsia="zh-CN"/>
              </w:rPr>
            </w:pPr>
            <w:r>
              <w:rPr>
                <w:rFonts w:hint="default" w:ascii="Times New Roman" w:hAnsi="Times New Roman" w:eastAsia="仿宋_GB2312" w:cs="Times New Roman"/>
                <w:color w:val="auto"/>
                <w:sz w:val="13"/>
                <w:szCs w:val="13"/>
                <w:highlight w:val="none"/>
                <w:lang w:val="en-US" w:eastAsia="zh-CN"/>
              </w:rPr>
              <w:t>15</w:t>
            </w:r>
            <w:r>
              <w:rPr>
                <w:rFonts w:hint="eastAsia" w:eastAsia="仿宋_GB2312" w:cs="Times New Roman"/>
                <w:color w:val="auto"/>
                <w:sz w:val="13"/>
                <w:szCs w:val="13"/>
                <w:highlight w:val="none"/>
                <w:lang w:val="en-US" w:eastAsia="zh-CN"/>
              </w:rPr>
              <w:t>.00</w:t>
            </w:r>
          </w:p>
        </w:tc>
        <w:tc>
          <w:tcPr>
            <w:tcW w:w="65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56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226" w:hRule="atLeast"/>
          <w:jc w:val="center"/>
        </w:trPr>
        <w:tc>
          <w:tcPr>
            <w:tcW w:w="502"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lang w:val="en-US" w:eastAsia="zh-CN"/>
              </w:rPr>
            </w:pPr>
            <w:r>
              <w:rPr>
                <w:rFonts w:hint="default" w:ascii="Times New Roman" w:hAnsi="Times New Roman" w:eastAsia="仿宋_GB2312" w:cs="Times New Roman"/>
                <w:color w:val="auto"/>
                <w:sz w:val="13"/>
                <w:szCs w:val="13"/>
                <w:highlight w:val="none"/>
                <w:lang w:val="en-US" w:eastAsia="zh-CN"/>
              </w:rPr>
              <w:t>221</w:t>
            </w:r>
          </w:p>
        </w:tc>
        <w:tc>
          <w:tcPr>
            <w:tcW w:w="549"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468"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106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r>
              <w:rPr>
                <w:rFonts w:hint="eastAsia" w:ascii="仿宋_GB2312" w:eastAsia="仿宋_GB2312"/>
                <w:color w:val="auto"/>
                <w:sz w:val="13"/>
                <w:szCs w:val="13"/>
                <w:highlight w:val="none"/>
              </w:rPr>
              <w:t>住房保障支出</w:t>
            </w:r>
          </w:p>
        </w:tc>
        <w:tc>
          <w:tcPr>
            <w:tcW w:w="696"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lang w:val="en-US" w:eastAsia="zh-CN"/>
              </w:rPr>
            </w:pPr>
            <w:r>
              <w:rPr>
                <w:rFonts w:hint="default" w:ascii="Times New Roman" w:hAnsi="Times New Roman" w:eastAsia="仿宋_GB2312" w:cs="Times New Roman"/>
                <w:color w:val="auto"/>
                <w:sz w:val="13"/>
                <w:szCs w:val="13"/>
                <w:highlight w:val="none"/>
                <w:lang w:val="en-US" w:eastAsia="zh-CN"/>
              </w:rPr>
              <w:t>128.02</w:t>
            </w:r>
          </w:p>
        </w:tc>
        <w:tc>
          <w:tcPr>
            <w:tcW w:w="881"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lang w:val="en-US" w:eastAsia="zh-CN"/>
              </w:rPr>
            </w:pPr>
            <w:r>
              <w:rPr>
                <w:rFonts w:hint="default" w:ascii="Times New Roman" w:hAnsi="Times New Roman" w:eastAsia="仿宋_GB2312" w:cs="Times New Roman"/>
                <w:color w:val="auto"/>
                <w:sz w:val="13"/>
                <w:szCs w:val="13"/>
                <w:highlight w:val="none"/>
                <w:lang w:val="en-US" w:eastAsia="zh-CN"/>
              </w:rPr>
              <w:t>63.02</w:t>
            </w:r>
          </w:p>
        </w:tc>
        <w:tc>
          <w:tcPr>
            <w:tcW w:w="782"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lang w:val="en-US" w:eastAsia="zh-CN"/>
              </w:rPr>
            </w:pPr>
            <w:r>
              <w:rPr>
                <w:rFonts w:hint="default" w:ascii="Times New Roman" w:hAnsi="Times New Roman" w:eastAsia="仿宋_GB2312" w:cs="Times New Roman"/>
                <w:color w:val="auto"/>
                <w:sz w:val="13"/>
                <w:szCs w:val="13"/>
                <w:highlight w:val="none"/>
                <w:lang w:val="en-US" w:eastAsia="zh-CN"/>
              </w:rPr>
              <w:t>63.02</w:t>
            </w:r>
          </w:p>
        </w:tc>
        <w:tc>
          <w:tcPr>
            <w:tcW w:w="503"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655"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712"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700"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884"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645"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593"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lang w:val="en-US" w:eastAsia="zh-CN"/>
              </w:rPr>
            </w:pPr>
            <w:r>
              <w:rPr>
                <w:rFonts w:hint="default" w:ascii="Times New Roman" w:hAnsi="Times New Roman" w:eastAsia="仿宋_GB2312" w:cs="Times New Roman"/>
                <w:color w:val="auto"/>
                <w:sz w:val="13"/>
                <w:szCs w:val="13"/>
                <w:highlight w:val="none"/>
                <w:lang w:val="en-US" w:eastAsia="zh-CN"/>
              </w:rPr>
              <w:t>65</w:t>
            </w:r>
            <w:r>
              <w:rPr>
                <w:rFonts w:hint="eastAsia" w:eastAsia="仿宋_GB2312" w:cs="Times New Roman"/>
                <w:color w:val="auto"/>
                <w:sz w:val="13"/>
                <w:szCs w:val="13"/>
                <w:highlight w:val="none"/>
                <w:lang w:val="en-US" w:eastAsia="zh-CN"/>
              </w:rPr>
              <w:t>.00</w:t>
            </w:r>
          </w:p>
        </w:tc>
        <w:tc>
          <w:tcPr>
            <w:tcW w:w="65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56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226" w:hRule="atLeast"/>
          <w:jc w:val="center"/>
        </w:trPr>
        <w:tc>
          <w:tcPr>
            <w:tcW w:w="502"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221</w:t>
            </w:r>
          </w:p>
        </w:tc>
        <w:tc>
          <w:tcPr>
            <w:tcW w:w="549"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02</w:t>
            </w:r>
          </w:p>
        </w:tc>
        <w:tc>
          <w:tcPr>
            <w:tcW w:w="468"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106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color w:val="auto"/>
                <w:sz w:val="13"/>
                <w:szCs w:val="13"/>
                <w:highlight w:val="none"/>
              </w:rPr>
              <w:t>住房改革支出</w:t>
            </w:r>
          </w:p>
        </w:tc>
        <w:tc>
          <w:tcPr>
            <w:tcW w:w="696"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128.02</w:t>
            </w:r>
          </w:p>
        </w:tc>
        <w:tc>
          <w:tcPr>
            <w:tcW w:w="881"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63.02</w:t>
            </w:r>
          </w:p>
        </w:tc>
        <w:tc>
          <w:tcPr>
            <w:tcW w:w="782"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63.02</w:t>
            </w:r>
          </w:p>
        </w:tc>
        <w:tc>
          <w:tcPr>
            <w:tcW w:w="503"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655"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712"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700"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884"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645"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593"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lang w:val="en-US" w:eastAsia="zh-CN"/>
              </w:rPr>
            </w:pPr>
            <w:r>
              <w:rPr>
                <w:rFonts w:hint="default" w:ascii="Times New Roman" w:hAnsi="Times New Roman" w:eastAsia="仿宋_GB2312" w:cs="Times New Roman"/>
                <w:color w:val="auto"/>
                <w:sz w:val="13"/>
                <w:szCs w:val="13"/>
                <w:highlight w:val="none"/>
                <w:lang w:val="en-US" w:eastAsia="zh-CN"/>
              </w:rPr>
              <w:t>65</w:t>
            </w:r>
            <w:r>
              <w:rPr>
                <w:rFonts w:hint="eastAsia" w:eastAsia="仿宋_GB2312" w:cs="Times New Roman"/>
                <w:color w:val="auto"/>
                <w:sz w:val="13"/>
                <w:szCs w:val="13"/>
                <w:highlight w:val="none"/>
                <w:lang w:val="en-US" w:eastAsia="zh-CN"/>
              </w:rPr>
              <w:t>.00</w:t>
            </w:r>
          </w:p>
        </w:tc>
        <w:tc>
          <w:tcPr>
            <w:tcW w:w="65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56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226" w:hRule="atLeast"/>
          <w:jc w:val="center"/>
        </w:trPr>
        <w:tc>
          <w:tcPr>
            <w:tcW w:w="502"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lang w:val="en-US" w:eastAsia="zh-CN"/>
              </w:rPr>
            </w:pPr>
            <w:r>
              <w:rPr>
                <w:rFonts w:hint="default" w:ascii="Times New Roman" w:hAnsi="Times New Roman" w:eastAsia="仿宋_GB2312" w:cs="Times New Roman"/>
                <w:color w:val="auto"/>
                <w:sz w:val="13"/>
                <w:szCs w:val="13"/>
                <w:highlight w:val="none"/>
                <w:lang w:val="en-US" w:eastAsia="zh-CN"/>
              </w:rPr>
              <w:t>221</w:t>
            </w:r>
          </w:p>
        </w:tc>
        <w:tc>
          <w:tcPr>
            <w:tcW w:w="549"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lang w:val="en-US" w:eastAsia="zh-CN"/>
              </w:rPr>
            </w:pPr>
            <w:r>
              <w:rPr>
                <w:rFonts w:hint="default" w:ascii="Times New Roman" w:hAnsi="Times New Roman" w:eastAsia="仿宋_GB2312" w:cs="Times New Roman"/>
                <w:color w:val="auto"/>
                <w:sz w:val="13"/>
                <w:szCs w:val="13"/>
                <w:highlight w:val="none"/>
                <w:lang w:val="en-US" w:eastAsia="zh-CN"/>
              </w:rPr>
              <w:t>02</w:t>
            </w:r>
          </w:p>
        </w:tc>
        <w:tc>
          <w:tcPr>
            <w:tcW w:w="468"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lang w:val="en-US" w:eastAsia="zh-CN"/>
              </w:rPr>
            </w:pPr>
            <w:r>
              <w:rPr>
                <w:rFonts w:hint="default" w:ascii="Times New Roman" w:hAnsi="Times New Roman" w:eastAsia="仿宋_GB2312" w:cs="Times New Roman"/>
                <w:color w:val="auto"/>
                <w:sz w:val="13"/>
                <w:szCs w:val="13"/>
                <w:highlight w:val="none"/>
                <w:lang w:val="en-US" w:eastAsia="zh-CN"/>
              </w:rPr>
              <w:t>01</w:t>
            </w:r>
          </w:p>
        </w:tc>
        <w:tc>
          <w:tcPr>
            <w:tcW w:w="1066"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r>
              <w:rPr>
                <w:rFonts w:hint="eastAsia" w:ascii="仿宋_GB2312" w:eastAsia="仿宋_GB2312"/>
                <w:color w:val="auto"/>
                <w:sz w:val="13"/>
                <w:szCs w:val="13"/>
                <w:highlight w:val="none"/>
              </w:rPr>
              <w:t>住房公积金</w:t>
            </w:r>
          </w:p>
        </w:tc>
        <w:tc>
          <w:tcPr>
            <w:tcW w:w="696"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128.02</w:t>
            </w:r>
          </w:p>
        </w:tc>
        <w:tc>
          <w:tcPr>
            <w:tcW w:w="881"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63.02</w:t>
            </w:r>
          </w:p>
        </w:tc>
        <w:tc>
          <w:tcPr>
            <w:tcW w:w="782"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r>
              <w:rPr>
                <w:rFonts w:hint="default" w:ascii="Times New Roman" w:hAnsi="Times New Roman" w:eastAsia="仿宋_GB2312" w:cs="Times New Roman"/>
                <w:color w:val="auto"/>
                <w:sz w:val="13"/>
                <w:szCs w:val="13"/>
                <w:highlight w:val="none"/>
                <w:lang w:val="en-US" w:eastAsia="zh-CN"/>
              </w:rPr>
              <w:t>63.02</w:t>
            </w:r>
          </w:p>
        </w:tc>
        <w:tc>
          <w:tcPr>
            <w:tcW w:w="503"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655"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712"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700"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884"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645"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rPr>
            </w:pPr>
          </w:p>
        </w:tc>
        <w:tc>
          <w:tcPr>
            <w:tcW w:w="593"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color w:val="auto"/>
                <w:sz w:val="13"/>
                <w:szCs w:val="13"/>
                <w:highlight w:val="none"/>
                <w:lang w:val="en-US" w:eastAsia="zh-CN"/>
              </w:rPr>
            </w:pPr>
            <w:r>
              <w:rPr>
                <w:rFonts w:hint="default" w:ascii="Times New Roman" w:hAnsi="Times New Roman" w:eastAsia="仿宋_GB2312" w:cs="Times New Roman"/>
                <w:color w:val="auto"/>
                <w:sz w:val="13"/>
                <w:szCs w:val="13"/>
                <w:highlight w:val="none"/>
                <w:lang w:val="en-US" w:eastAsia="zh-CN"/>
              </w:rPr>
              <w:t>65</w:t>
            </w:r>
            <w:r>
              <w:rPr>
                <w:rFonts w:hint="eastAsia" w:eastAsia="仿宋_GB2312" w:cs="Times New Roman"/>
                <w:color w:val="auto"/>
                <w:sz w:val="13"/>
                <w:szCs w:val="13"/>
                <w:highlight w:val="none"/>
                <w:lang w:val="en-US" w:eastAsia="zh-CN"/>
              </w:rPr>
              <w:t>.00</w:t>
            </w:r>
          </w:p>
        </w:tc>
        <w:tc>
          <w:tcPr>
            <w:tcW w:w="658"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c>
          <w:tcPr>
            <w:tcW w:w="56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r>
      <w:tr>
        <w:tblPrEx>
          <w:tblCellMar>
            <w:top w:w="0" w:type="dxa"/>
            <w:left w:w="108" w:type="dxa"/>
            <w:bottom w:w="0" w:type="dxa"/>
            <w:right w:w="108" w:type="dxa"/>
          </w:tblCellMar>
        </w:tblPrEx>
        <w:trPr>
          <w:trHeight w:val="258" w:hRule="atLeast"/>
          <w:jc w:val="center"/>
        </w:trPr>
        <w:tc>
          <w:tcPr>
            <w:tcW w:w="502"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54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468"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p>
        </w:tc>
        <w:tc>
          <w:tcPr>
            <w:tcW w:w="106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13"/>
                <w:szCs w:val="13"/>
                <w:highlight w:val="none"/>
              </w:rPr>
            </w:pPr>
            <w:r>
              <w:rPr>
                <w:rFonts w:hint="eastAsia" w:ascii="仿宋_GB2312" w:eastAsia="仿宋_GB2312"/>
                <w:b/>
                <w:bCs/>
                <w:color w:val="auto"/>
                <w:sz w:val="13"/>
                <w:szCs w:val="13"/>
                <w:highlight w:val="none"/>
              </w:rPr>
              <w:t>合  计</w:t>
            </w:r>
          </w:p>
        </w:tc>
        <w:tc>
          <w:tcPr>
            <w:tcW w:w="696"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b/>
                <w:bCs/>
                <w:color w:val="auto"/>
                <w:sz w:val="13"/>
                <w:szCs w:val="13"/>
                <w:highlight w:val="none"/>
              </w:rPr>
            </w:pPr>
            <w:r>
              <w:rPr>
                <w:rFonts w:hint="default" w:ascii="Times New Roman" w:hAnsi="Times New Roman" w:eastAsia="仿宋_GB2312" w:cs="Times New Roman"/>
                <w:b/>
                <w:bCs/>
                <w:color w:val="auto"/>
                <w:sz w:val="13"/>
                <w:szCs w:val="13"/>
                <w:highlight w:val="none"/>
                <w:lang w:val="en-US" w:eastAsia="zh-CN"/>
              </w:rPr>
              <w:t>1116.83</w:t>
            </w:r>
          </w:p>
        </w:tc>
        <w:tc>
          <w:tcPr>
            <w:tcW w:w="881"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b/>
                <w:bCs/>
                <w:color w:val="auto"/>
                <w:sz w:val="13"/>
                <w:szCs w:val="13"/>
                <w:highlight w:val="none"/>
              </w:rPr>
            </w:pPr>
            <w:r>
              <w:rPr>
                <w:rFonts w:hint="default" w:ascii="Times New Roman" w:hAnsi="Times New Roman" w:eastAsia="仿宋_GB2312" w:cs="Times New Roman"/>
                <w:b/>
                <w:bCs/>
                <w:color w:val="auto"/>
                <w:sz w:val="13"/>
                <w:szCs w:val="13"/>
                <w:highlight w:val="none"/>
                <w:lang w:val="en-US" w:eastAsia="zh-CN"/>
              </w:rPr>
              <w:t>802.63</w:t>
            </w:r>
          </w:p>
        </w:tc>
        <w:tc>
          <w:tcPr>
            <w:tcW w:w="782"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b/>
                <w:bCs/>
                <w:color w:val="auto"/>
                <w:sz w:val="13"/>
                <w:szCs w:val="13"/>
                <w:highlight w:val="none"/>
              </w:rPr>
            </w:pPr>
            <w:r>
              <w:rPr>
                <w:rFonts w:hint="default" w:ascii="Times New Roman" w:hAnsi="Times New Roman" w:eastAsia="仿宋_GB2312" w:cs="Times New Roman"/>
                <w:b/>
                <w:bCs/>
                <w:color w:val="auto"/>
                <w:sz w:val="13"/>
                <w:szCs w:val="13"/>
                <w:highlight w:val="none"/>
                <w:lang w:val="en-US" w:eastAsia="zh-CN"/>
              </w:rPr>
              <w:t>802.63</w:t>
            </w:r>
          </w:p>
        </w:tc>
        <w:tc>
          <w:tcPr>
            <w:tcW w:w="503"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b/>
                <w:bCs/>
                <w:color w:val="auto"/>
                <w:sz w:val="13"/>
                <w:szCs w:val="13"/>
                <w:highlight w:val="none"/>
              </w:rPr>
            </w:pPr>
          </w:p>
        </w:tc>
        <w:tc>
          <w:tcPr>
            <w:tcW w:w="655"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b/>
                <w:bCs/>
                <w:color w:val="auto"/>
                <w:sz w:val="13"/>
                <w:szCs w:val="13"/>
                <w:highlight w:val="none"/>
              </w:rPr>
            </w:pPr>
          </w:p>
        </w:tc>
        <w:tc>
          <w:tcPr>
            <w:tcW w:w="712"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b/>
                <w:bCs/>
                <w:color w:val="auto"/>
                <w:sz w:val="13"/>
                <w:szCs w:val="13"/>
                <w:highlight w:val="none"/>
              </w:rPr>
            </w:pPr>
          </w:p>
        </w:tc>
        <w:tc>
          <w:tcPr>
            <w:tcW w:w="700"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b/>
                <w:bCs/>
                <w:color w:val="auto"/>
                <w:sz w:val="13"/>
                <w:szCs w:val="13"/>
                <w:highlight w:val="none"/>
              </w:rPr>
            </w:pPr>
          </w:p>
        </w:tc>
        <w:tc>
          <w:tcPr>
            <w:tcW w:w="884"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b/>
                <w:bCs/>
                <w:color w:val="auto"/>
                <w:sz w:val="13"/>
                <w:szCs w:val="13"/>
                <w:highlight w:val="none"/>
              </w:rPr>
            </w:pPr>
          </w:p>
        </w:tc>
        <w:tc>
          <w:tcPr>
            <w:tcW w:w="645"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b/>
                <w:bCs/>
                <w:color w:val="auto"/>
                <w:sz w:val="13"/>
                <w:szCs w:val="13"/>
                <w:highlight w:val="none"/>
                <w:lang w:val="en-US" w:eastAsia="zh-CN"/>
              </w:rPr>
            </w:pPr>
          </w:p>
        </w:tc>
        <w:tc>
          <w:tcPr>
            <w:tcW w:w="593"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b/>
                <w:bCs/>
                <w:color w:val="auto"/>
                <w:sz w:val="13"/>
                <w:szCs w:val="13"/>
                <w:highlight w:val="none"/>
                <w:lang w:val="en-US" w:eastAsia="zh-CN"/>
              </w:rPr>
            </w:pPr>
            <w:r>
              <w:rPr>
                <w:rFonts w:hint="default" w:ascii="Times New Roman" w:hAnsi="Times New Roman" w:eastAsia="仿宋_GB2312" w:cs="Times New Roman"/>
                <w:b/>
                <w:bCs/>
                <w:color w:val="auto"/>
                <w:sz w:val="13"/>
                <w:szCs w:val="13"/>
                <w:highlight w:val="none"/>
                <w:lang w:val="en-US" w:eastAsia="zh-CN"/>
              </w:rPr>
              <w:t>300</w:t>
            </w:r>
            <w:r>
              <w:rPr>
                <w:rFonts w:hint="eastAsia" w:eastAsia="仿宋_GB2312" w:cs="Times New Roman"/>
                <w:b/>
                <w:bCs/>
                <w:color w:val="auto"/>
                <w:sz w:val="13"/>
                <w:szCs w:val="13"/>
                <w:highlight w:val="none"/>
                <w:lang w:val="en-US" w:eastAsia="zh-CN"/>
              </w:rPr>
              <w:t>.00</w:t>
            </w:r>
          </w:p>
        </w:tc>
        <w:tc>
          <w:tcPr>
            <w:tcW w:w="658"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b/>
                <w:bCs/>
                <w:color w:val="auto"/>
                <w:sz w:val="13"/>
                <w:szCs w:val="13"/>
                <w:highlight w:val="none"/>
                <w:lang w:val="en-US" w:eastAsia="zh-CN"/>
              </w:rPr>
            </w:pPr>
            <w:r>
              <w:rPr>
                <w:rFonts w:hint="default" w:ascii="Times New Roman" w:hAnsi="Times New Roman" w:eastAsia="仿宋_GB2312" w:cs="Times New Roman"/>
                <w:b/>
                <w:bCs/>
                <w:color w:val="auto"/>
                <w:sz w:val="13"/>
                <w:szCs w:val="13"/>
                <w:highlight w:val="none"/>
                <w:lang w:val="en-US" w:eastAsia="zh-CN"/>
              </w:rPr>
              <w:t>14.20</w:t>
            </w:r>
          </w:p>
        </w:tc>
        <w:tc>
          <w:tcPr>
            <w:tcW w:w="561"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13"/>
                <w:szCs w:val="13"/>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呼图壁县自然资源局</w:t>
      </w:r>
      <w:r>
        <w:rPr>
          <w:rFonts w:hint="eastAsia" w:ascii="仿宋_GB2312" w:hAnsi="宋体" w:eastAsia="仿宋_GB2312"/>
          <w:color w:val="auto"/>
          <w:kern w:val="0"/>
          <w:sz w:val="24"/>
          <w:highlight w:val="none"/>
        </w:rPr>
        <w:t xml:space="preserve">                                单位：万元</w:t>
      </w:r>
    </w:p>
    <w:tbl>
      <w:tblPr>
        <w:tblStyle w:val="10"/>
        <w:tblW w:w="9420" w:type="dxa"/>
        <w:jc w:val="center"/>
        <w:tblLayout w:type="autofit"/>
        <w:tblCellMar>
          <w:top w:w="0" w:type="dxa"/>
          <w:left w:w="108" w:type="dxa"/>
          <w:bottom w:w="0" w:type="dxa"/>
          <w:right w:w="108" w:type="dxa"/>
        </w:tblCellMar>
      </w:tblPr>
      <w:tblGrid>
        <w:gridCol w:w="531"/>
        <w:gridCol w:w="426"/>
        <w:gridCol w:w="426"/>
        <w:gridCol w:w="2531"/>
        <w:gridCol w:w="1819"/>
        <w:gridCol w:w="1820"/>
        <w:gridCol w:w="1867"/>
      </w:tblGrid>
      <w:tr>
        <w:tblPrEx>
          <w:tblCellMar>
            <w:top w:w="0" w:type="dxa"/>
            <w:left w:w="108" w:type="dxa"/>
            <w:bottom w:w="0" w:type="dxa"/>
            <w:right w:w="108" w:type="dxa"/>
          </w:tblCellMar>
        </w:tblPrEx>
        <w:trPr>
          <w:trHeight w:val="328" w:hRule="atLeast"/>
          <w:jc w:val="center"/>
        </w:trPr>
        <w:tc>
          <w:tcPr>
            <w:tcW w:w="3914"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06"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jc w:val="center"/>
        </w:trPr>
        <w:tc>
          <w:tcPr>
            <w:tcW w:w="1383"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31"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19"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20"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67"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jc w:val="center"/>
        </w:trPr>
        <w:tc>
          <w:tcPr>
            <w:tcW w:w="53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31"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1819"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1820"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1867"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jc w:val="center"/>
        </w:trPr>
        <w:tc>
          <w:tcPr>
            <w:tcW w:w="531"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b/>
                <w:bCs/>
                <w:color w:val="auto"/>
                <w:kern w:val="0"/>
                <w:sz w:val="21"/>
                <w:szCs w:val="21"/>
                <w:highlight w:val="none"/>
              </w:rPr>
            </w:pPr>
            <w:r>
              <w:rPr>
                <w:rFonts w:hint="default" w:ascii="Times New Roman" w:hAnsi="Times New Roman" w:eastAsia="仿宋_GB2312" w:cs="Times New Roman"/>
                <w:color w:val="auto"/>
                <w:sz w:val="21"/>
                <w:szCs w:val="21"/>
                <w:highlight w:val="none"/>
              </w:rPr>
              <w:t>208</w:t>
            </w:r>
          </w:p>
        </w:tc>
        <w:tc>
          <w:tcPr>
            <w:tcW w:w="426"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b/>
                <w:bCs/>
                <w:color w:val="auto"/>
                <w:kern w:val="0"/>
                <w:sz w:val="21"/>
                <w:szCs w:val="21"/>
                <w:highlight w:val="none"/>
              </w:rPr>
            </w:pPr>
          </w:p>
        </w:tc>
        <w:tc>
          <w:tcPr>
            <w:tcW w:w="426"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b/>
                <w:bCs/>
                <w:color w:val="auto"/>
                <w:kern w:val="0"/>
                <w:sz w:val="21"/>
                <w:szCs w:val="21"/>
                <w:highlight w:val="none"/>
              </w:rPr>
            </w:pPr>
          </w:p>
        </w:tc>
        <w:tc>
          <w:tcPr>
            <w:tcW w:w="2531" w:type="dxa"/>
            <w:tcBorders>
              <w:top w:val="nil"/>
              <w:left w:val="nil"/>
              <w:bottom w:val="single" w:color="auto" w:sz="4" w:space="0"/>
              <w:right w:val="single" w:color="auto" w:sz="4" w:space="0"/>
            </w:tcBorders>
            <w:noWrap w:val="0"/>
            <w:vAlign w:val="center"/>
          </w:tcPr>
          <w:p>
            <w:pPr>
              <w:tabs>
                <w:tab w:val="left" w:pos="340"/>
              </w:tabs>
              <w:jc w:val="center"/>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color w:val="auto"/>
                <w:sz w:val="21"/>
                <w:szCs w:val="21"/>
                <w:highlight w:val="none"/>
                <w:lang w:eastAsia="zh-CN"/>
              </w:rPr>
              <w:t>社会保障和就业支出</w:t>
            </w:r>
          </w:p>
        </w:tc>
        <w:tc>
          <w:tcPr>
            <w:tcW w:w="1819"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b w:val="0"/>
                <w:bCs w:val="0"/>
                <w:color w:val="auto"/>
                <w:kern w:val="0"/>
                <w:sz w:val="22"/>
                <w:szCs w:val="22"/>
                <w:highlight w:val="none"/>
                <w:lang w:val="en-US" w:eastAsia="zh-CN"/>
              </w:rPr>
            </w:pPr>
            <w:r>
              <w:rPr>
                <w:rFonts w:hint="default" w:ascii="Times New Roman" w:hAnsi="Times New Roman" w:eastAsia="仿宋_GB2312" w:cs="Times New Roman"/>
                <w:b w:val="0"/>
                <w:bCs w:val="0"/>
                <w:color w:val="auto"/>
                <w:kern w:val="0"/>
                <w:sz w:val="22"/>
                <w:szCs w:val="22"/>
                <w:highlight w:val="none"/>
                <w:lang w:val="en-US" w:eastAsia="zh-CN"/>
              </w:rPr>
              <w:t>93.42</w:t>
            </w:r>
          </w:p>
        </w:tc>
        <w:tc>
          <w:tcPr>
            <w:tcW w:w="1820"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b w:val="0"/>
                <w:bCs w:val="0"/>
                <w:color w:val="auto"/>
                <w:kern w:val="0"/>
                <w:sz w:val="22"/>
                <w:szCs w:val="22"/>
                <w:highlight w:val="none"/>
              </w:rPr>
            </w:pPr>
            <w:r>
              <w:rPr>
                <w:rFonts w:hint="default" w:ascii="Times New Roman" w:hAnsi="Times New Roman" w:eastAsia="仿宋_GB2312" w:cs="Times New Roman"/>
                <w:b w:val="0"/>
                <w:bCs w:val="0"/>
                <w:color w:val="auto"/>
                <w:kern w:val="0"/>
                <w:sz w:val="22"/>
                <w:szCs w:val="22"/>
                <w:highlight w:val="none"/>
                <w:lang w:val="en-US" w:eastAsia="zh-CN"/>
              </w:rPr>
              <w:t>93.42</w:t>
            </w:r>
          </w:p>
        </w:tc>
        <w:tc>
          <w:tcPr>
            <w:tcW w:w="1867"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b/>
                <w:bCs/>
                <w:color w:val="auto"/>
                <w:kern w:val="0"/>
                <w:sz w:val="22"/>
                <w:szCs w:val="22"/>
                <w:highlight w:val="none"/>
              </w:rPr>
            </w:pPr>
          </w:p>
        </w:tc>
      </w:tr>
      <w:tr>
        <w:tblPrEx>
          <w:tblCellMar>
            <w:top w:w="0" w:type="dxa"/>
            <w:left w:w="108" w:type="dxa"/>
            <w:bottom w:w="0" w:type="dxa"/>
            <w:right w:w="108" w:type="dxa"/>
          </w:tblCellMar>
        </w:tblPrEx>
        <w:trPr>
          <w:trHeight w:val="405" w:hRule="atLeast"/>
          <w:jc w:val="center"/>
        </w:trPr>
        <w:tc>
          <w:tcPr>
            <w:tcW w:w="531"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b/>
                <w:bCs/>
                <w:color w:val="auto"/>
                <w:kern w:val="0"/>
                <w:sz w:val="21"/>
                <w:szCs w:val="21"/>
                <w:highlight w:val="none"/>
              </w:rPr>
            </w:pPr>
            <w:r>
              <w:rPr>
                <w:rFonts w:hint="default" w:ascii="Times New Roman" w:hAnsi="Times New Roman" w:eastAsia="仿宋_GB2312" w:cs="Times New Roman"/>
                <w:color w:val="auto"/>
                <w:sz w:val="21"/>
                <w:szCs w:val="21"/>
                <w:highlight w:val="none"/>
                <w:lang w:val="en-US" w:eastAsia="zh-CN"/>
              </w:rPr>
              <w:t>208</w:t>
            </w:r>
          </w:p>
        </w:tc>
        <w:tc>
          <w:tcPr>
            <w:tcW w:w="426"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b/>
                <w:bCs/>
                <w:color w:val="auto"/>
                <w:kern w:val="0"/>
                <w:sz w:val="21"/>
                <w:szCs w:val="21"/>
                <w:highlight w:val="none"/>
              </w:rPr>
            </w:pPr>
            <w:r>
              <w:rPr>
                <w:rFonts w:hint="default" w:ascii="Times New Roman" w:hAnsi="Times New Roman" w:eastAsia="仿宋_GB2312" w:cs="Times New Roman"/>
                <w:color w:val="auto"/>
                <w:sz w:val="21"/>
                <w:szCs w:val="21"/>
                <w:highlight w:val="none"/>
                <w:lang w:val="en-US" w:eastAsia="zh-CN"/>
              </w:rPr>
              <w:t>05</w:t>
            </w:r>
          </w:p>
        </w:tc>
        <w:tc>
          <w:tcPr>
            <w:tcW w:w="426"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b/>
                <w:bCs/>
                <w:color w:val="auto"/>
                <w:kern w:val="0"/>
                <w:sz w:val="21"/>
                <w:szCs w:val="21"/>
                <w:highlight w:val="none"/>
              </w:rPr>
            </w:pPr>
          </w:p>
        </w:tc>
        <w:tc>
          <w:tcPr>
            <w:tcW w:w="253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color w:val="auto"/>
                <w:sz w:val="21"/>
                <w:szCs w:val="21"/>
                <w:highlight w:val="none"/>
              </w:rPr>
              <w:t>行政事业单位养老支出</w:t>
            </w:r>
          </w:p>
        </w:tc>
        <w:tc>
          <w:tcPr>
            <w:tcW w:w="1819"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b w:val="0"/>
                <w:bCs w:val="0"/>
                <w:color w:val="auto"/>
                <w:kern w:val="0"/>
                <w:sz w:val="22"/>
                <w:szCs w:val="22"/>
                <w:highlight w:val="none"/>
                <w:lang w:val="en-US" w:eastAsia="zh-CN"/>
              </w:rPr>
            </w:pPr>
            <w:r>
              <w:rPr>
                <w:rFonts w:hint="default" w:ascii="Times New Roman" w:hAnsi="Times New Roman" w:eastAsia="仿宋_GB2312" w:cs="Times New Roman"/>
                <w:b w:val="0"/>
                <w:bCs w:val="0"/>
                <w:color w:val="auto"/>
                <w:kern w:val="0"/>
                <w:sz w:val="22"/>
                <w:szCs w:val="22"/>
                <w:highlight w:val="none"/>
                <w:lang w:val="en-US" w:eastAsia="zh-CN"/>
              </w:rPr>
              <w:t>93.42</w:t>
            </w:r>
          </w:p>
        </w:tc>
        <w:tc>
          <w:tcPr>
            <w:tcW w:w="1820"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b w:val="0"/>
                <w:bCs w:val="0"/>
                <w:color w:val="auto"/>
                <w:kern w:val="0"/>
                <w:sz w:val="22"/>
                <w:szCs w:val="22"/>
                <w:highlight w:val="none"/>
              </w:rPr>
            </w:pPr>
            <w:r>
              <w:rPr>
                <w:rFonts w:hint="default" w:ascii="Times New Roman" w:hAnsi="Times New Roman" w:eastAsia="仿宋_GB2312" w:cs="Times New Roman"/>
                <w:b w:val="0"/>
                <w:bCs w:val="0"/>
                <w:color w:val="auto"/>
                <w:kern w:val="0"/>
                <w:sz w:val="22"/>
                <w:szCs w:val="22"/>
                <w:highlight w:val="none"/>
                <w:lang w:val="en-US" w:eastAsia="zh-CN"/>
              </w:rPr>
              <w:t>93.42</w:t>
            </w:r>
          </w:p>
        </w:tc>
        <w:tc>
          <w:tcPr>
            <w:tcW w:w="1867"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b/>
                <w:bCs/>
                <w:color w:val="auto"/>
                <w:kern w:val="0"/>
                <w:sz w:val="22"/>
                <w:szCs w:val="22"/>
                <w:highlight w:val="none"/>
              </w:rPr>
            </w:pPr>
          </w:p>
        </w:tc>
      </w:tr>
      <w:tr>
        <w:tblPrEx>
          <w:tblCellMar>
            <w:top w:w="0" w:type="dxa"/>
            <w:left w:w="108" w:type="dxa"/>
            <w:bottom w:w="0" w:type="dxa"/>
            <w:right w:w="108" w:type="dxa"/>
          </w:tblCellMar>
        </w:tblPrEx>
        <w:trPr>
          <w:trHeight w:val="405" w:hRule="atLeast"/>
          <w:jc w:val="center"/>
        </w:trPr>
        <w:tc>
          <w:tcPr>
            <w:tcW w:w="531"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b/>
                <w:bCs/>
                <w:color w:val="auto"/>
                <w:kern w:val="0"/>
                <w:sz w:val="21"/>
                <w:szCs w:val="21"/>
                <w:highlight w:val="none"/>
              </w:rPr>
            </w:pPr>
            <w:r>
              <w:rPr>
                <w:rFonts w:hint="default" w:ascii="Times New Roman" w:hAnsi="Times New Roman" w:eastAsia="仿宋_GB2312" w:cs="Times New Roman"/>
                <w:color w:val="auto"/>
                <w:sz w:val="21"/>
                <w:szCs w:val="21"/>
                <w:highlight w:val="none"/>
                <w:lang w:val="en-US" w:eastAsia="zh-CN"/>
              </w:rPr>
              <w:t>208</w:t>
            </w:r>
          </w:p>
        </w:tc>
        <w:tc>
          <w:tcPr>
            <w:tcW w:w="426" w:type="dxa"/>
            <w:tcBorders>
              <w:top w:val="nil"/>
              <w:left w:val="nil"/>
              <w:bottom w:val="single" w:color="auto" w:sz="4" w:space="0"/>
              <w:right w:val="single" w:color="auto" w:sz="4" w:space="0"/>
            </w:tcBorders>
            <w:noWrap w:val="0"/>
            <w:vAlign w:val="center"/>
          </w:tcPr>
          <w:p>
            <w:pPr>
              <w:tabs>
                <w:tab w:val="center" w:pos="100"/>
                <w:tab w:val="right" w:pos="521"/>
              </w:tabs>
              <w:jc w:val="center"/>
              <w:rPr>
                <w:rFonts w:hint="default" w:ascii="Times New Roman" w:hAnsi="Times New Roman" w:eastAsia="仿宋_GB2312" w:cs="Times New Roman"/>
                <w:b/>
                <w:bCs/>
                <w:color w:val="auto"/>
                <w:kern w:val="0"/>
                <w:sz w:val="21"/>
                <w:szCs w:val="21"/>
                <w:highlight w:val="none"/>
              </w:rPr>
            </w:pPr>
            <w:r>
              <w:rPr>
                <w:rFonts w:hint="default" w:ascii="Times New Roman" w:hAnsi="Times New Roman" w:eastAsia="仿宋_GB2312" w:cs="Times New Roman"/>
                <w:color w:val="auto"/>
                <w:sz w:val="21"/>
                <w:szCs w:val="21"/>
                <w:highlight w:val="none"/>
                <w:lang w:val="en-US" w:eastAsia="zh-CN"/>
              </w:rPr>
              <w:t>05</w:t>
            </w:r>
          </w:p>
        </w:tc>
        <w:tc>
          <w:tcPr>
            <w:tcW w:w="426" w:type="dxa"/>
            <w:tcBorders>
              <w:top w:val="nil"/>
              <w:left w:val="nil"/>
              <w:bottom w:val="single" w:color="auto" w:sz="4" w:space="0"/>
              <w:right w:val="single" w:color="auto" w:sz="4" w:space="0"/>
            </w:tcBorders>
            <w:noWrap w:val="0"/>
            <w:vAlign w:val="center"/>
          </w:tcPr>
          <w:p>
            <w:pPr>
              <w:tabs>
                <w:tab w:val="center" w:pos="100"/>
                <w:tab w:val="right" w:pos="521"/>
              </w:tabs>
              <w:jc w:val="center"/>
              <w:rPr>
                <w:rFonts w:hint="default" w:ascii="Times New Roman" w:hAnsi="Times New Roman" w:eastAsia="仿宋_GB2312" w:cs="Times New Roman"/>
                <w:b/>
                <w:bCs/>
                <w:color w:val="auto"/>
                <w:kern w:val="0"/>
                <w:sz w:val="21"/>
                <w:szCs w:val="21"/>
                <w:highlight w:val="none"/>
              </w:rPr>
            </w:pPr>
            <w:r>
              <w:rPr>
                <w:rFonts w:hint="default" w:ascii="Times New Roman" w:hAnsi="Times New Roman" w:eastAsia="仿宋_GB2312" w:cs="Times New Roman"/>
                <w:color w:val="auto"/>
                <w:sz w:val="21"/>
                <w:szCs w:val="21"/>
                <w:highlight w:val="none"/>
                <w:lang w:val="en-US" w:eastAsia="zh-CN"/>
              </w:rPr>
              <w:t>01</w:t>
            </w:r>
          </w:p>
        </w:tc>
        <w:tc>
          <w:tcPr>
            <w:tcW w:w="253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color w:val="auto"/>
                <w:sz w:val="21"/>
                <w:szCs w:val="21"/>
                <w:highlight w:val="none"/>
              </w:rPr>
              <w:t>行政单位离退休</w:t>
            </w:r>
          </w:p>
        </w:tc>
        <w:tc>
          <w:tcPr>
            <w:tcW w:w="1819"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b w:val="0"/>
                <w:bCs w:val="0"/>
                <w:color w:val="auto"/>
                <w:kern w:val="0"/>
                <w:sz w:val="22"/>
                <w:szCs w:val="22"/>
                <w:highlight w:val="none"/>
                <w:lang w:val="en-US"/>
              </w:rPr>
            </w:pPr>
            <w:r>
              <w:rPr>
                <w:rFonts w:hint="default" w:ascii="Times New Roman" w:hAnsi="Times New Roman" w:eastAsia="仿宋_GB2312" w:cs="Times New Roman"/>
                <w:b w:val="0"/>
                <w:bCs w:val="0"/>
                <w:color w:val="auto"/>
                <w:kern w:val="0"/>
                <w:sz w:val="22"/>
                <w:szCs w:val="22"/>
                <w:highlight w:val="none"/>
                <w:lang w:val="en-US" w:eastAsia="zh-CN"/>
              </w:rPr>
              <w:t>13.26</w:t>
            </w:r>
          </w:p>
        </w:tc>
        <w:tc>
          <w:tcPr>
            <w:tcW w:w="1820"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b w:val="0"/>
                <w:bCs w:val="0"/>
                <w:color w:val="auto"/>
                <w:kern w:val="0"/>
                <w:sz w:val="22"/>
                <w:szCs w:val="22"/>
                <w:highlight w:val="none"/>
                <w:lang w:val="en-US" w:eastAsia="zh-CN"/>
              </w:rPr>
            </w:pPr>
            <w:r>
              <w:rPr>
                <w:rFonts w:hint="default" w:ascii="Times New Roman" w:hAnsi="Times New Roman" w:eastAsia="仿宋_GB2312" w:cs="Times New Roman"/>
                <w:b w:val="0"/>
                <w:bCs w:val="0"/>
                <w:color w:val="auto"/>
                <w:kern w:val="0"/>
                <w:sz w:val="22"/>
                <w:szCs w:val="22"/>
                <w:highlight w:val="none"/>
                <w:lang w:val="en-US" w:eastAsia="zh-CN"/>
              </w:rPr>
              <w:t>13.26</w:t>
            </w:r>
          </w:p>
        </w:tc>
        <w:tc>
          <w:tcPr>
            <w:tcW w:w="1867"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b/>
                <w:bCs/>
                <w:color w:val="auto"/>
                <w:kern w:val="0"/>
                <w:sz w:val="22"/>
                <w:szCs w:val="22"/>
                <w:highlight w:val="none"/>
              </w:rPr>
            </w:pPr>
          </w:p>
        </w:tc>
      </w:tr>
      <w:tr>
        <w:tblPrEx>
          <w:tblCellMar>
            <w:top w:w="0" w:type="dxa"/>
            <w:left w:w="108" w:type="dxa"/>
            <w:bottom w:w="0" w:type="dxa"/>
            <w:right w:w="108" w:type="dxa"/>
          </w:tblCellMar>
        </w:tblPrEx>
        <w:trPr>
          <w:trHeight w:val="405" w:hRule="atLeast"/>
          <w:jc w:val="center"/>
        </w:trPr>
        <w:tc>
          <w:tcPr>
            <w:tcW w:w="531" w:type="dxa"/>
            <w:tcBorders>
              <w:top w:val="nil"/>
              <w:left w:val="single" w:color="auto" w:sz="4" w:space="0"/>
              <w:bottom w:val="single" w:color="auto" w:sz="4" w:space="0"/>
              <w:right w:val="single" w:color="auto" w:sz="4" w:space="0"/>
            </w:tcBorders>
            <w:noWrap w:val="0"/>
            <w:vAlign w:val="center"/>
          </w:tcPr>
          <w:p>
            <w:pPr>
              <w:tabs>
                <w:tab w:val="center" w:pos="158"/>
                <w:tab w:val="right" w:pos="637"/>
              </w:tabs>
              <w:jc w:val="center"/>
              <w:rPr>
                <w:rFonts w:hint="default" w:ascii="Times New Roman" w:hAnsi="Times New Roman" w:eastAsia="仿宋_GB2312" w:cs="Times New Roman"/>
                <w:b/>
                <w:bCs/>
                <w:color w:val="auto"/>
                <w:kern w:val="0"/>
                <w:sz w:val="21"/>
                <w:szCs w:val="21"/>
                <w:highlight w:val="none"/>
              </w:rPr>
            </w:pPr>
            <w:r>
              <w:rPr>
                <w:rFonts w:hint="default" w:ascii="Times New Roman" w:hAnsi="Times New Roman" w:eastAsia="仿宋_GB2312" w:cs="Times New Roman"/>
                <w:color w:val="auto"/>
                <w:sz w:val="21"/>
                <w:szCs w:val="21"/>
                <w:highlight w:val="none"/>
                <w:lang w:val="en-US" w:eastAsia="zh-CN"/>
              </w:rPr>
              <w:t>208</w:t>
            </w:r>
          </w:p>
        </w:tc>
        <w:tc>
          <w:tcPr>
            <w:tcW w:w="426" w:type="dxa"/>
            <w:tcBorders>
              <w:top w:val="nil"/>
              <w:left w:val="nil"/>
              <w:bottom w:val="single" w:color="auto" w:sz="4" w:space="0"/>
              <w:right w:val="single" w:color="auto" w:sz="4" w:space="0"/>
            </w:tcBorders>
            <w:noWrap w:val="0"/>
            <w:vAlign w:val="center"/>
          </w:tcPr>
          <w:p>
            <w:pPr>
              <w:tabs>
                <w:tab w:val="center" w:pos="100"/>
                <w:tab w:val="right" w:pos="521"/>
              </w:tabs>
              <w:jc w:val="center"/>
              <w:rPr>
                <w:rFonts w:hint="default" w:ascii="Times New Roman" w:hAnsi="Times New Roman" w:eastAsia="仿宋_GB2312" w:cs="Times New Roman"/>
                <w:b/>
                <w:bCs/>
                <w:color w:val="auto"/>
                <w:kern w:val="0"/>
                <w:sz w:val="21"/>
                <w:szCs w:val="21"/>
                <w:highlight w:val="none"/>
              </w:rPr>
            </w:pPr>
            <w:r>
              <w:rPr>
                <w:rFonts w:hint="default" w:ascii="Times New Roman" w:hAnsi="Times New Roman" w:eastAsia="仿宋_GB2312" w:cs="Times New Roman"/>
                <w:color w:val="auto"/>
                <w:sz w:val="21"/>
                <w:szCs w:val="21"/>
                <w:highlight w:val="none"/>
                <w:lang w:val="en-US" w:eastAsia="zh-CN"/>
              </w:rPr>
              <w:t>05</w:t>
            </w:r>
          </w:p>
        </w:tc>
        <w:tc>
          <w:tcPr>
            <w:tcW w:w="426"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b/>
                <w:bCs/>
                <w:color w:val="auto"/>
                <w:kern w:val="0"/>
                <w:sz w:val="21"/>
                <w:szCs w:val="21"/>
                <w:highlight w:val="none"/>
              </w:rPr>
            </w:pPr>
            <w:r>
              <w:rPr>
                <w:rFonts w:hint="default" w:ascii="Times New Roman" w:hAnsi="Times New Roman" w:eastAsia="仿宋_GB2312" w:cs="Times New Roman"/>
                <w:color w:val="auto"/>
                <w:sz w:val="21"/>
                <w:szCs w:val="21"/>
                <w:highlight w:val="none"/>
                <w:lang w:val="en-US" w:eastAsia="zh-CN"/>
              </w:rPr>
              <w:t>05</w:t>
            </w:r>
          </w:p>
        </w:tc>
        <w:tc>
          <w:tcPr>
            <w:tcW w:w="253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color w:val="auto"/>
                <w:sz w:val="21"/>
                <w:szCs w:val="21"/>
                <w:highlight w:val="none"/>
              </w:rPr>
              <w:t>机关事业单位基本养老保险缴费支出</w:t>
            </w:r>
          </w:p>
        </w:tc>
        <w:tc>
          <w:tcPr>
            <w:tcW w:w="1819"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b w:val="0"/>
                <w:bCs w:val="0"/>
                <w:color w:val="auto"/>
                <w:kern w:val="0"/>
                <w:sz w:val="22"/>
                <w:szCs w:val="22"/>
                <w:highlight w:val="none"/>
                <w:lang w:val="en-US" w:eastAsia="zh-CN"/>
              </w:rPr>
            </w:pPr>
            <w:r>
              <w:rPr>
                <w:rFonts w:hint="default" w:ascii="Times New Roman" w:hAnsi="Times New Roman" w:eastAsia="仿宋_GB2312" w:cs="Times New Roman"/>
                <w:b w:val="0"/>
                <w:bCs w:val="0"/>
                <w:color w:val="auto"/>
                <w:kern w:val="0"/>
                <w:sz w:val="22"/>
                <w:szCs w:val="22"/>
                <w:highlight w:val="none"/>
                <w:lang w:val="en-US" w:eastAsia="zh-CN"/>
              </w:rPr>
              <w:t>80.16</w:t>
            </w:r>
          </w:p>
        </w:tc>
        <w:tc>
          <w:tcPr>
            <w:tcW w:w="1820"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b w:val="0"/>
                <w:bCs w:val="0"/>
                <w:color w:val="auto"/>
                <w:kern w:val="0"/>
                <w:sz w:val="22"/>
                <w:szCs w:val="22"/>
                <w:highlight w:val="none"/>
              </w:rPr>
            </w:pPr>
            <w:r>
              <w:rPr>
                <w:rFonts w:hint="default" w:ascii="Times New Roman" w:hAnsi="Times New Roman" w:eastAsia="仿宋_GB2312" w:cs="Times New Roman"/>
                <w:b w:val="0"/>
                <w:bCs w:val="0"/>
                <w:color w:val="auto"/>
                <w:kern w:val="0"/>
                <w:sz w:val="22"/>
                <w:szCs w:val="22"/>
                <w:highlight w:val="none"/>
                <w:lang w:val="en-US" w:eastAsia="zh-CN"/>
              </w:rPr>
              <w:t>80.16</w:t>
            </w:r>
          </w:p>
        </w:tc>
        <w:tc>
          <w:tcPr>
            <w:tcW w:w="1867"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b/>
                <w:bCs/>
                <w:color w:val="auto"/>
                <w:kern w:val="0"/>
                <w:sz w:val="22"/>
                <w:szCs w:val="22"/>
                <w:highlight w:val="none"/>
              </w:rPr>
            </w:pPr>
          </w:p>
        </w:tc>
      </w:tr>
      <w:tr>
        <w:tblPrEx>
          <w:tblCellMar>
            <w:top w:w="0" w:type="dxa"/>
            <w:left w:w="108" w:type="dxa"/>
            <w:bottom w:w="0" w:type="dxa"/>
            <w:right w:w="108" w:type="dxa"/>
          </w:tblCellMar>
        </w:tblPrEx>
        <w:trPr>
          <w:trHeight w:val="405" w:hRule="atLeast"/>
          <w:jc w:val="center"/>
        </w:trPr>
        <w:tc>
          <w:tcPr>
            <w:tcW w:w="531"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b/>
                <w:bCs/>
                <w:color w:val="auto"/>
                <w:kern w:val="0"/>
                <w:sz w:val="21"/>
                <w:szCs w:val="21"/>
                <w:highlight w:val="none"/>
              </w:rPr>
            </w:pPr>
            <w:r>
              <w:rPr>
                <w:rFonts w:hint="default" w:ascii="Times New Roman" w:hAnsi="Times New Roman" w:eastAsia="仿宋_GB2312" w:cs="Times New Roman"/>
                <w:color w:val="auto"/>
                <w:sz w:val="21"/>
                <w:szCs w:val="21"/>
                <w:highlight w:val="none"/>
                <w:lang w:val="en-US" w:eastAsia="zh-CN"/>
              </w:rPr>
              <w:t>210</w:t>
            </w:r>
          </w:p>
        </w:tc>
        <w:tc>
          <w:tcPr>
            <w:tcW w:w="426"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b/>
                <w:bCs/>
                <w:color w:val="auto"/>
                <w:kern w:val="0"/>
                <w:sz w:val="21"/>
                <w:szCs w:val="21"/>
                <w:highlight w:val="none"/>
              </w:rPr>
            </w:pPr>
          </w:p>
        </w:tc>
        <w:tc>
          <w:tcPr>
            <w:tcW w:w="426"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b/>
                <w:bCs/>
                <w:color w:val="auto"/>
                <w:kern w:val="0"/>
                <w:sz w:val="21"/>
                <w:szCs w:val="21"/>
                <w:highlight w:val="none"/>
              </w:rPr>
            </w:pPr>
          </w:p>
        </w:tc>
        <w:tc>
          <w:tcPr>
            <w:tcW w:w="253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color w:val="auto"/>
                <w:sz w:val="21"/>
                <w:szCs w:val="21"/>
                <w:highlight w:val="none"/>
              </w:rPr>
              <w:t>卫生健康支出</w:t>
            </w:r>
          </w:p>
        </w:tc>
        <w:tc>
          <w:tcPr>
            <w:tcW w:w="1819"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b w:val="0"/>
                <w:bCs w:val="0"/>
                <w:color w:val="auto"/>
                <w:kern w:val="0"/>
                <w:sz w:val="22"/>
                <w:szCs w:val="22"/>
                <w:highlight w:val="none"/>
                <w:lang w:val="en-US" w:eastAsia="zh-CN"/>
              </w:rPr>
            </w:pPr>
            <w:r>
              <w:rPr>
                <w:rFonts w:hint="default" w:ascii="Times New Roman" w:hAnsi="Times New Roman" w:eastAsia="仿宋_GB2312" w:cs="Times New Roman"/>
                <w:b w:val="0"/>
                <w:bCs w:val="0"/>
                <w:color w:val="auto"/>
                <w:kern w:val="0"/>
                <w:sz w:val="22"/>
                <w:szCs w:val="22"/>
                <w:highlight w:val="none"/>
                <w:lang w:val="en-US" w:eastAsia="zh-CN"/>
              </w:rPr>
              <w:t>61.60</w:t>
            </w:r>
          </w:p>
        </w:tc>
        <w:tc>
          <w:tcPr>
            <w:tcW w:w="1820"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b w:val="0"/>
                <w:bCs w:val="0"/>
                <w:color w:val="auto"/>
                <w:kern w:val="0"/>
                <w:sz w:val="22"/>
                <w:szCs w:val="22"/>
                <w:highlight w:val="none"/>
                <w:lang w:val="en-US"/>
              </w:rPr>
            </w:pPr>
            <w:r>
              <w:rPr>
                <w:rFonts w:hint="default" w:ascii="Times New Roman" w:hAnsi="Times New Roman" w:eastAsia="仿宋_GB2312" w:cs="Times New Roman"/>
                <w:b w:val="0"/>
                <w:bCs w:val="0"/>
                <w:color w:val="auto"/>
                <w:kern w:val="0"/>
                <w:sz w:val="22"/>
                <w:szCs w:val="22"/>
                <w:highlight w:val="none"/>
                <w:lang w:val="en-US" w:eastAsia="zh-CN"/>
              </w:rPr>
              <w:t>61</w:t>
            </w:r>
            <w:r>
              <w:rPr>
                <w:rFonts w:hint="eastAsia" w:eastAsia="仿宋_GB2312" w:cs="Times New Roman"/>
                <w:b w:val="0"/>
                <w:bCs w:val="0"/>
                <w:color w:val="auto"/>
                <w:kern w:val="0"/>
                <w:sz w:val="22"/>
                <w:szCs w:val="22"/>
                <w:highlight w:val="none"/>
                <w:lang w:val="en-US" w:eastAsia="zh-CN"/>
              </w:rPr>
              <w:t>.</w:t>
            </w:r>
            <w:r>
              <w:rPr>
                <w:rFonts w:hint="default" w:ascii="Times New Roman" w:hAnsi="Times New Roman" w:eastAsia="仿宋_GB2312" w:cs="Times New Roman"/>
                <w:b w:val="0"/>
                <w:bCs w:val="0"/>
                <w:color w:val="auto"/>
                <w:kern w:val="0"/>
                <w:sz w:val="22"/>
                <w:szCs w:val="22"/>
                <w:highlight w:val="none"/>
                <w:lang w:val="en-US" w:eastAsia="zh-CN"/>
              </w:rPr>
              <w:t>6</w:t>
            </w:r>
            <w:r>
              <w:rPr>
                <w:rFonts w:hint="eastAsia" w:eastAsia="仿宋_GB2312" w:cs="Times New Roman"/>
                <w:b w:val="0"/>
                <w:bCs w:val="0"/>
                <w:color w:val="auto"/>
                <w:kern w:val="0"/>
                <w:sz w:val="22"/>
                <w:szCs w:val="22"/>
                <w:highlight w:val="none"/>
                <w:lang w:val="en-US" w:eastAsia="zh-CN"/>
              </w:rPr>
              <w:t>0</w:t>
            </w:r>
          </w:p>
        </w:tc>
        <w:tc>
          <w:tcPr>
            <w:tcW w:w="1867"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b/>
                <w:bCs/>
                <w:color w:val="auto"/>
                <w:kern w:val="0"/>
                <w:sz w:val="22"/>
                <w:szCs w:val="22"/>
                <w:highlight w:val="none"/>
              </w:rPr>
            </w:pPr>
          </w:p>
        </w:tc>
      </w:tr>
      <w:tr>
        <w:tblPrEx>
          <w:tblCellMar>
            <w:top w:w="0" w:type="dxa"/>
            <w:left w:w="108" w:type="dxa"/>
            <w:bottom w:w="0" w:type="dxa"/>
            <w:right w:w="108" w:type="dxa"/>
          </w:tblCellMar>
        </w:tblPrEx>
        <w:trPr>
          <w:trHeight w:val="405" w:hRule="atLeast"/>
          <w:jc w:val="center"/>
        </w:trPr>
        <w:tc>
          <w:tcPr>
            <w:tcW w:w="531"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b/>
                <w:bCs/>
                <w:color w:val="auto"/>
                <w:kern w:val="0"/>
                <w:sz w:val="21"/>
                <w:szCs w:val="21"/>
                <w:highlight w:val="none"/>
              </w:rPr>
            </w:pPr>
            <w:r>
              <w:rPr>
                <w:rFonts w:hint="default" w:ascii="Times New Roman" w:hAnsi="Times New Roman" w:eastAsia="仿宋_GB2312" w:cs="Times New Roman"/>
                <w:color w:val="auto"/>
                <w:sz w:val="21"/>
                <w:szCs w:val="21"/>
                <w:highlight w:val="none"/>
                <w:lang w:val="en-US" w:eastAsia="zh-CN"/>
              </w:rPr>
              <w:t>210</w:t>
            </w:r>
          </w:p>
        </w:tc>
        <w:tc>
          <w:tcPr>
            <w:tcW w:w="426"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b/>
                <w:bCs/>
                <w:color w:val="auto"/>
                <w:kern w:val="0"/>
                <w:sz w:val="21"/>
                <w:szCs w:val="21"/>
                <w:highlight w:val="none"/>
              </w:rPr>
            </w:pPr>
            <w:r>
              <w:rPr>
                <w:rFonts w:hint="default" w:ascii="Times New Roman" w:hAnsi="Times New Roman" w:eastAsia="仿宋_GB2312" w:cs="Times New Roman"/>
                <w:color w:val="auto"/>
                <w:sz w:val="21"/>
                <w:szCs w:val="21"/>
                <w:highlight w:val="none"/>
                <w:lang w:val="en-US" w:eastAsia="zh-CN"/>
              </w:rPr>
              <w:t>11</w:t>
            </w:r>
          </w:p>
        </w:tc>
        <w:tc>
          <w:tcPr>
            <w:tcW w:w="426"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b/>
                <w:bCs/>
                <w:color w:val="auto"/>
                <w:kern w:val="0"/>
                <w:sz w:val="21"/>
                <w:szCs w:val="21"/>
                <w:highlight w:val="none"/>
              </w:rPr>
            </w:pPr>
          </w:p>
        </w:tc>
        <w:tc>
          <w:tcPr>
            <w:tcW w:w="2531" w:type="dxa"/>
            <w:tcBorders>
              <w:top w:val="nil"/>
              <w:left w:val="nil"/>
              <w:bottom w:val="single" w:color="auto" w:sz="4" w:space="0"/>
              <w:right w:val="single" w:color="auto" w:sz="4" w:space="0"/>
            </w:tcBorders>
            <w:noWrap w:val="0"/>
            <w:vAlign w:val="center"/>
          </w:tcPr>
          <w:p>
            <w:pPr>
              <w:tabs>
                <w:tab w:val="left" w:pos="295"/>
              </w:tabs>
              <w:jc w:val="center"/>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color w:val="auto"/>
                <w:sz w:val="21"/>
                <w:szCs w:val="21"/>
                <w:highlight w:val="none"/>
                <w:lang w:eastAsia="zh-CN"/>
              </w:rPr>
              <w:t>行政事业单位医疗</w:t>
            </w:r>
          </w:p>
        </w:tc>
        <w:tc>
          <w:tcPr>
            <w:tcW w:w="1819"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b w:val="0"/>
                <w:bCs w:val="0"/>
                <w:color w:val="auto"/>
                <w:kern w:val="0"/>
                <w:sz w:val="22"/>
                <w:szCs w:val="22"/>
                <w:highlight w:val="none"/>
                <w:lang w:val="en-US" w:eastAsia="zh-CN"/>
              </w:rPr>
            </w:pPr>
            <w:r>
              <w:rPr>
                <w:rFonts w:hint="default" w:ascii="Times New Roman" w:hAnsi="Times New Roman" w:eastAsia="仿宋_GB2312" w:cs="Times New Roman"/>
                <w:b w:val="0"/>
                <w:bCs w:val="0"/>
                <w:color w:val="auto"/>
                <w:kern w:val="0"/>
                <w:sz w:val="22"/>
                <w:szCs w:val="22"/>
                <w:highlight w:val="none"/>
                <w:lang w:val="en-US" w:eastAsia="zh-CN"/>
              </w:rPr>
              <w:t>61.60</w:t>
            </w:r>
          </w:p>
        </w:tc>
        <w:tc>
          <w:tcPr>
            <w:tcW w:w="1820"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b w:val="0"/>
                <w:bCs w:val="0"/>
                <w:color w:val="auto"/>
                <w:kern w:val="0"/>
                <w:sz w:val="22"/>
                <w:szCs w:val="22"/>
                <w:highlight w:val="none"/>
              </w:rPr>
            </w:pPr>
            <w:r>
              <w:rPr>
                <w:rFonts w:hint="default" w:ascii="Times New Roman" w:hAnsi="Times New Roman" w:eastAsia="仿宋_GB2312" w:cs="Times New Roman"/>
                <w:b w:val="0"/>
                <w:bCs w:val="0"/>
                <w:color w:val="auto"/>
                <w:kern w:val="0"/>
                <w:sz w:val="22"/>
                <w:szCs w:val="22"/>
                <w:highlight w:val="none"/>
                <w:lang w:val="en-US" w:eastAsia="zh-CN"/>
              </w:rPr>
              <w:t>61.60</w:t>
            </w:r>
          </w:p>
        </w:tc>
        <w:tc>
          <w:tcPr>
            <w:tcW w:w="1867"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b/>
                <w:bCs/>
                <w:color w:val="auto"/>
                <w:kern w:val="0"/>
                <w:sz w:val="22"/>
                <w:szCs w:val="22"/>
                <w:highlight w:val="none"/>
              </w:rPr>
            </w:pPr>
          </w:p>
        </w:tc>
      </w:tr>
      <w:tr>
        <w:tblPrEx>
          <w:tblCellMar>
            <w:top w:w="0" w:type="dxa"/>
            <w:left w:w="108" w:type="dxa"/>
            <w:bottom w:w="0" w:type="dxa"/>
            <w:right w:w="108" w:type="dxa"/>
          </w:tblCellMar>
        </w:tblPrEx>
        <w:trPr>
          <w:trHeight w:val="405" w:hRule="atLeast"/>
          <w:jc w:val="center"/>
        </w:trPr>
        <w:tc>
          <w:tcPr>
            <w:tcW w:w="531"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b/>
                <w:bCs/>
                <w:color w:val="auto"/>
                <w:kern w:val="0"/>
                <w:sz w:val="21"/>
                <w:szCs w:val="21"/>
                <w:highlight w:val="none"/>
              </w:rPr>
            </w:pPr>
            <w:r>
              <w:rPr>
                <w:rFonts w:hint="default" w:ascii="Times New Roman" w:hAnsi="Times New Roman" w:eastAsia="仿宋_GB2312" w:cs="Times New Roman"/>
                <w:color w:val="auto"/>
                <w:sz w:val="21"/>
                <w:szCs w:val="21"/>
                <w:highlight w:val="none"/>
                <w:lang w:val="en-US" w:eastAsia="zh-CN"/>
              </w:rPr>
              <w:t>210</w:t>
            </w:r>
          </w:p>
        </w:tc>
        <w:tc>
          <w:tcPr>
            <w:tcW w:w="426"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b/>
                <w:bCs/>
                <w:color w:val="auto"/>
                <w:kern w:val="0"/>
                <w:sz w:val="21"/>
                <w:szCs w:val="21"/>
                <w:highlight w:val="none"/>
              </w:rPr>
            </w:pPr>
            <w:r>
              <w:rPr>
                <w:rFonts w:hint="default" w:ascii="Times New Roman" w:hAnsi="Times New Roman" w:eastAsia="仿宋_GB2312" w:cs="Times New Roman"/>
                <w:color w:val="auto"/>
                <w:sz w:val="21"/>
                <w:szCs w:val="21"/>
                <w:highlight w:val="none"/>
                <w:lang w:val="en-US" w:eastAsia="zh-CN"/>
              </w:rPr>
              <w:t>11</w:t>
            </w:r>
          </w:p>
        </w:tc>
        <w:tc>
          <w:tcPr>
            <w:tcW w:w="426"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b/>
                <w:bCs/>
                <w:color w:val="auto"/>
                <w:kern w:val="0"/>
                <w:sz w:val="21"/>
                <w:szCs w:val="21"/>
                <w:highlight w:val="none"/>
              </w:rPr>
            </w:pPr>
            <w:r>
              <w:rPr>
                <w:rFonts w:hint="default" w:ascii="Times New Roman" w:hAnsi="Times New Roman" w:eastAsia="仿宋_GB2312" w:cs="Times New Roman"/>
                <w:color w:val="auto"/>
                <w:sz w:val="21"/>
                <w:szCs w:val="21"/>
                <w:highlight w:val="none"/>
                <w:lang w:val="en-US" w:eastAsia="zh-CN"/>
              </w:rPr>
              <w:t>01</w:t>
            </w:r>
          </w:p>
        </w:tc>
        <w:tc>
          <w:tcPr>
            <w:tcW w:w="253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color w:val="auto"/>
                <w:sz w:val="21"/>
                <w:szCs w:val="21"/>
                <w:highlight w:val="none"/>
              </w:rPr>
              <w:t>行政单位医疗</w:t>
            </w:r>
          </w:p>
        </w:tc>
        <w:tc>
          <w:tcPr>
            <w:tcW w:w="1819"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b w:val="0"/>
                <w:bCs w:val="0"/>
                <w:color w:val="auto"/>
                <w:kern w:val="0"/>
                <w:sz w:val="22"/>
                <w:szCs w:val="22"/>
                <w:highlight w:val="none"/>
                <w:lang w:val="en-US" w:eastAsia="zh-CN"/>
              </w:rPr>
            </w:pPr>
            <w:r>
              <w:rPr>
                <w:rFonts w:hint="default" w:ascii="Times New Roman" w:hAnsi="Times New Roman" w:eastAsia="仿宋_GB2312" w:cs="Times New Roman"/>
                <w:b w:val="0"/>
                <w:bCs w:val="0"/>
                <w:color w:val="auto"/>
                <w:kern w:val="0"/>
                <w:sz w:val="22"/>
                <w:szCs w:val="22"/>
                <w:highlight w:val="none"/>
                <w:lang w:val="en-US" w:eastAsia="zh-CN"/>
              </w:rPr>
              <w:t>28.07</w:t>
            </w:r>
          </w:p>
        </w:tc>
        <w:tc>
          <w:tcPr>
            <w:tcW w:w="1820"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b w:val="0"/>
                <w:bCs w:val="0"/>
                <w:color w:val="auto"/>
                <w:kern w:val="0"/>
                <w:sz w:val="22"/>
                <w:szCs w:val="22"/>
                <w:highlight w:val="none"/>
              </w:rPr>
            </w:pPr>
            <w:r>
              <w:rPr>
                <w:rFonts w:hint="default" w:ascii="Times New Roman" w:hAnsi="Times New Roman" w:eastAsia="仿宋_GB2312" w:cs="Times New Roman"/>
                <w:b w:val="0"/>
                <w:bCs w:val="0"/>
                <w:color w:val="auto"/>
                <w:kern w:val="0"/>
                <w:sz w:val="22"/>
                <w:szCs w:val="22"/>
                <w:highlight w:val="none"/>
                <w:lang w:val="en-US" w:eastAsia="zh-CN"/>
              </w:rPr>
              <w:t>28.07</w:t>
            </w:r>
          </w:p>
        </w:tc>
        <w:tc>
          <w:tcPr>
            <w:tcW w:w="1867"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b/>
                <w:bCs/>
                <w:color w:val="auto"/>
                <w:kern w:val="0"/>
                <w:sz w:val="22"/>
                <w:szCs w:val="22"/>
                <w:highlight w:val="none"/>
              </w:rPr>
            </w:pPr>
          </w:p>
        </w:tc>
      </w:tr>
      <w:tr>
        <w:tblPrEx>
          <w:tblCellMar>
            <w:top w:w="0" w:type="dxa"/>
            <w:left w:w="108" w:type="dxa"/>
            <w:bottom w:w="0" w:type="dxa"/>
            <w:right w:w="108" w:type="dxa"/>
          </w:tblCellMar>
        </w:tblPrEx>
        <w:trPr>
          <w:trHeight w:val="405" w:hRule="atLeast"/>
          <w:jc w:val="center"/>
        </w:trPr>
        <w:tc>
          <w:tcPr>
            <w:tcW w:w="531"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b/>
                <w:bCs/>
                <w:color w:val="auto"/>
                <w:kern w:val="0"/>
                <w:sz w:val="21"/>
                <w:szCs w:val="21"/>
                <w:highlight w:val="none"/>
              </w:rPr>
            </w:pPr>
            <w:r>
              <w:rPr>
                <w:rFonts w:hint="default" w:ascii="Times New Roman" w:hAnsi="Times New Roman" w:eastAsia="仿宋_GB2312" w:cs="Times New Roman"/>
                <w:color w:val="auto"/>
                <w:sz w:val="21"/>
                <w:szCs w:val="21"/>
                <w:highlight w:val="none"/>
                <w:lang w:val="en-US" w:eastAsia="zh-CN"/>
              </w:rPr>
              <w:t>210</w:t>
            </w:r>
          </w:p>
        </w:tc>
        <w:tc>
          <w:tcPr>
            <w:tcW w:w="426"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b/>
                <w:bCs/>
                <w:color w:val="auto"/>
                <w:kern w:val="0"/>
                <w:sz w:val="21"/>
                <w:szCs w:val="21"/>
                <w:highlight w:val="none"/>
              </w:rPr>
            </w:pPr>
            <w:r>
              <w:rPr>
                <w:rFonts w:hint="default" w:ascii="Times New Roman" w:hAnsi="Times New Roman" w:eastAsia="仿宋_GB2312" w:cs="Times New Roman"/>
                <w:color w:val="auto"/>
                <w:sz w:val="21"/>
                <w:szCs w:val="21"/>
                <w:highlight w:val="none"/>
                <w:lang w:val="en-US" w:eastAsia="zh-CN"/>
              </w:rPr>
              <w:t>11</w:t>
            </w:r>
          </w:p>
        </w:tc>
        <w:tc>
          <w:tcPr>
            <w:tcW w:w="426"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b/>
                <w:bCs/>
                <w:color w:val="auto"/>
                <w:kern w:val="0"/>
                <w:sz w:val="21"/>
                <w:szCs w:val="21"/>
                <w:highlight w:val="none"/>
              </w:rPr>
            </w:pPr>
            <w:r>
              <w:rPr>
                <w:rFonts w:hint="default" w:ascii="Times New Roman" w:hAnsi="Times New Roman" w:eastAsia="仿宋_GB2312" w:cs="Times New Roman"/>
                <w:color w:val="auto"/>
                <w:sz w:val="21"/>
                <w:szCs w:val="21"/>
                <w:highlight w:val="none"/>
                <w:lang w:val="en-US" w:eastAsia="zh-CN"/>
              </w:rPr>
              <w:t>02</w:t>
            </w:r>
          </w:p>
        </w:tc>
        <w:tc>
          <w:tcPr>
            <w:tcW w:w="253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color w:val="auto"/>
                <w:sz w:val="21"/>
                <w:szCs w:val="21"/>
                <w:highlight w:val="none"/>
              </w:rPr>
              <w:t>事业单位医疗</w:t>
            </w:r>
          </w:p>
        </w:tc>
        <w:tc>
          <w:tcPr>
            <w:tcW w:w="1819"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b w:val="0"/>
                <w:bCs w:val="0"/>
                <w:color w:val="auto"/>
                <w:kern w:val="0"/>
                <w:sz w:val="22"/>
                <w:szCs w:val="22"/>
                <w:highlight w:val="none"/>
                <w:lang w:val="en-US" w:eastAsia="zh-CN"/>
              </w:rPr>
            </w:pPr>
            <w:r>
              <w:rPr>
                <w:rFonts w:hint="default" w:ascii="Times New Roman" w:hAnsi="Times New Roman" w:eastAsia="仿宋_GB2312" w:cs="Times New Roman"/>
                <w:b w:val="0"/>
                <w:bCs w:val="0"/>
                <w:color w:val="auto"/>
                <w:kern w:val="0"/>
                <w:sz w:val="22"/>
                <w:szCs w:val="22"/>
                <w:highlight w:val="none"/>
                <w:lang w:val="en-US" w:eastAsia="zh-CN"/>
              </w:rPr>
              <w:t>14.01</w:t>
            </w:r>
          </w:p>
        </w:tc>
        <w:tc>
          <w:tcPr>
            <w:tcW w:w="1820"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b w:val="0"/>
                <w:bCs w:val="0"/>
                <w:color w:val="auto"/>
                <w:kern w:val="0"/>
                <w:sz w:val="22"/>
                <w:szCs w:val="22"/>
                <w:highlight w:val="none"/>
              </w:rPr>
            </w:pPr>
            <w:r>
              <w:rPr>
                <w:rFonts w:hint="default" w:ascii="Times New Roman" w:hAnsi="Times New Roman" w:eastAsia="仿宋_GB2312" w:cs="Times New Roman"/>
                <w:b w:val="0"/>
                <w:bCs w:val="0"/>
                <w:color w:val="auto"/>
                <w:kern w:val="0"/>
                <w:sz w:val="22"/>
                <w:szCs w:val="22"/>
                <w:highlight w:val="none"/>
                <w:lang w:val="en-US" w:eastAsia="zh-CN"/>
              </w:rPr>
              <w:t>14.01</w:t>
            </w:r>
          </w:p>
        </w:tc>
        <w:tc>
          <w:tcPr>
            <w:tcW w:w="1867"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b/>
                <w:bCs/>
                <w:color w:val="auto"/>
                <w:kern w:val="0"/>
                <w:sz w:val="22"/>
                <w:szCs w:val="22"/>
                <w:highlight w:val="none"/>
              </w:rPr>
            </w:pPr>
          </w:p>
        </w:tc>
      </w:tr>
      <w:tr>
        <w:tblPrEx>
          <w:tblCellMar>
            <w:top w:w="0" w:type="dxa"/>
            <w:left w:w="108" w:type="dxa"/>
            <w:bottom w:w="0" w:type="dxa"/>
            <w:right w:w="108" w:type="dxa"/>
          </w:tblCellMar>
        </w:tblPrEx>
        <w:trPr>
          <w:trHeight w:val="405" w:hRule="atLeast"/>
          <w:jc w:val="center"/>
        </w:trPr>
        <w:tc>
          <w:tcPr>
            <w:tcW w:w="531"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b/>
                <w:bCs/>
                <w:color w:val="auto"/>
                <w:kern w:val="0"/>
                <w:sz w:val="21"/>
                <w:szCs w:val="21"/>
                <w:highlight w:val="none"/>
              </w:rPr>
            </w:pPr>
            <w:r>
              <w:rPr>
                <w:rFonts w:hint="default" w:ascii="Times New Roman" w:hAnsi="Times New Roman" w:eastAsia="仿宋_GB2312" w:cs="Times New Roman"/>
                <w:color w:val="auto"/>
                <w:sz w:val="21"/>
                <w:szCs w:val="21"/>
                <w:highlight w:val="none"/>
                <w:lang w:val="en-US" w:eastAsia="zh-CN"/>
              </w:rPr>
              <w:t>210</w:t>
            </w:r>
          </w:p>
        </w:tc>
        <w:tc>
          <w:tcPr>
            <w:tcW w:w="426"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b/>
                <w:bCs/>
                <w:color w:val="auto"/>
                <w:kern w:val="0"/>
                <w:sz w:val="21"/>
                <w:szCs w:val="21"/>
                <w:highlight w:val="none"/>
              </w:rPr>
            </w:pPr>
            <w:r>
              <w:rPr>
                <w:rFonts w:hint="default" w:ascii="Times New Roman" w:hAnsi="Times New Roman" w:eastAsia="仿宋_GB2312" w:cs="Times New Roman"/>
                <w:color w:val="auto"/>
                <w:sz w:val="21"/>
                <w:szCs w:val="21"/>
                <w:highlight w:val="none"/>
                <w:lang w:val="en-US" w:eastAsia="zh-CN"/>
              </w:rPr>
              <w:t>11</w:t>
            </w:r>
          </w:p>
        </w:tc>
        <w:tc>
          <w:tcPr>
            <w:tcW w:w="426"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b/>
                <w:bCs/>
                <w:color w:val="auto"/>
                <w:kern w:val="0"/>
                <w:sz w:val="21"/>
                <w:szCs w:val="21"/>
                <w:highlight w:val="none"/>
              </w:rPr>
            </w:pPr>
            <w:r>
              <w:rPr>
                <w:rFonts w:hint="default" w:ascii="Times New Roman" w:hAnsi="Times New Roman" w:eastAsia="仿宋_GB2312" w:cs="Times New Roman"/>
                <w:color w:val="auto"/>
                <w:sz w:val="21"/>
                <w:szCs w:val="21"/>
                <w:highlight w:val="none"/>
                <w:lang w:val="en-US" w:eastAsia="zh-CN"/>
              </w:rPr>
              <w:t>03</w:t>
            </w:r>
          </w:p>
        </w:tc>
        <w:tc>
          <w:tcPr>
            <w:tcW w:w="253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color w:val="auto"/>
                <w:sz w:val="21"/>
                <w:szCs w:val="21"/>
                <w:highlight w:val="none"/>
              </w:rPr>
              <w:t>公务员医疗补助</w:t>
            </w:r>
          </w:p>
        </w:tc>
        <w:tc>
          <w:tcPr>
            <w:tcW w:w="1819"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b w:val="0"/>
                <w:bCs w:val="0"/>
                <w:color w:val="auto"/>
                <w:kern w:val="0"/>
                <w:sz w:val="22"/>
                <w:szCs w:val="22"/>
                <w:highlight w:val="none"/>
                <w:lang w:val="en-US" w:eastAsia="zh-CN"/>
              </w:rPr>
            </w:pPr>
            <w:r>
              <w:rPr>
                <w:rFonts w:hint="default" w:ascii="Times New Roman" w:hAnsi="Times New Roman" w:eastAsia="仿宋_GB2312" w:cs="Times New Roman"/>
                <w:b w:val="0"/>
                <w:bCs w:val="0"/>
                <w:color w:val="auto"/>
                <w:kern w:val="0"/>
                <w:sz w:val="22"/>
                <w:szCs w:val="22"/>
                <w:highlight w:val="none"/>
                <w:lang w:val="en-US" w:eastAsia="zh-CN"/>
              </w:rPr>
              <w:t>19.04</w:t>
            </w:r>
          </w:p>
        </w:tc>
        <w:tc>
          <w:tcPr>
            <w:tcW w:w="1820"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b w:val="0"/>
                <w:bCs w:val="0"/>
                <w:color w:val="auto"/>
                <w:kern w:val="0"/>
                <w:sz w:val="22"/>
                <w:szCs w:val="22"/>
                <w:highlight w:val="none"/>
              </w:rPr>
            </w:pPr>
            <w:r>
              <w:rPr>
                <w:rFonts w:hint="default" w:ascii="Times New Roman" w:hAnsi="Times New Roman" w:eastAsia="仿宋_GB2312" w:cs="Times New Roman"/>
                <w:b w:val="0"/>
                <w:bCs w:val="0"/>
                <w:color w:val="auto"/>
                <w:kern w:val="0"/>
                <w:sz w:val="22"/>
                <w:szCs w:val="22"/>
                <w:highlight w:val="none"/>
                <w:lang w:val="en-US" w:eastAsia="zh-CN"/>
              </w:rPr>
              <w:t>19.04</w:t>
            </w:r>
          </w:p>
        </w:tc>
        <w:tc>
          <w:tcPr>
            <w:tcW w:w="1867"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b/>
                <w:bCs/>
                <w:color w:val="auto"/>
                <w:kern w:val="0"/>
                <w:sz w:val="22"/>
                <w:szCs w:val="22"/>
                <w:highlight w:val="none"/>
              </w:rPr>
            </w:pPr>
          </w:p>
        </w:tc>
      </w:tr>
      <w:tr>
        <w:tblPrEx>
          <w:tblCellMar>
            <w:top w:w="0" w:type="dxa"/>
            <w:left w:w="108" w:type="dxa"/>
            <w:bottom w:w="0" w:type="dxa"/>
            <w:right w:w="108" w:type="dxa"/>
          </w:tblCellMar>
        </w:tblPrEx>
        <w:trPr>
          <w:trHeight w:val="405" w:hRule="atLeast"/>
          <w:jc w:val="center"/>
        </w:trPr>
        <w:tc>
          <w:tcPr>
            <w:tcW w:w="531"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b/>
                <w:bCs/>
                <w:color w:val="auto"/>
                <w:kern w:val="0"/>
                <w:sz w:val="21"/>
                <w:szCs w:val="21"/>
                <w:highlight w:val="none"/>
              </w:rPr>
            </w:pPr>
            <w:r>
              <w:rPr>
                <w:rFonts w:hint="default" w:ascii="Times New Roman" w:hAnsi="Times New Roman" w:eastAsia="仿宋_GB2312" w:cs="Times New Roman"/>
                <w:color w:val="auto"/>
                <w:sz w:val="21"/>
                <w:szCs w:val="21"/>
                <w:highlight w:val="none"/>
                <w:lang w:val="en-US" w:eastAsia="zh-CN"/>
              </w:rPr>
              <w:t>210</w:t>
            </w:r>
          </w:p>
        </w:tc>
        <w:tc>
          <w:tcPr>
            <w:tcW w:w="426"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b/>
                <w:bCs/>
                <w:color w:val="auto"/>
                <w:kern w:val="0"/>
                <w:sz w:val="21"/>
                <w:szCs w:val="21"/>
                <w:highlight w:val="none"/>
              </w:rPr>
            </w:pPr>
            <w:r>
              <w:rPr>
                <w:rFonts w:hint="default" w:ascii="Times New Roman" w:hAnsi="Times New Roman" w:eastAsia="仿宋_GB2312" w:cs="Times New Roman"/>
                <w:color w:val="auto"/>
                <w:sz w:val="21"/>
                <w:szCs w:val="21"/>
                <w:highlight w:val="none"/>
                <w:lang w:val="en-US" w:eastAsia="zh-CN"/>
              </w:rPr>
              <w:t>11</w:t>
            </w:r>
          </w:p>
        </w:tc>
        <w:tc>
          <w:tcPr>
            <w:tcW w:w="426"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b/>
                <w:bCs/>
                <w:color w:val="auto"/>
                <w:kern w:val="0"/>
                <w:sz w:val="21"/>
                <w:szCs w:val="21"/>
                <w:highlight w:val="none"/>
              </w:rPr>
            </w:pPr>
            <w:r>
              <w:rPr>
                <w:rFonts w:hint="default" w:ascii="Times New Roman" w:hAnsi="Times New Roman" w:eastAsia="仿宋_GB2312" w:cs="Times New Roman"/>
                <w:color w:val="auto"/>
                <w:sz w:val="21"/>
                <w:szCs w:val="21"/>
                <w:highlight w:val="none"/>
                <w:lang w:val="en-US" w:eastAsia="zh-CN"/>
              </w:rPr>
              <w:t>99</w:t>
            </w:r>
          </w:p>
        </w:tc>
        <w:tc>
          <w:tcPr>
            <w:tcW w:w="253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color w:val="auto"/>
                <w:sz w:val="21"/>
                <w:szCs w:val="21"/>
                <w:highlight w:val="none"/>
              </w:rPr>
              <w:t>其他行政事业单位医疗支出</w:t>
            </w:r>
          </w:p>
        </w:tc>
        <w:tc>
          <w:tcPr>
            <w:tcW w:w="1819"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b w:val="0"/>
                <w:bCs w:val="0"/>
                <w:color w:val="auto"/>
                <w:kern w:val="0"/>
                <w:sz w:val="22"/>
                <w:szCs w:val="22"/>
                <w:highlight w:val="none"/>
                <w:lang w:val="en-US" w:eastAsia="zh-CN"/>
              </w:rPr>
            </w:pPr>
            <w:r>
              <w:rPr>
                <w:rFonts w:hint="default" w:ascii="Times New Roman" w:hAnsi="Times New Roman" w:eastAsia="仿宋_GB2312" w:cs="Times New Roman"/>
                <w:b w:val="0"/>
                <w:bCs w:val="0"/>
                <w:color w:val="auto"/>
                <w:kern w:val="0"/>
                <w:sz w:val="22"/>
                <w:szCs w:val="22"/>
                <w:highlight w:val="none"/>
                <w:lang w:val="en-US" w:eastAsia="zh-CN"/>
              </w:rPr>
              <w:t>0.48</w:t>
            </w:r>
          </w:p>
        </w:tc>
        <w:tc>
          <w:tcPr>
            <w:tcW w:w="1820"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b w:val="0"/>
                <w:bCs w:val="0"/>
                <w:color w:val="auto"/>
                <w:kern w:val="0"/>
                <w:sz w:val="22"/>
                <w:szCs w:val="22"/>
                <w:highlight w:val="none"/>
              </w:rPr>
            </w:pPr>
            <w:r>
              <w:rPr>
                <w:rFonts w:hint="default" w:ascii="Times New Roman" w:hAnsi="Times New Roman" w:eastAsia="仿宋_GB2312" w:cs="Times New Roman"/>
                <w:b w:val="0"/>
                <w:bCs w:val="0"/>
                <w:color w:val="auto"/>
                <w:kern w:val="0"/>
                <w:sz w:val="22"/>
                <w:szCs w:val="22"/>
                <w:highlight w:val="none"/>
                <w:lang w:val="en-US" w:eastAsia="zh-CN"/>
              </w:rPr>
              <w:t>0.48</w:t>
            </w:r>
          </w:p>
        </w:tc>
        <w:tc>
          <w:tcPr>
            <w:tcW w:w="1867"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b/>
                <w:bCs/>
                <w:color w:val="auto"/>
                <w:kern w:val="0"/>
                <w:sz w:val="22"/>
                <w:szCs w:val="22"/>
                <w:highlight w:val="none"/>
              </w:rPr>
            </w:pPr>
          </w:p>
        </w:tc>
      </w:tr>
      <w:tr>
        <w:tblPrEx>
          <w:tblCellMar>
            <w:top w:w="0" w:type="dxa"/>
            <w:left w:w="108" w:type="dxa"/>
            <w:bottom w:w="0" w:type="dxa"/>
            <w:right w:w="108" w:type="dxa"/>
          </w:tblCellMar>
        </w:tblPrEx>
        <w:trPr>
          <w:trHeight w:val="405" w:hRule="atLeast"/>
          <w:jc w:val="center"/>
        </w:trPr>
        <w:tc>
          <w:tcPr>
            <w:tcW w:w="531"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b/>
                <w:bCs/>
                <w:color w:val="auto"/>
                <w:kern w:val="0"/>
                <w:sz w:val="21"/>
                <w:szCs w:val="21"/>
                <w:highlight w:val="none"/>
              </w:rPr>
            </w:pPr>
            <w:r>
              <w:rPr>
                <w:rFonts w:hint="default" w:ascii="Times New Roman" w:hAnsi="Times New Roman" w:eastAsia="仿宋_GB2312" w:cs="Times New Roman"/>
                <w:color w:val="auto"/>
                <w:sz w:val="21"/>
                <w:szCs w:val="21"/>
                <w:highlight w:val="none"/>
                <w:lang w:val="en-US" w:eastAsia="zh-CN"/>
              </w:rPr>
              <w:t>220</w:t>
            </w:r>
          </w:p>
        </w:tc>
        <w:tc>
          <w:tcPr>
            <w:tcW w:w="426"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b/>
                <w:bCs/>
                <w:color w:val="auto"/>
                <w:kern w:val="0"/>
                <w:sz w:val="21"/>
                <w:szCs w:val="21"/>
                <w:highlight w:val="none"/>
              </w:rPr>
            </w:pPr>
          </w:p>
        </w:tc>
        <w:tc>
          <w:tcPr>
            <w:tcW w:w="426"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b/>
                <w:bCs/>
                <w:color w:val="auto"/>
                <w:kern w:val="0"/>
                <w:sz w:val="21"/>
                <w:szCs w:val="21"/>
                <w:highlight w:val="none"/>
              </w:rPr>
            </w:pPr>
          </w:p>
        </w:tc>
        <w:tc>
          <w:tcPr>
            <w:tcW w:w="253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color w:val="auto"/>
                <w:sz w:val="21"/>
                <w:szCs w:val="21"/>
                <w:highlight w:val="none"/>
              </w:rPr>
              <w:t>自然资源海洋气象等支出</w:t>
            </w:r>
          </w:p>
        </w:tc>
        <w:tc>
          <w:tcPr>
            <w:tcW w:w="1819"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b w:val="0"/>
                <w:bCs w:val="0"/>
                <w:color w:val="auto"/>
                <w:kern w:val="0"/>
                <w:sz w:val="22"/>
                <w:szCs w:val="22"/>
                <w:highlight w:val="none"/>
                <w:lang w:val="en-US" w:eastAsia="zh-CN"/>
              </w:rPr>
            </w:pPr>
            <w:r>
              <w:rPr>
                <w:rFonts w:hint="default" w:ascii="Times New Roman" w:hAnsi="Times New Roman" w:eastAsia="仿宋_GB2312" w:cs="Times New Roman"/>
                <w:b w:val="0"/>
                <w:bCs w:val="0"/>
                <w:color w:val="auto"/>
                <w:kern w:val="0"/>
                <w:sz w:val="22"/>
                <w:szCs w:val="22"/>
                <w:highlight w:val="none"/>
                <w:lang w:val="en-US" w:eastAsia="zh-CN"/>
              </w:rPr>
              <w:t>833.79</w:t>
            </w:r>
          </w:p>
        </w:tc>
        <w:tc>
          <w:tcPr>
            <w:tcW w:w="1820"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b w:val="0"/>
                <w:bCs w:val="0"/>
                <w:color w:val="auto"/>
                <w:kern w:val="0"/>
                <w:sz w:val="22"/>
                <w:szCs w:val="22"/>
                <w:highlight w:val="none"/>
                <w:lang w:val="en-US" w:eastAsia="zh-CN"/>
              </w:rPr>
            </w:pPr>
            <w:r>
              <w:rPr>
                <w:rFonts w:hint="default" w:ascii="Times New Roman" w:hAnsi="Times New Roman" w:eastAsia="仿宋_GB2312" w:cs="Times New Roman"/>
                <w:b w:val="0"/>
                <w:bCs w:val="0"/>
                <w:color w:val="auto"/>
                <w:kern w:val="0"/>
                <w:sz w:val="22"/>
                <w:szCs w:val="22"/>
                <w:highlight w:val="none"/>
                <w:lang w:val="en-US" w:eastAsia="zh-CN"/>
              </w:rPr>
              <w:t>819.59</w:t>
            </w:r>
          </w:p>
        </w:tc>
        <w:tc>
          <w:tcPr>
            <w:tcW w:w="1867"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b w:val="0"/>
                <w:bCs w:val="0"/>
                <w:color w:val="auto"/>
                <w:kern w:val="0"/>
                <w:sz w:val="22"/>
                <w:szCs w:val="22"/>
                <w:highlight w:val="none"/>
                <w:lang w:val="en-US" w:eastAsia="zh-CN"/>
              </w:rPr>
            </w:pPr>
            <w:r>
              <w:rPr>
                <w:rFonts w:hint="default" w:ascii="Times New Roman" w:hAnsi="Times New Roman" w:eastAsia="仿宋_GB2312" w:cs="Times New Roman"/>
                <w:b w:val="0"/>
                <w:bCs w:val="0"/>
                <w:color w:val="auto"/>
                <w:kern w:val="0"/>
                <w:sz w:val="22"/>
                <w:szCs w:val="22"/>
                <w:highlight w:val="none"/>
                <w:lang w:val="en-US" w:eastAsia="zh-CN"/>
              </w:rPr>
              <w:t>14.20</w:t>
            </w:r>
          </w:p>
        </w:tc>
      </w:tr>
      <w:tr>
        <w:tblPrEx>
          <w:tblCellMar>
            <w:top w:w="0" w:type="dxa"/>
            <w:left w:w="108" w:type="dxa"/>
            <w:bottom w:w="0" w:type="dxa"/>
            <w:right w:w="108" w:type="dxa"/>
          </w:tblCellMar>
        </w:tblPrEx>
        <w:trPr>
          <w:trHeight w:val="405" w:hRule="atLeast"/>
          <w:jc w:val="center"/>
        </w:trPr>
        <w:tc>
          <w:tcPr>
            <w:tcW w:w="531"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b/>
                <w:bCs/>
                <w:color w:val="auto"/>
                <w:kern w:val="0"/>
                <w:sz w:val="21"/>
                <w:szCs w:val="21"/>
                <w:highlight w:val="none"/>
              </w:rPr>
            </w:pPr>
            <w:r>
              <w:rPr>
                <w:rFonts w:hint="default" w:ascii="Times New Roman" w:hAnsi="Times New Roman" w:eastAsia="仿宋_GB2312" w:cs="Times New Roman"/>
                <w:color w:val="auto"/>
                <w:sz w:val="21"/>
                <w:szCs w:val="21"/>
                <w:highlight w:val="none"/>
                <w:lang w:val="en-US" w:eastAsia="zh-CN"/>
              </w:rPr>
              <w:t>220</w:t>
            </w:r>
          </w:p>
        </w:tc>
        <w:tc>
          <w:tcPr>
            <w:tcW w:w="426"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b/>
                <w:bCs/>
                <w:color w:val="auto"/>
                <w:kern w:val="0"/>
                <w:sz w:val="21"/>
                <w:szCs w:val="21"/>
                <w:highlight w:val="none"/>
              </w:rPr>
            </w:pPr>
            <w:r>
              <w:rPr>
                <w:rFonts w:hint="default" w:ascii="Times New Roman" w:hAnsi="Times New Roman" w:eastAsia="仿宋_GB2312" w:cs="Times New Roman"/>
                <w:color w:val="auto"/>
                <w:sz w:val="21"/>
                <w:szCs w:val="21"/>
                <w:highlight w:val="none"/>
                <w:lang w:val="en-US" w:eastAsia="zh-CN"/>
              </w:rPr>
              <w:t>01</w:t>
            </w:r>
          </w:p>
        </w:tc>
        <w:tc>
          <w:tcPr>
            <w:tcW w:w="426"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b/>
                <w:bCs/>
                <w:color w:val="auto"/>
                <w:kern w:val="0"/>
                <w:sz w:val="21"/>
                <w:szCs w:val="21"/>
                <w:highlight w:val="none"/>
              </w:rPr>
            </w:pPr>
          </w:p>
        </w:tc>
        <w:tc>
          <w:tcPr>
            <w:tcW w:w="253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color w:val="auto"/>
                <w:sz w:val="21"/>
                <w:szCs w:val="21"/>
                <w:highlight w:val="none"/>
              </w:rPr>
              <w:t>自然资源事务</w:t>
            </w:r>
          </w:p>
        </w:tc>
        <w:tc>
          <w:tcPr>
            <w:tcW w:w="1819"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b w:val="0"/>
                <w:bCs w:val="0"/>
                <w:color w:val="auto"/>
                <w:kern w:val="0"/>
                <w:sz w:val="22"/>
                <w:szCs w:val="22"/>
                <w:highlight w:val="none"/>
                <w:lang w:val="en-US" w:eastAsia="zh-CN"/>
              </w:rPr>
            </w:pPr>
            <w:r>
              <w:rPr>
                <w:rFonts w:hint="default" w:ascii="Times New Roman" w:hAnsi="Times New Roman" w:eastAsia="仿宋_GB2312" w:cs="Times New Roman"/>
                <w:b w:val="0"/>
                <w:bCs w:val="0"/>
                <w:color w:val="auto"/>
                <w:kern w:val="0"/>
                <w:sz w:val="22"/>
                <w:szCs w:val="22"/>
                <w:highlight w:val="none"/>
                <w:lang w:val="en-US" w:eastAsia="zh-CN"/>
              </w:rPr>
              <w:t>833.79</w:t>
            </w:r>
          </w:p>
        </w:tc>
        <w:tc>
          <w:tcPr>
            <w:tcW w:w="1820"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b w:val="0"/>
                <w:bCs w:val="0"/>
                <w:color w:val="auto"/>
                <w:kern w:val="0"/>
                <w:sz w:val="22"/>
                <w:szCs w:val="22"/>
                <w:highlight w:val="none"/>
                <w:lang w:val="en-US" w:eastAsia="zh-CN"/>
              </w:rPr>
            </w:pPr>
            <w:r>
              <w:rPr>
                <w:rFonts w:hint="default" w:ascii="Times New Roman" w:hAnsi="Times New Roman" w:eastAsia="仿宋_GB2312" w:cs="Times New Roman"/>
                <w:b w:val="0"/>
                <w:bCs w:val="0"/>
                <w:color w:val="auto"/>
                <w:kern w:val="0"/>
                <w:sz w:val="22"/>
                <w:szCs w:val="22"/>
                <w:highlight w:val="none"/>
                <w:lang w:val="en-US" w:eastAsia="zh-CN"/>
              </w:rPr>
              <w:t>819.59</w:t>
            </w:r>
          </w:p>
        </w:tc>
        <w:tc>
          <w:tcPr>
            <w:tcW w:w="1867"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b w:val="0"/>
                <w:bCs w:val="0"/>
                <w:color w:val="auto"/>
                <w:kern w:val="0"/>
                <w:sz w:val="22"/>
                <w:szCs w:val="22"/>
                <w:highlight w:val="none"/>
                <w:lang w:val="en-US" w:eastAsia="zh-CN"/>
              </w:rPr>
            </w:pPr>
            <w:r>
              <w:rPr>
                <w:rFonts w:hint="default" w:ascii="Times New Roman" w:hAnsi="Times New Roman" w:eastAsia="仿宋_GB2312" w:cs="Times New Roman"/>
                <w:b w:val="0"/>
                <w:bCs w:val="0"/>
                <w:color w:val="auto"/>
                <w:kern w:val="0"/>
                <w:sz w:val="22"/>
                <w:szCs w:val="22"/>
                <w:highlight w:val="none"/>
                <w:lang w:val="en-US" w:eastAsia="zh-CN"/>
              </w:rPr>
              <w:t>14.20</w:t>
            </w:r>
          </w:p>
        </w:tc>
      </w:tr>
      <w:tr>
        <w:tblPrEx>
          <w:tblCellMar>
            <w:top w:w="0" w:type="dxa"/>
            <w:left w:w="108" w:type="dxa"/>
            <w:bottom w:w="0" w:type="dxa"/>
            <w:right w:w="108" w:type="dxa"/>
          </w:tblCellMar>
        </w:tblPrEx>
        <w:trPr>
          <w:trHeight w:val="405" w:hRule="atLeast"/>
          <w:jc w:val="center"/>
        </w:trPr>
        <w:tc>
          <w:tcPr>
            <w:tcW w:w="531"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b/>
                <w:bCs/>
                <w:color w:val="auto"/>
                <w:kern w:val="0"/>
                <w:sz w:val="21"/>
                <w:szCs w:val="21"/>
                <w:highlight w:val="none"/>
              </w:rPr>
            </w:pPr>
            <w:r>
              <w:rPr>
                <w:rFonts w:hint="default" w:ascii="Times New Roman" w:hAnsi="Times New Roman" w:eastAsia="仿宋_GB2312" w:cs="Times New Roman"/>
                <w:color w:val="auto"/>
                <w:sz w:val="21"/>
                <w:szCs w:val="21"/>
                <w:highlight w:val="none"/>
                <w:lang w:val="en-US" w:eastAsia="zh-CN"/>
              </w:rPr>
              <w:t>220</w:t>
            </w:r>
          </w:p>
        </w:tc>
        <w:tc>
          <w:tcPr>
            <w:tcW w:w="426"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b/>
                <w:bCs/>
                <w:color w:val="auto"/>
                <w:kern w:val="0"/>
                <w:sz w:val="21"/>
                <w:szCs w:val="21"/>
                <w:highlight w:val="none"/>
              </w:rPr>
            </w:pPr>
            <w:r>
              <w:rPr>
                <w:rFonts w:hint="default" w:ascii="Times New Roman" w:hAnsi="Times New Roman" w:eastAsia="仿宋_GB2312" w:cs="Times New Roman"/>
                <w:color w:val="auto"/>
                <w:sz w:val="21"/>
                <w:szCs w:val="21"/>
                <w:highlight w:val="none"/>
                <w:lang w:val="en-US" w:eastAsia="zh-CN"/>
              </w:rPr>
              <w:t>01</w:t>
            </w:r>
          </w:p>
        </w:tc>
        <w:tc>
          <w:tcPr>
            <w:tcW w:w="426"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b/>
                <w:bCs/>
                <w:color w:val="auto"/>
                <w:kern w:val="0"/>
                <w:sz w:val="21"/>
                <w:szCs w:val="21"/>
                <w:highlight w:val="none"/>
              </w:rPr>
            </w:pPr>
            <w:r>
              <w:rPr>
                <w:rFonts w:hint="default" w:ascii="Times New Roman" w:hAnsi="Times New Roman" w:eastAsia="仿宋_GB2312" w:cs="Times New Roman"/>
                <w:color w:val="auto"/>
                <w:sz w:val="21"/>
                <w:szCs w:val="21"/>
                <w:highlight w:val="none"/>
                <w:lang w:val="en-US" w:eastAsia="zh-CN"/>
              </w:rPr>
              <w:t>01</w:t>
            </w:r>
          </w:p>
        </w:tc>
        <w:tc>
          <w:tcPr>
            <w:tcW w:w="253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color w:val="auto"/>
                <w:sz w:val="21"/>
                <w:szCs w:val="21"/>
                <w:highlight w:val="none"/>
              </w:rPr>
              <w:t>行政运行</w:t>
            </w:r>
          </w:p>
        </w:tc>
        <w:tc>
          <w:tcPr>
            <w:tcW w:w="1819"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b w:val="0"/>
                <w:bCs w:val="0"/>
                <w:color w:val="auto"/>
                <w:kern w:val="0"/>
                <w:sz w:val="22"/>
                <w:szCs w:val="22"/>
                <w:highlight w:val="none"/>
                <w:lang w:val="en-US" w:eastAsia="zh-CN"/>
              </w:rPr>
            </w:pPr>
            <w:r>
              <w:rPr>
                <w:rFonts w:hint="default" w:ascii="Times New Roman" w:hAnsi="Times New Roman" w:eastAsia="仿宋_GB2312" w:cs="Times New Roman"/>
                <w:b w:val="0"/>
                <w:bCs w:val="0"/>
                <w:color w:val="auto"/>
                <w:kern w:val="0"/>
                <w:sz w:val="22"/>
                <w:szCs w:val="22"/>
                <w:highlight w:val="none"/>
                <w:lang w:val="en-US" w:eastAsia="zh-CN"/>
              </w:rPr>
              <w:t>609.28</w:t>
            </w:r>
          </w:p>
        </w:tc>
        <w:tc>
          <w:tcPr>
            <w:tcW w:w="1820"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b w:val="0"/>
                <w:bCs w:val="0"/>
                <w:color w:val="auto"/>
                <w:kern w:val="0"/>
                <w:sz w:val="22"/>
                <w:szCs w:val="22"/>
                <w:highlight w:val="none"/>
                <w:lang w:val="en-US" w:eastAsia="zh-CN"/>
              </w:rPr>
            </w:pPr>
            <w:r>
              <w:rPr>
                <w:rFonts w:hint="default" w:ascii="Times New Roman" w:hAnsi="Times New Roman" w:eastAsia="仿宋_GB2312" w:cs="Times New Roman"/>
                <w:b w:val="0"/>
                <w:bCs w:val="0"/>
                <w:color w:val="auto"/>
                <w:kern w:val="0"/>
                <w:sz w:val="22"/>
                <w:szCs w:val="22"/>
                <w:highlight w:val="none"/>
                <w:lang w:val="en-US" w:eastAsia="zh-CN"/>
              </w:rPr>
              <w:t>609.28</w:t>
            </w:r>
          </w:p>
        </w:tc>
        <w:tc>
          <w:tcPr>
            <w:tcW w:w="1867"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b w:val="0"/>
                <w:bCs w:val="0"/>
                <w:color w:val="auto"/>
                <w:kern w:val="0"/>
                <w:sz w:val="22"/>
                <w:szCs w:val="22"/>
                <w:highlight w:val="none"/>
              </w:rPr>
            </w:pPr>
          </w:p>
        </w:tc>
      </w:tr>
      <w:tr>
        <w:tblPrEx>
          <w:tblCellMar>
            <w:top w:w="0" w:type="dxa"/>
            <w:left w:w="108" w:type="dxa"/>
            <w:bottom w:w="0" w:type="dxa"/>
            <w:right w:w="108" w:type="dxa"/>
          </w:tblCellMar>
        </w:tblPrEx>
        <w:trPr>
          <w:trHeight w:val="405" w:hRule="atLeast"/>
          <w:jc w:val="center"/>
        </w:trPr>
        <w:tc>
          <w:tcPr>
            <w:tcW w:w="531"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b/>
                <w:bCs/>
                <w:color w:val="auto"/>
                <w:kern w:val="0"/>
                <w:sz w:val="21"/>
                <w:szCs w:val="21"/>
                <w:highlight w:val="none"/>
              </w:rPr>
            </w:pPr>
            <w:r>
              <w:rPr>
                <w:rFonts w:hint="default" w:ascii="Times New Roman" w:hAnsi="Times New Roman" w:eastAsia="仿宋_GB2312" w:cs="Times New Roman"/>
                <w:color w:val="auto"/>
                <w:sz w:val="21"/>
                <w:szCs w:val="21"/>
                <w:highlight w:val="none"/>
                <w:lang w:val="en-US" w:eastAsia="zh-CN"/>
              </w:rPr>
              <w:t>220</w:t>
            </w:r>
          </w:p>
        </w:tc>
        <w:tc>
          <w:tcPr>
            <w:tcW w:w="426"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b/>
                <w:bCs/>
                <w:color w:val="auto"/>
                <w:kern w:val="0"/>
                <w:sz w:val="21"/>
                <w:szCs w:val="21"/>
                <w:highlight w:val="none"/>
              </w:rPr>
            </w:pPr>
            <w:r>
              <w:rPr>
                <w:rFonts w:hint="default" w:ascii="Times New Roman" w:hAnsi="Times New Roman" w:eastAsia="仿宋_GB2312" w:cs="Times New Roman"/>
                <w:color w:val="auto"/>
                <w:sz w:val="21"/>
                <w:szCs w:val="21"/>
                <w:highlight w:val="none"/>
                <w:lang w:val="en-US" w:eastAsia="zh-CN"/>
              </w:rPr>
              <w:t>01</w:t>
            </w:r>
          </w:p>
        </w:tc>
        <w:tc>
          <w:tcPr>
            <w:tcW w:w="426"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b/>
                <w:bCs/>
                <w:color w:val="auto"/>
                <w:kern w:val="0"/>
                <w:sz w:val="21"/>
                <w:szCs w:val="21"/>
                <w:highlight w:val="none"/>
              </w:rPr>
            </w:pPr>
            <w:r>
              <w:rPr>
                <w:rFonts w:hint="default" w:ascii="Times New Roman" w:hAnsi="Times New Roman" w:eastAsia="仿宋_GB2312" w:cs="Times New Roman"/>
                <w:color w:val="auto"/>
                <w:sz w:val="21"/>
                <w:szCs w:val="21"/>
                <w:highlight w:val="none"/>
                <w:lang w:val="en-US" w:eastAsia="zh-CN"/>
              </w:rPr>
              <w:t>02</w:t>
            </w:r>
          </w:p>
        </w:tc>
        <w:tc>
          <w:tcPr>
            <w:tcW w:w="253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color w:val="auto"/>
                <w:sz w:val="21"/>
                <w:szCs w:val="21"/>
                <w:highlight w:val="none"/>
              </w:rPr>
              <w:t>一般行政管理事务</w:t>
            </w:r>
          </w:p>
        </w:tc>
        <w:tc>
          <w:tcPr>
            <w:tcW w:w="1819"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b w:val="0"/>
                <w:bCs w:val="0"/>
                <w:color w:val="auto"/>
                <w:kern w:val="0"/>
                <w:sz w:val="22"/>
                <w:szCs w:val="22"/>
                <w:highlight w:val="none"/>
                <w:lang w:val="en-US" w:eastAsia="zh-CN"/>
              </w:rPr>
            </w:pPr>
            <w:r>
              <w:rPr>
                <w:rFonts w:hint="default" w:ascii="Times New Roman" w:hAnsi="Times New Roman" w:eastAsia="仿宋_GB2312" w:cs="Times New Roman"/>
                <w:b w:val="0"/>
                <w:bCs w:val="0"/>
                <w:color w:val="auto"/>
                <w:kern w:val="0"/>
                <w:sz w:val="22"/>
                <w:szCs w:val="22"/>
                <w:highlight w:val="none"/>
                <w:lang w:val="en-US" w:eastAsia="zh-CN"/>
              </w:rPr>
              <w:t>14.20</w:t>
            </w:r>
          </w:p>
        </w:tc>
        <w:tc>
          <w:tcPr>
            <w:tcW w:w="1820"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b w:val="0"/>
                <w:bCs w:val="0"/>
                <w:color w:val="auto"/>
                <w:kern w:val="0"/>
                <w:sz w:val="22"/>
                <w:szCs w:val="22"/>
                <w:highlight w:val="none"/>
              </w:rPr>
            </w:pPr>
          </w:p>
        </w:tc>
        <w:tc>
          <w:tcPr>
            <w:tcW w:w="1867"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b w:val="0"/>
                <w:bCs w:val="0"/>
                <w:color w:val="auto"/>
                <w:kern w:val="0"/>
                <w:sz w:val="22"/>
                <w:szCs w:val="22"/>
                <w:highlight w:val="none"/>
                <w:lang w:val="en-US" w:eastAsia="zh-CN"/>
              </w:rPr>
            </w:pPr>
            <w:r>
              <w:rPr>
                <w:rFonts w:hint="default" w:ascii="Times New Roman" w:hAnsi="Times New Roman" w:eastAsia="仿宋_GB2312" w:cs="Times New Roman"/>
                <w:b w:val="0"/>
                <w:bCs w:val="0"/>
                <w:color w:val="auto"/>
                <w:kern w:val="0"/>
                <w:sz w:val="22"/>
                <w:szCs w:val="22"/>
                <w:highlight w:val="none"/>
                <w:lang w:val="en-US" w:eastAsia="zh-CN"/>
              </w:rPr>
              <w:t>14.20</w:t>
            </w:r>
          </w:p>
        </w:tc>
      </w:tr>
      <w:tr>
        <w:tblPrEx>
          <w:tblCellMar>
            <w:top w:w="0" w:type="dxa"/>
            <w:left w:w="108" w:type="dxa"/>
            <w:bottom w:w="0" w:type="dxa"/>
            <w:right w:w="108" w:type="dxa"/>
          </w:tblCellMar>
        </w:tblPrEx>
        <w:trPr>
          <w:trHeight w:val="405" w:hRule="atLeast"/>
          <w:jc w:val="center"/>
        </w:trPr>
        <w:tc>
          <w:tcPr>
            <w:tcW w:w="531"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b/>
                <w:bCs/>
                <w:color w:val="auto"/>
                <w:kern w:val="0"/>
                <w:sz w:val="21"/>
                <w:szCs w:val="21"/>
                <w:highlight w:val="none"/>
              </w:rPr>
            </w:pPr>
            <w:r>
              <w:rPr>
                <w:rFonts w:hint="default" w:ascii="Times New Roman" w:hAnsi="Times New Roman" w:eastAsia="仿宋_GB2312" w:cs="Times New Roman"/>
                <w:color w:val="auto"/>
                <w:sz w:val="21"/>
                <w:szCs w:val="21"/>
                <w:highlight w:val="none"/>
                <w:lang w:val="en-US" w:eastAsia="zh-CN"/>
              </w:rPr>
              <w:t>220</w:t>
            </w:r>
          </w:p>
        </w:tc>
        <w:tc>
          <w:tcPr>
            <w:tcW w:w="426"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b/>
                <w:bCs/>
                <w:color w:val="auto"/>
                <w:kern w:val="0"/>
                <w:sz w:val="21"/>
                <w:szCs w:val="21"/>
                <w:highlight w:val="none"/>
              </w:rPr>
            </w:pPr>
            <w:r>
              <w:rPr>
                <w:rFonts w:hint="default" w:ascii="Times New Roman" w:hAnsi="Times New Roman" w:eastAsia="仿宋_GB2312" w:cs="Times New Roman"/>
                <w:color w:val="auto"/>
                <w:sz w:val="21"/>
                <w:szCs w:val="21"/>
                <w:highlight w:val="none"/>
                <w:lang w:val="en-US" w:eastAsia="zh-CN"/>
              </w:rPr>
              <w:t>01</w:t>
            </w:r>
          </w:p>
        </w:tc>
        <w:tc>
          <w:tcPr>
            <w:tcW w:w="426"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b/>
                <w:bCs/>
                <w:color w:val="auto"/>
                <w:kern w:val="0"/>
                <w:sz w:val="21"/>
                <w:szCs w:val="21"/>
                <w:highlight w:val="none"/>
              </w:rPr>
            </w:pPr>
            <w:r>
              <w:rPr>
                <w:rFonts w:hint="default" w:ascii="Times New Roman" w:hAnsi="Times New Roman" w:eastAsia="仿宋_GB2312" w:cs="Times New Roman"/>
                <w:color w:val="auto"/>
                <w:sz w:val="21"/>
                <w:szCs w:val="21"/>
                <w:highlight w:val="none"/>
                <w:lang w:val="en-US" w:eastAsia="zh-CN"/>
              </w:rPr>
              <w:t>50</w:t>
            </w:r>
          </w:p>
        </w:tc>
        <w:tc>
          <w:tcPr>
            <w:tcW w:w="253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color w:val="auto"/>
                <w:sz w:val="21"/>
                <w:szCs w:val="21"/>
                <w:highlight w:val="none"/>
              </w:rPr>
              <w:t>事业运行</w:t>
            </w:r>
          </w:p>
        </w:tc>
        <w:tc>
          <w:tcPr>
            <w:tcW w:w="1819"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b w:val="0"/>
                <w:bCs w:val="0"/>
                <w:color w:val="auto"/>
                <w:kern w:val="0"/>
                <w:sz w:val="22"/>
                <w:szCs w:val="22"/>
                <w:highlight w:val="none"/>
                <w:lang w:val="en-US" w:eastAsia="zh-CN" w:bidi="ar-SA"/>
              </w:rPr>
            </w:pPr>
            <w:r>
              <w:rPr>
                <w:rFonts w:hint="default" w:ascii="Times New Roman" w:hAnsi="Times New Roman" w:eastAsia="仿宋_GB2312" w:cs="Times New Roman"/>
                <w:b w:val="0"/>
                <w:bCs w:val="0"/>
                <w:color w:val="auto"/>
                <w:kern w:val="0"/>
                <w:sz w:val="22"/>
                <w:szCs w:val="22"/>
                <w:highlight w:val="none"/>
                <w:lang w:val="en-US" w:eastAsia="zh-CN"/>
              </w:rPr>
              <w:t>210.31</w:t>
            </w:r>
          </w:p>
        </w:tc>
        <w:tc>
          <w:tcPr>
            <w:tcW w:w="1820"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b w:val="0"/>
                <w:bCs w:val="0"/>
                <w:color w:val="auto"/>
                <w:kern w:val="0"/>
                <w:sz w:val="22"/>
                <w:szCs w:val="22"/>
                <w:highlight w:val="none"/>
                <w:lang w:val="en-US" w:eastAsia="zh-CN" w:bidi="ar-SA"/>
              </w:rPr>
            </w:pPr>
            <w:r>
              <w:rPr>
                <w:rFonts w:hint="default" w:ascii="Times New Roman" w:hAnsi="Times New Roman" w:eastAsia="仿宋_GB2312" w:cs="Times New Roman"/>
                <w:b w:val="0"/>
                <w:bCs w:val="0"/>
                <w:color w:val="auto"/>
                <w:kern w:val="0"/>
                <w:sz w:val="22"/>
                <w:szCs w:val="22"/>
                <w:highlight w:val="none"/>
                <w:lang w:val="en-US" w:eastAsia="zh-CN"/>
              </w:rPr>
              <w:t>210.31</w:t>
            </w:r>
          </w:p>
        </w:tc>
        <w:tc>
          <w:tcPr>
            <w:tcW w:w="1867"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b w:val="0"/>
                <w:bCs w:val="0"/>
                <w:color w:val="auto"/>
                <w:kern w:val="0"/>
                <w:sz w:val="22"/>
                <w:szCs w:val="22"/>
                <w:highlight w:val="none"/>
                <w:lang w:val="en-US" w:eastAsia="zh-CN"/>
              </w:rPr>
            </w:pPr>
          </w:p>
        </w:tc>
      </w:tr>
      <w:tr>
        <w:tblPrEx>
          <w:tblCellMar>
            <w:top w:w="0" w:type="dxa"/>
            <w:left w:w="108" w:type="dxa"/>
            <w:bottom w:w="0" w:type="dxa"/>
            <w:right w:w="108" w:type="dxa"/>
          </w:tblCellMar>
        </w:tblPrEx>
        <w:trPr>
          <w:trHeight w:val="405" w:hRule="atLeast"/>
          <w:jc w:val="center"/>
        </w:trPr>
        <w:tc>
          <w:tcPr>
            <w:tcW w:w="531"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b/>
                <w:bCs/>
                <w:color w:val="auto"/>
                <w:kern w:val="0"/>
                <w:sz w:val="21"/>
                <w:szCs w:val="21"/>
                <w:highlight w:val="none"/>
              </w:rPr>
            </w:pPr>
            <w:r>
              <w:rPr>
                <w:rFonts w:hint="default" w:ascii="Times New Roman" w:hAnsi="Times New Roman" w:eastAsia="仿宋_GB2312" w:cs="Times New Roman"/>
                <w:color w:val="auto"/>
                <w:sz w:val="21"/>
                <w:szCs w:val="21"/>
                <w:highlight w:val="none"/>
                <w:lang w:val="en-US" w:eastAsia="zh-CN"/>
              </w:rPr>
              <w:t>221</w:t>
            </w:r>
          </w:p>
        </w:tc>
        <w:tc>
          <w:tcPr>
            <w:tcW w:w="426"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b/>
                <w:bCs/>
                <w:color w:val="auto"/>
                <w:kern w:val="0"/>
                <w:sz w:val="21"/>
                <w:szCs w:val="21"/>
                <w:highlight w:val="none"/>
              </w:rPr>
            </w:pPr>
          </w:p>
        </w:tc>
        <w:tc>
          <w:tcPr>
            <w:tcW w:w="426"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b/>
                <w:bCs/>
                <w:color w:val="auto"/>
                <w:kern w:val="0"/>
                <w:sz w:val="21"/>
                <w:szCs w:val="21"/>
                <w:highlight w:val="none"/>
              </w:rPr>
            </w:pPr>
          </w:p>
        </w:tc>
        <w:tc>
          <w:tcPr>
            <w:tcW w:w="253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color w:val="auto"/>
                <w:sz w:val="21"/>
                <w:szCs w:val="21"/>
                <w:highlight w:val="none"/>
              </w:rPr>
              <w:t>住房保障支出</w:t>
            </w:r>
          </w:p>
        </w:tc>
        <w:tc>
          <w:tcPr>
            <w:tcW w:w="1819"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b w:val="0"/>
                <w:bCs w:val="0"/>
                <w:color w:val="auto"/>
                <w:kern w:val="0"/>
                <w:sz w:val="22"/>
                <w:szCs w:val="22"/>
                <w:highlight w:val="none"/>
                <w:lang w:val="en-US" w:eastAsia="zh-CN"/>
              </w:rPr>
            </w:pPr>
            <w:r>
              <w:rPr>
                <w:rFonts w:hint="default" w:ascii="Times New Roman" w:hAnsi="Times New Roman" w:eastAsia="仿宋_GB2312" w:cs="Times New Roman"/>
                <w:b w:val="0"/>
                <w:bCs w:val="0"/>
                <w:color w:val="auto"/>
                <w:kern w:val="0"/>
                <w:sz w:val="22"/>
                <w:szCs w:val="22"/>
                <w:highlight w:val="none"/>
                <w:lang w:val="en-US" w:eastAsia="zh-CN"/>
              </w:rPr>
              <w:t>128.02</w:t>
            </w:r>
          </w:p>
        </w:tc>
        <w:tc>
          <w:tcPr>
            <w:tcW w:w="1820"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b w:val="0"/>
                <w:bCs w:val="0"/>
                <w:color w:val="auto"/>
                <w:kern w:val="0"/>
                <w:sz w:val="22"/>
                <w:szCs w:val="22"/>
                <w:highlight w:val="none"/>
              </w:rPr>
            </w:pPr>
            <w:r>
              <w:rPr>
                <w:rFonts w:hint="default" w:ascii="Times New Roman" w:hAnsi="Times New Roman" w:eastAsia="仿宋_GB2312" w:cs="Times New Roman"/>
                <w:b w:val="0"/>
                <w:bCs w:val="0"/>
                <w:color w:val="auto"/>
                <w:kern w:val="0"/>
                <w:sz w:val="22"/>
                <w:szCs w:val="22"/>
                <w:highlight w:val="none"/>
                <w:lang w:val="en-US" w:eastAsia="zh-CN"/>
              </w:rPr>
              <w:t>128.02</w:t>
            </w:r>
          </w:p>
        </w:tc>
        <w:tc>
          <w:tcPr>
            <w:tcW w:w="1867"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b w:val="0"/>
                <w:bCs w:val="0"/>
                <w:color w:val="auto"/>
                <w:kern w:val="0"/>
                <w:sz w:val="22"/>
                <w:szCs w:val="22"/>
                <w:highlight w:val="none"/>
              </w:rPr>
            </w:pPr>
          </w:p>
        </w:tc>
      </w:tr>
      <w:tr>
        <w:tblPrEx>
          <w:tblCellMar>
            <w:top w:w="0" w:type="dxa"/>
            <w:left w:w="108" w:type="dxa"/>
            <w:bottom w:w="0" w:type="dxa"/>
            <w:right w:w="108" w:type="dxa"/>
          </w:tblCellMar>
        </w:tblPrEx>
        <w:trPr>
          <w:trHeight w:val="405" w:hRule="atLeast"/>
          <w:jc w:val="center"/>
        </w:trPr>
        <w:tc>
          <w:tcPr>
            <w:tcW w:w="531"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b/>
                <w:bCs/>
                <w:color w:val="auto"/>
                <w:kern w:val="0"/>
                <w:sz w:val="21"/>
                <w:szCs w:val="21"/>
                <w:highlight w:val="none"/>
              </w:rPr>
            </w:pPr>
            <w:r>
              <w:rPr>
                <w:rFonts w:hint="default" w:ascii="Times New Roman" w:hAnsi="Times New Roman" w:eastAsia="仿宋_GB2312" w:cs="Times New Roman"/>
                <w:color w:val="auto"/>
                <w:sz w:val="21"/>
                <w:szCs w:val="21"/>
                <w:highlight w:val="none"/>
                <w:lang w:val="en-US" w:eastAsia="zh-CN"/>
              </w:rPr>
              <w:t>221</w:t>
            </w:r>
          </w:p>
        </w:tc>
        <w:tc>
          <w:tcPr>
            <w:tcW w:w="426"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b/>
                <w:bCs/>
                <w:color w:val="auto"/>
                <w:kern w:val="0"/>
                <w:sz w:val="21"/>
                <w:szCs w:val="21"/>
                <w:highlight w:val="none"/>
              </w:rPr>
            </w:pPr>
            <w:r>
              <w:rPr>
                <w:rFonts w:hint="default" w:ascii="Times New Roman" w:hAnsi="Times New Roman" w:eastAsia="仿宋_GB2312" w:cs="Times New Roman"/>
                <w:color w:val="auto"/>
                <w:sz w:val="21"/>
                <w:szCs w:val="21"/>
                <w:highlight w:val="none"/>
                <w:lang w:val="en-US" w:eastAsia="zh-CN"/>
              </w:rPr>
              <w:t>02</w:t>
            </w:r>
          </w:p>
        </w:tc>
        <w:tc>
          <w:tcPr>
            <w:tcW w:w="426"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b/>
                <w:bCs/>
                <w:color w:val="auto"/>
                <w:kern w:val="0"/>
                <w:sz w:val="21"/>
                <w:szCs w:val="21"/>
                <w:highlight w:val="none"/>
              </w:rPr>
            </w:pPr>
          </w:p>
        </w:tc>
        <w:tc>
          <w:tcPr>
            <w:tcW w:w="253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color w:val="auto"/>
                <w:sz w:val="21"/>
                <w:szCs w:val="21"/>
                <w:highlight w:val="none"/>
              </w:rPr>
              <w:t>住房改革支出</w:t>
            </w:r>
          </w:p>
        </w:tc>
        <w:tc>
          <w:tcPr>
            <w:tcW w:w="1819"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b w:val="0"/>
                <w:bCs w:val="0"/>
                <w:color w:val="auto"/>
                <w:kern w:val="0"/>
                <w:sz w:val="22"/>
                <w:szCs w:val="22"/>
                <w:highlight w:val="none"/>
              </w:rPr>
            </w:pPr>
            <w:r>
              <w:rPr>
                <w:rFonts w:hint="default" w:ascii="Times New Roman" w:hAnsi="Times New Roman" w:eastAsia="仿宋_GB2312" w:cs="Times New Roman"/>
                <w:b w:val="0"/>
                <w:bCs w:val="0"/>
                <w:color w:val="auto"/>
                <w:kern w:val="0"/>
                <w:sz w:val="22"/>
                <w:szCs w:val="22"/>
                <w:highlight w:val="none"/>
                <w:lang w:val="en-US" w:eastAsia="zh-CN"/>
              </w:rPr>
              <w:t>128.02</w:t>
            </w:r>
          </w:p>
        </w:tc>
        <w:tc>
          <w:tcPr>
            <w:tcW w:w="1820"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b w:val="0"/>
                <w:bCs w:val="0"/>
                <w:color w:val="auto"/>
                <w:kern w:val="0"/>
                <w:sz w:val="22"/>
                <w:szCs w:val="22"/>
                <w:highlight w:val="none"/>
              </w:rPr>
            </w:pPr>
            <w:r>
              <w:rPr>
                <w:rFonts w:hint="default" w:ascii="Times New Roman" w:hAnsi="Times New Roman" w:eastAsia="仿宋_GB2312" w:cs="Times New Roman"/>
                <w:b w:val="0"/>
                <w:bCs w:val="0"/>
                <w:color w:val="auto"/>
                <w:kern w:val="0"/>
                <w:sz w:val="22"/>
                <w:szCs w:val="22"/>
                <w:highlight w:val="none"/>
                <w:lang w:val="en-US" w:eastAsia="zh-CN"/>
              </w:rPr>
              <w:t>128.02</w:t>
            </w:r>
          </w:p>
        </w:tc>
        <w:tc>
          <w:tcPr>
            <w:tcW w:w="1867"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b/>
                <w:bCs/>
                <w:color w:val="auto"/>
                <w:kern w:val="0"/>
                <w:sz w:val="22"/>
                <w:szCs w:val="22"/>
                <w:highlight w:val="none"/>
              </w:rPr>
            </w:pPr>
          </w:p>
        </w:tc>
      </w:tr>
      <w:tr>
        <w:tblPrEx>
          <w:tblCellMar>
            <w:top w:w="0" w:type="dxa"/>
            <w:left w:w="108" w:type="dxa"/>
            <w:bottom w:w="0" w:type="dxa"/>
            <w:right w:w="108" w:type="dxa"/>
          </w:tblCellMar>
        </w:tblPrEx>
        <w:trPr>
          <w:trHeight w:val="405" w:hRule="atLeast"/>
          <w:jc w:val="center"/>
        </w:trPr>
        <w:tc>
          <w:tcPr>
            <w:tcW w:w="531"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b/>
                <w:bCs/>
                <w:color w:val="auto"/>
                <w:kern w:val="0"/>
                <w:sz w:val="21"/>
                <w:szCs w:val="21"/>
                <w:highlight w:val="none"/>
              </w:rPr>
            </w:pPr>
            <w:r>
              <w:rPr>
                <w:rFonts w:hint="default" w:ascii="Times New Roman" w:hAnsi="Times New Roman" w:eastAsia="仿宋_GB2312" w:cs="Times New Roman"/>
                <w:color w:val="auto"/>
                <w:sz w:val="21"/>
                <w:szCs w:val="21"/>
                <w:highlight w:val="none"/>
                <w:lang w:val="en-US" w:eastAsia="zh-CN"/>
              </w:rPr>
              <w:t>221</w:t>
            </w:r>
          </w:p>
        </w:tc>
        <w:tc>
          <w:tcPr>
            <w:tcW w:w="426"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b/>
                <w:bCs/>
                <w:color w:val="auto"/>
                <w:kern w:val="0"/>
                <w:sz w:val="21"/>
                <w:szCs w:val="21"/>
                <w:highlight w:val="none"/>
              </w:rPr>
            </w:pPr>
            <w:r>
              <w:rPr>
                <w:rFonts w:hint="default" w:ascii="Times New Roman" w:hAnsi="Times New Roman" w:eastAsia="仿宋_GB2312" w:cs="Times New Roman"/>
                <w:color w:val="auto"/>
                <w:sz w:val="21"/>
                <w:szCs w:val="21"/>
                <w:highlight w:val="none"/>
                <w:lang w:val="en-US" w:eastAsia="zh-CN"/>
              </w:rPr>
              <w:t>02</w:t>
            </w:r>
          </w:p>
        </w:tc>
        <w:tc>
          <w:tcPr>
            <w:tcW w:w="426"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b/>
                <w:bCs/>
                <w:color w:val="auto"/>
                <w:kern w:val="0"/>
                <w:sz w:val="21"/>
                <w:szCs w:val="21"/>
                <w:highlight w:val="none"/>
              </w:rPr>
            </w:pPr>
            <w:r>
              <w:rPr>
                <w:rFonts w:hint="default" w:ascii="Times New Roman" w:hAnsi="Times New Roman" w:eastAsia="仿宋_GB2312" w:cs="Times New Roman"/>
                <w:color w:val="auto"/>
                <w:sz w:val="21"/>
                <w:szCs w:val="21"/>
                <w:highlight w:val="none"/>
                <w:lang w:val="en-US" w:eastAsia="zh-CN"/>
              </w:rPr>
              <w:t>01</w:t>
            </w:r>
          </w:p>
        </w:tc>
        <w:tc>
          <w:tcPr>
            <w:tcW w:w="2531"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b/>
                <w:bCs/>
                <w:color w:val="auto"/>
                <w:kern w:val="0"/>
                <w:sz w:val="21"/>
                <w:szCs w:val="21"/>
                <w:highlight w:val="none"/>
              </w:rPr>
            </w:pPr>
            <w:r>
              <w:rPr>
                <w:rFonts w:hint="eastAsia" w:ascii="仿宋_GB2312" w:hAnsi="仿宋_GB2312" w:eastAsia="仿宋_GB2312" w:cs="仿宋_GB2312"/>
                <w:color w:val="auto"/>
                <w:sz w:val="21"/>
                <w:szCs w:val="21"/>
                <w:highlight w:val="none"/>
              </w:rPr>
              <w:t>住房公积金</w:t>
            </w:r>
          </w:p>
        </w:tc>
        <w:tc>
          <w:tcPr>
            <w:tcW w:w="1819"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b w:val="0"/>
                <w:bCs w:val="0"/>
                <w:color w:val="auto"/>
                <w:kern w:val="0"/>
                <w:sz w:val="22"/>
                <w:szCs w:val="22"/>
                <w:highlight w:val="none"/>
              </w:rPr>
            </w:pPr>
            <w:r>
              <w:rPr>
                <w:rFonts w:hint="default" w:ascii="Times New Roman" w:hAnsi="Times New Roman" w:eastAsia="仿宋_GB2312" w:cs="Times New Roman"/>
                <w:b w:val="0"/>
                <w:bCs w:val="0"/>
                <w:color w:val="auto"/>
                <w:kern w:val="0"/>
                <w:sz w:val="22"/>
                <w:szCs w:val="22"/>
                <w:highlight w:val="none"/>
                <w:lang w:val="en-US" w:eastAsia="zh-CN"/>
              </w:rPr>
              <w:t>128.02</w:t>
            </w:r>
          </w:p>
        </w:tc>
        <w:tc>
          <w:tcPr>
            <w:tcW w:w="1820"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b w:val="0"/>
                <w:bCs w:val="0"/>
                <w:color w:val="auto"/>
                <w:kern w:val="0"/>
                <w:sz w:val="22"/>
                <w:szCs w:val="22"/>
                <w:highlight w:val="none"/>
              </w:rPr>
            </w:pPr>
            <w:r>
              <w:rPr>
                <w:rFonts w:hint="default" w:ascii="Times New Roman" w:hAnsi="Times New Roman" w:eastAsia="仿宋_GB2312" w:cs="Times New Roman"/>
                <w:b w:val="0"/>
                <w:bCs w:val="0"/>
                <w:color w:val="auto"/>
                <w:kern w:val="0"/>
                <w:sz w:val="22"/>
                <w:szCs w:val="22"/>
                <w:highlight w:val="none"/>
                <w:lang w:val="en-US" w:eastAsia="zh-CN"/>
              </w:rPr>
              <w:t>128.02</w:t>
            </w:r>
          </w:p>
        </w:tc>
        <w:tc>
          <w:tcPr>
            <w:tcW w:w="1867"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b/>
                <w:bCs/>
                <w:color w:val="auto"/>
                <w:kern w:val="0"/>
                <w:sz w:val="22"/>
                <w:szCs w:val="22"/>
                <w:highlight w:val="none"/>
              </w:rPr>
            </w:pPr>
          </w:p>
        </w:tc>
      </w:tr>
      <w:tr>
        <w:tblPrEx>
          <w:tblCellMar>
            <w:top w:w="0" w:type="dxa"/>
            <w:left w:w="108" w:type="dxa"/>
            <w:bottom w:w="0" w:type="dxa"/>
            <w:right w:w="108" w:type="dxa"/>
          </w:tblCellMar>
        </w:tblPrEx>
        <w:trPr>
          <w:trHeight w:val="405" w:hRule="atLeast"/>
          <w:jc w:val="center"/>
        </w:trPr>
        <w:tc>
          <w:tcPr>
            <w:tcW w:w="53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color w:val="auto"/>
                <w:kern w:val="0"/>
                <w:sz w:val="22"/>
                <w:szCs w:val="22"/>
                <w:highlight w:val="none"/>
              </w:rPr>
            </w:pP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color w:val="auto"/>
                <w:kern w:val="0"/>
                <w:sz w:val="22"/>
                <w:szCs w:val="22"/>
                <w:highlight w:val="none"/>
              </w:rPr>
            </w:pPr>
          </w:p>
        </w:tc>
        <w:tc>
          <w:tcPr>
            <w:tcW w:w="42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color w:val="auto"/>
                <w:kern w:val="0"/>
                <w:sz w:val="24"/>
                <w:highlight w:val="none"/>
              </w:rPr>
            </w:pPr>
          </w:p>
        </w:tc>
        <w:tc>
          <w:tcPr>
            <w:tcW w:w="253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19"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b/>
                <w:bCs/>
                <w:color w:val="auto"/>
                <w:kern w:val="0"/>
                <w:sz w:val="24"/>
                <w:highlight w:val="none"/>
                <w:lang w:val="en-US" w:eastAsia="zh-CN"/>
              </w:rPr>
            </w:pPr>
            <w:r>
              <w:rPr>
                <w:rFonts w:hint="default" w:ascii="Times New Roman" w:hAnsi="Times New Roman" w:eastAsia="仿宋_GB2312" w:cs="Times New Roman"/>
                <w:b/>
                <w:bCs/>
                <w:color w:val="auto"/>
                <w:kern w:val="0"/>
                <w:sz w:val="24"/>
                <w:highlight w:val="none"/>
                <w:lang w:val="en-US" w:eastAsia="zh-CN"/>
              </w:rPr>
              <w:t>1116.83</w:t>
            </w:r>
          </w:p>
        </w:tc>
        <w:tc>
          <w:tcPr>
            <w:tcW w:w="1820"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b/>
                <w:bCs/>
                <w:color w:val="auto"/>
                <w:kern w:val="0"/>
                <w:sz w:val="24"/>
                <w:highlight w:val="none"/>
                <w:lang w:val="en-US" w:eastAsia="zh-CN"/>
              </w:rPr>
            </w:pPr>
            <w:r>
              <w:rPr>
                <w:rFonts w:hint="default" w:ascii="Times New Roman" w:hAnsi="Times New Roman" w:eastAsia="仿宋_GB2312" w:cs="Times New Roman"/>
                <w:b/>
                <w:bCs/>
                <w:color w:val="auto"/>
                <w:kern w:val="0"/>
                <w:sz w:val="24"/>
                <w:highlight w:val="none"/>
                <w:lang w:val="en-US" w:eastAsia="zh-CN"/>
              </w:rPr>
              <w:t>1102.63</w:t>
            </w:r>
          </w:p>
        </w:tc>
        <w:tc>
          <w:tcPr>
            <w:tcW w:w="1867"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eastAsia="仿宋_GB2312" w:cs="Times New Roman"/>
                <w:b/>
                <w:bCs/>
                <w:color w:val="auto"/>
                <w:kern w:val="0"/>
                <w:sz w:val="24"/>
                <w:highlight w:val="none"/>
                <w:lang w:val="en-US" w:eastAsia="zh-CN"/>
              </w:rPr>
            </w:pPr>
            <w:r>
              <w:rPr>
                <w:rFonts w:hint="default" w:ascii="Times New Roman" w:hAnsi="Times New Roman" w:eastAsia="仿宋_GB2312" w:cs="Times New Roman"/>
                <w:b/>
                <w:bCs/>
                <w:color w:val="auto"/>
                <w:kern w:val="0"/>
                <w:sz w:val="24"/>
                <w:highlight w:val="none"/>
                <w:lang w:val="en-US" w:eastAsia="zh-CN"/>
              </w:rPr>
              <w:t>14.20</w:t>
            </w:r>
          </w:p>
        </w:tc>
      </w:tr>
    </w:tbl>
    <w:p>
      <w:pPr>
        <w:widowControl/>
        <w:outlineLvl w:val="1"/>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w:t>
      </w:r>
      <w:r>
        <w:rPr>
          <w:rFonts w:hint="eastAsia" w:ascii="仿宋_GB2312" w:hAnsi="宋体" w:eastAsia="仿宋_GB2312"/>
          <w:color w:val="auto"/>
          <w:kern w:val="0"/>
          <w:sz w:val="24"/>
          <w:highlight w:val="none"/>
          <w:lang w:val="en-US" w:eastAsia="zh-CN"/>
        </w:rPr>
        <w:t>呼图壁县自然资源局</w:t>
      </w:r>
      <w:r>
        <w:rPr>
          <w:rFonts w:hint="eastAsia" w:ascii="仿宋_GB2312" w:hAnsi="宋体" w:eastAsia="仿宋_GB2312"/>
          <w:color w:val="auto"/>
          <w:kern w:val="0"/>
          <w:sz w:val="24"/>
          <w:szCs w:val="24"/>
          <w:highlight w:val="none"/>
        </w:rPr>
        <w:t xml:space="preserve">                                单位：万元</w:t>
      </w:r>
    </w:p>
    <w:tbl>
      <w:tblPr>
        <w:tblStyle w:val="10"/>
        <w:tblW w:w="9449" w:type="dxa"/>
        <w:jc w:val="center"/>
        <w:tblLayout w:type="autofit"/>
        <w:tblCellMar>
          <w:top w:w="0" w:type="dxa"/>
          <w:left w:w="108" w:type="dxa"/>
          <w:bottom w:w="0" w:type="dxa"/>
          <w:right w:w="108" w:type="dxa"/>
        </w:tblCellMar>
      </w:tblPr>
      <w:tblGrid>
        <w:gridCol w:w="1936"/>
        <w:gridCol w:w="914"/>
        <w:gridCol w:w="2580"/>
        <w:gridCol w:w="900"/>
        <w:gridCol w:w="851"/>
        <w:gridCol w:w="1134"/>
        <w:gridCol w:w="1134"/>
      </w:tblGrid>
      <w:tr>
        <w:tblPrEx>
          <w:tblCellMar>
            <w:top w:w="0" w:type="dxa"/>
            <w:left w:w="108" w:type="dxa"/>
            <w:bottom w:w="0" w:type="dxa"/>
            <w:right w:w="108" w:type="dxa"/>
          </w:tblCellMar>
        </w:tblPrEx>
        <w:trPr>
          <w:trHeight w:val="285" w:hRule="atLeast"/>
          <w:jc w:val="center"/>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jc w:val="center"/>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287" w:hRule="exact"/>
          <w:jc w:val="center"/>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Times New Roman" w:hAnsi="Times New Roman" w:eastAsia="仿宋_GB2312" w:cs="Times New Roman"/>
                <w:color w:val="auto"/>
                <w:kern w:val="0"/>
                <w:sz w:val="18"/>
                <w:szCs w:val="18"/>
                <w:highlight w:val="none"/>
                <w:lang w:val="en-US"/>
              </w:rPr>
            </w:pPr>
            <w:r>
              <w:rPr>
                <w:rFonts w:hint="eastAsia" w:cs="Times New Roman"/>
                <w:color w:val="auto"/>
                <w:kern w:val="0"/>
                <w:sz w:val="18"/>
                <w:szCs w:val="18"/>
                <w:highlight w:val="none"/>
                <w:lang w:val="en-US" w:eastAsia="zh-CN"/>
              </w:rPr>
              <w:t>802.63</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Times New Roman" w:hAnsi="Times New Roman" w:eastAsia="仿宋_GB2312" w:cs="Times New Roman"/>
                <w:color w:val="auto"/>
                <w:kern w:val="0"/>
                <w:sz w:val="18"/>
                <w:szCs w:val="18"/>
                <w:highlight w:val="none"/>
                <w:lang w:val="en-US"/>
              </w:rPr>
            </w:pPr>
            <w:r>
              <w:rPr>
                <w:rFonts w:hint="eastAsia" w:cs="Times New Roman"/>
                <w:color w:val="auto"/>
                <w:kern w:val="0"/>
                <w:sz w:val="18"/>
                <w:szCs w:val="18"/>
                <w:highlight w:val="none"/>
                <w:lang w:val="en-US" w:eastAsia="zh-CN"/>
              </w:rPr>
              <w:t>802.63</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jc w:val="center"/>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lang w:val="en-US" w:eastAsia="zh-CN"/>
              </w:rPr>
              <w:t>89.42</w:t>
            </w: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lang w:val="en-US" w:eastAsia="zh-CN"/>
              </w:rPr>
              <w:t>89.42</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Times New Roman" w:hAnsi="Times New Roman" w:cs="Times New Roman"/>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Times New Roman" w:hAnsi="Times New Roman" w:cs="Times New Roman"/>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卫生健康支出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Times New Roman" w:hAnsi="Times New Roman" w:eastAsia="宋体" w:cs="Times New Roman"/>
                <w:color w:val="auto"/>
                <w:kern w:val="0"/>
                <w:sz w:val="18"/>
                <w:szCs w:val="18"/>
                <w:highlight w:val="none"/>
                <w:lang w:val="en-US" w:eastAsia="zh-CN"/>
              </w:rPr>
            </w:pPr>
            <w:r>
              <w:rPr>
                <w:rFonts w:hint="default" w:ascii="Times New Roman" w:hAnsi="Times New Roman" w:cs="Times New Roman"/>
                <w:color w:val="auto"/>
                <w:kern w:val="0"/>
                <w:sz w:val="18"/>
                <w:szCs w:val="18"/>
                <w:highlight w:val="none"/>
                <w:lang w:val="en-US" w:eastAsia="zh-CN"/>
              </w:rPr>
              <w:t>57.60</w:t>
            </w:r>
            <w:r>
              <w:rPr>
                <w:rFonts w:hint="default" w:ascii="Times New Roman" w:hAnsi="Times New Roman" w:cs="Times New Roman"/>
                <w:color w:val="auto"/>
                <w:kern w:val="0"/>
                <w:sz w:val="18"/>
                <w:szCs w:val="18"/>
                <w:highlight w:val="none"/>
              </w:rPr>
              <w:t>　</w:t>
            </w:r>
            <w:r>
              <w:rPr>
                <w:rFonts w:hint="default" w:ascii="Times New Roman" w:hAnsi="Times New Roman" w:cs="Times New Roman"/>
                <w:color w:val="auto"/>
                <w:kern w:val="0"/>
                <w:sz w:val="18"/>
                <w:szCs w:val="18"/>
                <w:highlight w:val="none"/>
                <w:lang w:val="en-US" w:eastAsia="zh-CN"/>
              </w:rPr>
              <w:t>57.60</w:t>
            </w: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lang w:val="en-US" w:eastAsia="zh-CN"/>
              </w:rPr>
              <w:t>57.60</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Times New Roman" w:hAnsi="Times New Roman" w:cs="Times New Roman"/>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Times New Roman" w:hAnsi="Times New Roman" w:cs="Times New Roman"/>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Times New Roman" w:hAnsi="Times New Roman" w:cs="Times New Roman"/>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Times New Roman" w:hAnsi="Times New Roman" w:cs="Times New Roman"/>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Times New Roman" w:hAnsi="Times New Roman" w:cs="Times New Roman"/>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Times New Roman" w:hAnsi="Times New Roman" w:cs="Times New Roman"/>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Times New Roman" w:hAnsi="Times New Roman" w:cs="Times New Roman"/>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Times New Roman" w:hAnsi="Times New Roman" w:cs="Times New Roman"/>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Times New Roman" w:hAnsi="Times New Roman" w:cs="Times New Roman"/>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Times New Roman" w:hAnsi="Times New Roman" w:cs="Times New Roman"/>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Times New Roman" w:hAnsi="Times New Roman" w:cs="Times New Roman"/>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Times New Roman" w:hAnsi="Times New Roman" w:cs="Times New Roman"/>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Times New Roman" w:hAnsi="Times New Roman" w:cs="Times New Roman"/>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Times New Roman" w:hAnsi="Times New Roman" w:cs="Times New Roman"/>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Times New Roman" w:hAnsi="Times New Roman" w:cs="Times New Roman"/>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Times New Roman" w:hAnsi="Times New Roman" w:cs="Times New Roman"/>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Times New Roman" w:hAnsi="Times New Roman" w:cs="Times New Roman"/>
                <w:color w:val="auto"/>
                <w:kern w:val="0"/>
                <w:sz w:val="18"/>
                <w:szCs w:val="18"/>
                <w:highlight w:val="none"/>
                <w:lang w:val="en-US"/>
              </w:rPr>
            </w:pPr>
            <w:r>
              <w:rPr>
                <w:rFonts w:hint="eastAsia" w:cs="Times New Roman"/>
                <w:color w:val="auto"/>
                <w:kern w:val="0"/>
                <w:sz w:val="18"/>
                <w:szCs w:val="18"/>
                <w:highlight w:val="none"/>
                <w:lang w:val="en-US" w:eastAsia="zh-CN"/>
              </w:rPr>
              <w:t>592.59</w:t>
            </w: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Times New Roman" w:hAnsi="Times New Roman" w:cs="Times New Roman"/>
                <w:color w:val="auto"/>
                <w:kern w:val="0"/>
                <w:sz w:val="18"/>
                <w:szCs w:val="18"/>
                <w:highlight w:val="none"/>
                <w:lang w:val="en-US"/>
              </w:rPr>
            </w:pPr>
            <w:r>
              <w:rPr>
                <w:rFonts w:hint="eastAsia" w:cs="Times New Roman"/>
                <w:color w:val="auto"/>
                <w:kern w:val="0"/>
                <w:sz w:val="18"/>
                <w:szCs w:val="18"/>
                <w:highlight w:val="none"/>
                <w:lang w:val="en-US" w:eastAsia="zh-CN"/>
              </w:rPr>
              <w:t>592.59</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lang w:val="en-US" w:eastAsia="zh-CN"/>
              </w:rPr>
              <w:t>63.02</w:t>
            </w: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lang w:val="en-US" w:eastAsia="zh-CN"/>
              </w:rPr>
              <w:t>63.02</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Times New Roman" w:hAnsi="Times New Roman" w:cs="Times New Roman"/>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Times New Roman" w:hAnsi="Times New Roman" w:cs="Times New Roman"/>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cs="Times New Roman"/>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cs="Times New Roman"/>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cs="Times New Roman"/>
                <w:color w:val="auto"/>
                <w:kern w:val="0"/>
                <w:sz w:val="18"/>
                <w:szCs w:val="18"/>
                <w:highlight w:val="none"/>
              </w:rPr>
            </w:pPr>
            <w:r>
              <w:rPr>
                <w:rFonts w:hint="default" w:ascii="Times New Roman" w:hAnsi="Times New Roman" w:cs="Times New Roman"/>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 xml:space="preserve">                    </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cs="Times New Roman"/>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cs="Times New Roman"/>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cs="Times New Roman"/>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Times New Roman" w:hAnsi="Times New Roman" w:cs="Times New Roman"/>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cs="Times New Roman"/>
                <w:b/>
                <w:bCs/>
                <w:color w:val="auto"/>
                <w:kern w:val="0"/>
                <w:sz w:val="20"/>
                <w:szCs w:val="20"/>
                <w:highlight w:val="none"/>
                <w:lang w:val="en-US" w:eastAsia="zh-CN"/>
              </w:rPr>
              <w:t>802.63</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Times New Roman" w:hAnsi="Times New Roman" w:cs="Times New Roman"/>
                <w:b/>
                <w:bCs/>
                <w:color w:val="auto"/>
                <w:kern w:val="0"/>
                <w:sz w:val="20"/>
                <w:szCs w:val="20"/>
                <w:highlight w:val="none"/>
                <w:lang w:val="en-US"/>
              </w:rPr>
            </w:pPr>
            <w:r>
              <w:rPr>
                <w:rFonts w:hint="eastAsia" w:cs="Times New Roman"/>
                <w:b/>
                <w:bCs/>
                <w:color w:val="auto"/>
                <w:kern w:val="0"/>
                <w:sz w:val="20"/>
                <w:szCs w:val="20"/>
                <w:highlight w:val="none"/>
                <w:lang w:val="en-US" w:eastAsia="zh-CN"/>
              </w:rPr>
              <w:t>802.63</w:t>
            </w:r>
          </w:p>
        </w:tc>
        <w:tc>
          <w:tcPr>
            <w:tcW w:w="851"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Times New Roman" w:hAnsi="Times New Roman" w:cs="Times New Roman"/>
                <w:b/>
                <w:bCs/>
                <w:color w:val="auto"/>
                <w:kern w:val="0"/>
                <w:sz w:val="20"/>
                <w:szCs w:val="20"/>
                <w:highlight w:val="none"/>
              </w:rPr>
            </w:pPr>
            <w:r>
              <w:rPr>
                <w:rFonts w:hint="eastAsia" w:cs="Times New Roman"/>
                <w:b/>
                <w:bCs/>
                <w:color w:val="auto"/>
                <w:kern w:val="0"/>
                <w:sz w:val="20"/>
                <w:szCs w:val="20"/>
                <w:highlight w:val="none"/>
                <w:lang w:val="en-US" w:eastAsia="zh-CN"/>
              </w:rPr>
              <w:t>802.63</w:t>
            </w:r>
          </w:p>
        </w:tc>
        <w:tc>
          <w:tcPr>
            <w:tcW w:w="2268"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10"/>
        <w:tblW w:w="9214" w:type="dxa"/>
        <w:jc w:val="center"/>
        <w:tblLayout w:type="autofit"/>
        <w:tblCellMar>
          <w:top w:w="0" w:type="dxa"/>
          <w:left w:w="108" w:type="dxa"/>
          <w:bottom w:w="0" w:type="dxa"/>
          <w:right w:w="108" w:type="dxa"/>
        </w:tblCellMar>
      </w:tblPr>
      <w:tblGrid>
        <w:gridCol w:w="531"/>
        <w:gridCol w:w="499"/>
        <w:gridCol w:w="502"/>
        <w:gridCol w:w="2490"/>
        <w:gridCol w:w="656"/>
        <w:gridCol w:w="1016"/>
        <w:gridCol w:w="215"/>
        <w:gridCol w:w="1614"/>
        <w:gridCol w:w="1691"/>
      </w:tblGrid>
      <w:tr>
        <w:tblPrEx>
          <w:tblCellMar>
            <w:top w:w="0" w:type="dxa"/>
            <w:left w:w="108" w:type="dxa"/>
            <w:bottom w:w="0" w:type="dxa"/>
            <w:right w:w="108" w:type="dxa"/>
          </w:tblCellMar>
        </w:tblPrEx>
        <w:trPr>
          <w:trHeight w:val="450" w:hRule="atLeast"/>
          <w:jc w:val="center"/>
        </w:trPr>
        <w:tc>
          <w:tcPr>
            <w:tcW w:w="9214"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jc w:val="center"/>
        </w:trPr>
        <w:tc>
          <w:tcPr>
            <w:tcW w:w="4022" w:type="dxa"/>
            <w:gridSpan w:val="4"/>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olor w:val="auto"/>
                <w:kern w:val="0"/>
                <w:sz w:val="24"/>
                <w:highlight w:val="none"/>
                <w:lang w:val="en-US" w:eastAsia="zh-CN"/>
              </w:rPr>
              <w:t>呼图壁县自然资源局</w:t>
            </w:r>
          </w:p>
        </w:tc>
        <w:tc>
          <w:tcPr>
            <w:tcW w:w="656"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231"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05" w:type="dxa"/>
            <w:gridSpan w:val="2"/>
            <w:tcBorders>
              <w:top w:val="nil"/>
              <w:left w:val="nil"/>
              <w:bottom w:val="nil"/>
              <w:right w:val="nil"/>
            </w:tcBorders>
            <w:noWrap w:val="0"/>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jc w:val="center"/>
        </w:trPr>
        <w:tc>
          <w:tcPr>
            <w:tcW w:w="4022"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192"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jc w:val="center"/>
        </w:trPr>
        <w:tc>
          <w:tcPr>
            <w:tcW w:w="1532"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49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72"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29"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9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jc w:val="center"/>
        </w:trPr>
        <w:tc>
          <w:tcPr>
            <w:tcW w:w="531"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9"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2"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490"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672"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829"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69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jc w:val="center"/>
        </w:trPr>
        <w:tc>
          <w:tcPr>
            <w:tcW w:w="531"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_GB2312" w:cs="Times New Roman"/>
                <w:b/>
                <w:color w:val="auto"/>
                <w:kern w:val="0"/>
                <w:sz w:val="20"/>
                <w:szCs w:val="20"/>
                <w:highlight w:val="none"/>
                <w:lang w:eastAsia="zh-CN"/>
              </w:rPr>
            </w:pPr>
            <w:r>
              <w:rPr>
                <w:rFonts w:hint="default" w:ascii="Times New Roman" w:hAnsi="Times New Roman" w:eastAsia="仿宋_GB2312" w:cs="Times New Roman"/>
                <w:color w:val="auto"/>
                <w:sz w:val="21"/>
                <w:szCs w:val="21"/>
                <w:highlight w:val="none"/>
              </w:rPr>
              <w:t>208</w:t>
            </w:r>
          </w:p>
        </w:tc>
        <w:tc>
          <w:tcPr>
            <w:tcW w:w="499"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b/>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仿宋_GB2312" w:cs="Times New Roman"/>
                <w:b/>
                <w:color w:val="auto"/>
                <w:kern w:val="0"/>
                <w:sz w:val="20"/>
                <w:szCs w:val="20"/>
                <w:highlight w:val="none"/>
              </w:rPr>
            </w:pPr>
          </w:p>
        </w:tc>
        <w:tc>
          <w:tcPr>
            <w:tcW w:w="2490" w:type="dxa"/>
            <w:tcBorders>
              <w:top w:val="nil"/>
              <w:left w:val="nil"/>
              <w:bottom w:val="single" w:color="auto" w:sz="4" w:space="0"/>
              <w:right w:val="single" w:color="auto" w:sz="4" w:space="0"/>
            </w:tcBorders>
            <w:noWrap w:val="0"/>
            <w:vAlign w:val="center"/>
          </w:tcPr>
          <w:p>
            <w:pPr>
              <w:tabs>
                <w:tab w:val="left" w:pos="340"/>
              </w:tabs>
              <w:jc w:val="center"/>
              <w:rPr>
                <w:rFonts w:ascii="仿宋_GB2312" w:hAnsi="宋体" w:eastAsia="仿宋_GB2312" w:cs="宋体"/>
                <w:b/>
                <w:color w:val="auto"/>
                <w:kern w:val="0"/>
                <w:sz w:val="20"/>
                <w:szCs w:val="20"/>
                <w:highlight w:val="none"/>
              </w:rPr>
            </w:pPr>
            <w:r>
              <w:rPr>
                <w:rFonts w:hint="eastAsia" w:ascii="仿宋_GB2312" w:hAnsi="仿宋_GB2312" w:eastAsia="仿宋_GB2312" w:cs="仿宋_GB2312"/>
                <w:color w:val="auto"/>
                <w:sz w:val="21"/>
                <w:szCs w:val="21"/>
                <w:highlight w:val="none"/>
                <w:lang w:eastAsia="zh-CN"/>
              </w:rPr>
              <w:t>社会保障和就业支出</w:t>
            </w:r>
          </w:p>
        </w:tc>
        <w:tc>
          <w:tcPr>
            <w:tcW w:w="167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default" w:ascii="Times New Roman" w:hAnsi="Times New Roman" w:eastAsia="仿宋_GB2312" w:cs="Times New Roman"/>
                <w:b/>
                <w:color w:val="auto"/>
                <w:kern w:val="0"/>
                <w:sz w:val="20"/>
                <w:szCs w:val="20"/>
                <w:highlight w:val="no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89.42</w:t>
            </w:r>
          </w:p>
        </w:tc>
        <w:tc>
          <w:tcPr>
            <w:tcW w:w="1829"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default" w:ascii="Times New Roman" w:hAnsi="Times New Roman" w:eastAsia="仿宋_GB2312" w:cs="Times New Roman"/>
                <w:b/>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89.42</w:t>
            </w:r>
          </w:p>
        </w:tc>
        <w:tc>
          <w:tcPr>
            <w:tcW w:w="1691" w:type="dxa"/>
            <w:tcBorders>
              <w:top w:val="nil"/>
              <w:left w:val="nil"/>
              <w:bottom w:val="single" w:color="auto" w:sz="4" w:space="0"/>
              <w:right w:val="single" w:color="auto" w:sz="4" w:space="0"/>
            </w:tcBorders>
            <w:noWrap w:val="0"/>
            <w:vAlign w:val="top"/>
          </w:tcPr>
          <w:p>
            <w:pPr>
              <w:jc w:val="center"/>
              <w:rPr>
                <w:rFonts w:hint="default" w:ascii="Times New Roman" w:hAnsi="Times New Roman" w:eastAsia="仿宋_GB2312" w:cs="Times New Roman"/>
                <w:b/>
                <w:color w:val="auto"/>
                <w:kern w:val="0"/>
                <w:sz w:val="20"/>
                <w:szCs w:val="20"/>
                <w:highlight w:val="none"/>
              </w:rPr>
            </w:pPr>
          </w:p>
        </w:tc>
      </w:tr>
      <w:tr>
        <w:tblPrEx>
          <w:tblCellMar>
            <w:top w:w="0" w:type="dxa"/>
            <w:left w:w="108" w:type="dxa"/>
            <w:bottom w:w="0" w:type="dxa"/>
            <w:right w:w="108" w:type="dxa"/>
          </w:tblCellMar>
        </w:tblPrEx>
        <w:trPr>
          <w:trHeight w:val="450" w:hRule="atLeast"/>
          <w:jc w:val="center"/>
        </w:trPr>
        <w:tc>
          <w:tcPr>
            <w:tcW w:w="531"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color w:val="auto"/>
                <w:sz w:val="21"/>
                <w:szCs w:val="21"/>
                <w:highlight w:val="none"/>
                <w:lang w:val="en-US" w:eastAsia="zh-CN"/>
              </w:rPr>
              <w:t>208</w:t>
            </w:r>
          </w:p>
        </w:tc>
        <w:tc>
          <w:tcPr>
            <w:tcW w:w="499" w:type="dxa"/>
            <w:tcBorders>
              <w:top w:val="nil"/>
              <w:left w:val="nil"/>
              <w:bottom w:val="single" w:color="auto" w:sz="4" w:space="0"/>
              <w:right w:val="single" w:color="auto" w:sz="4" w:space="0"/>
            </w:tcBorders>
            <w:noWrap w:val="0"/>
            <w:vAlign w:val="center"/>
          </w:tcPr>
          <w:p>
            <w:pPr>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color w:val="auto"/>
                <w:sz w:val="21"/>
                <w:szCs w:val="21"/>
                <w:highlight w:val="none"/>
                <w:lang w:val="en-US" w:eastAsia="zh-CN"/>
              </w:rPr>
              <w:t>05</w:t>
            </w:r>
          </w:p>
        </w:tc>
        <w:tc>
          <w:tcPr>
            <w:tcW w:w="502" w:type="dxa"/>
            <w:tcBorders>
              <w:top w:val="nil"/>
              <w:left w:val="nil"/>
              <w:bottom w:val="single" w:color="auto" w:sz="4" w:space="0"/>
              <w:right w:val="single" w:color="auto" w:sz="4" w:space="0"/>
            </w:tcBorders>
            <w:noWrap w:val="0"/>
            <w:vAlign w:val="center"/>
          </w:tcPr>
          <w:p>
            <w:pPr>
              <w:jc w:val="center"/>
              <w:rPr>
                <w:rFonts w:hint="default" w:ascii="Times New Roman" w:hAnsi="Times New Roman" w:cs="Times New Roman"/>
                <w:color w:val="auto"/>
                <w:kern w:val="0"/>
                <w:sz w:val="20"/>
                <w:szCs w:val="20"/>
                <w:highlight w:val="none"/>
              </w:rPr>
            </w:pPr>
          </w:p>
        </w:tc>
        <w:tc>
          <w:tcPr>
            <w:tcW w:w="249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21"/>
                <w:szCs w:val="21"/>
                <w:highlight w:val="none"/>
              </w:rPr>
              <w:t>行政事业单位养老支出</w:t>
            </w:r>
          </w:p>
        </w:tc>
        <w:tc>
          <w:tcPr>
            <w:tcW w:w="167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89.42</w:t>
            </w:r>
          </w:p>
        </w:tc>
        <w:tc>
          <w:tcPr>
            <w:tcW w:w="1829"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89.42</w:t>
            </w:r>
          </w:p>
        </w:tc>
        <w:tc>
          <w:tcPr>
            <w:tcW w:w="1691" w:type="dxa"/>
            <w:tcBorders>
              <w:top w:val="nil"/>
              <w:left w:val="nil"/>
              <w:bottom w:val="single" w:color="auto" w:sz="4" w:space="0"/>
              <w:right w:val="single" w:color="auto" w:sz="4" w:space="0"/>
            </w:tcBorders>
            <w:noWrap w:val="0"/>
            <w:vAlign w:val="top"/>
          </w:tcPr>
          <w:p>
            <w:pPr>
              <w:jc w:val="center"/>
              <w:rPr>
                <w:rFonts w:hint="default" w:ascii="Times New Roman" w:hAnsi="Times New Roman" w:cs="Times New Roman"/>
                <w:color w:val="auto"/>
                <w:kern w:val="0"/>
                <w:sz w:val="20"/>
                <w:szCs w:val="20"/>
                <w:highlight w:val="none"/>
              </w:rPr>
            </w:pPr>
          </w:p>
        </w:tc>
      </w:tr>
      <w:tr>
        <w:tblPrEx>
          <w:tblCellMar>
            <w:top w:w="0" w:type="dxa"/>
            <w:left w:w="108" w:type="dxa"/>
            <w:bottom w:w="0" w:type="dxa"/>
            <w:right w:w="108" w:type="dxa"/>
          </w:tblCellMar>
        </w:tblPrEx>
        <w:trPr>
          <w:trHeight w:val="450" w:hRule="atLeast"/>
          <w:jc w:val="center"/>
        </w:trPr>
        <w:tc>
          <w:tcPr>
            <w:tcW w:w="531"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color w:val="auto"/>
                <w:sz w:val="21"/>
                <w:szCs w:val="21"/>
                <w:highlight w:val="none"/>
                <w:lang w:val="en-US" w:eastAsia="zh-CN"/>
              </w:rPr>
              <w:t>208</w:t>
            </w:r>
          </w:p>
        </w:tc>
        <w:tc>
          <w:tcPr>
            <w:tcW w:w="499" w:type="dxa"/>
            <w:tcBorders>
              <w:top w:val="nil"/>
              <w:left w:val="nil"/>
              <w:bottom w:val="single" w:color="auto" w:sz="4" w:space="0"/>
              <w:right w:val="single" w:color="auto" w:sz="4" w:space="0"/>
            </w:tcBorders>
            <w:noWrap w:val="0"/>
            <w:vAlign w:val="center"/>
          </w:tcPr>
          <w:p>
            <w:pPr>
              <w:tabs>
                <w:tab w:val="center" w:pos="100"/>
                <w:tab w:val="right" w:pos="521"/>
              </w:tabs>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color w:val="auto"/>
                <w:sz w:val="21"/>
                <w:szCs w:val="21"/>
                <w:highlight w:val="none"/>
                <w:lang w:val="en-US" w:eastAsia="zh-CN"/>
              </w:rPr>
              <w:t>05</w:t>
            </w:r>
          </w:p>
        </w:tc>
        <w:tc>
          <w:tcPr>
            <w:tcW w:w="502" w:type="dxa"/>
            <w:tcBorders>
              <w:top w:val="nil"/>
              <w:left w:val="nil"/>
              <w:bottom w:val="single" w:color="auto" w:sz="4" w:space="0"/>
              <w:right w:val="single" w:color="auto" w:sz="4" w:space="0"/>
            </w:tcBorders>
            <w:noWrap w:val="0"/>
            <w:vAlign w:val="center"/>
          </w:tcPr>
          <w:p>
            <w:pPr>
              <w:tabs>
                <w:tab w:val="center" w:pos="100"/>
                <w:tab w:val="right" w:pos="521"/>
              </w:tabs>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color w:val="auto"/>
                <w:sz w:val="21"/>
                <w:szCs w:val="21"/>
                <w:highlight w:val="none"/>
                <w:lang w:val="en-US" w:eastAsia="zh-CN"/>
              </w:rPr>
              <w:t>01</w:t>
            </w:r>
          </w:p>
        </w:tc>
        <w:tc>
          <w:tcPr>
            <w:tcW w:w="249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21"/>
                <w:szCs w:val="21"/>
                <w:highlight w:val="none"/>
              </w:rPr>
              <w:t>行政单位离退休</w:t>
            </w:r>
          </w:p>
        </w:tc>
        <w:tc>
          <w:tcPr>
            <w:tcW w:w="167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13.26</w:t>
            </w:r>
          </w:p>
        </w:tc>
        <w:tc>
          <w:tcPr>
            <w:tcW w:w="1829"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13.26</w:t>
            </w:r>
          </w:p>
        </w:tc>
        <w:tc>
          <w:tcPr>
            <w:tcW w:w="1691" w:type="dxa"/>
            <w:tcBorders>
              <w:top w:val="nil"/>
              <w:left w:val="nil"/>
              <w:bottom w:val="single" w:color="auto" w:sz="4" w:space="0"/>
              <w:right w:val="single" w:color="auto" w:sz="4" w:space="0"/>
            </w:tcBorders>
            <w:noWrap w:val="0"/>
            <w:vAlign w:val="top"/>
          </w:tcPr>
          <w:p>
            <w:pPr>
              <w:jc w:val="center"/>
              <w:rPr>
                <w:rFonts w:hint="default" w:ascii="Times New Roman" w:hAnsi="Times New Roman" w:cs="Times New Roman"/>
                <w:color w:val="auto"/>
                <w:kern w:val="0"/>
                <w:sz w:val="20"/>
                <w:szCs w:val="20"/>
                <w:highlight w:val="none"/>
              </w:rPr>
            </w:pPr>
          </w:p>
        </w:tc>
      </w:tr>
      <w:tr>
        <w:tblPrEx>
          <w:tblCellMar>
            <w:top w:w="0" w:type="dxa"/>
            <w:left w:w="108" w:type="dxa"/>
            <w:bottom w:w="0" w:type="dxa"/>
            <w:right w:w="108" w:type="dxa"/>
          </w:tblCellMar>
        </w:tblPrEx>
        <w:trPr>
          <w:trHeight w:val="450" w:hRule="atLeast"/>
          <w:jc w:val="center"/>
        </w:trPr>
        <w:tc>
          <w:tcPr>
            <w:tcW w:w="531" w:type="dxa"/>
            <w:tcBorders>
              <w:top w:val="nil"/>
              <w:left w:val="single" w:color="auto" w:sz="4" w:space="0"/>
              <w:bottom w:val="single" w:color="auto" w:sz="4" w:space="0"/>
              <w:right w:val="single" w:color="auto" w:sz="4" w:space="0"/>
            </w:tcBorders>
            <w:noWrap w:val="0"/>
            <w:vAlign w:val="center"/>
          </w:tcPr>
          <w:p>
            <w:pPr>
              <w:tabs>
                <w:tab w:val="center" w:pos="158"/>
                <w:tab w:val="right" w:pos="637"/>
              </w:tabs>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color w:val="auto"/>
                <w:sz w:val="21"/>
                <w:szCs w:val="21"/>
                <w:highlight w:val="none"/>
                <w:lang w:val="en-US" w:eastAsia="zh-CN"/>
              </w:rPr>
              <w:t>208</w:t>
            </w:r>
          </w:p>
        </w:tc>
        <w:tc>
          <w:tcPr>
            <w:tcW w:w="499" w:type="dxa"/>
            <w:tcBorders>
              <w:top w:val="nil"/>
              <w:left w:val="nil"/>
              <w:bottom w:val="single" w:color="auto" w:sz="4" w:space="0"/>
              <w:right w:val="single" w:color="auto" w:sz="4" w:space="0"/>
            </w:tcBorders>
            <w:noWrap w:val="0"/>
            <w:vAlign w:val="center"/>
          </w:tcPr>
          <w:p>
            <w:pPr>
              <w:tabs>
                <w:tab w:val="center" w:pos="100"/>
                <w:tab w:val="right" w:pos="521"/>
              </w:tabs>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color w:val="auto"/>
                <w:sz w:val="21"/>
                <w:szCs w:val="21"/>
                <w:highlight w:val="none"/>
                <w:lang w:val="en-US" w:eastAsia="zh-CN"/>
              </w:rPr>
              <w:t>05</w:t>
            </w:r>
          </w:p>
        </w:tc>
        <w:tc>
          <w:tcPr>
            <w:tcW w:w="502" w:type="dxa"/>
            <w:tcBorders>
              <w:top w:val="nil"/>
              <w:left w:val="nil"/>
              <w:bottom w:val="single" w:color="auto" w:sz="4" w:space="0"/>
              <w:right w:val="single" w:color="auto" w:sz="4" w:space="0"/>
            </w:tcBorders>
            <w:noWrap w:val="0"/>
            <w:vAlign w:val="center"/>
          </w:tcPr>
          <w:p>
            <w:pPr>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color w:val="auto"/>
                <w:sz w:val="21"/>
                <w:szCs w:val="21"/>
                <w:highlight w:val="none"/>
                <w:lang w:val="en-US" w:eastAsia="zh-CN"/>
              </w:rPr>
              <w:t>05</w:t>
            </w:r>
          </w:p>
        </w:tc>
        <w:tc>
          <w:tcPr>
            <w:tcW w:w="249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21"/>
                <w:szCs w:val="21"/>
                <w:highlight w:val="none"/>
              </w:rPr>
              <w:t>机关事业单位基本养老保险缴费支出</w:t>
            </w:r>
          </w:p>
        </w:tc>
        <w:tc>
          <w:tcPr>
            <w:tcW w:w="167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76.16</w:t>
            </w:r>
          </w:p>
        </w:tc>
        <w:tc>
          <w:tcPr>
            <w:tcW w:w="1829"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76.16</w:t>
            </w:r>
          </w:p>
        </w:tc>
        <w:tc>
          <w:tcPr>
            <w:tcW w:w="1691" w:type="dxa"/>
            <w:tcBorders>
              <w:top w:val="nil"/>
              <w:left w:val="nil"/>
              <w:bottom w:val="single" w:color="auto" w:sz="4" w:space="0"/>
              <w:right w:val="single" w:color="auto" w:sz="4" w:space="0"/>
            </w:tcBorders>
            <w:noWrap w:val="0"/>
            <w:vAlign w:val="top"/>
          </w:tcPr>
          <w:p>
            <w:pPr>
              <w:jc w:val="center"/>
              <w:rPr>
                <w:rFonts w:hint="default" w:ascii="Times New Roman" w:hAnsi="Times New Roman" w:cs="Times New Roman"/>
                <w:color w:val="auto"/>
                <w:kern w:val="0"/>
                <w:sz w:val="20"/>
                <w:szCs w:val="20"/>
                <w:highlight w:val="none"/>
              </w:rPr>
            </w:pPr>
          </w:p>
        </w:tc>
      </w:tr>
      <w:tr>
        <w:tblPrEx>
          <w:tblCellMar>
            <w:top w:w="0" w:type="dxa"/>
            <w:left w:w="108" w:type="dxa"/>
            <w:bottom w:w="0" w:type="dxa"/>
            <w:right w:w="108" w:type="dxa"/>
          </w:tblCellMar>
        </w:tblPrEx>
        <w:trPr>
          <w:trHeight w:val="450" w:hRule="atLeast"/>
          <w:jc w:val="center"/>
        </w:trPr>
        <w:tc>
          <w:tcPr>
            <w:tcW w:w="531"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color w:val="auto"/>
                <w:sz w:val="21"/>
                <w:szCs w:val="21"/>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jc w:val="center"/>
              <w:rPr>
                <w:rFonts w:hint="default" w:ascii="Times New Roman" w:hAnsi="Times New Roman" w:cs="Times New Roman"/>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jc w:val="center"/>
              <w:rPr>
                <w:rFonts w:hint="default" w:ascii="Times New Roman" w:hAnsi="Times New Roman" w:cs="Times New Roman"/>
                <w:color w:val="auto"/>
                <w:kern w:val="0"/>
                <w:sz w:val="20"/>
                <w:szCs w:val="20"/>
                <w:highlight w:val="none"/>
              </w:rPr>
            </w:pPr>
          </w:p>
        </w:tc>
        <w:tc>
          <w:tcPr>
            <w:tcW w:w="249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21"/>
                <w:szCs w:val="21"/>
                <w:highlight w:val="none"/>
              </w:rPr>
              <w:t>卫生健康支出</w:t>
            </w:r>
          </w:p>
        </w:tc>
        <w:tc>
          <w:tcPr>
            <w:tcW w:w="167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57.60</w:t>
            </w:r>
          </w:p>
        </w:tc>
        <w:tc>
          <w:tcPr>
            <w:tcW w:w="1829"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57.60</w:t>
            </w:r>
          </w:p>
        </w:tc>
        <w:tc>
          <w:tcPr>
            <w:tcW w:w="1691" w:type="dxa"/>
            <w:tcBorders>
              <w:top w:val="nil"/>
              <w:left w:val="nil"/>
              <w:bottom w:val="single" w:color="auto" w:sz="4" w:space="0"/>
              <w:right w:val="single" w:color="auto" w:sz="4" w:space="0"/>
            </w:tcBorders>
            <w:noWrap w:val="0"/>
            <w:vAlign w:val="top"/>
          </w:tcPr>
          <w:p>
            <w:pPr>
              <w:jc w:val="center"/>
              <w:rPr>
                <w:rFonts w:hint="default" w:ascii="Times New Roman" w:hAnsi="Times New Roman" w:cs="Times New Roman"/>
                <w:color w:val="auto"/>
                <w:kern w:val="0"/>
                <w:sz w:val="20"/>
                <w:szCs w:val="20"/>
                <w:highlight w:val="none"/>
              </w:rPr>
            </w:pPr>
          </w:p>
        </w:tc>
      </w:tr>
      <w:tr>
        <w:tblPrEx>
          <w:tblCellMar>
            <w:top w:w="0" w:type="dxa"/>
            <w:left w:w="108" w:type="dxa"/>
            <w:bottom w:w="0" w:type="dxa"/>
            <w:right w:w="108" w:type="dxa"/>
          </w:tblCellMar>
        </w:tblPrEx>
        <w:trPr>
          <w:trHeight w:val="450" w:hRule="atLeast"/>
          <w:jc w:val="center"/>
        </w:trPr>
        <w:tc>
          <w:tcPr>
            <w:tcW w:w="531"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color w:val="auto"/>
                <w:sz w:val="21"/>
                <w:szCs w:val="21"/>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color w:val="auto"/>
                <w:sz w:val="21"/>
                <w:szCs w:val="21"/>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jc w:val="center"/>
              <w:rPr>
                <w:rFonts w:hint="default" w:ascii="Times New Roman" w:hAnsi="Times New Roman" w:cs="Times New Roman"/>
                <w:color w:val="auto"/>
                <w:kern w:val="0"/>
                <w:sz w:val="20"/>
                <w:szCs w:val="20"/>
                <w:highlight w:val="none"/>
              </w:rPr>
            </w:pPr>
          </w:p>
        </w:tc>
        <w:tc>
          <w:tcPr>
            <w:tcW w:w="2490" w:type="dxa"/>
            <w:tcBorders>
              <w:top w:val="nil"/>
              <w:left w:val="nil"/>
              <w:bottom w:val="single" w:color="auto" w:sz="4" w:space="0"/>
              <w:right w:val="single" w:color="auto" w:sz="4" w:space="0"/>
            </w:tcBorders>
            <w:noWrap w:val="0"/>
            <w:vAlign w:val="center"/>
          </w:tcPr>
          <w:p>
            <w:pPr>
              <w:tabs>
                <w:tab w:val="left" w:pos="295"/>
              </w:tabs>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21"/>
                <w:szCs w:val="21"/>
                <w:highlight w:val="none"/>
                <w:lang w:eastAsia="zh-CN"/>
              </w:rPr>
              <w:t>行政事业单位医疗</w:t>
            </w:r>
          </w:p>
        </w:tc>
        <w:tc>
          <w:tcPr>
            <w:tcW w:w="167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57.60</w:t>
            </w:r>
          </w:p>
        </w:tc>
        <w:tc>
          <w:tcPr>
            <w:tcW w:w="1829"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57.60</w:t>
            </w:r>
          </w:p>
        </w:tc>
        <w:tc>
          <w:tcPr>
            <w:tcW w:w="1691" w:type="dxa"/>
            <w:tcBorders>
              <w:top w:val="nil"/>
              <w:left w:val="nil"/>
              <w:bottom w:val="single" w:color="auto" w:sz="4" w:space="0"/>
              <w:right w:val="single" w:color="auto" w:sz="4" w:space="0"/>
            </w:tcBorders>
            <w:noWrap w:val="0"/>
            <w:vAlign w:val="top"/>
          </w:tcPr>
          <w:p>
            <w:pPr>
              <w:jc w:val="center"/>
              <w:rPr>
                <w:rFonts w:hint="default" w:ascii="Times New Roman" w:hAnsi="Times New Roman" w:cs="Times New Roman"/>
                <w:color w:val="auto"/>
                <w:kern w:val="0"/>
                <w:sz w:val="20"/>
                <w:szCs w:val="20"/>
                <w:highlight w:val="none"/>
              </w:rPr>
            </w:pPr>
          </w:p>
        </w:tc>
      </w:tr>
      <w:tr>
        <w:tblPrEx>
          <w:tblCellMar>
            <w:top w:w="0" w:type="dxa"/>
            <w:left w:w="108" w:type="dxa"/>
            <w:bottom w:w="0" w:type="dxa"/>
            <w:right w:w="108" w:type="dxa"/>
          </w:tblCellMar>
        </w:tblPrEx>
        <w:trPr>
          <w:trHeight w:val="450" w:hRule="atLeast"/>
          <w:jc w:val="center"/>
        </w:trPr>
        <w:tc>
          <w:tcPr>
            <w:tcW w:w="531"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color w:val="auto"/>
                <w:sz w:val="21"/>
                <w:szCs w:val="21"/>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color w:val="auto"/>
                <w:sz w:val="21"/>
                <w:szCs w:val="21"/>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color w:val="auto"/>
                <w:sz w:val="21"/>
                <w:szCs w:val="21"/>
                <w:highlight w:val="none"/>
                <w:lang w:val="en-US" w:eastAsia="zh-CN"/>
              </w:rPr>
              <w:t>01</w:t>
            </w:r>
          </w:p>
        </w:tc>
        <w:tc>
          <w:tcPr>
            <w:tcW w:w="249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21"/>
                <w:szCs w:val="21"/>
                <w:highlight w:val="none"/>
              </w:rPr>
              <w:t>行政单位医疗</w:t>
            </w:r>
          </w:p>
        </w:tc>
        <w:tc>
          <w:tcPr>
            <w:tcW w:w="167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24.07</w:t>
            </w:r>
          </w:p>
        </w:tc>
        <w:tc>
          <w:tcPr>
            <w:tcW w:w="1829"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24.07</w:t>
            </w:r>
          </w:p>
        </w:tc>
        <w:tc>
          <w:tcPr>
            <w:tcW w:w="1691" w:type="dxa"/>
            <w:tcBorders>
              <w:top w:val="nil"/>
              <w:left w:val="nil"/>
              <w:bottom w:val="single" w:color="auto" w:sz="4" w:space="0"/>
              <w:right w:val="single" w:color="auto" w:sz="4" w:space="0"/>
            </w:tcBorders>
            <w:noWrap w:val="0"/>
            <w:vAlign w:val="top"/>
          </w:tcPr>
          <w:p>
            <w:pPr>
              <w:jc w:val="center"/>
              <w:rPr>
                <w:rFonts w:hint="default" w:ascii="Times New Roman" w:hAnsi="Times New Roman" w:cs="Times New Roman"/>
                <w:color w:val="auto"/>
                <w:kern w:val="0"/>
                <w:sz w:val="20"/>
                <w:szCs w:val="20"/>
                <w:highlight w:val="none"/>
              </w:rPr>
            </w:pPr>
          </w:p>
        </w:tc>
      </w:tr>
      <w:tr>
        <w:tblPrEx>
          <w:tblCellMar>
            <w:top w:w="0" w:type="dxa"/>
            <w:left w:w="108" w:type="dxa"/>
            <w:bottom w:w="0" w:type="dxa"/>
            <w:right w:w="108" w:type="dxa"/>
          </w:tblCellMar>
        </w:tblPrEx>
        <w:trPr>
          <w:trHeight w:val="450" w:hRule="atLeast"/>
          <w:jc w:val="center"/>
        </w:trPr>
        <w:tc>
          <w:tcPr>
            <w:tcW w:w="531"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color w:val="auto"/>
                <w:sz w:val="21"/>
                <w:szCs w:val="21"/>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color w:val="auto"/>
                <w:sz w:val="21"/>
                <w:szCs w:val="21"/>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color w:val="auto"/>
                <w:sz w:val="21"/>
                <w:szCs w:val="21"/>
                <w:highlight w:val="none"/>
                <w:lang w:val="en-US" w:eastAsia="zh-CN"/>
              </w:rPr>
              <w:t>02</w:t>
            </w:r>
          </w:p>
        </w:tc>
        <w:tc>
          <w:tcPr>
            <w:tcW w:w="249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21"/>
                <w:szCs w:val="21"/>
                <w:highlight w:val="none"/>
              </w:rPr>
              <w:t>事业单位医疗</w:t>
            </w:r>
          </w:p>
        </w:tc>
        <w:tc>
          <w:tcPr>
            <w:tcW w:w="167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14.01</w:t>
            </w:r>
          </w:p>
        </w:tc>
        <w:tc>
          <w:tcPr>
            <w:tcW w:w="1829"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14.01</w:t>
            </w:r>
          </w:p>
        </w:tc>
        <w:tc>
          <w:tcPr>
            <w:tcW w:w="1691" w:type="dxa"/>
            <w:tcBorders>
              <w:top w:val="nil"/>
              <w:left w:val="nil"/>
              <w:bottom w:val="single" w:color="auto" w:sz="4" w:space="0"/>
              <w:right w:val="single" w:color="auto" w:sz="4" w:space="0"/>
            </w:tcBorders>
            <w:noWrap w:val="0"/>
            <w:vAlign w:val="top"/>
          </w:tcPr>
          <w:p>
            <w:pPr>
              <w:jc w:val="center"/>
              <w:rPr>
                <w:rFonts w:hint="default" w:ascii="Times New Roman" w:hAnsi="Times New Roman" w:cs="Times New Roman"/>
                <w:color w:val="auto"/>
                <w:kern w:val="0"/>
                <w:sz w:val="20"/>
                <w:szCs w:val="20"/>
                <w:highlight w:val="none"/>
              </w:rPr>
            </w:pPr>
          </w:p>
        </w:tc>
      </w:tr>
      <w:tr>
        <w:tblPrEx>
          <w:tblCellMar>
            <w:top w:w="0" w:type="dxa"/>
            <w:left w:w="108" w:type="dxa"/>
            <w:bottom w:w="0" w:type="dxa"/>
            <w:right w:w="108" w:type="dxa"/>
          </w:tblCellMar>
        </w:tblPrEx>
        <w:trPr>
          <w:trHeight w:val="450" w:hRule="atLeast"/>
          <w:jc w:val="center"/>
        </w:trPr>
        <w:tc>
          <w:tcPr>
            <w:tcW w:w="531"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color w:val="auto"/>
                <w:sz w:val="21"/>
                <w:szCs w:val="21"/>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color w:val="auto"/>
                <w:sz w:val="21"/>
                <w:szCs w:val="21"/>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color w:val="auto"/>
                <w:sz w:val="21"/>
                <w:szCs w:val="21"/>
                <w:highlight w:val="none"/>
                <w:lang w:val="en-US" w:eastAsia="zh-CN"/>
              </w:rPr>
              <w:t>03</w:t>
            </w:r>
          </w:p>
        </w:tc>
        <w:tc>
          <w:tcPr>
            <w:tcW w:w="249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21"/>
                <w:szCs w:val="21"/>
                <w:highlight w:val="none"/>
              </w:rPr>
              <w:t>公务员医疗补助</w:t>
            </w:r>
          </w:p>
        </w:tc>
        <w:tc>
          <w:tcPr>
            <w:tcW w:w="167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19.04</w:t>
            </w:r>
          </w:p>
        </w:tc>
        <w:tc>
          <w:tcPr>
            <w:tcW w:w="1829"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19.04</w:t>
            </w:r>
          </w:p>
        </w:tc>
        <w:tc>
          <w:tcPr>
            <w:tcW w:w="1691" w:type="dxa"/>
            <w:tcBorders>
              <w:top w:val="nil"/>
              <w:left w:val="nil"/>
              <w:bottom w:val="single" w:color="auto" w:sz="4" w:space="0"/>
              <w:right w:val="single" w:color="auto" w:sz="4" w:space="0"/>
            </w:tcBorders>
            <w:noWrap w:val="0"/>
            <w:vAlign w:val="top"/>
          </w:tcPr>
          <w:p>
            <w:pPr>
              <w:jc w:val="center"/>
              <w:rPr>
                <w:rFonts w:hint="default" w:ascii="Times New Roman" w:hAnsi="Times New Roman" w:cs="Times New Roman"/>
                <w:color w:val="auto"/>
                <w:kern w:val="0"/>
                <w:sz w:val="20"/>
                <w:szCs w:val="20"/>
                <w:highlight w:val="none"/>
              </w:rPr>
            </w:pPr>
          </w:p>
        </w:tc>
      </w:tr>
      <w:tr>
        <w:tblPrEx>
          <w:tblCellMar>
            <w:top w:w="0" w:type="dxa"/>
            <w:left w:w="108" w:type="dxa"/>
            <w:bottom w:w="0" w:type="dxa"/>
            <w:right w:w="108" w:type="dxa"/>
          </w:tblCellMar>
        </w:tblPrEx>
        <w:trPr>
          <w:trHeight w:val="450" w:hRule="atLeast"/>
          <w:jc w:val="center"/>
        </w:trPr>
        <w:tc>
          <w:tcPr>
            <w:tcW w:w="531"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color w:val="auto"/>
                <w:sz w:val="21"/>
                <w:szCs w:val="21"/>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color w:val="auto"/>
                <w:sz w:val="21"/>
                <w:szCs w:val="21"/>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color w:val="auto"/>
                <w:sz w:val="21"/>
                <w:szCs w:val="21"/>
                <w:highlight w:val="none"/>
                <w:lang w:val="en-US" w:eastAsia="zh-CN"/>
              </w:rPr>
              <w:t>99</w:t>
            </w:r>
          </w:p>
        </w:tc>
        <w:tc>
          <w:tcPr>
            <w:tcW w:w="249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21"/>
                <w:szCs w:val="21"/>
                <w:highlight w:val="none"/>
              </w:rPr>
              <w:t>其他行政事业单位医疗支出</w:t>
            </w:r>
          </w:p>
        </w:tc>
        <w:tc>
          <w:tcPr>
            <w:tcW w:w="167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0.48</w:t>
            </w:r>
          </w:p>
        </w:tc>
        <w:tc>
          <w:tcPr>
            <w:tcW w:w="1829"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0.48</w:t>
            </w:r>
          </w:p>
        </w:tc>
        <w:tc>
          <w:tcPr>
            <w:tcW w:w="1691" w:type="dxa"/>
            <w:tcBorders>
              <w:top w:val="nil"/>
              <w:left w:val="nil"/>
              <w:bottom w:val="single" w:color="auto" w:sz="4" w:space="0"/>
              <w:right w:val="single" w:color="auto" w:sz="4" w:space="0"/>
            </w:tcBorders>
            <w:noWrap w:val="0"/>
            <w:vAlign w:val="top"/>
          </w:tcPr>
          <w:p>
            <w:pPr>
              <w:jc w:val="center"/>
              <w:rPr>
                <w:rFonts w:hint="default" w:ascii="Times New Roman" w:hAnsi="Times New Roman" w:cs="Times New Roman"/>
                <w:color w:val="auto"/>
                <w:kern w:val="0"/>
                <w:sz w:val="20"/>
                <w:szCs w:val="20"/>
                <w:highlight w:val="none"/>
              </w:rPr>
            </w:pPr>
          </w:p>
        </w:tc>
      </w:tr>
      <w:tr>
        <w:tblPrEx>
          <w:tblCellMar>
            <w:top w:w="0" w:type="dxa"/>
            <w:left w:w="108" w:type="dxa"/>
            <w:bottom w:w="0" w:type="dxa"/>
            <w:right w:w="108" w:type="dxa"/>
          </w:tblCellMar>
        </w:tblPrEx>
        <w:trPr>
          <w:trHeight w:val="450" w:hRule="atLeast"/>
          <w:jc w:val="center"/>
        </w:trPr>
        <w:tc>
          <w:tcPr>
            <w:tcW w:w="531"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color w:val="auto"/>
                <w:sz w:val="21"/>
                <w:szCs w:val="21"/>
                <w:highlight w:val="none"/>
                <w:lang w:val="en-US" w:eastAsia="zh-CN"/>
              </w:rPr>
              <w:t>220</w:t>
            </w:r>
          </w:p>
        </w:tc>
        <w:tc>
          <w:tcPr>
            <w:tcW w:w="499" w:type="dxa"/>
            <w:tcBorders>
              <w:top w:val="nil"/>
              <w:left w:val="nil"/>
              <w:bottom w:val="single" w:color="auto" w:sz="4" w:space="0"/>
              <w:right w:val="single" w:color="auto" w:sz="4" w:space="0"/>
            </w:tcBorders>
            <w:noWrap w:val="0"/>
            <w:vAlign w:val="center"/>
          </w:tcPr>
          <w:p>
            <w:pPr>
              <w:jc w:val="center"/>
              <w:rPr>
                <w:rFonts w:hint="default" w:ascii="Times New Roman" w:hAnsi="Times New Roman" w:cs="Times New Roman"/>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jc w:val="center"/>
              <w:rPr>
                <w:rFonts w:hint="default" w:ascii="Times New Roman" w:hAnsi="Times New Roman" w:cs="Times New Roman"/>
                <w:color w:val="auto"/>
                <w:kern w:val="0"/>
                <w:sz w:val="20"/>
                <w:szCs w:val="20"/>
                <w:highlight w:val="none"/>
              </w:rPr>
            </w:pPr>
          </w:p>
        </w:tc>
        <w:tc>
          <w:tcPr>
            <w:tcW w:w="249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21"/>
                <w:szCs w:val="21"/>
                <w:highlight w:val="none"/>
              </w:rPr>
              <w:t>自然资源海洋气象等支出</w:t>
            </w:r>
          </w:p>
        </w:tc>
        <w:tc>
          <w:tcPr>
            <w:tcW w:w="167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default" w:ascii="Times New Roman" w:hAnsi="Times New Roman" w:cs="Times New Roman"/>
                <w:color w:val="auto"/>
                <w:kern w:val="0"/>
                <w:sz w:val="20"/>
                <w:szCs w:val="20"/>
                <w:highlight w:val="none"/>
                <w:lang w:val="en-US"/>
              </w:rPr>
            </w:pPr>
            <w:r>
              <w:rPr>
                <w:rFonts w:hint="eastAsia" w:cs="Times New Roman"/>
                <w:i w:val="0"/>
                <w:iCs w:val="0"/>
                <w:color w:val="000000"/>
                <w:kern w:val="0"/>
                <w:sz w:val="22"/>
                <w:szCs w:val="22"/>
                <w:u w:val="none"/>
                <w:lang w:val="en-US" w:eastAsia="zh-CN" w:bidi="ar"/>
              </w:rPr>
              <w:t>592.59</w:t>
            </w:r>
          </w:p>
        </w:tc>
        <w:tc>
          <w:tcPr>
            <w:tcW w:w="1829"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592.59</w:t>
            </w:r>
          </w:p>
        </w:tc>
        <w:tc>
          <w:tcPr>
            <w:tcW w:w="1691"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Times New Roman" w:hAnsi="Times New Roman" w:cs="Times New Roman"/>
                <w:color w:val="auto"/>
                <w:kern w:val="0"/>
                <w:sz w:val="20"/>
                <w:szCs w:val="20"/>
                <w:highlight w:val="none"/>
              </w:rPr>
            </w:pPr>
          </w:p>
        </w:tc>
      </w:tr>
      <w:tr>
        <w:tblPrEx>
          <w:tblCellMar>
            <w:top w:w="0" w:type="dxa"/>
            <w:left w:w="108" w:type="dxa"/>
            <w:bottom w:w="0" w:type="dxa"/>
            <w:right w:w="108" w:type="dxa"/>
          </w:tblCellMar>
        </w:tblPrEx>
        <w:trPr>
          <w:trHeight w:val="450" w:hRule="atLeast"/>
          <w:jc w:val="center"/>
        </w:trPr>
        <w:tc>
          <w:tcPr>
            <w:tcW w:w="531"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color w:val="auto"/>
                <w:sz w:val="21"/>
                <w:szCs w:val="21"/>
                <w:highlight w:val="none"/>
                <w:lang w:val="en-US" w:eastAsia="zh-CN"/>
              </w:rPr>
              <w:t>220</w:t>
            </w:r>
          </w:p>
        </w:tc>
        <w:tc>
          <w:tcPr>
            <w:tcW w:w="499" w:type="dxa"/>
            <w:tcBorders>
              <w:top w:val="nil"/>
              <w:left w:val="nil"/>
              <w:bottom w:val="single" w:color="auto" w:sz="4" w:space="0"/>
              <w:right w:val="single" w:color="auto" w:sz="4" w:space="0"/>
            </w:tcBorders>
            <w:noWrap w:val="0"/>
            <w:vAlign w:val="center"/>
          </w:tcPr>
          <w:p>
            <w:pPr>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color w:val="auto"/>
                <w:sz w:val="21"/>
                <w:szCs w:val="21"/>
                <w:highlight w:val="none"/>
                <w:lang w:val="en-US" w:eastAsia="zh-CN"/>
              </w:rPr>
              <w:t>01</w:t>
            </w:r>
          </w:p>
        </w:tc>
        <w:tc>
          <w:tcPr>
            <w:tcW w:w="502" w:type="dxa"/>
            <w:tcBorders>
              <w:top w:val="nil"/>
              <w:left w:val="nil"/>
              <w:bottom w:val="single" w:color="auto" w:sz="4" w:space="0"/>
              <w:right w:val="single" w:color="auto" w:sz="4" w:space="0"/>
            </w:tcBorders>
            <w:noWrap w:val="0"/>
            <w:vAlign w:val="center"/>
          </w:tcPr>
          <w:p>
            <w:pPr>
              <w:jc w:val="center"/>
              <w:rPr>
                <w:rFonts w:hint="default" w:ascii="Times New Roman" w:hAnsi="Times New Roman" w:cs="Times New Roman"/>
                <w:color w:val="auto"/>
                <w:kern w:val="0"/>
                <w:sz w:val="20"/>
                <w:szCs w:val="20"/>
                <w:highlight w:val="none"/>
              </w:rPr>
            </w:pPr>
          </w:p>
        </w:tc>
        <w:tc>
          <w:tcPr>
            <w:tcW w:w="249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21"/>
                <w:szCs w:val="21"/>
                <w:highlight w:val="none"/>
              </w:rPr>
              <w:t>自然资源事务</w:t>
            </w:r>
          </w:p>
        </w:tc>
        <w:tc>
          <w:tcPr>
            <w:tcW w:w="167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default" w:ascii="Times New Roman" w:hAnsi="Times New Roman" w:cs="Times New Roman"/>
                <w:color w:val="auto"/>
                <w:kern w:val="0"/>
                <w:sz w:val="20"/>
                <w:szCs w:val="20"/>
                <w:highlight w:val="none"/>
                <w:lang w:val="en-US"/>
              </w:rPr>
            </w:pPr>
            <w:r>
              <w:rPr>
                <w:rFonts w:hint="eastAsia" w:cs="Times New Roman"/>
                <w:i w:val="0"/>
                <w:iCs w:val="0"/>
                <w:color w:val="000000"/>
                <w:kern w:val="0"/>
                <w:sz w:val="22"/>
                <w:szCs w:val="22"/>
                <w:u w:val="none"/>
                <w:lang w:val="en-US" w:eastAsia="zh-CN" w:bidi="ar"/>
              </w:rPr>
              <w:t>592.59</w:t>
            </w:r>
          </w:p>
        </w:tc>
        <w:tc>
          <w:tcPr>
            <w:tcW w:w="1829"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592.59</w:t>
            </w:r>
          </w:p>
        </w:tc>
        <w:tc>
          <w:tcPr>
            <w:tcW w:w="1691"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Times New Roman" w:hAnsi="Times New Roman" w:cs="Times New Roman"/>
                <w:color w:val="auto"/>
                <w:kern w:val="0"/>
                <w:sz w:val="20"/>
                <w:szCs w:val="20"/>
                <w:highlight w:val="none"/>
              </w:rPr>
            </w:pPr>
          </w:p>
        </w:tc>
      </w:tr>
      <w:tr>
        <w:tblPrEx>
          <w:tblCellMar>
            <w:top w:w="0" w:type="dxa"/>
            <w:left w:w="108" w:type="dxa"/>
            <w:bottom w:w="0" w:type="dxa"/>
            <w:right w:w="108" w:type="dxa"/>
          </w:tblCellMar>
        </w:tblPrEx>
        <w:trPr>
          <w:trHeight w:val="450" w:hRule="atLeast"/>
          <w:jc w:val="center"/>
        </w:trPr>
        <w:tc>
          <w:tcPr>
            <w:tcW w:w="531"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color w:val="auto"/>
                <w:sz w:val="21"/>
                <w:szCs w:val="21"/>
                <w:highlight w:val="none"/>
                <w:lang w:val="en-US" w:eastAsia="zh-CN"/>
              </w:rPr>
              <w:t>220</w:t>
            </w:r>
          </w:p>
        </w:tc>
        <w:tc>
          <w:tcPr>
            <w:tcW w:w="499" w:type="dxa"/>
            <w:tcBorders>
              <w:top w:val="nil"/>
              <w:left w:val="nil"/>
              <w:bottom w:val="single" w:color="auto" w:sz="4" w:space="0"/>
              <w:right w:val="single" w:color="auto" w:sz="4" w:space="0"/>
            </w:tcBorders>
            <w:noWrap w:val="0"/>
            <w:vAlign w:val="center"/>
          </w:tcPr>
          <w:p>
            <w:pPr>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color w:val="auto"/>
                <w:sz w:val="21"/>
                <w:szCs w:val="21"/>
                <w:highlight w:val="none"/>
                <w:lang w:val="en-US" w:eastAsia="zh-CN"/>
              </w:rPr>
              <w:t>01</w:t>
            </w:r>
          </w:p>
        </w:tc>
        <w:tc>
          <w:tcPr>
            <w:tcW w:w="502" w:type="dxa"/>
            <w:tcBorders>
              <w:top w:val="nil"/>
              <w:left w:val="nil"/>
              <w:bottom w:val="single" w:color="auto" w:sz="4" w:space="0"/>
              <w:right w:val="single" w:color="auto" w:sz="4" w:space="0"/>
            </w:tcBorders>
            <w:noWrap w:val="0"/>
            <w:vAlign w:val="center"/>
          </w:tcPr>
          <w:p>
            <w:pPr>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color w:val="auto"/>
                <w:sz w:val="21"/>
                <w:szCs w:val="21"/>
                <w:highlight w:val="none"/>
                <w:lang w:val="en-US" w:eastAsia="zh-CN"/>
              </w:rPr>
              <w:t>01</w:t>
            </w:r>
          </w:p>
        </w:tc>
        <w:tc>
          <w:tcPr>
            <w:tcW w:w="249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21"/>
                <w:szCs w:val="21"/>
                <w:highlight w:val="none"/>
              </w:rPr>
              <w:t>行政运行</w:t>
            </w:r>
          </w:p>
        </w:tc>
        <w:tc>
          <w:tcPr>
            <w:tcW w:w="167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397.28</w:t>
            </w:r>
          </w:p>
        </w:tc>
        <w:tc>
          <w:tcPr>
            <w:tcW w:w="1829"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397.28</w:t>
            </w:r>
          </w:p>
        </w:tc>
        <w:tc>
          <w:tcPr>
            <w:tcW w:w="1691" w:type="dxa"/>
            <w:tcBorders>
              <w:top w:val="nil"/>
              <w:left w:val="nil"/>
              <w:bottom w:val="single" w:color="auto" w:sz="4" w:space="0"/>
              <w:right w:val="single" w:color="auto" w:sz="4" w:space="0"/>
            </w:tcBorders>
            <w:noWrap w:val="0"/>
            <w:vAlign w:val="top"/>
          </w:tcPr>
          <w:p>
            <w:pPr>
              <w:jc w:val="center"/>
              <w:rPr>
                <w:rFonts w:hint="default" w:ascii="Times New Roman" w:hAnsi="Times New Roman" w:cs="Times New Roman"/>
                <w:color w:val="auto"/>
                <w:kern w:val="0"/>
                <w:sz w:val="20"/>
                <w:szCs w:val="20"/>
                <w:highlight w:val="none"/>
              </w:rPr>
            </w:pPr>
          </w:p>
        </w:tc>
      </w:tr>
      <w:tr>
        <w:tblPrEx>
          <w:tblCellMar>
            <w:top w:w="0" w:type="dxa"/>
            <w:left w:w="108" w:type="dxa"/>
            <w:bottom w:w="0" w:type="dxa"/>
            <w:right w:w="108" w:type="dxa"/>
          </w:tblCellMar>
        </w:tblPrEx>
        <w:trPr>
          <w:trHeight w:val="450" w:hRule="atLeast"/>
          <w:jc w:val="center"/>
        </w:trPr>
        <w:tc>
          <w:tcPr>
            <w:tcW w:w="531"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color w:val="auto"/>
                <w:sz w:val="21"/>
                <w:szCs w:val="21"/>
                <w:highlight w:val="none"/>
                <w:lang w:val="en-US" w:eastAsia="zh-CN"/>
              </w:rPr>
              <w:t>220</w:t>
            </w:r>
          </w:p>
        </w:tc>
        <w:tc>
          <w:tcPr>
            <w:tcW w:w="499" w:type="dxa"/>
            <w:tcBorders>
              <w:top w:val="nil"/>
              <w:left w:val="nil"/>
              <w:bottom w:val="single" w:color="auto" w:sz="4" w:space="0"/>
              <w:right w:val="single" w:color="auto" w:sz="4" w:space="0"/>
            </w:tcBorders>
            <w:noWrap w:val="0"/>
            <w:vAlign w:val="center"/>
          </w:tcPr>
          <w:p>
            <w:pPr>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color w:val="auto"/>
                <w:sz w:val="21"/>
                <w:szCs w:val="21"/>
                <w:highlight w:val="none"/>
                <w:lang w:val="en-US" w:eastAsia="zh-CN"/>
              </w:rPr>
              <w:t>01</w:t>
            </w:r>
          </w:p>
        </w:tc>
        <w:tc>
          <w:tcPr>
            <w:tcW w:w="502" w:type="dxa"/>
            <w:tcBorders>
              <w:top w:val="nil"/>
              <w:left w:val="nil"/>
              <w:bottom w:val="single" w:color="auto" w:sz="4" w:space="0"/>
              <w:right w:val="single" w:color="auto" w:sz="4" w:space="0"/>
            </w:tcBorders>
            <w:noWrap w:val="0"/>
            <w:vAlign w:val="center"/>
          </w:tcPr>
          <w:p>
            <w:pPr>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color w:val="auto"/>
                <w:sz w:val="21"/>
                <w:szCs w:val="21"/>
                <w:highlight w:val="none"/>
                <w:lang w:val="en-US" w:eastAsia="zh-CN"/>
              </w:rPr>
              <w:t>50</w:t>
            </w:r>
          </w:p>
        </w:tc>
        <w:tc>
          <w:tcPr>
            <w:tcW w:w="249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21"/>
                <w:szCs w:val="21"/>
                <w:highlight w:val="none"/>
              </w:rPr>
              <w:t>事业运行</w:t>
            </w:r>
          </w:p>
        </w:tc>
        <w:tc>
          <w:tcPr>
            <w:tcW w:w="167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195.31</w:t>
            </w:r>
          </w:p>
        </w:tc>
        <w:tc>
          <w:tcPr>
            <w:tcW w:w="1829"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195.31</w:t>
            </w:r>
          </w:p>
        </w:tc>
        <w:tc>
          <w:tcPr>
            <w:tcW w:w="1691" w:type="dxa"/>
            <w:tcBorders>
              <w:top w:val="nil"/>
              <w:left w:val="nil"/>
              <w:bottom w:val="single" w:color="auto" w:sz="4" w:space="0"/>
              <w:right w:val="single" w:color="auto" w:sz="4" w:space="0"/>
            </w:tcBorders>
            <w:noWrap w:val="0"/>
            <w:vAlign w:val="top"/>
          </w:tcPr>
          <w:p>
            <w:pPr>
              <w:jc w:val="center"/>
              <w:rPr>
                <w:rFonts w:hint="default" w:ascii="Times New Roman" w:hAnsi="Times New Roman" w:cs="Times New Roman"/>
                <w:color w:val="auto"/>
                <w:kern w:val="0"/>
                <w:sz w:val="20"/>
                <w:szCs w:val="20"/>
                <w:highlight w:val="none"/>
              </w:rPr>
            </w:pPr>
          </w:p>
        </w:tc>
      </w:tr>
      <w:tr>
        <w:tblPrEx>
          <w:tblCellMar>
            <w:top w:w="0" w:type="dxa"/>
            <w:left w:w="108" w:type="dxa"/>
            <w:bottom w:w="0" w:type="dxa"/>
            <w:right w:w="108" w:type="dxa"/>
          </w:tblCellMar>
        </w:tblPrEx>
        <w:trPr>
          <w:trHeight w:val="450" w:hRule="atLeast"/>
          <w:jc w:val="center"/>
        </w:trPr>
        <w:tc>
          <w:tcPr>
            <w:tcW w:w="531"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color w:val="auto"/>
                <w:sz w:val="21"/>
                <w:szCs w:val="21"/>
                <w:highlight w:val="none"/>
                <w:lang w:val="en-US" w:eastAsia="zh-CN"/>
              </w:rPr>
              <w:t>221</w:t>
            </w:r>
          </w:p>
        </w:tc>
        <w:tc>
          <w:tcPr>
            <w:tcW w:w="499" w:type="dxa"/>
            <w:tcBorders>
              <w:top w:val="nil"/>
              <w:left w:val="nil"/>
              <w:bottom w:val="single" w:color="auto" w:sz="4" w:space="0"/>
              <w:right w:val="single" w:color="auto" w:sz="4" w:space="0"/>
            </w:tcBorders>
            <w:noWrap w:val="0"/>
            <w:vAlign w:val="center"/>
          </w:tcPr>
          <w:p>
            <w:pPr>
              <w:jc w:val="center"/>
              <w:rPr>
                <w:rFonts w:hint="default" w:ascii="Times New Roman" w:hAnsi="Times New Roman" w:cs="Times New Roman"/>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jc w:val="center"/>
              <w:rPr>
                <w:rFonts w:hint="default" w:ascii="Times New Roman" w:hAnsi="Times New Roman" w:cs="Times New Roman"/>
                <w:color w:val="auto"/>
                <w:kern w:val="0"/>
                <w:sz w:val="20"/>
                <w:szCs w:val="20"/>
                <w:highlight w:val="none"/>
              </w:rPr>
            </w:pPr>
          </w:p>
        </w:tc>
        <w:tc>
          <w:tcPr>
            <w:tcW w:w="249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21"/>
                <w:szCs w:val="21"/>
                <w:highlight w:val="none"/>
              </w:rPr>
              <w:t>住房保障支出</w:t>
            </w:r>
          </w:p>
        </w:tc>
        <w:tc>
          <w:tcPr>
            <w:tcW w:w="167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63.02</w:t>
            </w:r>
          </w:p>
        </w:tc>
        <w:tc>
          <w:tcPr>
            <w:tcW w:w="1829"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63.02</w:t>
            </w:r>
          </w:p>
        </w:tc>
        <w:tc>
          <w:tcPr>
            <w:tcW w:w="1691" w:type="dxa"/>
            <w:tcBorders>
              <w:top w:val="nil"/>
              <w:left w:val="nil"/>
              <w:bottom w:val="single" w:color="auto" w:sz="4" w:space="0"/>
              <w:right w:val="single" w:color="auto" w:sz="4" w:space="0"/>
            </w:tcBorders>
            <w:noWrap w:val="0"/>
            <w:vAlign w:val="top"/>
          </w:tcPr>
          <w:p>
            <w:pPr>
              <w:jc w:val="center"/>
              <w:rPr>
                <w:rFonts w:hint="default" w:ascii="Times New Roman" w:hAnsi="Times New Roman" w:cs="Times New Roman"/>
                <w:color w:val="auto"/>
                <w:kern w:val="0"/>
                <w:sz w:val="20"/>
                <w:szCs w:val="20"/>
                <w:highlight w:val="none"/>
              </w:rPr>
            </w:pPr>
          </w:p>
        </w:tc>
      </w:tr>
      <w:tr>
        <w:tblPrEx>
          <w:tblCellMar>
            <w:top w:w="0" w:type="dxa"/>
            <w:left w:w="108" w:type="dxa"/>
            <w:bottom w:w="0" w:type="dxa"/>
            <w:right w:w="108" w:type="dxa"/>
          </w:tblCellMar>
        </w:tblPrEx>
        <w:trPr>
          <w:trHeight w:val="450" w:hRule="atLeast"/>
          <w:jc w:val="center"/>
        </w:trPr>
        <w:tc>
          <w:tcPr>
            <w:tcW w:w="531"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color w:val="auto"/>
                <w:sz w:val="21"/>
                <w:szCs w:val="21"/>
                <w:highlight w:val="none"/>
                <w:lang w:val="en-US" w:eastAsia="zh-CN"/>
              </w:rPr>
              <w:t>221</w:t>
            </w:r>
          </w:p>
        </w:tc>
        <w:tc>
          <w:tcPr>
            <w:tcW w:w="499" w:type="dxa"/>
            <w:tcBorders>
              <w:top w:val="nil"/>
              <w:left w:val="nil"/>
              <w:bottom w:val="single" w:color="auto" w:sz="4" w:space="0"/>
              <w:right w:val="single" w:color="auto" w:sz="4" w:space="0"/>
            </w:tcBorders>
            <w:noWrap w:val="0"/>
            <w:vAlign w:val="center"/>
          </w:tcPr>
          <w:p>
            <w:pPr>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color w:val="auto"/>
                <w:sz w:val="21"/>
                <w:szCs w:val="21"/>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jc w:val="center"/>
              <w:rPr>
                <w:rFonts w:hint="default" w:ascii="Times New Roman" w:hAnsi="Times New Roman" w:cs="Times New Roman"/>
                <w:color w:val="auto"/>
                <w:kern w:val="0"/>
                <w:sz w:val="20"/>
                <w:szCs w:val="20"/>
                <w:highlight w:val="none"/>
              </w:rPr>
            </w:pPr>
          </w:p>
        </w:tc>
        <w:tc>
          <w:tcPr>
            <w:tcW w:w="249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21"/>
                <w:szCs w:val="21"/>
                <w:highlight w:val="none"/>
              </w:rPr>
              <w:t>住房改革支出</w:t>
            </w:r>
          </w:p>
        </w:tc>
        <w:tc>
          <w:tcPr>
            <w:tcW w:w="167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63.02</w:t>
            </w:r>
          </w:p>
        </w:tc>
        <w:tc>
          <w:tcPr>
            <w:tcW w:w="1829"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63.02</w:t>
            </w:r>
          </w:p>
        </w:tc>
        <w:tc>
          <w:tcPr>
            <w:tcW w:w="1691" w:type="dxa"/>
            <w:tcBorders>
              <w:top w:val="nil"/>
              <w:left w:val="nil"/>
              <w:bottom w:val="single" w:color="auto" w:sz="4" w:space="0"/>
              <w:right w:val="single" w:color="auto" w:sz="4" w:space="0"/>
            </w:tcBorders>
            <w:noWrap w:val="0"/>
            <w:vAlign w:val="top"/>
          </w:tcPr>
          <w:p>
            <w:pPr>
              <w:jc w:val="center"/>
              <w:rPr>
                <w:rFonts w:hint="default" w:ascii="Times New Roman" w:hAnsi="Times New Roman" w:cs="Times New Roman"/>
                <w:color w:val="auto"/>
                <w:kern w:val="0"/>
                <w:sz w:val="20"/>
                <w:szCs w:val="20"/>
                <w:highlight w:val="none"/>
              </w:rPr>
            </w:pPr>
          </w:p>
        </w:tc>
      </w:tr>
      <w:tr>
        <w:tblPrEx>
          <w:tblCellMar>
            <w:top w:w="0" w:type="dxa"/>
            <w:left w:w="108" w:type="dxa"/>
            <w:bottom w:w="0" w:type="dxa"/>
            <w:right w:w="108" w:type="dxa"/>
          </w:tblCellMar>
        </w:tblPrEx>
        <w:trPr>
          <w:trHeight w:val="450" w:hRule="atLeast"/>
          <w:jc w:val="center"/>
        </w:trPr>
        <w:tc>
          <w:tcPr>
            <w:tcW w:w="531" w:type="dxa"/>
            <w:tcBorders>
              <w:top w:val="nil"/>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color w:val="auto"/>
                <w:sz w:val="21"/>
                <w:szCs w:val="21"/>
                <w:highlight w:val="none"/>
                <w:lang w:val="en-US" w:eastAsia="zh-CN"/>
              </w:rPr>
              <w:t>221</w:t>
            </w:r>
          </w:p>
        </w:tc>
        <w:tc>
          <w:tcPr>
            <w:tcW w:w="499" w:type="dxa"/>
            <w:tcBorders>
              <w:top w:val="nil"/>
              <w:left w:val="nil"/>
              <w:bottom w:val="single" w:color="auto" w:sz="4" w:space="0"/>
              <w:right w:val="single" w:color="auto" w:sz="4" w:space="0"/>
            </w:tcBorders>
            <w:noWrap w:val="0"/>
            <w:vAlign w:val="center"/>
          </w:tcPr>
          <w:p>
            <w:pPr>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color w:val="auto"/>
                <w:sz w:val="21"/>
                <w:szCs w:val="21"/>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color w:val="auto"/>
                <w:sz w:val="21"/>
                <w:szCs w:val="21"/>
                <w:highlight w:val="none"/>
                <w:lang w:val="en-US" w:eastAsia="zh-CN"/>
              </w:rPr>
              <w:t>01</w:t>
            </w:r>
          </w:p>
        </w:tc>
        <w:tc>
          <w:tcPr>
            <w:tcW w:w="2490"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auto"/>
                <w:sz w:val="21"/>
                <w:szCs w:val="21"/>
                <w:highlight w:val="none"/>
              </w:rPr>
              <w:t>住房公积金</w:t>
            </w:r>
          </w:p>
        </w:tc>
        <w:tc>
          <w:tcPr>
            <w:tcW w:w="167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63.02</w:t>
            </w:r>
          </w:p>
        </w:tc>
        <w:tc>
          <w:tcPr>
            <w:tcW w:w="1829"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63.02</w:t>
            </w:r>
          </w:p>
        </w:tc>
        <w:tc>
          <w:tcPr>
            <w:tcW w:w="1691" w:type="dxa"/>
            <w:tcBorders>
              <w:top w:val="nil"/>
              <w:left w:val="nil"/>
              <w:bottom w:val="single" w:color="auto" w:sz="4" w:space="0"/>
              <w:right w:val="single" w:color="auto" w:sz="4" w:space="0"/>
            </w:tcBorders>
            <w:noWrap w:val="0"/>
            <w:vAlign w:val="top"/>
          </w:tcPr>
          <w:p>
            <w:pPr>
              <w:jc w:val="center"/>
              <w:rPr>
                <w:rFonts w:hint="default" w:ascii="Times New Roman" w:hAnsi="Times New Roman" w:cs="Times New Roman"/>
                <w:color w:val="auto"/>
                <w:kern w:val="0"/>
                <w:sz w:val="20"/>
                <w:szCs w:val="20"/>
                <w:highlight w:val="none"/>
              </w:rPr>
            </w:pPr>
          </w:p>
        </w:tc>
      </w:tr>
      <w:tr>
        <w:tblPrEx>
          <w:tblCellMar>
            <w:top w:w="0" w:type="dxa"/>
            <w:left w:w="108" w:type="dxa"/>
            <w:bottom w:w="0" w:type="dxa"/>
            <w:right w:w="108" w:type="dxa"/>
          </w:tblCellMar>
        </w:tblPrEx>
        <w:trPr>
          <w:trHeight w:val="450" w:hRule="atLeast"/>
          <w:jc w:val="center"/>
        </w:trPr>
        <w:tc>
          <w:tcPr>
            <w:tcW w:w="531"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2490"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2"/>
                <w:szCs w:val="22"/>
                <w:highlight w:val="none"/>
              </w:rPr>
              <w:t>合  计</w:t>
            </w:r>
          </w:p>
        </w:tc>
        <w:tc>
          <w:tcPr>
            <w:tcW w:w="1672" w:type="dxa"/>
            <w:gridSpan w:val="2"/>
            <w:tcBorders>
              <w:top w:val="nil"/>
              <w:left w:val="nil"/>
              <w:bottom w:val="single" w:color="auto" w:sz="4" w:space="0"/>
              <w:right w:val="single" w:color="auto" w:sz="4" w:space="0"/>
            </w:tcBorders>
            <w:noWrap w:val="0"/>
            <w:vAlign w:val="center"/>
          </w:tcPr>
          <w:p>
            <w:pPr>
              <w:widowControl/>
              <w:jc w:val="right"/>
              <w:rPr>
                <w:rFonts w:hint="default" w:ascii="Times New Roman" w:hAnsi="Times New Roman" w:eastAsia="宋体" w:cs="Times New Roman"/>
                <w:b/>
                <w:bCs/>
                <w:color w:val="auto"/>
                <w:kern w:val="0"/>
                <w:sz w:val="22"/>
                <w:szCs w:val="22"/>
                <w:highlight w:val="none"/>
                <w:lang w:val="en-US" w:eastAsia="zh-CN"/>
              </w:rPr>
            </w:pPr>
            <w:r>
              <w:rPr>
                <w:rFonts w:hint="default" w:ascii="Times New Roman" w:hAnsi="Times New Roman" w:cs="Times New Roman"/>
                <w:b/>
                <w:bCs/>
                <w:color w:val="auto"/>
                <w:kern w:val="0"/>
                <w:sz w:val="22"/>
                <w:szCs w:val="22"/>
                <w:highlight w:val="none"/>
                <w:lang w:val="en-US" w:eastAsia="zh-CN"/>
              </w:rPr>
              <w:t>8</w:t>
            </w:r>
            <w:r>
              <w:rPr>
                <w:rFonts w:hint="eastAsia" w:cs="Times New Roman"/>
                <w:b/>
                <w:bCs/>
                <w:color w:val="auto"/>
                <w:kern w:val="0"/>
                <w:sz w:val="22"/>
                <w:szCs w:val="22"/>
                <w:highlight w:val="none"/>
                <w:lang w:val="en-US" w:eastAsia="zh-CN"/>
              </w:rPr>
              <w:t>02.63</w:t>
            </w:r>
          </w:p>
        </w:tc>
        <w:tc>
          <w:tcPr>
            <w:tcW w:w="1829" w:type="dxa"/>
            <w:gridSpan w:val="2"/>
            <w:tcBorders>
              <w:top w:val="nil"/>
              <w:left w:val="nil"/>
              <w:bottom w:val="single" w:color="auto" w:sz="4" w:space="0"/>
              <w:right w:val="single" w:color="auto" w:sz="4" w:space="0"/>
            </w:tcBorders>
            <w:noWrap w:val="0"/>
            <w:vAlign w:val="center"/>
          </w:tcPr>
          <w:p>
            <w:pPr>
              <w:widowControl/>
              <w:jc w:val="right"/>
              <w:rPr>
                <w:rFonts w:hint="default" w:ascii="Times New Roman" w:hAnsi="Times New Roman" w:eastAsia="宋体" w:cs="Times New Roman"/>
                <w:b/>
                <w:bCs/>
                <w:color w:val="auto"/>
                <w:kern w:val="0"/>
                <w:sz w:val="22"/>
                <w:szCs w:val="22"/>
                <w:highlight w:val="none"/>
                <w:lang w:val="en-US" w:eastAsia="zh-CN"/>
              </w:rPr>
            </w:pPr>
            <w:r>
              <w:rPr>
                <w:rFonts w:hint="default" w:ascii="Times New Roman" w:hAnsi="Times New Roman" w:cs="Times New Roman"/>
                <w:b/>
                <w:bCs/>
                <w:color w:val="auto"/>
                <w:kern w:val="0"/>
                <w:sz w:val="22"/>
                <w:szCs w:val="22"/>
                <w:highlight w:val="none"/>
                <w:lang w:val="en-US" w:eastAsia="zh-CN"/>
              </w:rPr>
              <w:t>802.63</w:t>
            </w:r>
          </w:p>
        </w:tc>
        <w:tc>
          <w:tcPr>
            <w:tcW w:w="1691"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bCs/>
                <w:color w:val="auto"/>
                <w:kern w:val="0"/>
                <w:sz w:val="22"/>
                <w:szCs w:val="22"/>
                <w:highlight w:val="none"/>
                <w:lang w:val="en-US" w:eastAsia="zh-CN"/>
              </w:rPr>
            </w:pP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10"/>
        <w:tblW w:w="9328" w:type="dxa"/>
        <w:jc w:val="center"/>
        <w:tblLayout w:type="autofit"/>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jc w:val="center"/>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rPr>
          <w:trHeight w:val="405" w:hRule="atLeast"/>
          <w:jc w:val="center"/>
        </w:trPr>
        <w:tc>
          <w:tcPr>
            <w:tcW w:w="4225" w:type="dxa"/>
            <w:gridSpan w:val="3"/>
            <w:tcBorders>
              <w:top w:val="nil"/>
              <w:left w:val="nil"/>
              <w:bottom w:val="nil"/>
              <w:right w:val="nil"/>
            </w:tcBorders>
            <w:noWrap w:val="0"/>
            <w:vAlign w:val="center"/>
          </w:tcPr>
          <w:p>
            <w:pPr>
              <w:widowControl/>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olor w:val="auto"/>
                <w:kern w:val="0"/>
                <w:sz w:val="24"/>
                <w:highlight w:val="none"/>
                <w:lang w:val="en-US" w:eastAsia="zh-CN"/>
              </w:rPr>
              <w:t>呼图壁县自然资源局</w:t>
            </w:r>
          </w:p>
        </w:tc>
        <w:tc>
          <w:tcPr>
            <w:tcW w:w="995" w:type="dxa"/>
            <w:tcBorders>
              <w:top w:val="nil"/>
              <w:left w:val="nil"/>
              <w:bottom w:val="nil"/>
              <w:right w:val="nil"/>
            </w:tcBorders>
            <w:noWrap w:val="0"/>
            <w:vAlign w:val="center"/>
          </w:tcPr>
          <w:p>
            <w:pPr>
              <w:widowControl/>
              <w:jc w:val="center"/>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widowControl/>
              <w:jc w:val="center"/>
              <w:rPr>
                <w:rFonts w:ascii="仿宋_GB2312" w:hAnsi="宋体" w:eastAsia="仿宋_GB2312" w:cs="宋体"/>
                <w:color w:val="auto"/>
                <w:kern w:val="0"/>
                <w:sz w:val="24"/>
                <w:highlight w:val="none"/>
              </w:rPr>
            </w:pPr>
          </w:p>
        </w:tc>
        <w:tc>
          <w:tcPr>
            <w:tcW w:w="2426" w:type="dxa"/>
            <w:gridSpan w:val="2"/>
            <w:tcBorders>
              <w:top w:val="nil"/>
              <w:left w:val="nil"/>
              <w:bottom w:val="nil"/>
              <w:right w:val="nil"/>
            </w:tcBorders>
            <w:noWrap w:val="0"/>
            <w:vAlign w:val="center"/>
          </w:tcPr>
          <w:p>
            <w:pPr>
              <w:widowControl/>
              <w:ind w:firstLine="720" w:firstLineChars="300"/>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374" w:hRule="atLeast"/>
          <w:jc w:val="center"/>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jc w:val="center"/>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jc w:val="center"/>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rPr>
          <w:trHeight w:val="327" w:hRule="atLeast"/>
          <w:jc w:val="center"/>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center"/>
              <w:textAlignment w:val="auto"/>
              <w:rPr>
                <w:rFonts w:hint="default" w:ascii="Times New Roman" w:hAnsi="Times New Roman" w:eastAsia="仿宋_GB2312" w:cs="Times New Roman"/>
                <w:color w:val="auto"/>
                <w:kern w:val="0"/>
                <w:sz w:val="20"/>
                <w:szCs w:val="20"/>
                <w:highlight w:val="none"/>
                <w:lang w:val="en-US" w:eastAsia="zh-CN"/>
              </w:rPr>
            </w:pPr>
            <w:r>
              <w:rPr>
                <w:rFonts w:hint="default" w:ascii="Times New Roman" w:hAnsi="Times New Roman" w:eastAsia="仿宋_GB2312" w:cs="Times New Roman"/>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center"/>
              <w:textAlignment w:val="auto"/>
              <w:rPr>
                <w:rFonts w:hint="default" w:ascii="Times New Roman" w:hAnsi="Times New Roman" w:eastAsia="仿宋_GB2312" w:cs="Times New Roman"/>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center"/>
              <w:textAlignment w:val="auto"/>
              <w:rPr>
                <w:rFonts w:ascii="仿宋_GB2312" w:hAnsi="宋体" w:eastAsia="仿宋_GB2312"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工资福利支出</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724.70</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724.70</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p>
        </w:tc>
      </w:tr>
      <w:tr>
        <w:tblPrEx>
          <w:tblCellMar>
            <w:top w:w="0" w:type="dxa"/>
            <w:left w:w="108" w:type="dxa"/>
            <w:bottom w:w="0" w:type="dxa"/>
            <w:right w:w="108" w:type="dxa"/>
          </w:tblCellMar>
        </w:tblPrEx>
        <w:trPr>
          <w:trHeight w:val="357" w:hRule="atLeast"/>
          <w:jc w:val="center"/>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center"/>
              <w:textAlignment w:val="auto"/>
              <w:rPr>
                <w:rFonts w:hint="default" w:ascii="Times New Roman" w:hAnsi="Times New Roman" w:eastAsia="仿宋_GB2312" w:cs="Times New Roman"/>
                <w:color w:val="auto"/>
                <w:kern w:val="0"/>
                <w:sz w:val="20"/>
                <w:szCs w:val="20"/>
                <w:highlight w:val="none"/>
                <w:lang w:val="en-US" w:eastAsia="zh-CN"/>
              </w:rPr>
            </w:pPr>
            <w:r>
              <w:rPr>
                <w:rFonts w:hint="default" w:ascii="Times New Roman" w:hAnsi="Times New Roman" w:eastAsia="仿宋_GB2312" w:cs="Times New Roman"/>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center"/>
              <w:textAlignment w:val="auto"/>
              <w:rPr>
                <w:rFonts w:hint="default" w:ascii="Times New Roman" w:hAnsi="Times New Roman" w:eastAsia="仿宋_GB2312" w:cs="Times New Roman"/>
                <w:color w:val="auto"/>
                <w:kern w:val="0"/>
                <w:sz w:val="20"/>
                <w:szCs w:val="20"/>
                <w:highlight w:val="none"/>
                <w:lang w:val="en-US" w:eastAsia="zh-CN"/>
              </w:rPr>
            </w:pPr>
            <w:r>
              <w:rPr>
                <w:rFonts w:hint="default" w:ascii="Times New Roman" w:hAnsi="Times New Roman" w:eastAsia="仿宋_GB2312" w:cs="Times New Roman"/>
                <w:color w:val="auto"/>
                <w:kern w:val="0"/>
                <w:sz w:val="20"/>
                <w:szCs w:val="20"/>
                <w:highlight w:val="none"/>
                <w:lang w:val="en-US" w:eastAsia="zh-CN"/>
              </w:rPr>
              <w:t>01</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center"/>
              <w:textAlignment w:val="auto"/>
              <w:rPr>
                <w:rFonts w:ascii="仿宋_GB2312" w:hAnsi="宋体" w:eastAsia="仿宋_GB2312"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基本工资</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196.16</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196.16</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p>
        </w:tc>
      </w:tr>
      <w:tr>
        <w:trPr>
          <w:trHeight w:val="342" w:hRule="atLeast"/>
          <w:jc w:val="center"/>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center"/>
              <w:textAlignment w:val="auto"/>
              <w:rPr>
                <w:rFonts w:hint="default" w:ascii="Times New Roman" w:hAnsi="Times New Roman" w:eastAsia="宋体" w:cs="Times New Roman"/>
                <w:color w:val="auto"/>
                <w:kern w:val="0"/>
                <w:sz w:val="20"/>
                <w:szCs w:val="20"/>
                <w:highlight w:val="none"/>
                <w:lang w:val="en-US" w:eastAsia="zh-CN"/>
              </w:rPr>
            </w:pPr>
            <w:r>
              <w:rPr>
                <w:rFonts w:hint="default" w:ascii="Times New Roman" w:hAnsi="Times New Roman" w:cs="Times New Roman"/>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center"/>
              <w:textAlignment w:val="auto"/>
              <w:rPr>
                <w:rFonts w:hint="default" w:ascii="Times New Roman" w:hAnsi="Times New Roman" w:eastAsia="宋体" w:cs="Times New Roman"/>
                <w:color w:val="auto"/>
                <w:kern w:val="0"/>
                <w:sz w:val="20"/>
                <w:szCs w:val="20"/>
                <w:highlight w:val="none"/>
                <w:lang w:val="en-US" w:eastAsia="zh-CN"/>
              </w:rPr>
            </w:pPr>
            <w:r>
              <w:rPr>
                <w:rFonts w:hint="default" w:ascii="Times New Roman" w:hAnsi="Times New Roman" w:cs="Times New Roman"/>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center"/>
              <w:textAlignment w:val="auto"/>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津贴补贴</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135.97</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135.97</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p>
        </w:tc>
      </w:tr>
      <w:tr>
        <w:trPr>
          <w:trHeight w:val="327" w:hRule="atLeast"/>
          <w:jc w:val="center"/>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center"/>
              <w:textAlignment w:val="auto"/>
              <w:rPr>
                <w:rFonts w:hint="default" w:ascii="Times New Roman" w:hAnsi="Times New Roman" w:eastAsia="宋体" w:cs="Times New Roman"/>
                <w:color w:val="auto"/>
                <w:kern w:val="0"/>
                <w:sz w:val="20"/>
                <w:szCs w:val="20"/>
                <w:highlight w:val="none"/>
                <w:lang w:val="en-US" w:eastAsia="zh-CN"/>
              </w:rPr>
            </w:pPr>
            <w:r>
              <w:rPr>
                <w:rFonts w:hint="default" w:ascii="Times New Roman" w:hAnsi="Times New Roman" w:cs="Times New Roman"/>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center"/>
              <w:textAlignment w:val="auto"/>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lang w:val="en-US" w:eastAsia="zh-CN"/>
              </w:rPr>
              <w:t>03</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center"/>
              <w:textAlignment w:val="auto"/>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奖金</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147.70</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147.70</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p>
        </w:tc>
      </w:tr>
      <w:tr>
        <w:tblPrEx>
          <w:tblCellMar>
            <w:top w:w="0" w:type="dxa"/>
            <w:left w:w="108" w:type="dxa"/>
            <w:bottom w:w="0" w:type="dxa"/>
            <w:right w:w="108" w:type="dxa"/>
          </w:tblCellMar>
        </w:tblPrEx>
        <w:trPr>
          <w:trHeight w:val="327" w:hRule="atLeast"/>
          <w:jc w:val="center"/>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center"/>
              <w:textAlignment w:val="auto"/>
              <w:rPr>
                <w:rFonts w:hint="default" w:ascii="Times New Roman" w:hAnsi="Times New Roman" w:eastAsia="宋体" w:cs="Times New Roman"/>
                <w:color w:val="auto"/>
                <w:kern w:val="0"/>
                <w:sz w:val="20"/>
                <w:szCs w:val="20"/>
                <w:highlight w:val="none"/>
                <w:lang w:val="en-US" w:eastAsia="zh-CN"/>
              </w:rPr>
            </w:pPr>
            <w:r>
              <w:rPr>
                <w:rFonts w:hint="default" w:ascii="Times New Roman" w:hAnsi="Times New Roman" w:cs="Times New Roman"/>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center"/>
              <w:textAlignment w:val="auto"/>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lang w:val="en-US" w:eastAsia="zh-CN"/>
              </w:rPr>
              <w:t>07</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center"/>
              <w:textAlignment w:val="auto"/>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绩效工资</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45.32</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45.32</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center"/>
              <w:textAlignment w:val="auto"/>
              <w:rPr>
                <w:rFonts w:hint="default" w:ascii="Times New Roman" w:hAnsi="Times New Roman" w:eastAsia="宋体" w:cs="Times New Roman"/>
                <w:color w:val="auto"/>
                <w:kern w:val="0"/>
                <w:sz w:val="20"/>
                <w:szCs w:val="20"/>
                <w:highlight w:val="none"/>
                <w:lang w:val="en-US" w:eastAsia="zh-CN"/>
              </w:rPr>
            </w:pPr>
            <w:r>
              <w:rPr>
                <w:rFonts w:hint="default" w:ascii="Times New Roman" w:hAnsi="Times New Roman" w:cs="Times New Roman"/>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center"/>
              <w:textAlignment w:val="auto"/>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lang w:val="en-US" w:eastAsia="zh-CN"/>
              </w:rPr>
              <w:t>08</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center"/>
              <w:textAlignment w:val="auto"/>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机关事业单位基本养老保险缴费</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76.16</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76.16</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center"/>
              <w:textAlignment w:val="auto"/>
              <w:rPr>
                <w:rFonts w:hint="default" w:ascii="Times New Roman" w:hAnsi="Times New Roman" w:eastAsia="宋体" w:cs="Times New Roman"/>
                <w:color w:val="auto"/>
                <w:kern w:val="0"/>
                <w:sz w:val="20"/>
                <w:szCs w:val="20"/>
                <w:highlight w:val="none"/>
                <w:lang w:val="en-US" w:eastAsia="zh-CN"/>
              </w:rPr>
            </w:pPr>
            <w:r>
              <w:rPr>
                <w:rFonts w:hint="default" w:ascii="Times New Roman" w:hAnsi="Times New Roman" w:cs="Times New Roman"/>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center"/>
              <w:textAlignment w:val="auto"/>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lang w:val="en-US" w:eastAsia="zh-CN"/>
              </w:rPr>
              <w:t>10</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center"/>
              <w:textAlignment w:val="auto"/>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职工基本医疗保险缴费</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38.08</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38.08</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center"/>
              <w:textAlignment w:val="auto"/>
              <w:rPr>
                <w:rFonts w:hint="default" w:ascii="Times New Roman" w:hAnsi="Times New Roman" w:eastAsia="宋体" w:cs="Times New Roman"/>
                <w:color w:val="auto"/>
                <w:kern w:val="0"/>
                <w:sz w:val="20"/>
                <w:szCs w:val="20"/>
                <w:highlight w:val="none"/>
                <w:lang w:val="en-US" w:eastAsia="zh-CN"/>
              </w:rPr>
            </w:pPr>
            <w:r>
              <w:rPr>
                <w:rFonts w:hint="default" w:ascii="Times New Roman" w:hAnsi="Times New Roman" w:cs="Times New Roman"/>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center"/>
              <w:textAlignment w:val="auto"/>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lang w:val="en-US" w:eastAsia="zh-CN"/>
              </w:rPr>
              <w:t>11</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center"/>
              <w:textAlignment w:val="auto"/>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公务员医疗补助缴费</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19.04</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19.04</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center"/>
              <w:textAlignment w:val="auto"/>
              <w:rPr>
                <w:rFonts w:hint="default" w:ascii="Times New Roman" w:hAnsi="Times New Roman" w:eastAsia="宋体" w:cs="Times New Roman"/>
                <w:color w:val="auto"/>
                <w:kern w:val="0"/>
                <w:sz w:val="20"/>
                <w:szCs w:val="20"/>
                <w:highlight w:val="none"/>
                <w:lang w:val="en-US" w:eastAsia="zh-CN"/>
              </w:rPr>
            </w:pPr>
            <w:r>
              <w:rPr>
                <w:rFonts w:hint="default" w:ascii="Times New Roman" w:hAnsi="Times New Roman" w:cs="Times New Roman"/>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center"/>
              <w:textAlignment w:val="auto"/>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lang w:val="en-US" w:eastAsia="zh-CN"/>
              </w:rPr>
              <w:t>12</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center"/>
              <w:textAlignment w:val="auto"/>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其他社会保障缴费</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3.26</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3.26</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center"/>
              <w:textAlignment w:val="auto"/>
              <w:rPr>
                <w:rFonts w:hint="default" w:ascii="Times New Roman" w:hAnsi="Times New Roman" w:eastAsia="宋体" w:cs="Times New Roman"/>
                <w:color w:val="auto"/>
                <w:kern w:val="0"/>
                <w:sz w:val="20"/>
                <w:szCs w:val="20"/>
                <w:highlight w:val="none"/>
                <w:lang w:val="en-US" w:eastAsia="zh-CN"/>
              </w:rPr>
            </w:pPr>
            <w:r>
              <w:rPr>
                <w:rFonts w:hint="default" w:ascii="Times New Roman" w:hAnsi="Times New Roman" w:cs="Times New Roman"/>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center"/>
              <w:textAlignment w:val="auto"/>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lang w:val="en-US" w:eastAsia="zh-CN"/>
              </w:rPr>
              <w:t>13</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center"/>
              <w:textAlignment w:val="auto"/>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住房公积金</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63.02</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63.02</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p>
        </w:tc>
      </w:tr>
      <w:tr>
        <w:trPr>
          <w:trHeight w:val="327" w:hRule="atLeast"/>
          <w:jc w:val="center"/>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center"/>
              <w:textAlignment w:val="auto"/>
              <w:rPr>
                <w:rFonts w:hint="default" w:ascii="Times New Roman" w:hAnsi="Times New Roman" w:eastAsia="宋体" w:cs="Times New Roman"/>
                <w:color w:val="auto"/>
                <w:kern w:val="0"/>
                <w:sz w:val="20"/>
                <w:szCs w:val="20"/>
                <w:highlight w:val="none"/>
                <w:lang w:val="en-US" w:eastAsia="zh-CN"/>
              </w:rPr>
            </w:pPr>
            <w:r>
              <w:rPr>
                <w:rFonts w:hint="default" w:ascii="Times New Roman" w:hAnsi="Times New Roman" w:cs="Times New Roman"/>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center"/>
              <w:textAlignment w:val="auto"/>
              <w:rPr>
                <w:rFonts w:hint="default" w:ascii="Times New Roman" w:hAnsi="Times New Roman" w:cs="Times New Roman"/>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center"/>
              <w:textAlignment w:val="auto"/>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商品和服务支出</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54.63</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54.63</w:t>
            </w:r>
          </w:p>
        </w:tc>
      </w:tr>
      <w:tr>
        <w:tblPrEx>
          <w:tblCellMar>
            <w:top w:w="0" w:type="dxa"/>
            <w:left w:w="108" w:type="dxa"/>
            <w:bottom w:w="0" w:type="dxa"/>
            <w:right w:w="108" w:type="dxa"/>
          </w:tblCellMar>
        </w:tblPrEx>
        <w:trPr>
          <w:trHeight w:val="312" w:hRule="atLeast"/>
          <w:jc w:val="center"/>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center"/>
              <w:textAlignment w:val="auto"/>
              <w:rPr>
                <w:rFonts w:hint="default" w:ascii="Times New Roman" w:hAnsi="Times New Roman" w:eastAsia="宋体" w:cs="Times New Roman"/>
                <w:color w:val="auto"/>
                <w:kern w:val="0"/>
                <w:sz w:val="20"/>
                <w:szCs w:val="20"/>
                <w:highlight w:val="none"/>
                <w:lang w:val="en-US" w:eastAsia="zh-CN"/>
              </w:rPr>
            </w:pPr>
            <w:r>
              <w:rPr>
                <w:rFonts w:hint="default" w:ascii="Times New Roman" w:hAnsi="Times New Roman" w:cs="Times New Roman"/>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center"/>
              <w:textAlignment w:val="auto"/>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lang w:val="en-US" w:eastAsia="zh-CN"/>
              </w:rPr>
              <w:t>01</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center"/>
              <w:textAlignment w:val="auto"/>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办公费</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3.88</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3.88</w:t>
            </w:r>
          </w:p>
        </w:tc>
      </w:tr>
      <w:tr>
        <w:tblPrEx>
          <w:tblCellMar>
            <w:top w:w="0" w:type="dxa"/>
            <w:left w:w="108" w:type="dxa"/>
            <w:bottom w:w="0" w:type="dxa"/>
            <w:right w:w="108" w:type="dxa"/>
          </w:tblCellMar>
        </w:tblPrEx>
        <w:trPr>
          <w:trHeight w:val="267" w:hRule="atLeast"/>
          <w:jc w:val="center"/>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center"/>
              <w:textAlignment w:val="auto"/>
              <w:rPr>
                <w:rFonts w:hint="default" w:ascii="Times New Roman" w:hAnsi="Times New Roman" w:eastAsia="宋体" w:cs="Times New Roman"/>
                <w:color w:val="auto"/>
                <w:kern w:val="0"/>
                <w:sz w:val="20"/>
                <w:szCs w:val="20"/>
                <w:highlight w:val="none"/>
                <w:lang w:val="en-US" w:eastAsia="zh-CN"/>
              </w:rPr>
            </w:pPr>
            <w:r>
              <w:rPr>
                <w:rFonts w:hint="default" w:ascii="Times New Roman" w:hAnsi="Times New Roman" w:cs="Times New Roman"/>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center"/>
              <w:textAlignment w:val="auto"/>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center"/>
              <w:textAlignment w:val="auto"/>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印刷费</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0.45</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0.45</w:t>
            </w:r>
          </w:p>
        </w:tc>
      </w:tr>
      <w:tr>
        <w:tblPrEx>
          <w:tblCellMar>
            <w:top w:w="0" w:type="dxa"/>
            <w:left w:w="108" w:type="dxa"/>
            <w:bottom w:w="0" w:type="dxa"/>
            <w:right w:w="108" w:type="dxa"/>
          </w:tblCellMar>
        </w:tblPrEx>
        <w:trPr>
          <w:trHeight w:val="282" w:hRule="atLeast"/>
          <w:jc w:val="center"/>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center"/>
              <w:textAlignment w:val="auto"/>
              <w:rPr>
                <w:rFonts w:hint="default" w:ascii="Times New Roman" w:hAnsi="Times New Roman" w:eastAsia="宋体" w:cs="Times New Roman"/>
                <w:color w:val="auto"/>
                <w:kern w:val="0"/>
                <w:sz w:val="20"/>
                <w:szCs w:val="20"/>
                <w:highlight w:val="none"/>
                <w:lang w:val="en-US" w:eastAsia="zh-CN"/>
              </w:rPr>
            </w:pPr>
            <w:r>
              <w:rPr>
                <w:rFonts w:hint="default" w:ascii="Times New Roman" w:hAnsi="Times New Roman" w:cs="Times New Roman"/>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center"/>
              <w:textAlignment w:val="auto"/>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lang w:val="en-US" w:eastAsia="zh-CN"/>
              </w:rPr>
              <w:t>05</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center"/>
              <w:textAlignment w:val="auto"/>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水费</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0.09</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0.09</w:t>
            </w:r>
          </w:p>
        </w:tc>
      </w:tr>
      <w:tr>
        <w:tblPrEx>
          <w:tblCellMar>
            <w:top w:w="0" w:type="dxa"/>
            <w:left w:w="108" w:type="dxa"/>
            <w:bottom w:w="0" w:type="dxa"/>
            <w:right w:w="108" w:type="dxa"/>
          </w:tblCellMar>
        </w:tblPrEx>
        <w:trPr>
          <w:trHeight w:val="297" w:hRule="atLeast"/>
          <w:jc w:val="center"/>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center"/>
              <w:textAlignment w:val="auto"/>
              <w:rPr>
                <w:rFonts w:hint="default" w:ascii="Times New Roman" w:hAnsi="Times New Roman" w:eastAsia="宋体" w:cs="Times New Roman"/>
                <w:color w:val="auto"/>
                <w:kern w:val="0"/>
                <w:sz w:val="20"/>
                <w:szCs w:val="20"/>
                <w:highlight w:val="none"/>
                <w:lang w:val="en-US" w:eastAsia="zh-CN"/>
              </w:rPr>
            </w:pPr>
            <w:r>
              <w:rPr>
                <w:rFonts w:hint="default" w:ascii="Times New Roman" w:hAnsi="Times New Roman" w:cs="Times New Roman"/>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center"/>
              <w:textAlignment w:val="auto"/>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lang w:val="en-US" w:eastAsia="zh-CN"/>
              </w:rPr>
              <w:t>06</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center"/>
              <w:textAlignment w:val="auto"/>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电费</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0.87</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0.87</w:t>
            </w:r>
          </w:p>
        </w:tc>
      </w:tr>
      <w:tr>
        <w:tblPrEx>
          <w:tblCellMar>
            <w:top w:w="0" w:type="dxa"/>
            <w:left w:w="108" w:type="dxa"/>
            <w:bottom w:w="0" w:type="dxa"/>
            <w:right w:w="108" w:type="dxa"/>
          </w:tblCellMar>
        </w:tblPrEx>
        <w:trPr>
          <w:trHeight w:val="327" w:hRule="atLeast"/>
          <w:jc w:val="center"/>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center"/>
              <w:textAlignment w:val="auto"/>
              <w:rPr>
                <w:rFonts w:hint="default" w:ascii="Times New Roman" w:hAnsi="Times New Roman" w:eastAsia="宋体" w:cs="Times New Roman"/>
                <w:color w:val="auto"/>
                <w:kern w:val="0"/>
                <w:sz w:val="20"/>
                <w:szCs w:val="20"/>
                <w:highlight w:val="none"/>
                <w:lang w:val="en-US" w:eastAsia="zh-CN"/>
              </w:rPr>
            </w:pPr>
            <w:r>
              <w:rPr>
                <w:rFonts w:hint="default" w:ascii="Times New Roman" w:hAnsi="Times New Roman" w:cs="Times New Roman"/>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center"/>
              <w:textAlignment w:val="auto"/>
              <w:rPr>
                <w:rFonts w:hint="default" w:ascii="Times New Roman" w:hAnsi="Times New Roman" w:eastAsia="宋体" w:cs="Times New Roman"/>
                <w:color w:val="auto"/>
                <w:kern w:val="0"/>
                <w:sz w:val="20"/>
                <w:szCs w:val="20"/>
                <w:highlight w:val="none"/>
                <w:lang w:val="en-US" w:eastAsia="zh-CN"/>
              </w:rPr>
            </w:pPr>
            <w:r>
              <w:rPr>
                <w:rFonts w:hint="default" w:ascii="Times New Roman" w:hAnsi="Times New Roman" w:cs="Times New Roman"/>
                <w:color w:val="auto"/>
                <w:kern w:val="0"/>
                <w:sz w:val="20"/>
                <w:szCs w:val="20"/>
                <w:highlight w:val="none"/>
                <w:lang w:val="en-US" w:eastAsia="zh-CN"/>
              </w:rPr>
              <w:t>07</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center"/>
              <w:textAlignment w:val="auto"/>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邮电费</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2.03</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2.03</w:t>
            </w: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center"/>
              <w:textAlignment w:val="auto"/>
              <w:rPr>
                <w:rFonts w:hint="default" w:ascii="Times New Roman" w:hAnsi="Times New Roman" w:eastAsia="宋体" w:cs="Times New Roman"/>
                <w:color w:val="auto"/>
                <w:kern w:val="0"/>
                <w:sz w:val="20"/>
                <w:szCs w:val="20"/>
                <w:highlight w:val="none"/>
                <w:lang w:val="en-US" w:eastAsia="zh-CN"/>
              </w:rPr>
            </w:pPr>
            <w:r>
              <w:rPr>
                <w:rFonts w:hint="default" w:ascii="Times New Roman" w:hAnsi="Times New Roman" w:cs="Times New Roman"/>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center"/>
              <w:textAlignment w:val="auto"/>
              <w:rPr>
                <w:rFonts w:hint="default" w:ascii="Times New Roman" w:hAnsi="Times New Roman" w:eastAsia="宋体" w:cs="Times New Roman"/>
                <w:color w:val="auto"/>
                <w:kern w:val="0"/>
                <w:sz w:val="20"/>
                <w:szCs w:val="20"/>
                <w:highlight w:val="none"/>
                <w:lang w:val="en-US" w:eastAsia="zh-CN"/>
              </w:rPr>
            </w:pPr>
            <w:r>
              <w:rPr>
                <w:rFonts w:hint="default" w:ascii="Times New Roman" w:hAnsi="Times New Roman" w:cs="Times New Roman"/>
                <w:color w:val="auto"/>
                <w:kern w:val="0"/>
                <w:sz w:val="20"/>
                <w:szCs w:val="20"/>
                <w:highlight w:val="none"/>
                <w:lang w:val="en-US" w:eastAsia="zh-CN"/>
              </w:rPr>
              <w:t>08</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center"/>
              <w:textAlignment w:val="auto"/>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取暖费</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20.74</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20.74</w:t>
            </w: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center"/>
              <w:textAlignment w:val="auto"/>
              <w:rPr>
                <w:rFonts w:hint="default" w:ascii="Times New Roman" w:hAnsi="Times New Roman" w:eastAsia="宋体" w:cs="Times New Roman"/>
                <w:color w:val="auto"/>
                <w:kern w:val="0"/>
                <w:sz w:val="20"/>
                <w:szCs w:val="20"/>
                <w:highlight w:val="none"/>
                <w:lang w:val="en-US" w:eastAsia="zh-CN"/>
              </w:rPr>
            </w:pPr>
            <w:r>
              <w:rPr>
                <w:rFonts w:hint="default" w:ascii="Times New Roman" w:hAnsi="Times New Roman" w:cs="Times New Roman"/>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center"/>
              <w:textAlignment w:val="auto"/>
              <w:rPr>
                <w:rFonts w:hint="default" w:ascii="Times New Roman" w:hAnsi="Times New Roman" w:eastAsia="宋体" w:cs="Times New Roman"/>
                <w:color w:val="auto"/>
                <w:kern w:val="0"/>
                <w:sz w:val="20"/>
                <w:szCs w:val="20"/>
                <w:highlight w:val="none"/>
                <w:lang w:val="en-US" w:eastAsia="zh-CN"/>
              </w:rPr>
            </w:pPr>
            <w:r>
              <w:rPr>
                <w:rFonts w:hint="default" w:ascii="Times New Roman" w:hAnsi="Times New Roman" w:cs="Times New Roman"/>
                <w:color w:val="auto"/>
                <w:kern w:val="0"/>
                <w:sz w:val="20"/>
                <w:szCs w:val="20"/>
                <w:highlight w:val="none"/>
                <w:lang w:val="en-US" w:eastAsia="zh-CN"/>
              </w:rPr>
              <w:t>11</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center"/>
              <w:textAlignment w:val="auto"/>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差旅费</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1.26</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1.26</w:t>
            </w:r>
          </w:p>
        </w:tc>
      </w:tr>
      <w:tr>
        <w:tblPrEx>
          <w:tblCellMar>
            <w:top w:w="0" w:type="dxa"/>
            <w:left w:w="108" w:type="dxa"/>
            <w:bottom w:w="0" w:type="dxa"/>
            <w:right w:w="108" w:type="dxa"/>
          </w:tblCellMar>
        </w:tblPrEx>
        <w:trPr>
          <w:trHeight w:val="312" w:hRule="atLeast"/>
          <w:jc w:val="center"/>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center"/>
              <w:textAlignment w:val="auto"/>
              <w:rPr>
                <w:rFonts w:hint="default" w:ascii="Times New Roman" w:hAnsi="Times New Roman" w:eastAsia="宋体" w:cs="Times New Roman"/>
                <w:color w:val="auto"/>
                <w:kern w:val="0"/>
                <w:sz w:val="20"/>
                <w:szCs w:val="20"/>
                <w:highlight w:val="none"/>
                <w:lang w:val="en-US" w:eastAsia="zh-CN"/>
              </w:rPr>
            </w:pPr>
            <w:r>
              <w:rPr>
                <w:rFonts w:hint="default" w:ascii="Times New Roman" w:hAnsi="Times New Roman" w:cs="Times New Roman"/>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center"/>
              <w:textAlignment w:val="auto"/>
              <w:rPr>
                <w:rFonts w:hint="default" w:ascii="Times New Roman" w:hAnsi="Times New Roman" w:eastAsia="宋体" w:cs="Times New Roman"/>
                <w:color w:val="auto"/>
                <w:kern w:val="0"/>
                <w:sz w:val="20"/>
                <w:szCs w:val="20"/>
                <w:highlight w:val="none"/>
                <w:lang w:val="en-US" w:eastAsia="zh-CN"/>
              </w:rPr>
            </w:pPr>
            <w:r>
              <w:rPr>
                <w:rFonts w:hint="default" w:ascii="Times New Roman" w:hAnsi="Times New Roman" w:cs="Times New Roman"/>
                <w:color w:val="auto"/>
                <w:kern w:val="0"/>
                <w:sz w:val="20"/>
                <w:szCs w:val="20"/>
                <w:highlight w:val="none"/>
                <w:lang w:val="en-US" w:eastAsia="zh-CN"/>
              </w:rPr>
              <w:t>17</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center"/>
              <w:textAlignment w:val="auto"/>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公务接待费</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0.25</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0.25</w:t>
            </w:r>
          </w:p>
        </w:tc>
      </w:tr>
      <w:tr>
        <w:tblPrEx>
          <w:tblCellMar>
            <w:top w:w="0" w:type="dxa"/>
            <w:left w:w="108" w:type="dxa"/>
            <w:bottom w:w="0" w:type="dxa"/>
            <w:right w:w="108" w:type="dxa"/>
          </w:tblCellMar>
        </w:tblPrEx>
        <w:trPr>
          <w:trHeight w:val="327" w:hRule="atLeast"/>
          <w:jc w:val="center"/>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center"/>
              <w:textAlignment w:val="auto"/>
              <w:rPr>
                <w:rFonts w:hint="default" w:ascii="Times New Roman" w:hAnsi="Times New Roman" w:eastAsia="宋体" w:cs="Times New Roman"/>
                <w:color w:val="auto"/>
                <w:kern w:val="0"/>
                <w:sz w:val="20"/>
                <w:szCs w:val="20"/>
                <w:highlight w:val="none"/>
                <w:lang w:val="en-US" w:eastAsia="zh-CN"/>
              </w:rPr>
            </w:pPr>
            <w:r>
              <w:rPr>
                <w:rFonts w:hint="default" w:ascii="Times New Roman" w:hAnsi="Times New Roman" w:cs="Times New Roman"/>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center"/>
              <w:textAlignment w:val="auto"/>
              <w:rPr>
                <w:rFonts w:hint="default" w:ascii="Times New Roman" w:hAnsi="Times New Roman" w:eastAsia="宋体" w:cs="Times New Roman"/>
                <w:color w:val="auto"/>
                <w:kern w:val="0"/>
                <w:sz w:val="20"/>
                <w:szCs w:val="20"/>
                <w:highlight w:val="none"/>
                <w:lang w:val="en-US" w:eastAsia="zh-CN"/>
              </w:rPr>
            </w:pPr>
            <w:r>
              <w:rPr>
                <w:rFonts w:hint="default" w:ascii="Times New Roman" w:hAnsi="Times New Roman" w:cs="Times New Roman"/>
                <w:color w:val="auto"/>
                <w:kern w:val="0"/>
                <w:sz w:val="20"/>
                <w:szCs w:val="20"/>
                <w:highlight w:val="none"/>
                <w:lang w:val="en-US" w:eastAsia="zh-CN"/>
              </w:rPr>
              <w:t>26</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center"/>
              <w:textAlignment w:val="auto"/>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劳务费</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11.06</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11.06</w:t>
            </w:r>
          </w:p>
        </w:tc>
      </w:tr>
      <w:tr>
        <w:tblPrEx>
          <w:tblCellMar>
            <w:top w:w="0" w:type="dxa"/>
            <w:left w:w="108" w:type="dxa"/>
            <w:bottom w:w="0" w:type="dxa"/>
            <w:right w:w="108" w:type="dxa"/>
          </w:tblCellMar>
        </w:tblPrEx>
        <w:trPr>
          <w:trHeight w:val="342" w:hRule="atLeast"/>
          <w:jc w:val="center"/>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center"/>
              <w:textAlignment w:val="auto"/>
              <w:rPr>
                <w:rFonts w:hint="default" w:ascii="Times New Roman" w:hAnsi="Times New Roman" w:eastAsia="宋体" w:cs="Times New Roman"/>
                <w:color w:val="auto"/>
                <w:kern w:val="0"/>
                <w:sz w:val="20"/>
                <w:szCs w:val="20"/>
                <w:highlight w:val="none"/>
                <w:lang w:val="en-US" w:eastAsia="zh-CN"/>
              </w:rPr>
            </w:pPr>
            <w:r>
              <w:rPr>
                <w:rFonts w:hint="default" w:ascii="Times New Roman" w:hAnsi="Times New Roman" w:cs="Times New Roman"/>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center"/>
              <w:textAlignment w:val="auto"/>
              <w:rPr>
                <w:rFonts w:hint="default" w:ascii="Times New Roman" w:hAnsi="Times New Roman" w:eastAsia="宋体" w:cs="Times New Roman"/>
                <w:color w:val="auto"/>
                <w:kern w:val="0"/>
                <w:sz w:val="20"/>
                <w:szCs w:val="20"/>
                <w:highlight w:val="none"/>
                <w:lang w:val="en-US" w:eastAsia="zh-CN"/>
              </w:rPr>
            </w:pPr>
            <w:r>
              <w:rPr>
                <w:rFonts w:hint="default" w:ascii="Times New Roman" w:hAnsi="Times New Roman" w:cs="Times New Roman"/>
                <w:color w:val="auto"/>
                <w:kern w:val="0"/>
                <w:sz w:val="20"/>
                <w:szCs w:val="20"/>
                <w:highlight w:val="none"/>
                <w:lang w:val="en-US" w:eastAsia="zh-CN"/>
              </w:rPr>
              <w:t>28</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center"/>
              <w:textAlignment w:val="auto"/>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工会经费</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9.19</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9.19</w:t>
            </w: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center"/>
              <w:textAlignment w:val="auto"/>
              <w:rPr>
                <w:rFonts w:hint="default" w:ascii="Times New Roman" w:hAnsi="Times New Roman" w:eastAsia="宋体" w:cs="Times New Roman"/>
                <w:color w:val="auto"/>
                <w:kern w:val="0"/>
                <w:sz w:val="20"/>
                <w:szCs w:val="20"/>
                <w:highlight w:val="none"/>
                <w:lang w:val="en-US" w:eastAsia="zh-CN"/>
              </w:rPr>
            </w:pPr>
            <w:r>
              <w:rPr>
                <w:rFonts w:hint="default" w:ascii="Times New Roman" w:hAnsi="Times New Roman" w:cs="Times New Roman"/>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center"/>
              <w:textAlignment w:val="auto"/>
              <w:rPr>
                <w:rFonts w:hint="default" w:ascii="Times New Roman" w:hAnsi="Times New Roman" w:eastAsia="宋体" w:cs="Times New Roman"/>
                <w:color w:val="auto"/>
                <w:kern w:val="0"/>
                <w:sz w:val="20"/>
                <w:szCs w:val="20"/>
                <w:highlight w:val="none"/>
                <w:lang w:val="en-US" w:eastAsia="zh-CN"/>
              </w:rPr>
            </w:pPr>
            <w:r>
              <w:rPr>
                <w:rFonts w:hint="default" w:ascii="Times New Roman" w:hAnsi="Times New Roman" w:cs="Times New Roman"/>
                <w:color w:val="auto"/>
                <w:kern w:val="0"/>
                <w:sz w:val="20"/>
                <w:szCs w:val="20"/>
                <w:highlight w:val="none"/>
                <w:lang w:val="en-US" w:eastAsia="zh-CN"/>
              </w:rPr>
              <w:t>31</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center"/>
              <w:textAlignment w:val="auto"/>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公务用车运行维护费</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2.68</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2.68</w:t>
            </w: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center"/>
              <w:textAlignment w:val="auto"/>
              <w:rPr>
                <w:rFonts w:hint="default" w:ascii="Times New Roman" w:hAnsi="Times New Roman" w:eastAsia="宋体" w:cs="Times New Roman"/>
                <w:color w:val="auto"/>
                <w:kern w:val="0"/>
                <w:sz w:val="20"/>
                <w:szCs w:val="20"/>
                <w:highlight w:val="none"/>
                <w:lang w:val="en-US" w:eastAsia="zh-CN"/>
              </w:rPr>
            </w:pPr>
            <w:r>
              <w:rPr>
                <w:rFonts w:hint="default" w:ascii="Times New Roman" w:hAnsi="Times New Roman" w:cs="Times New Roman"/>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center"/>
              <w:textAlignment w:val="auto"/>
              <w:rPr>
                <w:rFonts w:hint="default" w:ascii="Times New Roman" w:hAnsi="Times New Roman" w:eastAsia="宋体" w:cs="Times New Roman"/>
                <w:color w:val="auto"/>
                <w:kern w:val="0"/>
                <w:sz w:val="20"/>
                <w:szCs w:val="20"/>
                <w:highlight w:val="none"/>
                <w:lang w:val="en-US" w:eastAsia="zh-CN"/>
              </w:rPr>
            </w:pPr>
            <w:r>
              <w:rPr>
                <w:rFonts w:hint="default" w:ascii="Times New Roman" w:hAnsi="Times New Roman" w:cs="Times New Roman"/>
                <w:color w:val="auto"/>
                <w:kern w:val="0"/>
                <w:sz w:val="20"/>
                <w:szCs w:val="20"/>
                <w:highlight w:val="none"/>
                <w:lang w:val="en-US" w:eastAsia="zh-CN"/>
              </w:rPr>
              <w:t>39</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center"/>
              <w:textAlignment w:val="auto"/>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其他交通费用</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2.12</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2.12</w:t>
            </w:r>
          </w:p>
        </w:tc>
      </w:tr>
      <w:tr>
        <w:tblPrEx>
          <w:tblCellMar>
            <w:top w:w="0" w:type="dxa"/>
            <w:left w:w="108" w:type="dxa"/>
            <w:bottom w:w="0" w:type="dxa"/>
            <w:right w:w="108" w:type="dxa"/>
          </w:tblCellMar>
        </w:tblPrEx>
        <w:trPr>
          <w:trHeight w:val="297" w:hRule="atLeast"/>
          <w:jc w:val="center"/>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center"/>
              <w:textAlignment w:val="auto"/>
              <w:rPr>
                <w:rFonts w:hint="default" w:ascii="Times New Roman" w:hAnsi="Times New Roman" w:eastAsia="宋体" w:cs="Times New Roman"/>
                <w:color w:val="auto"/>
                <w:kern w:val="0"/>
                <w:sz w:val="20"/>
                <w:szCs w:val="20"/>
                <w:highlight w:val="none"/>
                <w:lang w:val="en-US" w:eastAsia="zh-CN"/>
              </w:rPr>
            </w:pPr>
            <w:r>
              <w:rPr>
                <w:rFonts w:hint="default" w:ascii="Times New Roman" w:hAnsi="Times New Roman" w:cs="Times New Roman"/>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center"/>
              <w:textAlignment w:val="auto"/>
              <w:rPr>
                <w:rFonts w:hint="default" w:ascii="Times New Roman" w:hAnsi="Times New Roman" w:cs="Times New Roman"/>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center"/>
              <w:textAlignment w:val="auto"/>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对个人和家庭的补助</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23.30</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23.30</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p>
        </w:tc>
      </w:tr>
      <w:tr>
        <w:tblPrEx>
          <w:tblCellMar>
            <w:top w:w="0" w:type="dxa"/>
            <w:left w:w="108" w:type="dxa"/>
            <w:bottom w:w="0" w:type="dxa"/>
            <w:right w:w="108" w:type="dxa"/>
          </w:tblCellMar>
        </w:tblPrEx>
        <w:trPr>
          <w:trHeight w:val="267" w:hRule="atLeast"/>
          <w:jc w:val="center"/>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center"/>
              <w:textAlignment w:val="auto"/>
              <w:rPr>
                <w:rFonts w:hint="default" w:ascii="Times New Roman" w:hAnsi="Times New Roman" w:eastAsia="宋体" w:cs="Times New Roman"/>
                <w:color w:val="auto"/>
                <w:kern w:val="0"/>
                <w:sz w:val="20"/>
                <w:szCs w:val="20"/>
                <w:highlight w:val="none"/>
                <w:lang w:val="en-US" w:eastAsia="zh-CN"/>
              </w:rPr>
            </w:pPr>
            <w:r>
              <w:rPr>
                <w:rFonts w:hint="default" w:ascii="Times New Roman" w:hAnsi="Times New Roman" w:cs="Times New Roman"/>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center"/>
              <w:textAlignment w:val="auto"/>
              <w:rPr>
                <w:rFonts w:hint="default" w:ascii="Times New Roman" w:hAnsi="Times New Roman" w:eastAsia="宋体" w:cs="Times New Roman"/>
                <w:color w:val="auto"/>
                <w:kern w:val="0"/>
                <w:sz w:val="20"/>
                <w:szCs w:val="20"/>
                <w:highlight w:val="none"/>
                <w:lang w:val="en-US" w:eastAsia="zh-CN"/>
              </w:rPr>
            </w:pPr>
            <w:r>
              <w:rPr>
                <w:rFonts w:hint="default" w:ascii="Times New Roman" w:hAnsi="Times New Roman" w:cs="Times New Roman"/>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center"/>
              <w:textAlignment w:val="auto"/>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退休费</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17.86</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17.86</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p>
        </w:tc>
      </w:tr>
      <w:tr>
        <w:tblPrEx>
          <w:tblCellMar>
            <w:top w:w="0" w:type="dxa"/>
            <w:left w:w="108" w:type="dxa"/>
            <w:bottom w:w="0" w:type="dxa"/>
            <w:right w:w="108" w:type="dxa"/>
          </w:tblCellMar>
        </w:tblPrEx>
        <w:trPr>
          <w:trHeight w:val="312" w:hRule="atLeast"/>
          <w:jc w:val="center"/>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center"/>
              <w:textAlignment w:val="auto"/>
              <w:rPr>
                <w:rFonts w:hint="default" w:ascii="Times New Roman" w:hAnsi="Times New Roman" w:eastAsia="宋体" w:cs="Times New Roman"/>
                <w:color w:val="auto"/>
                <w:kern w:val="0"/>
                <w:sz w:val="20"/>
                <w:szCs w:val="20"/>
                <w:highlight w:val="none"/>
                <w:lang w:val="en-US" w:eastAsia="zh-CN"/>
              </w:rPr>
            </w:pPr>
            <w:r>
              <w:rPr>
                <w:rFonts w:hint="default" w:ascii="Times New Roman" w:hAnsi="Times New Roman" w:cs="Times New Roman"/>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center"/>
              <w:textAlignment w:val="auto"/>
              <w:rPr>
                <w:rFonts w:hint="default" w:ascii="Times New Roman" w:hAnsi="Times New Roman" w:eastAsia="宋体" w:cs="Times New Roman"/>
                <w:color w:val="auto"/>
                <w:kern w:val="0"/>
                <w:sz w:val="20"/>
                <w:szCs w:val="20"/>
                <w:highlight w:val="none"/>
                <w:lang w:val="en-US" w:eastAsia="zh-CN"/>
              </w:rPr>
            </w:pPr>
            <w:r>
              <w:rPr>
                <w:rFonts w:hint="default" w:ascii="Times New Roman" w:hAnsi="Times New Roman" w:cs="Times New Roman"/>
                <w:color w:val="auto"/>
                <w:kern w:val="0"/>
                <w:sz w:val="20"/>
                <w:szCs w:val="20"/>
                <w:highlight w:val="none"/>
                <w:lang w:val="en-US" w:eastAsia="zh-CN"/>
              </w:rPr>
              <w:t>05</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center"/>
              <w:textAlignment w:val="auto"/>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生活补助</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3.47</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3.47</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p>
        </w:tc>
      </w:tr>
      <w:tr>
        <w:tblPrEx>
          <w:tblCellMar>
            <w:top w:w="0" w:type="dxa"/>
            <w:left w:w="108" w:type="dxa"/>
            <w:bottom w:w="0" w:type="dxa"/>
            <w:right w:w="108" w:type="dxa"/>
          </w:tblCellMar>
        </w:tblPrEx>
        <w:trPr>
          <w:trHeight w:val="282" w:hRule="atLeast"/>
          <w:jc w:val="center"/>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center"/>
              <w:textAlignment w:val="auto"/>
              <w:rPr>
                <w:rFonts w:hint="default" w:ascii="Times New Roman" w:hAnsi="Times New Roman" w:eastAsia="宋体" w:cs="Times New Roman"/>
                <w:color w:val="auto"/>
                <w:kern w:val="0"/>
                <w:sz w:val="20"/>
                <w:szCs w:val="20"/>
                <w:highlight w:val="none"/>
                <w:lang w:val="en-US" w:eastAsia="zh-CN"/>
              </w:rPr>
            </w:pPr>
            <w:r>
              <w:rPr>
                <w:rFonts w:hint="default" w:ascii="Times New Roman" w:hAnsi="Times New Roman" w:cs="Times New Roman"/>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center"/>
              <w:textAlignment w:val="auto"/>
              <w:rPr>
                <w:rFonts w:hint="default" w:ascii="Times New Roman" w:hAnsi="Times New Roman" w:eastAsia="宋体" w:cs="Times New Roman"/>
                <w:color w:val="auto"/>
                <w:kern w:val="0"/>
                <w:sz w:val="20"/>
                <w:szCs w:val="20"/>
                <w:highlight w:val="none"/>
                <w:lang w:val="en-US" w:eastAsia="zh-CN"/>
              </w:rPr>
            </w:pPr>
            <w:r>
              <w:rPr>
                <w:rFonts w:hint="default" w:ascii="Times New Roman" w:hAnsi="Times New Roman" w:cs="Times New Roman"/>
                <w:color w:val="auto"/>
                <w:kern w:val="0"/>
                <w:sz w:val="20"/>
                <w:szCs w:val="20"/>
                <w:highlight w:val="none"/>
                <w:lang w:val="en-US" w:eastAsia="zh-CN"/>
              </w:rPr>
              <w:t>09</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center"/>
              <w:textAlignment w:val="auto"/>
              <w:rPr>
                <w:rFonts w:hint="eastAsia"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奖励金</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1.97</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r>
              <w:rPr>
                <w:rFonts w:hint="default" w:ascii="Times New Roman" w:hAnsi="Times New Roman" w:eastAsia="宋体" w:cs="Times New Roman"/>
                <w:i w:val="0"/>
                <w:iCs w:val="0"/>
                <w:color w:val="000000"/>
                <w:kern w:val="0"/>
                <w:sz w:val="22"/>
                <w:szCs w:val="22"/>
                <w:u w:val="none"/>
                <w:lang w:val="en-US" w:eastAsia="zh-CN" w:bidi="ar"/>
              </w:rPr>
              <w:t>1.97</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right"/>
              <w:textAlignment w:val="auto"/>
              <w:rPr>
                <w:rFonts w:hint="default" w:ascii="Times New Roman" w:hAnsi="Times New Roman" w:cs="Times New Roman"/>
                <w:color w:val="auto"/>
                <w:kern w:val="0"/>
                <w:sz w:val="20"/>
                <w:szCs w:val="20"/>
                <w:highlight w:val="none"/>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left"/>
              <w:textAlignment w:val="auto"/>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left"/>
              <w:textAlignment w:val="auto"/>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center"/>
              <w:textAlignment w:val="auto"/>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2"/>
                <w:szCs w:val="22"/>
                <w:highlight w:val="none"/>
              </w:rPr>
              <w:t>合  计</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right"/>
              <w:textAlignment w:val="auto"/>
              <w:rPr>
                <w:rFonts w:hint="default" w:ascii="Times New Roman" w:hAnsi="Times New Roman" w:eastAsia="宋体" w:cs="Times New Roman"/>
                <w:b/>
                <w:bCs/>
                <w:color w:val="auto"/>
                <w:kern w:val="0"/>
                <w:sz w:val="22"/>
                <w:szCs w:val="22"/>
                <w:highlight w:val="none"/>
                <w:lang w:val="en-US" w:eastAsia="zh-CN"/>
              </w:rPr>
            </w:pPr>
            <w:r>
              <w:rPr>
                <w:rFonts w:hint="default" w:ascii="Times New Roman" w:hAnsi="Times New Roman" w:cs="Times New Roman"/>
                <w:b/>
                <w:bCs/>
                <w:color w:val="auto"/>
                <w:kern w:val="0"/>
                <w:sz w:val="22"/>
                <w:szCs w:val="22"/>
                <w:highlight w:val="none"/>
                <w:lang w:val="en-US" w:eastAsia="zh-CN"/>
              </w:rPr>
              <w:t>802.63</w:t>
            </w:r>
          </w:p>
        </w:tc>
        <w:tc>
          <w:tcPr>
            <w:tcW w:w="1701"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right"/>
              <w:textAlignment w:val="auto"/>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lang w:val="en-US" w:eastAsia="zh-CN"/>
              </w:rPr>
              <w:t>748.00</w:t>
            </w:r>
          </w:p>
        </w:tc>
        <w:tc>
          <w:tcPr>
            <w:tcW w:w="170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val="0"/>
              <w:overflowPunct/>
              <w:topLinePunct w:val="0"/>
              <w:autoSpaceDE/>
              <w:autoSpaceDN/>
              <w:bidi w:val="0"/>
              <w:adjustRightInd/>
              <w:snapToGrid/>
              <w:jc w:val="right"/>
              <w:textAlignment w:val="auto"/>
              <w:rPr>
                <w:rFonts w:hint="default" w:ascii="Times New Roman" w:hAnsi="Times New Roman" w:eastAsia="宋体" w:cs="Times New Roman"/>
                <w:b/>
                <w:bCs/>
                <w:color w:val="auto"/>
                <w:kern w:val="0"/>
                <w:sz w:val="22"/>
                <w:szCs w:val="22"/>
                <w:highlight w:val="none"/>
                <w:lang w:val="en-US" w:eastAsia="zh-CN"/>
              </w:rPr>
            </w:pPr>
            <w:r>
              <w:rPr>
                <w:rFonts w:hint="default" w:ascii="Times New Roman" w:hAnsi="Times New Roman" w:cs="Times New Roman"/>
                <w:b/>
                <w:bCs/>
                <w:color w:val="auto"/>
                <w:kern w:val="0"/>
                <w:sz w:val="22"/>
                <w:szCs w:val="22"/>
                <w:highlight w:val="none"/>
                <w:lang w:val="en-US" w:eastAsia="zh-CN"/>
              </w:rPr>
              <w:t>54.63</w:t>
            </w:r>
          </w:p>
        </w:tc>
      </w:tr>
    </w:tbl>
    <w:tbl>
      <w:tblPr>
        <w:tblStyle w:val="10"/>
        <w:tblpPr w:leftFromText="180" w:rightFromText="180" w:vertAnchor="text" w:horzAnchor="page" w:tblpX="928" w:tblpY="-6147"/>
        <w:tblOverlap w:val="never"/>
        <w:tblW w:w="10776" w:type="dxa"/>
        <w:jc w:val="center"/>
        <w:tblLayout w:type="fixed"/>
        <w:tblCellMar>
          <w:top w:w="0" w:type="dxa"/>
          <w:left w:w="108" w:type="dxa"/>
          <w:bottom w:w="0" w:type="dxa"/>
          <w:right w:w="108" w:type="dxa"/>
        </w:tblCellMar>
      </w:tblPr>
      <w:tblGrid>
        <w:gridCol w:w="109"/>
        <w:gridCol w:w="1000"/>
        <w:gridCol w:w="552"/>
        <w:gridCol w:w="564"/>
        <w:gridCol w:w="1139"/>
        <w:gridCol w:w="661"/>
        <w:gridCol w:w="792"/>
        <w:gridCol w:w="799"/>
        <w:gridCol w:w="768"/>
        <w:gridCol w:w="716"/>
        <w:gridCol w:w="438"/>
        <w:gridCol w:w="215"/>
        <w:gridCol w:w="631"/>
        <w:gridCol w:w="428"/>
        <w:gridCol w:w="631"/>
        <w:gridCol w:w="429"/>
        <w:gridCol w:w="201"/>
        <w:gridCol w:w="228"/>
        <w:gridCol w:w="475"/>
      </w:tblGrid>
      <w:tr>
        <w:tblPrEx>
          <w:tblCellMar>
            <w:top w:w="0" w:type="dxa"/>
            <w:left w:w="108" w:type="dxa"/>
            <w:bottom w:w="0" w:type="dxa"/>
            <w:right w:w="108" w:type="dxa"/>
          </w:tblCellMar>
        </w:tblPrEx>
        <w:trPr>
          <w:gridBefore w:val="1"/>
          <w:gridAfter w:val="2"/>
          <w:wBefore w:w="109" w:type="dxa"/>
          <w:wAfter w:w="703" w:type="dxa"/>
          <w:trHeight w:val="450" w:hRule="atLeast"/>
          <w:jc w:val="center"/>
        </w:trPr>
        <w:tc>
          <w:tcPr>
            <w:tcW w:w="9964" w:type="dxa"/>
            <w:gridSpan w:val="16"/>
            <w:tcBorders>
              <w:top w:val="nil"/>
              <w:left w:val="nil"/>
              <w:bottom w:val="nil"/>
              <w:right w:val="nil"/>
            </w:tcBorders>
            <w:noWrap w:val="0"/>
            <w:vAlign w:val="center"/>
          </w:tcPr>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七</w:t>
            </w:r>
          </w:p>
          <w:p>
            <w:pP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br w:type="page"/>
            </w:r>
          </w:p>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2"/>
          <w:wBefore w:w="109" w:type="dxa"/>
          <w:wAfter w:w="703" w:type="dxa"/>
          <w:trHeight w:val="439" w:hRule="atLeast"/>
          <w:jc w:val="center"/>
        </w:trPr>
        <w:tc>
          <w:tcPr>
            <w:tcW w:w="4708" w:type="dxa"/>
            <w:gridSpan w:val="6"/>
            <w:tcBorders>
              <w:top w:val="nil"/>
              <w:left w:val="nil"/>
              <w:bottom w:val="nil"/>
              <w:right w:val="nil"/>
            </w:tcBorders>
            <w:noWrap w:val="0"/>
            <w:vAlign w:val="center"/>
          </w:tcPr>
          <w:p>
            <w:pPr>
              <w:widowControl/>
              <w:ind w:firstLine="720" w:firstLineChars="300"/>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olor w:val="auto"/>
                <w:kern w:val="0"/>
                <w:sz w:val="24"/>
                <w:highlight w:val="none"/>
                <w:lang w:val="en-US" w:eastAsia="zh-CN"/>
              </w:rPr>
              <w:t>呼图壁县自然资源局</w:t>
            </w:r>
          </w:p>
        </w:tc>
        <w:tc>
          <w:tcPr>
            <w:tcW w:w="1567"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154"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2535" w:type="dxa"/>
            <w:gridSpan w:val="6"/>
            <w:tcBorders>
              <w:top w:val="nil"/>
              <w:left w:val="nil"/>
              <w:bottom w:val="nil"/>
              <w:right w:val="nil"/>
            </w:tcBorders>
            <w:noWrap w:val="0"/>
            <w:vAlign w:val="center"/>
          </w:tcPr>
          <w:p>
            <w:pPr>
              <w:widowControl/>
              <w:ind w:firstLine="960" w:firstLineChars="400"/>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694" w:hRule="atLeast"/>
          <w:jc w:val="center"/>
        </w:trPr>
        <w:tc>
          <w:tcPr>
            <w:tcW w:w="2225" w:type="dxa"/>
            <w:gridSpan w:val="4"/>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1139" w:type="dxa"/>
            <w:vMerge w:val="restart"/>
            <w:noWrap w:val="0"/>
            <w:vAlign w:val="center"/>
          </w:tcPr>
          <w:p>
            <w:pPr>
              <w:widowControl/>
              <w:jc w:val="left"/>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left"/>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661" w:type="dxa"/>
            <w:vMerge w:val="restart"/>
            <w:noWrap w:val="0"/>
            <w:vAlign w:val="center"/>
          </w:tcPr>
          <w:p>
            <w:pPr>
              <w:jc w:val="left"/>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92" w:type="dxa"/>
            <w:vMerge w:val="restart"/>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799" w:type="dxa"/>
            <w:vMerge w:val="restart"/>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768" w:type="dxa"/>
            <w:vMerge w:val="restart"/>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716" w:type="dxa"/>
            <w:vMerge w:val="restart"/>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53" w:type="dxa"/>
            <w:gridSpan w:val="2"/>
            <w:vMerge w:val="restart"/>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31" w:type="dxa"/>
            <w:vMerge w:val="restart"/>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28" w:type="dxa"/>
            <w:vMerge w:val="restart"/>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31" w:type="dxa"/>
            <w:vMerge w:val="restart"/>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9" w:type="dxa"/>
            <w:vMerge w:val="restart"/>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9" w:type="dxa"/>
            <w:gridSpan w:val="2"/>
            <w:vMerge w:val="restart"/>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75" w:type="dxa"/>
            <w:vMerge w:val="restart"/>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1849" w:hRule="atLeast"/>
          <w:jc w:val="center"/>
        </w:trPr>
        <w:tc>
          <w:tcPr>
            <w:tcW w:w="1109"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552"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564"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1139"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661"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92"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9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6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16"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53"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1"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1"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9"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7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645" w:hRule="atLeast"/>
          <w:jc w:val="center"/>
        </w:trPr>
        <w:tc>
          <w:tcPr>
            <w:tcW w:w="1109" w:type="dxa"/>
            <w:gridSpan w:val="2"/>
            <w:noWrap w:val="0"/>
            <w:vAlign w:val="top"/>
          </w:tcPr>
          <w:p>
            <w:pPr>
              <w:widowControl/>
              <w:jc w:val="left"/>
              <w:outlineLvl w:val="1"/>
              <w:rPr>
                <w:rFonts w:hint="default" w:ascii="Times New Roman" w:hAnsi="Times New Roman" w:eastAsia="仿宋_GB2312" w:cs="Times New Roman"/>
                <w:color w:val="auto"/>
                <w:kern w:val="0"/>
                <w:sz w:val="18"/>
                <w:szCs w:val="18"/>
                <w:highlight w:val="none"/>
              </w:rPr>
            </w:pPr>
          </w:p>
        </w:tc>
        <w:tc>
          <w:tcPr>
            <w:tcW w:w="552" w:type="dxa"/>
            <w:noWrap w:val="0"/>
            <w:vAlign w:val="top"/>
          </w:tcPr>
          <w:p>
            <w:pPr>
              <w:widowControl/>
              <w:jc w:val="left"/>
              <w:outlineLvl w:val="1"/>
              <w:rPr>
                <w:rFonts w:hint="default" w:ascii="Times New Roman" w:hAnsi="Times New Roman" w:eastAsia="仿宋_GB2312" w:cs="Times New Roman"/>
                <w:color w:val="auto"/>
                <w:kern w:val="0"/>
                <w:sz w:val="18"/>
                <w:szCs w:val="18"/>
                <w:highlight w:val="none"/>
                <w:lang w:eastAsia="zh-Hans"/>
              </w:rPr>
            </w:pPr>
          </w:p>
        </w:tc>
        <w:tc>
          <w:tcPr>
            <w:tcW w:w="564" w:type="dxa"/>
            <w:noWrap w:val="0"/>
            <w:vAlign w:val="top"/>
          </w:tcPr>
          <w:p>
            <w:pPr>
              <w:widowControl/>
              <w:jc w:val="left"/>
              <w:outlineLvl w:val="1"/>
              <w:rPr>
                <w:rFonts w:hint="default" w:ascii="Times New Roman" w:hAnsi="Times New Roman" w:eastAsia="仿宋_GB2312" w:cs="Times New Roman"/>
                <w:color w:val="auto"/>
                <w:kern w:val="0"/>
                <w:sz w:val="18"/>
                <w:szCs w:val="18"/>
                <w:highlight w:val="none"/>
              </w:rPr>
            </w:pPr>
          </w:p>
        </w:tc>
        <w:tc>
          <w:tcPr>
            <w:tcW w:w="1139" w:type="dxa"/>
            <w:noWrap w:val="0"/>
            <w:vAlign w:val="top"/>
          </w:tcPr>
          <w:p>
            <w:pPr>
              <w:keepNext w:val="0"/>
              <w:keepLines w:val="0"/>
              <w:widowControl/>
              <w:suppressLineNumbers w:val="0"/>
              <w:jc w:val="left"/>
              <w:textAlignment w:val="top"/>
              <w:rPr>
                <w:rFonts w:hint="eastAsia" w:ascii="仿宋_GB2312" w:hAnsi="仿宋_GB2312" w:eastAsia="仿宋_GB2312" w:cs="仿宋_GB2312"/>
                <w:color w:val="auto"/>
                <w:kern w:val="0"/>
                <w:sz w:val="18"/>
                <w:szCs w:val="18"/>
                <w:highlight w:val="none"/>
              </w:rPr>
            </w:pPr>
          </w:p>
        </w:tc>
        <w:tc>
          <w:tcPr>
            <w:tcW w:w="661" w:type="dxa"/>
            <w:noWrap w:val="0"/>
            <w:vAlign w:val="top"/>
          </w:tcPr>
          <w:p>
            <w:pPr>
              <w:keepNext w:val="0"/>
              <w:keepLines w:val="0"/>
              <w:widowControl/>
              <w:suppressLineNumbers w:val="0"/>
              <w:jc w:val="left"/>
              <w:textAlignment w:val="top"/>
              <w:rPr>
                <w:rFonts w:ascii="仿宋_GB2312" w:hAnsi="宋体" w:eastAsia="仿宋_GB2312"/>
                <w:color w:val="auto"/>
                <w:kern w:val="0"/>
                <w:sz w:val="18"/>
                <w:szCs w:val="18"/>
                <w:highlight w:val="none"/>
              </w:rPr>
            </w:pPr>
          </w:p>
        </w:tc>
        <w:tc>
          <w:tcPr>
            <w:tcW w:w="792" w:type="dxa"/>
            <w:noWrap w:val="0"/>
            <w:vAlign w:val="top"/>
          </w:tcPr>
          <w:p>
            <w:pPr>
              <w:keepNext w:val="0"/>
              <w:keepLines w:val="0"/>
              <w:widowControl/>
              <w:suppressLineNumbers w:val="0"/>
              <w:jc w:val="left"/>
              <w:textAlignment w:val="top"/>
              <w:rPr>
                <w:rFonts w:hint="default" w:ascii="Times New Roman" w:hAnsi="Times New Roman" w:eastAsia="仿宋_GB2312" w:cs="Times New Roman"/>
                <w:color w:val="auto"/>
                <w:kern w:val="0"/>
                <w:sz w:val="18"/>
                <w:szCs w:val="18"/>
                <w:highlight w:val="none"/>
              </w:rPr>
            </w:pPr>
          </w:p>
        </w:tc>
        <w:tc>
          <w:tcPr>
            <w:tcW w:w="799" w:type="dxa"/>
            <w:noWrap w:val="0"/>
            <w:vAlign w:val="top"/>
          </w:tcPr>
          <w:p>
            <w:pPr>
              <w:widowControl/>
              <w:jc w:val="left"/>
              <w:outlineLvl w:val="1"/>
              <w:rPr>
                <w:rFonts w:hint="default" w:ascii="Times New Roman" w:hAnsi="Times New Roman" w:eastAsia="仿宋_GB2312" w:cs="Times New Roman"/>
                <w:color w:val="auto"/>
                <w:kern w:val="0"/>
                <w:sz w:val="18"/>
                <w:szCs w:val="18"/>
                <w:highlight w:val="none"/>
              </w:rPr>
            </w:pPr>
          </w:p>
        </w:tc>
        <w:tc>
          <w:tcPr>
            <w:tcW w:w="768" w:type="dxa"/>
            <w:noWrap w:val="0"/>
            <w:vAlign w:val="top"/>
          </w:tcPr>
          <w:p>
            <w:pPr>
              <w:keepNext w:val="0"/>
              <w:keepLines w:val="0"/>
              <w:widowControl/>
              <w:suppressLineNumbers w:val="0"/>
              <w:jc w:val="left"/>
              <w:textAlignment w:val="top"/>
              <w:rPr>
                <w:rFonts w:hint="default" w:ascii="Times New Roman" w:hAnsi="Times New Roman" w:eastAsia="仿宋_GB2312" w:cs="Times New Roman"/>
                <w:color w:val="auto"/>
                <w:kern w:val="0"/>
                <w:sz w:val="18"/>
                <w:szCs w:val="18"/>
                <w:highlight w:val="none"/>
              </w:rPr>
            </w:pPr>
          </w:p>
        </w:tc>
        <w:tc>
          <w:tcPr>
            <w:tcW w:w="716" w:type="dxa"/>
            <w:noWrap w:val="0"/>
            <w:vAlign w:val="top"/>
          </w:tcPr>
          <w:p>
            <w:pPr>
              <w:widowControl/>
              <w:jc w:val="left"/>
              <w:outlineLvl w:val="1"/>
              <w:rPr>
                <w:rFonts w:ascii="仿宋_GB2312" w:hAnsi="宋体" w:eastAsia="仿宋_GB2312"/>
                <w:color w:val="auto"/>
                <w:kern w:val="0"/>
                <w:sz w:val="32"/>
                <w:szCs w:val="32"/>
                <w:highlight w:val="none"/>
              </w:rPr>
            </w:pPr>
          </w:p>
        </w:tc>
        <w:tc>
          <w:tcPr>
            <w:tcW w:w="653" w:type="dxa"/>
            <w:gridSpan w:val="2"/>
            <w:noWrap w:val="0"/>
            <w:vAlign w:val="top"/>
          </w:tcPr>
          <w:p>
            <w:pPr>
              <w:widowControl/>
              <w:jc w:val="left"/>
              <w:outlineLvl w:val="1"/>
              <w:rPr>
                <w:rFonts w:ascii="仿宋_GB2312" w:hAnsi="宋体" w:eastAsia="仿宋_GB2312"/>
                <w:color w:val="auto"/>
                <w:kern w:val="0"/>
                <w:sz w:val="32"/>
                <w:szCs w:val="32"/>
                <w:highlight w:val="none"/>
              </w:rPr>
            </w:pPr>
          </w:p>
        </w:tc>
        <w:tc>
          <w:tcPr>
            <w:tcW w:w="631" w:type="dxa"/>
            <w:noWrap w:val="0"/>
            <w:vAlign w:val="top"/>
          </w:tcPr>
          <w:p>
            <w:pPr>
              <w:widowControl/>
              <w:jc w:val="left"/>
              <w:outlineLvl w:val="1"/>
              <w:rPr>
                <w:rFonts w:ascii="仿宋_GB2312" w:hAnsi="宋体" w:eastAsia="仿宋_GB2312"/>
                <w:color w:val="auto"/>
                <w:kern w:val="0"/>
                <w:sz w:val="32"/>
                <w:szCs w:val="32"/>
                <w:highlight w:val="none"/>
              </w:rPr>
            </w:pPr>
          </w:p>
        </w:tc>
        <w:tc>
          <w:tcPr>
            <w:tcW w:w="428" w:type="dxa"/>
            <w:noWrap w:val="0"/>
            <w:vAlign w:val="top"/>
          </w:tcPr>
          <w:p>
            <w:pPr>
              <w:widowControl/>
              <w:jc w:val="left"/>
              <w:outlineLvl w:val="1"/>
              <w:rPr>
                <w:rFonts w:ascii="仿宋_GB2312" w:hAnsi="宋体" w:eastAsia="仿宋_GB2312"/>
                <w:color w:val="auto"/>
                <w:kern w:val="0"/>
                <w:sz w:val="32"/>
                <w:szCs w:val="32"/>
                <w:highlight w:val="none"/>
              </w:rPr>
            </w:pPr>
          </w:p>
        </w:tc>
        <w:tc>
          <w:tcPr>
            <w:tcW w:w="631" w:type="dxa"/>
            <w:noWrap w:val="0"/>
            <w:vAlign w:val="top"/>
          </w:tcPr>
          <w:p>
            <w:pPr>
              <w:widowControl/>
              <w:jc w:val="left"/>
              <w:outlineLvl w:val="1"/>
              <w:rPr>
                <w:rFonts w:ascii="仿宋_GB2312" w:hAnsi="宋体" w:eastAsia="仿宋_GB2312"/>
                <w:color w:val="auto"/>
                <w:kern w:val="0"/>
                <w:sz w:val="32"/>
                <w:szCs w:val="32"/>
                <w:highlight w:val="none"/>
              </w:rPr>
            </w:pPr>
          </w:p>
        </w:tc>
        <w:tc>
          <w:tcPr>
            <w:tcW w:w="429" w:type="dxa"/>
            <w:noWrap w:val="0"/>
            <w:vAlign w:val="top"/>
          </w:tcPr>
          <w:p>
            <w:pPr>
              <w:widowControl/>
              <w:jc w:val="left"/>
              <w:outlineLvl w:val="1"/>
              <w:rPr>
                <w:rFonts w:ascii="仿宋_GB2312" w:hAnsi="宋体" w:eastAsia="仿宋_GB2312"/>
                <w:color w:val="auto"/>
                <w:kern w:val="0"/>
                <w:sz w:val="32"/>
                <w:szCs w:val="32"/>
                <w:highlight w:val="none"/>
              </w:rPr>
            </w:pPr>
          </w:p>
        </w:tc>
        <w:tc>
          <w:tcPr>
            <w:tcW w:w="429" w:type="dxa"/>
            <w:gridSpan w:val="2"/>
            <w:noWrap w:val="0"/>
            <w:vAlign w:val="top"/>
          </w:tcPr>
          <w:p>
            <w:pPr>
              <w:widowControl/>
              <w:jc w:val="left"/>
              <w:outlineLvl w:val="1"/>
              <w:rPr>
                <w:rFonts w:ascii="仿宋_GB2312" w:hAnsi="宋体" w:eastAsia="仿宋_GB2312"/>
                <w:color w:val="auto"/>
                <w:kern w:val="0"/>
                <w:sz w:val="32"/>
                <w:szCs w:val="32"/>
                <w:highlight w:val="none"/>
              </w:rPr>
            </w:pPr>
          </w:p>
        </w:tc>
        <w:tc>
          <w:tcPr>
            <w:tcW w:w="475" w:type="dxa"/>
            <w:noWrap w:val="0"/>
            <w:vAlign w:val="top"/>
          </w:tcPr>
          <w:p>
            <w:pPr>
              <w:widowControl/>
              <w:jc w:val="lef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645" w:hRule="atLeast"/>
          <w:jc w:val="center"/>
        </w:trPr>
        <w:tc>
          <w:tcPr>
            <w:tcW w:w="1109" w:type="dxa"/>
            <w:gridSpan w:val="2"/>
            <w:noWrap w:val="0"/>
            <w:vAlign w:val="top"/>
          </w:tcPr>
          <w:p>
            <w:pPr>
              <w:widowControl/>
              <w:jc w:val="left"/>
              <w:outlineLvl w:val="1"/>
              <w:rPr>
                <w:rFonts w:hint="default" w:ascii="Times New Roman" w:hAnsi="Times New Roman" w:eastAsia="仿宋_GB2312" w:cs="Times New Roman"/>
                <w:color w:val="auto"/>
                <w:kern w:val="0"/>
                <w:sz w:val="18"/>
                <w:szCs w:val="18"/>
                <w:highlight w:val="none"/>
              </w:rPr>
            </w:pPr>
          </w:p>
        </w:tc>
        <w:tc>
          <w:tcPr>
            <w:tcW w:w="552" w:type="dxa"/>
            <w:noWrap w:val="0"/>
            <w:vAlign w:val="top"/>
          </w:tcPr>
          <w:p>
            <w:pPr>
              <w:widowControl/>
              <w:jc w:val="left"/>
              <w:outlineLvl w:val="1"/>
              <w:rPr>
                <w:rFonts w:hint="default" w:ascii="Times New Roman" w:hAnsi="Times New Roman" w:eastAsia="仿宋_GB2312" w:cs="Times New Roman"/>
                <w:color w:val="auto"/>
                <w:kern w:val="0"/>
                <w:sz w:val="18"/>
                <w:szCs w:val="18"/>
                <w:highlight w:val="none"/>
              </w:rPr>
            </w:pPr>
          </w:p>
        </w:tc>
        <w:tc>
          <w:tcPr>
            <w:tcW w:w="564" w:type="dxa"/>
            <w:noWrap w:val="0"/>
            <w:vAlign w:val="top"/>
          </w:tcPr>
          <w:p>
            <w:pPr>
              <w:widowControl/>
              <w:jc w:val="left"/>
              <w:outlineLvl w:val="1"/>
              <w:rPr>
                <w:rFonts w:hint="default" w:ascii="Times New Roman" w:hAnsi="Times New Roman" w:eastAsia="仿宋_GB2312" w:cs="Times New Roman"/>
                <w:color w:val="auto"/>
                <w:kern w:val="0"/>
                <w:sz w:val="18"/>
                <w:szCs w:val="18"/>
                <w:highlight w:val="none"/>
              </w:rPr>
            </w:pPr>
          </w:p>
        </w:tc>
        <w:tc>
          <w:tcPr>
            <w:tcW w:w="1139" w:type="dxa"/>
            <w:noWrap w:val="0"/>
            <w:vAlign w:val="top"/>
          </w:tcPr>
          <w:p>
            <w:pPr>
              <w:keepNext w:val="0"/>
              <w:keepLines w:val="0"/>
              <w:widowControl/>
              <w:suppressLineNumbers w:val="0"/>
              <w:jc w:val="left"/>
              <w:textAlignment w:val="top"/>
              <w:rPr>
                <w:rFonts w:hint="eastAsia" w:ascii="仿宋_GB2312" w:hAnsi="仿宋_GB2312" w:eastAsia="仿宋_GB2312" w:cs="仿宋_GB2312"/>
                <w:color w:val="auto"/>
                <w:kern w:val="0"/>
                <w:sz w:val="18"/>
                <w:szCs w:val="18"/>
                <w:highlight w:val="none"/>
              </w:rPr>
            </w:pPr>
          </w:p>
        </w:tc>
        <w:tc>
          <w:tcPr>
            <w:tcW w:w="661" w:type="dxa"/>
            <w:noWrap w:val="0"/>
            <w:vAlign w:val="top"/>
          </w:tcPr>
          <w:p>
            <w:pPr>
              <w:keepNext w:val="0"/>
              <w:keepLines w:val="0"/>
              <w:widowControl/>
              <w:suppressLineNumbers w:val="0"/>
              <w:jc w:val="left"/>
              <w:textAlignment w:val="top"/>
              <w:rPr>
                <w:rFonts w:ascii="仿宋_GB2312" w:hAnsi="宋体" w:eastAsia="仿宋_GB2312"/>
                <w:color w:val="auto"/>
                <w:kern w:val="0"/>
                <w:sz w:val="18"/>
                <w:szCs w:val="18"/>
                <w:highlight w:val="none"/>
              </w:rPr>
            </w:pPr>
          </w:p>
        </w:tc>
        <w:tc>
          <w:tcPr>
            <w:tcW w:w="792" w:type="dxa"/>
            <w:noWrap w:val="0"/>
            <w:vAlign w:val="top"/>
          </w:tcPr>
          <w:p>
            <w:pPr>
              <w:keepNext w:val="0"/>
              <w:keepLines w:val="0"/>
              <w:widowControl/>
              <w:suppressLineNumbers w:val="0"/>
              <w:jc w:val="left"/>
              <w:textAlignment w:val="top"/>
              <w:rPr>
                <w:rFonts w:hint="default" w:ascii="Times New Roman" w:hAnsi="Times New Roman" w:eastAsia="仿宋_GB2312" w:cs="Times New Roman"/>
                <w:color w:val="auto"/>
                <w:kern w:val="0"/>
                <w:sz w:val="18"/>
                <w:szCs w:val="18"/>
                <w:highlight w:val="none"/>
              </w:rPr>
            </w:pPr>
          </w:p>
        </w:tc>
        <w:tc>
          <w:tcPr>
            <w:tcW w:w="799" w:type="dxa"/>
            <w:noWrap w:val="0"/>
            <w:vAlign w:val="top"/>
          </w:tcPr>
          <w:p>
            <w:pPr>
              <w:widowControl/>
              <w:jc w:val="left"/>
              <w:outlineLvl w:val="1"/>
              <w:rPr>
                <w:rFonts w:hint="default" w:ascii="Times New Roman" w:hAnsi="Times New Roman" w:eastAsia="仿宋_GB2312" w:cs="Times New Roman"/>
                <w:color w:val="auto"/>
                <w:kern w:val="0"/>
                <w:sz w:val="18"/>
                <w:szCs w:val="18"/>
                <w:highlight w:val="none"/>
              </w:rPr>
            </w:pPr>
          </w:p>
        </w:tc>
        <w:tc>
          <w:tcPr>
            <w:tcW w:w="768" w:type="dxa"/>
            <w:noWrap w:val="0"/>
            <w:vAlign w:val="top"/>
          </w:tcPr>
          <w:p>
            <w:pPr>
              <w:keepNext w:val="0"/>
              <w:keepLines w:val="0"/>
              <w:widowControl/>
              <w:suppressLineNumbers w:val="0"/>
              <w:jc w:val="left"/>
              <w:textAlignment w:val="top"/>
              <w:rPr>
                <w:rFonts w:hint="default" w:ascii="Times New Roman" w:hAnsi="Times New Roman" w:eastAsia="仿宋_GB2312" w:cs="Times New Roman"/>
                <w:color w:val="auto"/>
                <w:kern w:val="0"/>
                <w:sz w:val="18"/>
                <w:szCs w:val="18"/>
                <w:highlight w:val="none"/>
              </w:rPr>
            </w:pPr>
          </w:p>
        </w:tc>
        <w:tc>
          <w:tcPr>
            <w:tcW w:w="716" w:type="dxa"/>
            <w:noWrap w:val="0"/>
            <w:vAlign w:val="top"/>
          </w:tcPr>
          <w:p>
            <w:pPr>
              <w:widowControl/>
              <w:jc w:val="left"/>
              <w:outlineLvl w:val="1"/>
              <w:rPr>
                <w:rFonts w:ascii="仿宋_GB2312" w:hAnsi="宋体" w:eastAsia="仿宋_GB2312"/>
                <w:color w:val="auto"/>
                <w:kern w:val="0"/>
                <w:sz w:val="32"/>
                <w:szCs w:val="32"/>
                <w:highlight w:val="none"/>
              </w:rPr>
            </w:pPr>
          </w:p>
        </w:tc>
        <w:tc>
          <w:tcPr>
            <w:tcW w:w="653" w:type="dxa"/>
            <w:gridSpan w:val="2"/>
            <w:noWrap w:val="0"/>
            <w:vAlign w:val="top"/>
          </w:tcPr>
          <w:p>
            <w:pPr>
              <w:widowControl/>
              <w:jc w:val="left"/>
              <w:outlineLvl w:val="1"/>
              <w:rPr>
                <w:rFonts w:ascii="仿宋_GB2312" w:hAnsi="宋体" w:eastAsia="仿宋_GB2312"/>
                <w:color w:val="auto"/>
                <w:kern w:val="0"/>
                <w:sz w:val="32"/>
                <w:szCs w:val="32"/>
                <w:highlight w:val="none"/>
              </w:rPr>
            </w:pPr>
          </w:p>
        </w:tc>
        <w:tc>
          <w:tcPr>
            <w:tcW w:w="631" w:type="dxa"/>
            <w:noWrap w:val="0"/>
            <w:vAlign w:val="top"/>
          </w:tcPr>
          <w:p>
            <w:pPr>
              <w:widowControl/>
              <w:jc w:val="left"/>
              <w:outlineLvl w:val="1"/>
              <w:rPr>
                <w:rFonts w:ascii="仿宋_GB2312" w:hAnsi="宋体" w:eastAsia="仿宋_GB2312"/>
                <w:color w:val="auto"/>
                <w:kern w:val="0"/>
                <w:sz w:val="32"/>
                <w:szCs w:val="32"/>
                <w:highlight w:val="none"/>
              </w:rPr>
            </w:pPr>
          </w:p>
        </w:tc>
        <w:tc>
          <w:tcPr>
            <w:tcW w:w="428" w:type="dxa"/>
            <w:noWrap w:val="0"/>
            <w:vAlign w:val="top"/>
          </w:tcPr>
          <w:p>
            <w:pPr>
              <w:widowControl/>
              <w:jc w:val="left"/>
              <w:outlineLvl w:val="1"/>
              <w:rPr>
                <w:rFonts w:ascii="仿宋_GB2312" w:hAnsi="宋体" w:eastAsia="仿宋_GB2312"/>
                <w:color w:val="auto"/>
                <w:kern w:val="0"/>
                <w:sz w:val="32"/>
                <w:szCs w:val="32"/>
                <w:highlight w:val="none"/>
              </w:rPr>
            </w:pPr>
          </w:p>
        </w:tc>
        <w:tc>
          <w:tcPr>
            <w:tcW w:w="631" w:type="dxa"/>
            <w:noWrap w:val="0"/>
            <w:vAlign w:val="top"/>
          </w:tcPr>
          <w:p>
            <w:pPr>
              <w:widowControl/>
              <w:jc w:val="left"/>
              <w:outlineLvl w:val="1"/>
              <w:rPr>
                <w:rFonts w:ascii="仿宋_GB2312" w:hAnsi="宋体" w:eastAsia="仿宋_GB2312"/>
                <w:color w:val="auto"/>
                <w:kern w:val="0"/>
                <w:sz w:val="32"/>
                <w:szCs w:val="32"/>
                <w:highlight w:val="none"/>
              </w:rPr>
            </w:pPr>
          </w:p>
        </w:tc>
        <w:tc>
          <w:tcPr>
            <w:tcW w:w="429" w:type="dxa"/>
            <w:noWrap w:val="0"/>
            <w:vAlign w:val="top"/>
          </w:tcPr>
          <w:p>
            <w:pPr>
              <w:widowControl/>
              <w:jc w:val="left"/>
              <w:outlineLvl w:val="1"/>
              <w:rPr>
                <w:rFonts w:ascii="仿宋_GB2312" w:hAnsi="宋体" w:eastAsia="仿宋_GB2312"/>
                <w:color w:val="auto"/>
                <w:kern w:val="0"/>
                <w:sz w:val="32"/>
                <w:szCs w:val="32"/>
                <w:highlight w:val="none"/>
              </w:rPr>
            </w:pPr>
          </w:p>
        </w:tc>
        <w:tc>
          <w:tcPr>
            <w:tcW w:w="429" w:type="dxa"/>
            <w:gridSpan w:val="2"/>
            <w:noWrap w:val="0"/>
            <w:vAlign w:val="top"/>
          </w:tcPr>
          <w:p>
            <w:pPr>
              <w:widowControl/>
              <w:jc w:val="left"/>
              <w:outlineLvl w:val="1"/>
              <w:rPr>
                <w:rFonts w:ascii="仿宋_GB2312" w:hAnsi="宋体" w:eastAsia="仿宋_GB2312"/>
                <w:color w:val="auto"/>
                <w:kern w:val="0"/>
                <w:sz w:val="32"/>
                <w:szCs w:val="32"/>
                <w:highlight w:val="none"/>
              </w:rPr>
            </w:pPr>
          </w:p>
        </w:tc>
        <w:tc>
          <w:tcPr>
            <w:tcW w:w="475" w:type="dxa"/>
            <w:noWrap w:val="0"/>
            <w:vAlign w:val="top"/>
          </w:tcPr>
          <w:p>
            <w:pPr>
              <w:widowControl/>
              <w:jc w:val="lef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645" w:hRule="atLeast"/>
          <w:jc w:val="center"/>
        </w:trPr>
        <w:tc>
          <w:tcPr>
            <w:tcW w:w="1109" w:type="dxa"/>
            <w:gridSpan w:val="2"/>
            <w:noWrap w:val="0"/>
            <w:vAlign w:val="top"/>
          </w:tcPr>
          <w:p>
            <w:pPr>
              <w:widowControl/>
              <w:jc w:val="left"/>
              <w:outlineLvl w:val="1"/>
              <w:rPr>
                <w:rFonts w:hint="default" w:ascii="Times New Roman" w:hAnsi="Times New Roman" w:eastAsia="仿宋_GB2312" w:cs="Times New Roman"/>
                <w:color w:val="auto"/>
                <w:kern w:val="0"/>
                <w:sz w:val="18"/>
                <w:szCs w:val="18"/>
                <w:highlight w:val="none"/>
              </w:rPr>
            </w:pPr>
          </w:p>
        </w:tc>
        <w:tc>
          <w:tcPr>
            <w:tcW w:w="552" w:type="dxa"/>
            <w:noWrap w:val="0"/>
            <w:vAlign w:val="top"/>
          </w:tcPr>
          <w:p>
            <w:pPr>
              <w:widowControl/>
              <w:jc w:val="left"/>
              <w:outlineLvl w:val="1"/>
              <w:rPr>
                <w:rFonts w:hint="default" w:ascii="Times New Roman" w:hAnsi="Times New Roman" w:eastAsia="仿宋_GB2312" w:cs="Times New Roman"/>
                <w:color w:val="auto"/>
                <w:kern w:val="0"/>
                <w:sz w:val="18"/>
                <w:szCs w:val="18"/>
                <w:highlight w:val="none"/>
              </w:rPr>
            </w:pPr>
          </w:p>
        </w:tc>
        <w:tc>
          <w:tcPr>
            <w:tcW w:w="564" w:type="dxa"/>
            <w:noWrap w:val="0"/>
            <w:vAlign w:val="top"/>
          </w:tcPr>
          <w:p>
            <w:pPr>
              <w:widowControl/>
              <w:jc w:val="left"/>
              <w:outlineLvl w:val="1"/>
              <w:rPr>
                <w:rFonts w:hint="default" w:ascii="Times New Roman" w:hAnsi="Times New Roman" w:eastAsia="仿宋_GB2312" w:cs="Times New Roman"/>
                <w:color w:val="auto"/>
                <w:kern w:val="0"/>
                <w:sz w:val="18"/>
                <w:szCs w:val="18"/>
                <w:highlight w:val="none"/>
              </w:rPr>
            </w:pPr>
          </w:p>
        </w:tc>
        <w:tc>
          <w:tcPr>
            <w:tcW w:w="1139" w:type="dxa"/>
            <w:noWrap w:val="0"/>
            <w:vAlign w:val="top"/>
          </w:tcPr>
          <w:p>
            <w:pPr>
              <w:keepNext w:val="0"/>
              <w:keepLines w:val="0"/>
              <w:widowControl/>
              <w:suppressLineNumbers w:val="0"/>
              <w:jc w:val="left"/>
              <w:textAlignment w:val="top"/>
              <w:rPr>
                <w:rFonts w:hint="eastAsia" w:ascii="仿宋_GB2312" w:hAnsi="仿宋_GB2312" w:eastAsia="仿宋_GB2312" w:cs="仿宋_GB2312"/>
                <w:color w:val="auto"/>
                <w:kern w:val="0"/>
                <w:sz w:val="18"/>
                <w:szCs w:val="18"/>
                <w:highlight w:val="none"/>
              </w:rPr>
            </w:pPr>
          </w:p>
        </w:tc>
        <w:tc>
          <w:tcPr>
            <w:tcW w:w="661" w:type="dxa"/>
            <w:noWrap w:val="0"/>
            <w:vAlign w:val="top"/>
          </w:tcPr>
          <w:p>
            <w:pPr>
              <w:keepNext w:val="0"/>
              <w:keepLines w:val="0"/>
              <w:widowControl/>
              <w:suppressLineNumbers w:val="0"/>
              <w:jc w:val="left"/>
              <w:textAlignment w:val="top"/>
              <w:rPr>
                <w:rFonts w:ascii="仿宋_GB2312" w:hAnsi="宋体" w:eastAsia="仿宋_GB2312"/>
                <w:color w:val="auto"/>
                <w:kern w:val="0"/>
                <w:sz w:val="18"/>
                <w:szCs w:val="18"/>
                <w:highlight w:val="none"/>
              </w:rPr>
            </w:pPr>
          </w:p>
        </w:tc>
        <w:tc>
          <w:tcPr>
            <w:tcW w:w="792" w:type="dxa"/>
            <w:noWrap w:val="0"/>
            <w:vAlign w:val="top"/>
          </w:tcPr>
          <w:p>
            <w:pPr>
              <w:keepNext w:val="0"/>
              <w:keepLines w:val="0"/>
              <w:widowControl/>
              <w:suppressLineNumbers w:val="0"/>
              <w:jc w:val="left"/>
              <w:textAlignment w:val="top"/>
              <w:rPr>
                <w:rFonts w:hint="default" w:ascii="Times New Roman" w:hAnsi="Times New Roman" w:eastAsia="仿宋_GB2312" w:cs="Times New Roman"/>
                <w:color w:val="auto"/>
                <w:kern w:val="0"/>
                <w:sz w:val="18"/>
                <w:szCs w:val="18"/>
                <w:highlight w:val="none"/>
              </w:rPr>
            </w:pPr>
          </w:p>
        </w:tc>
        <w:tc>
          <w:tcPr>
            <w:tcW w:w="799" w:type="dxa"/>
            <w:noWrap w:val="0"/>
            <w:vAlign w:val="top"/>
          </w:tcPr>
          <w:p>
            <w:pPr>
              <w:widowControl/>
              <w:jc w:val="left"/>
              <w:outlineLvl w:val="1"/>
              <w:rPr>
                <w:rFonts w:hint="default" w:ascii="Times New Roman" w:hAnsi="Times New Roman" w:eastAsia="仿宋_GB2312" w:cs="Times New Roman"/>
                <w:color w:val="auto"/>
                <w:kern w:val="0"/>
                <w:sz w:val="18"/>
                <w:szCs w:val="18"/>
                <w:highlight w:val="none"/>
              </w:rPr>
            </w:pPr>
          </w:p>
        </w:tc>
        <w:tc>
          <w:tcPr>
            <w:tcW w:w="768" w:type="dxa"/>
            <w:noWrap w:val="0"/>
            <w:vAlign w:val="top"/>
          </w:tcPr>
          <w:p>
            <w:pPr>
              <w:keepNext w:val="0"/>
              <w:keepLines w:val="0"/>
              <w:widowControl/>
              <w:suppressLineNumbers w:val="0"/>
              <w:jc w:val="left"/>
              <w:textAlignment w:val="top"/>
              <w:rPr>
                <w:rFonts w:hint="default" w:ascii="Times New Roman" w:hAnsi="Times New Roman" w:eastAsia="仿宋_GB2312" w:cs="Times New Roman"/>
                <w:color w:val="auto"/>
                <w:kern w:val="0"/>
                <w:sz w:val="18"/>
                <w:szCs w:val="18"/>
                <w:highlight w:val="none"/>
              </w:rPr>
            </w:pPr>
          </w:p>
        </w:tc>
        <w:tc>
          <w:tcPr>
            <w:tcW w:w="716" w:type="dxa"/>
            <w:noWrap w:val="0"/>
            <w:vAlign w:val="top"/>
          </w:tcPr>
          <w:p>
            <w:pPr>
              <w:widowControl/>
              <w:jc w:val="left"/>
              <w:outlineLvl w:val="1"/>
              <w:rPr>
                <w:rFonts w:ascii="仿宋_GB2312" w:hAnsi="宋体" w:eastAsia="仿宋_GB2312"/>
                <w:color w:val="auto"/>
                <w:kern w:val="0"/>
                <w:sz w:val="32"/>
                <w:szCs w:val="32"/>
                <w:highlight w:val="none"/>
              </w:rPr>
            </w:pPr>
          </w:p>
        </w:tc>
        <w:tc>
          <w:tcPr>
            <w:tcW w:w="653" w:type="dxa"/>
            <w:gridSpan w:val="2"/>
            <w:noWrap w:val="0"/>
            <w:vAlign w:val="top"/>
          </w:tcPr>
          <w:p>
            <w:pPr>
              <w:widowControl/>
              <w:jc w:val="left"/>
              <w:outlineLvl w:val="1"/>
              <w:rPr>
                <w:rFonts w:ascii="仿宋_GB2312" w:hAnsi="宋体" w:eastAsia="仿宋_GB2312"/>
                <w:color w:val="auto"/>
                <w:kern w:val="0"/>
                <w:sz w:val="32"/>
                <w:szCs w:val="32"/>
                <w:highlight w:val="none"/>
              </w:rPr>
            </w:pPr>
          </w:p>
        </w:tc>
        <w:tc>
          <w:tcPr>
            <w:tcW w:w="631" w:type="dxa"/>
            <w:noWrap w:val="0"/>
            <w:vAlign w:val="top"/>
          </w:tcPr>
          <w:p>
            <w:pPr>
              <w:widowControl/>
              <w:jc w:val="left"/>
              <w:outlineLvl w:val="1"/>
              <w:rPr>
                <w:rFonts w:ascii="仿宋_GB2312" w:hAnsi="宋体" w:eastAsia="仿宋_GB2312"/>
                <w:color w:val="auto"/>
                <w:kern w:val="0"/>
                <w:sz w:val="32"/>
                <w:szCs w:val="32"/>
                <w:highlight w:val="none"/>
              </w:rPr>
            </w:pPr>
          </w:p>
        </w:tc>
        <w:tc>
          <w:tcPr>
            <w:tcW w:w="428" w:type="dxa"/>
            <w:noWrap w:val="0"/>
            <w:vAlign w:val="top"/>
          </w:tcPr>
          <w:p>
            <w:pPr>
              <w:widowControl/>
              <w:jc w:val="left"/>
              <w:outlineLvl w:val="1"/>
              <w:rPr>
                <w:rFonts w:ascii="仿宋_GB2312" w:hAnsi="宋体" w:eastAsia="仿宋_GB2312"/>
                <w:color w:val="auto"/>
                <w:kern w:val="0"/>
                <w:sz w:val="32"/>
                <w:szCs w:val="32"/>
                <w:highlight w:val="none"/>
              </w:rPr>
            </w:pPr>
          </w:p>
        </w:tc>
        <w:tc>
          <w:tcPr>
            <w:tcW w:w="631" w:type="dxa"/>
            <w:noWrap w:val="0"/>
            <w:vAlign w:val="top"/>
          </w:tcPr>
          <w:p>
            <w:pPr>
              <w:widowControl/>
              <w:jc w:val="left"/>
              <w:outlineLvl w:val="1"/>
              <w:rPr>
                <w:rFonts w:ascii="仿宋_GB2312" w:hAnsi="宋体" w:eastAsia="仿宋_GB2312"/>
                <w:color w:val="auto"/>
                <w:kern w:val="0"/>
                <w:sz w:val="32"/>
                <w:szCs w:val="32"/>
                <w:highlight w:val="none"/>
              </w:rPr>
            </w:pPr>
          </w:p>
        </w:tc>
        <w:tc>
          <w:tcPr>
            <w:tcW w:w="429" w:type="dxa"/>
            <w:noWrap w:val="0"/>
            <w:vAlign w:val="top"/>
          </w:tcPr>
          <w:p>
            <w:pPr>
              <w:widowControl/>
              <w:jc w:val="left"/>
              <w:outlineLvl w:val="1"/>
              <w:rPr>
                <w:rFonts w:ascii="仿宋_GB2312" w:hAnsi="宋体" w:eastAsia="仿宋_GB2312"/>
                <w:color w:val="auto"/>
                <w:kern w:val="0"/>
                <w:sz w:val="32"/>
                <w:szCs w:val="32"/>
                <w:highlight w:val="none"/>
              </w:rPr>
            </w:pPr>
          </w:p>
        </w:tc>
        <w:tc>
          <w:tcPr>
            <w:tcW w:w="429" w:type="dxa"/>
            <w:gridSpan w:val="2"/>
            <w:noWrap w:val="0"/>
            <w:vAlign w:val="top"/>
          </w:tcPr>
          <w:p>
            <w:pPr>
              <w:widowControl/>
              <w:jc w:val="left"/>
              <w:outlineLvl w:val="1"/>
              <w:rPr>
                <w:rFonts w:ascii="仿宋_GB2312" w:hAnsi="宋体" w:eastAsia="仿宋_GB2312"/>
                <w:color w:val="auto"/>
                <w:kern w:val="0"/>
                <w:sz w:val="32"/>
                <w:szCs w:val="32"/>
                <w:highlight w:val="none"/>
              </w:rPr>
            </w:pPr>
          </w:p>
        </w:tc>
        <w:tc>
          <w:tcPr>
            <w:tcW w:w="475" w:type="dxa"/>
            <w:noWrap w:val="0"/>
            <w:vAlign w:val="top"/>
          </w:tcPr>
          <w:p>
            <w:pPr>
              <w:widowControl/>
              <w:jc w:val="lef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645" w:hRule="atLeast"/>
          <w:jc w:val="center"/>
        </w:trPr>
        <w:tc>
          <w:tcPr>
            <w:tcW w:w="1109" w:type="dxa"/>
            <w:gridSpan w:val="2"/>
            <w:noWrap w:val="0"/>
            <w:vAlign w:val="top"/>
          </w:tcPr>
          <w:p>
            <w:pPr>
              <w:widowControl/>
              <w:jc w:val="left"/>
              <w:outlineLvl w:val="1"/>
              <w:rPr>
                <w:rFonts w:hint="default" w:ascii="Times New Roman" w:hAnsi="Times New Roman" w:eastAsia="仿宋_GB2312" w:cs="Times New Roman"/>
                <w:color w:val="auto"/>
                <w:kern w:val="0"/>
                <w:sz w:val="18"/>
                <w:szCs w:val="18"/>
                <w:highlight w:val="none"/>
              </w:rPr>
            </w:pPr>
          </w:p>
        </w:tc>
        <w:tc>
          <w:tcPr>
            <w:tcW w:w="552" w:type="dxa"/>
            <w:noWrap w:val="0"/>
            <w:vAlign w:val="top"/>
          </w:tcPr>
          <w:p>
            <w:pPr>
              <w:widowControl/>
              <w:jc w:val="left"/>
              <w:outlineLvl w:val="1"/>
              <w:rPr>
                <w:rFonts w:hint="default" w:ascii="Times New Roman" w:hAnsi="Times New Roman" w:eastAsia="仿宋_GB2312" w:cs="Times New Roman"/>
                <w:color w:val="auto"/>
                <w:kern w:val="0"/>
                <w:sz w:val="18"/>
                <w:szCs w:val="18"/>
                <w:highlight w:val="none"/>
                <w:lang w:val="en-US" w:eastAsia="zh-CN"/>
              </w:rPr>
            </w:pPr>
          </w:p>
        </w:tc>
        <w:tc>
          <w:tcPr>
            <w:tcW w:w="564" w:type="dxa"/>
            <w:noWrap w:val="0"/>
            <w:vAlign w:val="top"/>
          </w:tcPr>
          <w:p>
            <w:pPr>
              <w:widowControl/>
              <w:jc w:val="left"/>
              <w:outlineLvl w:val="1"/>
              <w:rPr>
                <w:rFonts w:hint="default" w:ascii="Times New Roman" w:hAnsi="Times New Roman" w:eastAsia="仿宋_GB2312" w:cs="Times New Roman"/>
                <w:color w:val="auto"/>
                <w:kern w:val="0"/>
                <w:sz w:val="18"/>
                <w:szCs w:val="18"/>
                <w:highlight w:val="none"/>
                <w:lang w:val="en-US" w:eastAsia="zh-CN"/>
              </w:rPr>
            </w:pPr>
          </w:p>
        </w:tc>
        <w:tc>
          <w:tcPr>
            <w:tcW w:w="1139" w:type="dxa"/>
            <w:noWrap w:val="0"/>
            <w:vAlign w:val="top"/>
          </w:tcPr>
          <w:p>
            <w:pPr>
              <w:keepNext w:val="0"/>
              <w:keepLines w:val="0"/>
              <w:widowControl/>
              <w:suppressLineNumbers w:val="0"/>
              <w:jc w:val="left"/>
              <w:textAlignment w:val="top"/>
              <w:rPr>
                <w:rFonts w:hint="eastAsia" w:ascii="仿宋_GB2312" w:hAnsi="仿宋_GB2312" w:eastAsia="仿宋_GB2312" w:cs="仿宋_GB2312"/>
                <w:color w:val="auto"/>
                <w:kern w:val="0"/>
                <w:sz w:val="18"/>
                <w:szCs w:val="18"/>
                <w:highlight w:val="none"/>
              </w:rPr>
            </w:pPr>
          </w:p>
        </w:tc>
        <w:tc>
          <w:tcPr>
            <w:tcW w:w="661" w:type="dxa"/>
            <w:noWrap w:val="0"/>
            <w:vAlign w:val="top"/>
          </w:tcPr>
          <w:p>
            <w:pPr>
              <w:keepNext w:val="0"/>
              <w:keepLines w:val="0"/>
              <w:widowControl/>
              <w:suppressLineNumbers w:val="0"/>
              <w:jc w:val="left"/>
              <w:textAlignment w:val="top"/>
              <w:rPr>
                <w:rFonts w:ascii="仿宋_GB2312" w:hAnsi="宋体" w:eastAsia="仿宋_GB2312"/>
                <w:color w:val="auto"/>
                <w:kern w:val="0"/>
                <w:sz w:val="18"/>
                <w:szCs w:val="18"/>
                <w:highlight w:val="none"/>
              </w:rPr>
            </w:pPr>
          </w:p>
        </w:tc>
        <w:tc>
          <w:tcPr>
            <w:tcW w:w="792" w:type="dxa"/>
            <w:noWrap w:val="0"/>
            <w:vAlign w:val="top"/>
          </w:tcPr>
          <w:p>
            <w:pPr>
              <w:keepNext w:val="0"/>
              <w:keepLines w:val="0"/>
              <w:widowControl/>
              <w:suppressLineNumbers w:val="0"/>
              <w:jc w:val="left"/>
              <w:textAlignment w:val="top"/>
              <w:rPr>
                <w:rFonts w:hint="default" w:ascii="Times New Roman" w:hAnsi="Times New Roman" w:eastAsia="仿宋_GB2312" w:cs="Times New Roman"/>
                <w:color w:val="auto"/>
                <w:kern w:val="0"/>
                <w:sz w:val="18"/>
                <w:szCs w:val="18"/>
                <w:highlight w:val="none"/>
              </w:rPr>
            </w:pPr>
          </w:p>
        </w:tc>
        <w:tc>
          <w:tcPr>
            <w:tcW w:w="799" w:type="dxa"/>
            <w:noWrap w:val="0"/>
            <w:vAlign w:val="top"/>
          </w:tcPr>
          <w:p>
            <w:pPr>
              <w:widowControl/>
              <w:jc w:val="left"/>
              <w:outlineLvl w:val="1"/>
              <w:rPr>
                <w:rFonts w:hint="default" w:ascii="Times New Roman" w:hAnsi="Times New Roman" w:eastAsia="仿宋_GB2312" w:cs="Times New Roman"/>
                <w:color w:val="auto"/>
                <w:kern w:val="0"/>
                <w:sz w:val="18"/>
                <w:szCs w:val="18"/>
                <w:highlight w:val="none"/>
              </w:rPr>
            </w:pPr>
          </w:p>
        </w:tc>
        <w:tc>
          <w:tcPr>
            <w:tcW w:w="768" w:type="dxa"/>
            <w:noWrap w:val="0"/>
            <w:vAlign w:val="top"/>
          </w:tcPr>
          <w:p>
            <w:pPr>
              <w:keepNext w:val="0"/>
              <w:keepLines w:val="0"/>
              <w:widowControl/>
              <w:suppressLineNumbers w:val="0"/>
              <w:jc w:val="left"/>
              <w:textAlignment w:val="top"/>
              <w:rPr>
                <w:rFonts w:hint="default" w:ascii="Times New Roman" w:hAnsi="Times New Roman" w:eastAsia="仿宋_GB2312" w:cs="Times New Roman"/>
                <w:color w:val="auto"/>
                <w:kern w:val="0"/>
                <w:sz w:val="18"/>
                <w:szCs w:val="18"/>
                <w:highlight w:val="none"/>
              </w:rPr>
            </w:pPr>
          </w:p>
        </w:tc>
        <w:tc>
          <w:tcPr>
            <w:tcW w:w="716" w:type="dxa"/>
            <w:noWrap w:val="0"/>
            <w:vAlign w:val="top"/>
          </w:tcPr>
          <w:p>
            <w:pPr>
              <w:widowControl/>
              <w:jc w:val="left"/>
              <w:outlineLvl w:val="1"/>
              <w:rPr>
                <w:rFonts w:ascii="仿宋_GB2312" w:hAnsi="宋体" w:eastAsia="仿宋_GB2312"/>
                <w:color w:val="auto"/>
                <w:kern w:val="0"/>
                <w:sz w:val="32"/>
                <w:szCs w:val="32"/>
                <w:highlight w:val="none"/>
              </w:rPr>
            </w:pPr>
          </w:p>
        </w:tc>
        <w:tc>
          <w:tcPr>
            <w:tcW w:w="653" w:type="dxa"/>
            <w:gridSpan w:val="2"/>
            <w:noWrap w:val="0"/>
            <w:vAlign w:val="top"/>
          </w:tcPr>
          <w:p>
            <w:pPr>
              <w:widowControl/>
              <w:jc w:val="left"/>
              <w:outlineLvl w:val="1"/>
              <w:rPr>
                <w:rFonts w:ascii="仿宋_GB2312" w:hAnsi="宋体" w:eastAsia="仿宋_GB2312"/>
                <w:color w:val="auto"/>
                <w:kern w:val="0"/>
                <w:sz w:val="32"/>
                <w:szCs w:val="32"/>
                <w:highlight w:val="none"/>
              </w:rPr>
            </w:pPr>
          </w:p>
        </w:tc>
        <w:tc>
          <w:tcPr>
            <w:tcW w:w="631" w:type="dxa"/>
            <w:noWrap w:val="0"/>
            <w:vAlign w:val="top"/>
          </w:tcPr>
          <w:p>
            <w:pPr>
              <w:widowControl/>
              <w:jc w:val="left"/>
              <w:outlineLvl w:val="1"/>
              <w:rPr>
                <w:rFonts w:ascii="仿宋_GB2312" w:hAnsi="宋体" w:eastAsia="仿宋_GB2312"/>
                <w:color w:val="auto"/>
                <w:kern w:val="0"/>
                <w:sz w:val="32"/>
                <w:szCs w:val="32"/>
                <w:highlight w:val="none"/>
              </w:rPr>
            </w:pPr>
          </w:p>
        </w:tc>
        <w:tc>
          <w:tcPr>
            <w:tcW w:w="428" w:type="dxa"/>
            <w:noWrap w:val="0"/>
            <w:vAlign w:val="top"/>
          </w:tcPr>
          <w:p>
            <w:pPr>
              <w:widowControl/>
              <w:jc w:val="left"/>
              <w:outlineLvl w:val="1"/>
              <w:rPr>
                <w:rFonts w:ascii="仿宋_GB2312" w:hAnsi="宋体" w:eastAsia="仿宋_GB2312"/>
                <w:color w:val="auto"/>
                <w:kern w:val="0"/>
                <w:sz w:val="32"/>
                <w:szCs w:val="32"/>
                <w:highlight w:val="none"/>
              </w:rPr>
            </w:pPr>
          </w:p>
        </w:tc>
        <w:tc>
          <w:tcPr>
            <w:tcW w:w="631" w:type="dxa"/>
            <w:noWrap w:val="0"/>
            <w:vAlign w:val="top"/>
          </w:tcPr>
          <w:p>
            <w:pPr>
              <w:widowControl/>
              <w:jc w:val="left"/>
              <w:outlineLvl w:val="1"/>
              <w:rPr>
                <w:rFonts w:ascii="仿宋_GB2312" w:hAnsi="宋体" w:eastAsia="仿宋_GB2312"/>
                <w:color w:val="auto"/>
                <w:kern w:val="0"/>
                <w:sz w:val="32"/>
                <w:szCs w:val="32"/>
                <w:highlight w:val="none"/>
              </w:rPr>
            </w:pPr>
          </w:p>
        </w:tc>
        <w:tc>
          <w:tcPr>
            <w:tcW w:w="429" w:type="dxa"/>
            <w:noWrap w:val="0"/>
            <w:vAlign w:val="top"/>
          </w:tcPr>
          <w:p>
            <w:pPr>
              <w:widowControl/>
              <w:jc w:val="left"/>
              <w:outlineLvl w:val="1"/>
              <w:rPr>
                <w:rFonts w:ascii="仿宋_GB2312" w:hAnsi="宋体" w:eastAsia="仿宋_GB2312"/>
                <w:color w:val="auto"/>
                <w:kern w:val="0"/>
                <w:sz w:val="32"/>
                <w:szCs w:val="32"/>
                <w:highlight w:val="none"/>
              </w:rPr>
            </w:pPr>
          </w:p>
        </w:tc>
        <w:tc>
          <w:tcPr>
            <w:tcW w:w="429" w:type="dxa"/>
            <w:gridSpan w:val="2"/>
            <w:noWrap w:val="0"/>
            <w:vAlign w:val="top"/>
          </w:tcPr>
          <w:p>
            <w:pPr>
              <w:widowControl/>
              <w:jc w:val="left"/>
              <w:outlineLvl w:val="1"/>
              <w:rPr>
                <w:rFonts w:ascii="仿宋_GB2312" w:hAnsi="宋体" w:eastAsia="仿宋_GB2312"/>
                <w:color w:val="auto"/>
                <w:kern w:val="0"/>
                <w:sz w:val="32"/>
                <w:szCs w:val="32"/>
                <w:highlight w:val="none"/>
              </w:rPr>
            </w:pPr>
          </w:p>
        </w:tc>
        <w:tc>
          <w:tcPr>
            <w:tcW w:w="475" w:type="dxa"/>
            <w:noWrap w:val="0"/>
            <w:vAlign w:val="top"/>
          </w:tcPr>
          <w:p>
            <w:pPr>
              <w:widowControl/>
              <w:jc w:val="lef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656" w:hRule="atLeast"/>
          <w:jc w:val="center"/>
        </w:trPr>
        <w:tc>
          <w:tcPr>
            <w:tcW w:w="1109" w:type="dxa"/>
            <w:gridSpan w:val="2"/>
            <w:noWrap w:val="0"/>
            <w:vAlign w:val="top"/>
          </w:tcPr>
          <w:p>
            <w:pPr>
              <w:widowControl/>
              <w:jc w:val="left"/>
              <w:outlineLvl w:val="1"/>
              <w:rPr>
                <w:rFonts w:ascii="仿宋_GB2312" w:hAnsi="宋体" w:eastAsia="仿宋_GB2312"/>
                <w:color w:val="auto"/>
                <w:kern w:val="0"/>
                <w:sz w:val="18"/>
                <w:szCs w:val="18"/>
                <w:highlight w:val="none"/>
              </w:rPr>
            </w:pPr>
          </w:p>
        </w:tc>
        <w:tc>
          <w:tcPr>
            <w:tcW w:w="552" w:type="dxa"/>
            <w:noWrap w:val="0"/>
            <w:vAlign w:val="top"/>
          </w:tcPr>
          <w:p>
            <w:pPr>
              <w:widowControl/>
              <w:jc w:val="left"/>
              <w:outlineLvl w:val="1"/>
              <w:rPr>
                <w:rFonts w:ascii="仿宋_GB2312" w:hAnsi="宋体" w:eastAsia="仿宋_GB2312"/>
                <w:color w:val="auto"/>
                <w:kern w:val="0"/>
                <w:sz w:val="18"/>
                <w:szCs w:val="18"/>
                <w:highlight w:val="none"/>
              </w:rPr>
            </w:pPr>
          </w:p>
        </w:tc>
        <w:tc>
          <w:tcPr>
            <w:tcW w:w="564" w:type="dxa"/>
            <w:noWrap w:val="0"/>
            <w:vAlign w:val="top"/>
          </w:tcPr>
          <w:p>
            <w:pPr>
              <w:widowControl/>
              <w:jc w:val="left"/>
              <w:outlineLvl w:val="1"/>
              <w:rPr>
                <w:rFonts w:ascii="仿宋_GB2312" w:hAnsi="宋体" w:eastAsia="仿宋_GB2312"/>
                <w:color w:val="auto"/>
                <w:kern w:val="0"/>
                <w:sz w:val="18"/>
                <w:szCs w:val="18"/>
                <w:highlight w:val="none"/>
              </w:rPr>
            </w:pPr>
          </w:p>
        </w:tc>
        <w:tc>
          <w:tcPr>
            <w:tcW w:w="1139" w:type="dxa"/>
            <w:noWrap w:val="0"/>
            <w:vAlign w:val="top"/>
          </w:tcPr>
          <w:p>
            <w:pPr>
              <w:widowControl/>
              <w:jc w:val="left"/>
              <w:outlineLvl w:val="1"/>
              <w:rPr>
                <w:rFonts w:ascii="仿宋_GB2312" w:hAnsi="宋体" w:eastAsia="仿宋_GB2312"/>
                <w:color w:val="auto"/>
                <w:kern w:val="0"/>
                <w:sz w:val="18"/>
                <w:szCs w:val="18"/>
                <w:highlight w:val="none"/>
              </w:rPr>
            </w:pPr>
          </w:p>
        </w:tc>
        <w:tc>
          <w:tcPr>
            <w:tcW w:w="661" w:type="dxa"/>
            <w:noWrap w:val="0"/>
            <w:vAlign w:val="center"/>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b/>
                <w:bCs/>
                <w:color w:val="auto"/>
                <w:kern w:val="0"/>
                <w:sz w:val="18"/>
                <w:szCs w:val="18"/>
                <w:highlight w:val="none"/>
              </w:rPr>
              <w:t>合 计</w:t>
            </w:r>
          </w:p>
        </w:tc>
        <w:tc>
          <w:tcPr>
            <w:tcW w:w="792" w:type="dxa"/>
            <w:noWrap w:val="0"/>
            <w:vAlign w:val="center"/>
          </w:tcPr>
          <w:p>
            <w:pPr>
              <w:widowControl/>
              <w:jc w:val="left"/>
              <w:outlineLvl w:val="1"/>
              <w:rPr>
                <w:rFonts w:hint="default" w:ascii="Times New Roman" w:hAnsi="Times New Roman" w:eastAsia="仿宋_GB2312" w:cs="Times New Roman"/>
                <w:b/>
                <w:bCs/>
                <w:color w:val="auto"/>
                <w:kern w:val="0"/>
                <w:sz w:val="18"/>
                <w:szCs w:val="18"/>
                <w:highlight w:val="none"/>
                <w:lang w:val="en-US" w:eastAsia="zh-CN"/>
              </w:rPr>
            </w:pPr>
          </w:p>
        </w:tc>
        <w:tc>
          <w:tcPr>
            <w:tcW w:w="799" w:type="dxa"/>
            <w:noWrap w:val="0"/>
            <w:vAlign w:val="top"/>
          </w:tcPr>
          <w:p>
            <w:pPr>
              <w:widowControl/>
              <w:jc w:val="left"/>
              <w:outlineLvl w:val="1"/>
              <w:rPr>
                <w:rFonts w:hint="default" w:ascii="Times New Roman" w:hAnsi="Times New Roman" w:eastAsia="仿宋_GB2312" w:cs="Times New Roman"/>
                <w:b/>
                <w:bCs/>
                <w:color w:val="auto"/>
                <w:kern w:val="0"/>
                <w:sz w:val="18"/>
                <w:szCs w:val="18"/>
                <w:highlight w:val="none"/>
              </w:rPr>
            </w:pPr>
          </w:p>
        </w:tc>
        <w:tc>
          <w:tcPr>
            <w:tcW w:w="768" w:type="dxa"/>
            <w:noWrap w:val="0"/>
            <w:vAlign w:val="top"/>
          </w:tcPr>
          <w:p>
            <w:pPr>
              <w:widowControl/>
              <w:jc w:val="left"/>
              <w:outlineLvl w:val="1"/>
              <w:rPr>
                <w:rFonts w:hint="default" w:ascii="Times New Roman" w:hAnsi="Times New Roman" w:eastAsia="仿宋_GB2312" w:cs="Times New Roman"/>
                <w:b/>
                <w:bCs/>
                <w:color w:val="auto"/>
                <w:kern w:val="0"/>
                <w:sz w:val="18"/>
                <w:szCs w:val="18"/>
                <w:highlight w:val="none"/>
              </w:rPr>
            </w:pPr>
          </w:p>
          <w:p>
            <w:pPr>
              <w:widowControl/>
              <w:jc w:val="left"/>
              <w:outlineLvl w:val="1"/>
              <w:rPr>
                <w:rFonts w:hint="default" w:ascii="Times New Roman" w:hAnsi="Times New Roman" w:eastAsia="仿宋_GB2312" w:cs="Times New Roman"/>
                <w:b/>
                <w:bCs/>
                <w:color w:val="auto"/>
                <w:kern w:val="0"/>
                <w:sz w:val="18"/>
                <w:szCs w:val="18"/>
                <w:highlight w:val="none"/>
                <w:lang w:val="en-US" w:eastAsia="zh-CN"/>
              </w:rPr>
            </w:pPr>
          </w:p>
        </w:tc>
        <w:tc>
          <w:tcPr>
            <w:tcW w:w="716" w:type="dxa"/>
            <w:noWrap w:val="0"/>
            <w:vAlign w:val="top"/>
          </w:tcPr>
          <w:p>
            <w:pPr>
              <w:widowControl/>
              <w:jc w:val="left"/>
              <w:outlineLvl w:val="1"/>
              <w:rPr>
                <w:rFonts w:ascii="仿宋_GB2312" w:hAnsi="宋体" w:eastAsia="仿宋_GB2312"/>
                <w:color w:val="auto"/>
                <w:kern w:val="0"/>
                <w:sz w:val="32"/>
                <w:szCs w:val="32"/>
                <w:highlight w:val="none"/>
              </w:rPr>
            </w:pPr>
          </w:p>
        </w:tc>
        <w:tc>
          <w:tcPr>
            <w:tcW w:w="653" w:type="dxa"/>
            <w:gridSpan w:val="2"/>
            <w:noWrap w:val="0"/>
            <w:vAlign w:val="top"/>
          </w:tcPr>
          <w:p>
            <w:pPr>
              <w:widowControl/>
              <w:jc w:val="left"/>
              <w:outlineLvl w:val="1"/>
              <w:rPr>
                <w:rFonts w:ascii="仿宋_GB2312" w:hAnsi="宋体" w:eastAsia="仿宋_GB2312"/>
                <w:color w:val="auto"/>
                <w:kern w:val="0"/>
                <w:sz w:val="32"/>
                <w:szCs w:val="32"/>
                <w:highlight w:val="none"/>
              </w:rPr>
            </w:pPr>
          </w:p>
        </w:tc>
        <w:tc>
          <w:tcPr>
            <w:tcW w:w="631" w:type="dxa"/>
            <w:noWrap w:val="0"/>
            <w:vAlign w:val="top"/>
          </w:tcPr>
          <w:p>
            <w:pPr>
              <w:widowControl/>
              <w:jc w:val="left"/>
              <w:outlineLvl w:val="1"/>
              <w:rPr>
                <w:rFonts w:ascii="仿宋_GB2312" w:hAnsi="宋体" w:eastAsia="仿宋_GB2312"/>
                <w:color w:val="auto"/>
                <w:kern w:val="0"/>
                <w:sz w:val="32"/>
                <w:szCs w:val="32"/>
                <w:highlight w:val="none"/>
              </w:rPr>
            </w:pPr>
          </w:p>
        </w:tc>
        <w:tc>
          <w:tcPr>
            <w:tcW w:w="428" w:type="dxa"/>
            <w:noWrap w:val="0"/>
            <w:vAlign w:val="top"/>
          </w:tcPr>
          <w:p>
            <w:pPr>
              <w:widowControl/>
              <w:jc w:val="left"/>
              <w:outlineLvl w:val="1"/>
              <w:rPr>
                <w:rFonts w:ascii="仿宋_GB2312" w:hAnsi="宋体" w:eastAsia="仿宋_GB2312"/>
                <w:color w:val="auto"/>
                <w:kern w:val="0"/>
                <w:sz w:val="32"/>
                <w:szCs w:val="32"/>
                <w:highlight w:val="none"/>
              </w:rPr>
            </w:pPr>
          </w:p>
        </w:tc>
        <w:tc>
          <w:tcPr>
            <w:tcW w:w="631" w:type="dxa"/>
            <w:noWrap w:val="0"/>
            <w:vAlign w:val="top"/>
          </w:tcPr>
          <w:p>
            <w:pPr>
              <w:widowControl/>
              <w:jc w:val="left"/>
              <w:outlineLvl w:val="1"/>
              <w:rPr>
                <w:rFonts w:ascii="仿宋_GB2312" w:hAnsi="宋体" w:eastAsia="仿宋_GB2312"/>
                <w:color w:val="auto"/>
                <w:kern w:val="0"/>
                <w:sz w:val="32"/>
                <w:szCs w:val="32"/>
                <w:highlight w:val="none"/>
              </w:rPr>
            </w:pPr>
          </w:p>
        </w:tc>
        <w:tc>
          <w:tcPr>
            <w:tcW w:w="429" w:type="dxa"/>
            <w:noWrap w:val="0"/>
            <w:vAlign w:val="top"/>
          </w:tcPr>
          <w:p>
            <w:pPr>
              <w:widowControl/>
              <w:jc w:val="left"/>
              <w:outlineLvl w:val="1"/>
              <w:rPr>
                <w:rFonts w:ascii="仿宋_GB2312" w:hAnsi="宋体" w:eastAsia="仿宋_GB2312"/>
                <w:color w:val="auto"/>
                <w:kern w:val="0"/>
                <w:sz w:val="32"/>
                <w:szCs w:val="32"/>
                <w:highlight w:val="none"/>
              </w:rPr>
            </w:pPr>
          </w:p>
        </w:tc>
        <w:tc>
          <w:tcPr>
            <w:tcW w:w="429" w:type="dxa"/>
            <w:gridSpan w:val="2"/>
            <w:noWrap w:val="0"/>
            <w:vAlign w:val="top"/>
          </w:tcPr>
          <w:p>
            <w:pPr>
              <w:widowControl/>
              <w:jc w:val="left"/>
              <w:outlineLvl w:val="1"/>
              <w:rPr>
                <w:rFonts w:ascii="仿宋_GB2312" w:hAnsi="宋体" w:eastAsia="仿宋_GB2312"/>
                <w:color w:val="auto"/>
                <w:kern w:val="0"/>
                <w:sz w:val="32"/>
                <w:szCs w:val="32"/>
                <w:highlight w:val="none"/>
              </w:rPr>
            </w:pPr>
          </w:p>
        </w:tc>
        <w:tc>
          <w:tcPr>
            <w:tcW w:w="475" w:type="dxa"/>
            <w:noWrap w:val="0"/>
            <w:vAlign w:val="top"/>
          </w:tcPr>
          <w:p>
            <w:pPr>
              <w:widowControl/>
              <w:jc w:val="left"/>
              <w:outlineLvl w:val="1"/>
              <w:rPr>
                <w:rFonts w:ascii="仿宋_GB2312" w:hAnsi="宋体" w:eastAsia="仿宋_GB2312"/>
                <w:color w:val="auto"/>
                <w:kern w:val="0"/>
                <w:sz w:val="32"/>
                <w:szCs w:val="32"/>
                <w:highlight w:val="none"/>
              </w:rPr>
            </w:pPr>
          </w:p>
        </w:tc>
      </w:tr>
    </w:tbl>
    <w:p>
      <w:pPr>
        <w:keepNext w:val="0"/>
        <w:keepLines w:val="0"/>
        <w:widowControl/>
        <w:suppressLineNumbers w:val="0"/>
        <w:jc w:val="left"/>
        <w:textAlignment w:val="bottom"/>
        <w:rPr>
          <w:rFonts w:hint="eastAsia" w:ascii="仿宋" w:eastAsia="仿宋"/>
          <w:b/>
          <w:color w:val="000000"/>
          <w:szCs w:val="21"/>
          <w:lang w:val="en-US" w:eastAsia="zh-CN"/>
        </w:rPr>
      </w:pPr>
      <w:r>
        <w:rPr>
          <w:rFonts w:hint="eastAsia" w:ascii="仿宋" w:eastAsia="仿宋"/>
          <w:b/>
          <w:color w:val="000000"/>
          <w:szCs w:val="21"/>
          <w:lang w:val="en-US" w:eastAsia="zh-CN"/>
        </w:rPr>
        <w:t>呼图壁县自然资源局2025年</w:t>
      </w:r>
      <w:r>
        <w:rPr>
          <w:rFonts w:hint="eastAsia" w:ascii="仿宋" w:eastAsia="仿宋"/>
          <w:b/>
          <w:color w:val="000000"/>
          <w:szCs w:val="21"/>
        </w:rPr>
        <w:t>没有使用一般公共预算安排项目支出，一般公共预算项目支出情况表为空表。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呼图壁县自然资源局</w:t>
      </w:r>
      <w:r>
        <w:rPr>
          <w:rFonts w:hint="eastAsia" w:ascii="仿宋_GB2312" w:hAnsi="宋体" w:eastAsia="仿宋_GB2312"/>
          <w:color w:val="auto"/>
          <w:kern w:val="0"/>
          <w:sz w:val="24"/>
          <w:highlight w:val="none"/>
        </w:rPr>
        <w:t xml:space="preserve">                                单位：万元</w:t>
      </w:r>
    </w:p>
    <w:tbl>
      <w:tblPr>
        <w:tblStyle w:val="10"/>
        <w:tblW w:w="9214" w:type="dxa"/>
        <w:jc w:val="center"/>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jc w:val="center"/>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jc w:val="center"/>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jc w:val="center"/>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47"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FF0000"/>
          <w:kern w:val="0"/>
          <w:sz w:val="28"/>
          <w:szCs w:val="32"/>
          <w:highlight w:val="none"/>
          <w:lang w:eastAsia="zh-CN"/>
        </w:rPr>
      </w:pPr>
    </w:p>
    <w:p>
      <w:pPr>
        <w:keepNext w:val="0"/>
        <w:keepLines w:val="0"/>
        <w:widowControl/>
        <w:suppressLineNumbers w:val="0"/>
        <w:jc w:val="left"/>
        <w:textAlignment w:val="bottom"/>
        <w:rPr>
          <w:rFonts w:hint="eastAsia" w:ascii="仿宋" w:eastAsia="仿宋"/>
          <w:b/>
          <w:color w:val="000000"/>
          <w:szCs w:val="21"/>
        </w:rPr>
      </w:pPr>
      <w:r>
        <w:rPr>
          <w:rFonts w:hint="eastAsia" w:ascii="仿宋_GB2312" w:hAnsi="宋体" w:eastAsia="仿宋_GB2312"/>
          <w:b/>
          <w:bCs/>
          <w:color w:val="auto"/>
          <w:kern w:val="0"/>
          <w:sz w:val="24"/>
          <w:highlight w:val="none"/>
          <w:lang w:val="en-US" w:eastAsia="zh-CN"/>
        </w:rPr>
        <w:t>呼图壁县自然资源局2025年</w:t>
      </w:r>
      <w:r>
        <w:rPr>
          <w:rFonts w:hint="eastAsia" w:ascii="仿宋" w:eastAsia="仿宋"/>
          <w:b/>
          <w:color w:val="000000"/>
          <w:szCs w:val="21"/>
        </w:rPr>
        <w:t>没有使用没有使用政府性基金预算拨款安排的支出，政府性基金预算支出情况表为空表。</w:t>
      </w:r>
    </w:p>
    <w:p>
      <w:pPr>
        <w:keepNext w:val="0"/>
        <w:keepLines w:val="0"/>
        <w:widowControl/>
        <w:suppressLineNumbers w:val="0"/>
        <w:jc w:val="left"/>
        <w:textAlignment w:val="bottom"/>
        <w:rPr>
          <w:rFonts w:hint="eastAsia" w:ascii="仿宋" w:eastAsia="仿宋"/>
          <w:b/>
          <w:color w:val="000000"/>
          <w:szCs w:val="21"/>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呼图壁县自然资源局</w:t>
      </w:r>
      <w:r>
        <w:rPr>
          <w:rFonts w:hint="eastAsia" w:ascii="仿宋_GB2312" w:hAnsi="宋体" w:eastAsia="仿宋_GB2312"/>
          <w:color w:val="auto"/>
          <w:kern w:val="0"/>
          <w:sz w:val="24"/>
          <w:highlight w:val="none"/>
        </w:rPr>
        <w:t xml:space="preserve">                                单位：万元</w:t>
      </w:r>
    </w:p>
    <w:tbl>
      <w:tblPr>
        <w:tblStyle w:val="10"/>
        <w:tblW w:w="9214" w:type="dxa"/>
        <w:jc w:val="center"/>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jc w:val="center"/>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jc w:val="center"/>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jc w:val="center"/>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keepNext w:val="0"/>
        <w:keepLines w:val="0"/>
        <w:widowControl/>
        <w:suppressLineNumbers w:val="0"/>
        <w:jc w:val="left"/>
        <w:textAlignment w:val="bottom"/>
        <w:rPr>
          <w:rFonts w:hint="eastAsia" w:ascii="宋体" w:hAnsi="宋体" w:eastAsia="仿宋" w:cs="宋体"/>
          <w:i w:val="0"/>
          <w:color w:val="auto"/>
          <w:kern w:val="0"/>
          <w:sz w:val="20"/>
          <w:szCs w:val="20"/>
          <w:highlight w:val="none"/>
          <w:u w:val="none"/>
          <w:lang w:val="en-US" w:eastAsia="zh-CN" w:bidi="ar"/>
        </w:rPr>
      </w:pPr>
      <w:r>
        <w:rPr>
          <w:rFonts w:hint="eastAsia" w:ascii="仿宋_GB2312" w:hAnsi="宋体" w:eastAsia="仿宋_GB2312"/>
          <w:b/>
          <w:bCs/>
          <w:color w:val="auto"/>
          <w:kern w:val="0"/>
          <w:sz w:val="24"/>
          <w:highlight w:val="none"/>
          <w:lang w:val="en-US" w:eastAsia="zh-CN"/>
        </w:rPr>
        <w:t>呼图壁县自然资源局2025年</w:t>
      </w:r>
      <w:r>
        <w:rPr>
          <w:rFonts w:hint="eastAsia" w:ascii="仿宋" w:eastAsia="仿宋"/>
          <w:b/>
          <w:color w:val="000000"/>
          <w:szCs w:val="21"/>
        </w:rPr>
        <w:t>使用国有资本经营预算拨款安排的支出，国有资本经营预算支出情况表为空</w:t>
      </w:r>
      <w:r>
        <w:rPr>
          <w:rFonts w:hint="eastAsia" w:ascii="仿宋" w:eastAsia="仿宋"/>
          <w:b/>
          <w:color w:val="000000"/>
          <w:szCs w:val="21"/>
          <w:lang w:val="en-US" w:eastAsia="zh-CN"/>
        </w:rPr>
        <w:t>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呼图壁县自然资源局</w:t>
      </w:r>
      <w:r>
        <w:rPr>
          <w:rFonts w:hint="eastAsia" w:ascii="仿宋_GB2312" w:hAnsi="宋体" w:eastAsia="仿宋_GB2312"/>
          <w:color w:val="auto"/>
          <w:kern w:val="0"/>
          <w:sz w:val="24"/>
          <w:highlight w:val="none"/>
        </w:rPr>
        <w:t xml:space="preserve">                               单位：万元</w:t>
      </w:r>
    </w:p>
    <w:tbl>
      <w:tblPr>
        <w:tblStyle w:val="11"/>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74"/>
        <w:gridCol w:w="1166"/>
        <w:gridCol w:w="1257"/>
        <w:gridCol w:w="1502"/>
        <w:gridCol w:w="15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4"/>
                <w:szCs w:val="24"/>
                <w:highlight w:val="none"/>
                <w:vertAlign w:val="baseline"/>
              </w:rPr>
            </w:pPr>
            <w:r>
              <w:rPr>
                <w:rFonts w:hint="eastAsia" w:ascii="仿宋_GB2312" w:hAnsi="宋体" w:eastAsia="仿宋_GB2312"/>
                <w:b/>
                <w:color w:val="auto"/>
                <w:kern w:val="0"/>
                <w:sz w:val="24"/>
                <w:szCs w:val="24"/>
                <w:highlight w:val="none"/>
                <w:vertAlign w:val="baseline"/>
              </w:rPr>
              <w:t>合计</w:t>
            </w:r>
          </w:p>
        </w:tc>
        <w:tc>
          <w:tcPr>
            <w:tcW w:w="1215" w:type="dxa"/>
            <w:noWrap w:val="0"/>
            <w:vAlign w:val="center"/>
          </w:tcPr>
          <w:p>
            <w:pPr>
              <w:widowControl/>
              <w:jc w:val="right"/>
              <w:outlineLvl w:val="1"/>
              <w:rPr>
                <w:rFonts w:hint="default" w:ascii="Times New Roman" w:hAnsi="Times New Roman" w:eastAsia="仿宋_GB2312" w:cs="Times New Roman"/>
                <w:b/>
                <w:color w:val="auto"/>
                <w:kern w:val="0"/>
                <w:sz w:val="24"/>
                <w:szCs w:val="24"/>
                <w:highlight w:val="none"/>
                <w:vertAlign w:val="baseline"/>
                <w:lang w:val="en-US" w:eastAsia="zh-CN"/>
              </w:rPr>
            </w:pPr>
            <w:r>
              <w:rPr>
                <w:rFonts w:hint="default" w:ascii="Times New Roman" w:hAnsi="Times New Roman" w:eastAsia="仿宋_GB2312" w:cs="Times New Roman"/>
                <w:b/>
                <w:color w:val="auto"/>
                <w:kern w:val="0"/>
                <w:sz w:val="24"/>
                <w:szCs w:val="24"/>
                <w:highlight w:val="none"/>
                <w:vertAlign w:val="baseline"/>
                <w:lang w:val="en-US" w:eastAsia="zh-CN"/>
              </w:rPr>
              <w:t>2.93</w:t>
            </w:r>
          </w:p>
        </w:tc>
        <w:tc>
          <w:tcPr>
            <w:tcW w:w="1314" w:type="dxa"/>
            <w:noWrap w:val="0"/>
            <w:vAlign w:val="center"/>
          </w:tcPr>
          <w:p>
            <w:pPr>
              <w:widowControl/>
              <w:jc w:val="right"/>
              <w:outlineLvl w:val="1"/>
              <w:rPr>
                <w:rFonts w:hint="default" w:ascii="Times New Roman" w:hAnsi="Times New Roman" w:eastAsia="仿宋_GB2312" w:cs="Times New Roman"/>
                <w:b/>
                <w:color w:val="auto"/>
                <w:kern w:val="0"/>
                <w:sz w:val="24"/>
                <w:szCs w:val="24"/>
                <w:highlight w:val="none"/>
                <w:vertAlign w:val="baseline"/>
                <w:lang w:val="en-US" w:eastAsia="zh-CN"/>
              </w:rPr>
            </w:pPr>
            <w:r>
              <w:rPr>
                <w:rFonts w:hint="default" w:ascii="Times New Roman" w:hAnsi="Times New Roman" w:eastAsia="仿宋_GB2312" w:cs="Times New Roman"/>
                <w:b/>
                <w:color w:val="auto"/>
                <w:kern w:val="0"/>
                <w:sz w:val="24"/>
                <w:szCs w:val="24"/>
                <w:highlight w:val="none"/>
                <w:vertAlign w:val="baseline"/>
                <w:lang w:val="en-US" w:eastAsia="zh-CN"/>
              </w:rPr>
              <w:t>2.93</w:t>
            </w:r>
          </w:p>
        </w:tc>
        <w:tc>
          <w:tcPr>
            <w:tcW w:w="1595" w:type="dxa"/>
            <w:noWrap w:val="0"/>
            <w:vAlign w:val="top"/>
          </w:tcPr>
          <w:p>
            <w:pPr>
              <w:widowControl/>
              <w:outlineLvl w:val="1"/>
              <w:rPr>
                <w:rFonts w:hint="eastAsia" w:ascii="仿宋_GB2312" w:hAnsi="宋体" w:eastAsia="仿宋_GB2312"/>
                <w:b/>
                <w:color w:val="auto"/>
                <w:kern w:val="0"/>
                <w:sz w:val="24"/>
                <w:szCs w:val="24"/>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4"/>
                <w:szCs w:val="24"/>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val="0"/>
                <w:bCs/>
                <w:color w:val="auto"/>
                <w:kern w:val="0"/>
                <w:sz w:val="24"/>
                <w:szCs w:val="24"/>
                <w:highlight w:val="none"/>
                <w:vertAlign w:val="baseline"/>
              </w:rPr>
            </w:pPr>
            <w:r>
              <w:rPr>
                <w:rFonts w:hint="eastAsia" w:ascii="仿宋_GB2312" w:hAnsi="宋体" w:eastAsia="仿宋_GB2312"/>
                <w:b w:val="0"/>
                <w:bCs/>
                <w:color w:val="auto"/>
                <w:kern w:val="0"/>
                <w:sz w:val="24"/>
                <w:szCs w:val="24"/>
                <w:highlight w:val="none"/>
                <w:vertAlign w:val="baseline"/>
              </w:rPr>
              <w:t>因公出国（境）费</w:t>
            </w:r>
          </w:p>
        </w:tc>
        <w:tc>
          <w:tcPr>
            <w:tcW w:w="1215" w:type="dxa"/>
            <w:noWrap w:val="0"/>
            <w:vAlign w:val="center"/>
          </w:tcPr>
          <w:p>
            <w:pPr>
              <w:widowControl/>
              <w:jc w:val="right"/>
              <w:outlineLvl w:val="1"/>
              <w:rPr>
                <w:rFonts w:hint="default" w:ascii="Times New Roman" w:hAnsi="Times New Roman" w:eastAsia="仿宋_GB2312" w:cs="Times New Roman"/>
                <w:b w:val="0"/>
                <w:bCs/>
                <w:color w:val="auto"/>
                <w:kern w:val="0"/>
                <w:sz w:val="24"/>
                <w:szCs w:val="24"/>
                <w:highlight w:val="none"/>
                <w:vertAlign w:val="baseline"/>
                <w:lang w:val="en-US" w:eastAsia="zh-CN"/>
              </w:rPr>
            </w:pPr>
          </w:p>
        </w:tc>
        <w:tc>
          <w:tcPr>
            <w:tcW w:w="1314" w:type="dxa"/>
            <w:noWrap w:val="0"/>
            <w:vAlign w:val="center"/>
          </w:tcPr>
          <w:p>
            <w:pPr>
              <w:widowControl/>
              <w:jc w:val="right"/>
              <w:outlineLvl w:val="1"/>
              <w:rPr>
                <w:rFonts w:hint="default" w:ascii="Times New Roman" w:hAnsi="Times New Roman" w:eastAsia="仿宋_GB2312" w:cs="Times New Roman"/>
                <w:b w:val="0"/>
                <w:bCs/>
                <w:color w:val="auto"/>
                <w:kern w:val="0"/>
                <w:sz w:val="24"/>
                <w:szCs w:val="24"/>
                <w:highlight w:val="none"/>
                <w:vertAlign w:val="baseline"/>
              </w:rPr>
            </w:pPr>
          </w:p>
        </w:tc>
        <w:tc>
          <w:tcPr>
            <w:tcW w:w="1595" w:type="dxa"/>
            <w:noWrap w:val="0"/>
            <w:vAlign w:val="top"/>
          </w:tcPr>
          <w:p>
            <w:pPr>
              <w:widowControl/>
              <w:outlineLvl w:val="1"/>
              <w:rPr>
                <w:rFonts w:hint="eastAsia" w:ascii="仿宋_GB2312" w:hAnsi="宋体" w:eastAsia="仿宋_GB2312"/>
                <w:b w:val="0"/>
                <w:bCs/>
                <w:color w:val="auto"/>
                <w:kern w:val="0"/>
                <w:sz w:val="24"/>
                <w:szCs w:val="24"/>
                <w:highlight w:val="none"/>
                <w:vertAlign w:val="baseline"/>
              </w:rPr>
            </w:pPr>
          </w:p>
        </w:tc>
        <w:tc>
          <w:tcPr>
            <w:tcW w:w="1621" w:type="dxa"/>
            <w:noWrap w:val="0"/>
            <w:vAlign w:val="top"/>
          </w:tcPr>
          <w:p>
            <w:pPr>
              <w:widowControl/>
              <w:outlineLvl w:val="1"/>
              <w:rPr>
                <w:rFonts w:hint="eastAsia" w:ascii="仿宋_GB2312" w:hAnsi="宋体" w:eastAsia="仿宋_GB2312"/>
                <w:b w:val="0"/>
                <w:bCs/>
                <w:color w:val="auto"/>
                <w:kern w:val="0"/>
                <w:sz w:val="24"/>
                <w:szCs w:val="24"/>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val="0"/>
                <w:bCs/>
                <w:color w:val="auto"/>
                <w:kern w:val="0"/>
                <w:sz w:val="24"/>
                <w:szCs w:val="24"/>
                <w:highlight w:val="none"/>
                <w:vertAlign w:val="baseline"/>
              </w:rPr>
            </w:pPr>
            <w:r>
              <w:rPr>
                <w:rFonts w:hint="eastAsia" w:ascii="仿宋_GB2312" w:hAnsi="宋体" w:eastAsia="仿宋_GB2312"/>
                <w:b w:val="0"/>
                <w:bCs/>
                <w:color w:val="auto"/>
                <w:kern w:val="0"/>
                <w:sz w:val="24"/>
                <w:szCs w:val="24"/>
                <w:highlight w:val="none"/>
                <w:vertAlign w:val="baseline"/>
              </w:rPr>
              <w:t>公务接待费</w:t>
            </w:r>
          </w:p>
        </w:tc>
        <w:tc>
          <w:tcPr>
            <w:tcW w:w="1215" w:type="dxa"/>
            <w:noWrap w:val="0"/>
            <w:vAlign w:val="center"/>
          </w:tcPr>
          <w:p>
            <w:pPr>
              <w:widowControl/>
              <w:jc w:val="right"/>
              <w:outlineLvl w:val="1"/>
              <w:rPr>
                <w:rFonts w:hint="default" w:ascii="Times New Roman" w:hAnsi="Times New Roman" w:eastAsia="仿宋_GB2312" w:cs="Times New Roman"/>
                <w:b w:val="0"/>
                <w:bCs/>
                <w:color w:val="auto"/>
                <w:kern w:val="0"/>
                <w:sz w:val="24"/>
                <w:szCs w:val="24"/>
                <w:highlight w:val="none"/>
                <w:vertAlign w:val="baseline"/>
                <w:lang w:val="en-US" w:eastAsia="zh-CN"/>
              </w:rPr>
            </w:pPr>
            <w:r>
              <w:rPr>
                <w:rFonts w:hint="default" w:ascii="Times New Roman" w:hAnsi="Times New Roman" w:eastAsia="仿宋_GB2312" w:cs="Times New Roman"/>
                <w:b w:val="0"/>
                <w:bCs/>
                <w:color w:val="auto"/>
                <w:kern w:val="0"/>
                <w:sz w:val="24"/>
                <w:szCs w:val="24"/>
                <w:highlight w:val="none"/>
                <w:vertAlign w:val="baseline"/>
                <w:lang w:val="en-US" w:eastAsia="zh-CN"/>
              </w:rPr>
              <w:t>0.25</w:t>
            </w:r>
          </w:p>
        </w:tc>
        <w:tc>
          <w:tcPr>
            <w:tcW w:w="1314" w:type="dxa"/>
            <w:noWrap w:val="0"/>
            <w:vAlign w:val="center"/>
          </w:tcPr>
          <w:p>
            <w:pPr>
              <w:widowControl/>
              <w:jc w:val="right"/>
              <w:outlineLvl w:val="1"/>
              <w:rPr>
                <w:rFonts w:hint="default" w:ascii="Times New Roman" w:hAnsi="Times New Roman" w:eastAsia="仿宋_GB2312" w:cs="Times New Roman"/>
                <w:b w:val="0"/>
                <w:bCs/>
                <w:color w:val="auto"/>
                <w:kern w:val="0"/>
                <w:sz w:val="24"/>
                <w:szCs w:val="24"/>
                <w:highlight w:val="none"/>
                <w:vertAlign w:val="baseline"/>
                <w:lang w:val="en-US" w:eastAsia="zh-CN"/>
              </w:rPr>
            </w:pPr>
            <w:r>
              <w:rPr>
                <w:rFonts w:hint="default" w:ascii="Times New Roman" w:hAnsi="Times New Roman" w:eastAsia="仿宋_GB2312" w:cs="Times New Roman"/>
                <w:b w:val="0"/>
                <w:bCs/>
                <w:color w:val="auto"/>
                <w:kern w:val="0"/>
                <w:sz w:val="24"/>
                <w:szCs w:val="24"/>
                <w:highlight w:val="none"/>
                <w:vertAlign w:val="baseline"/>
                <w:lang w:val="en-US" w:eastAsia="zh-CN"/>
              </w:rPr>
              <w:t>0.25</w:t>
            </w:r>
          </w:p>
        </w:tc>
        <w:tc>
          <w:tcPr>
            <w:tcW w:w="1595" w:type="dxa"/>
            <w:noWrap w:val="0"/>
            <w:vAlign w:val="top"/>
          </w:tcPr>
          <w:p>
            <w:pPr>
              <w:widowControl/>
              <w:outlineLvl w:val="1"/>
              <w:rPr>
                <w:rFonts w:hint="eastAsia" w:ascii="仿宋_GB2312" w:hAnsi="宋体" w:eastAsia="仿宋_GB2312"/>
                <w:b w:val="0"/>
                <w:bCs/>
                <w:color w:val="auto"/>
                <w:kern w:val="0"/>
                <w:sz w:val="24"/>
                <w:szCs w:val="24"/>
                <w:highlight w:val="none"/>
                <w:vertAlign w:val="baseline"/>
              </w:rPr>
            </w:pPr>
          </w:p>
        </w:tc>
        <w:tc>
          <w:tcPr>
            <w:tcW w:w="1621" w:type="dxa"/>
            <w:noWrap w:val="0"/>
            <w:vAlign w:val="top"/>
          </w:tcPr>
          <w:p>
            <w:pPr>
              <w:widowControl/>
              <w:outlineLvl w:val="1"/>
              <w:rPr>
                <w:rFonts w:hint="eastAsia" w:ascii="仿宋_GB2312" w:hAnsi="宋体" w:eastAsia="仿宋_GB2312"/>
                <w:b w:val="0"/>
                <w:bCs/>
                <w:color w:val="auto"/>
                <w:kern w:val="0"/>
                <w:sz w:val="24"/>
                <w:szCs w:val="24"/>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4"/>
                <w:szCs w:val="24"/>
                <w:highlight w:val="none"/>
                <w:vertAlign w:val="baseline"/>
              </w:rPr>
            </w:pPr>
            <w:r>
              <w:rPr>
                <w:rFonts w:hint="eastAsia" w:ascii="仿宋_GB2312" w:hAnsi="宋体" w:eastAsia="仿宋_GB2312"/>
                <w:b/>
                <w:color w:val="auto"/>
                <w:kern w:val="0"/>
                <w:sz w:val="24"/>
                <w:szCs w:val="24"/>
                <w:highlight w:val="none"/>
                <w:vertAlign w:val="baseline"/>
              </w:rPr>
              <w:t>公务用车购置及运行费</w:t>
            </w:r>
          </w:p>
          <w:p>
            <w:pPr>
              <w:widowControl/>
              <w:jc w:val="center"/>
              <w:outlineLvl w:val="1"/>
              <w:rPr>
                <w:rFonts w:hint="eastAsia" w:ascii="仿宋_GB2312" w:hAnsi="宋体" w:eastAsia="仿宋_GB2312"/>
                <w:b/>
                <w:color w:val="auto"/>
                <w:kern w:val="0"/>
                <w:sz w:val="24"/>
                <w:szCs w:val="24"/>
                <w:highlight w:val="none"/>
                <w:vertAlign w:val="baseline"/>
              </w:rPr>
            </w:pPr>
            <w:r>
              <w:rPr>
                <w:rFonts w:hint="eastAsia" w:ascii="仿宋_GB2312" w:hAnsi="宋体" w:eastAsia="仿宋_GB2312"/>
                <w:b/>
                <w:color w:val="auto"/>
                <w:kern w:val="0"/>
                <w:sz w:val="24"/>
                <w:szCs w:val="24"/>
                <w:highlight w:val="none"/>
                <w:vertAlign w:val="baseline"/>
              </w:rPr>
              <w:t>（小计）</w:t>
            </w:r>
          </w:p>
        </w:tc>
        <w:tc>
          <w:tcPr>
            <w:tcW w:w="1215" w:type="dxa"/>
            <w:noWrap w:val="0"/>
            <w:vAlign w:val="center"/>
          </w:tcPr>
          <w:p>
            <w:pPr>
              <w:widowControl/>
              <w:jc w:val="right"/>
              <w:outlineLvl w:val="1"/>
              <w:rPr>
                <w:rFonts w:hint="default" w:ascii="Times New Roman" w:hAnsi="Times New Roman" w:eastAsia="仿宋_GB2312" w:cs="Times New Roman"/>
                <w:b/>
                <w:color w:val="auto"/>
                <w:kern w:val="0"/>
                <w:sz w:val="24"/>
                <w:szCs w:val="24"/>
                <w:highlight w:val="none"/>
                <w:vertAlign w:val="baseline"/>
                <w:lang w:val="en-US" w:eastAsia="zh-CN"/>
              </w:rPr>
            </w:pPr>
            <w:r>
              <w:rPr>
                <w:rFonts w:hint="default" w:ascii="Times New Roman" w:hAnsi="Times New Roman" w:eastAsia="仿宋_GB2312" w:cs="Times New Roman"/>
                <w:b/>
                <w:color w:val="auto"/>
                <w:kern w:val="0"/>
                <w:sz w:val="24"/>
                <w:szCs w:val="24"/>
                <w:highlight w:val="none"/>
                <w:vertAlign w:val="baseline"/>
                <w:lang w:val="en-US" w:eastAsia="zh-CN"/>
              </w:rPr>
              <w:t>2.68</w:t>
            </w:r>
          </w:p>
        </w:tc>
        <w:tc>
          <w:tcPr>
            <w:tcW w:w="1314" w:type="dxa"/>
            <w:noWrap w:val="0"/>
            <w:vAlign w:val="center"/>
          </w:tcPr>
          <w:p>
            <w:pPr>
              <w:widowControl/>
              <w:jc w:val="right"/>
              <w:outlineLvl w:val="1"/>
              <w:rPr>
                <w:rFonts w:hint="default" w:ascii="Times New Roman" w:hAnsi="Times New Roman" w:eastAsia="仿宋_GB2312" w:cs="Times New Roman"/>
                <w:b/>
                <w:color w:val="auto"/>
                <w:kern w:val="0"/>
                <w:sz w:val="24"/>
                <w:szCs w:val="24"/>
                <w:highlight w:val="none"/>
                <w:vertAlign w:val="baseline"/>
                <w:lang w:val="en-US" w:eastAsia="zh-CN"/>
              </w:rPr>
            </w:pPr>
            <w:r>
              <w:rPr>
                <w:rFonts w:hint="default" w:ascii="Times New Roman" w:hAnsi="Times New Roman" w:eastAsia="仿宋_GB2312" w:cs="Times New Roman"/>
                <w:b/>
                <w:color w:val="auto"/>
                <w:kern w:val="0"/>
                <w:sz w:val="24"/>
                <w:szCs w:val="24"/>
                <w:highlight w:val="none"/>
                <w:vertAlign w:val="baseline"/>
                <w:lang w:val="en-US" w:eastAsia="zh-CN"/>
              </w:rPr>
              <w:t>2.68</w:t>
            </w:r>
          </w:p>
        </w:tc>
        <w:tc>
          <w:tcPr>
            <w:tcW w:w="1595" w:type="dxa"/>
            <w:noWrap w:val="0"/>
            <w:vAlign w:val="top"/>
          </w:tcPr>
          <w:p>
            <w:pPr>
              <w:widowControl/>
              <w:outlineLvl w:val="1"/>
              <w:rPr>
                <w:rFonts w:hint="eastAsia" w:ascii="仿宋_GB2312" w:hAnsi="宋体" w:eastAsia="仿宋_GB2312"/>
                <w:b/>
                <w:color w:val="auto"/>
                <w:kern w:val="0"/>
                <w:sz w:val="24"/>
                <w:szCs w:val="24"/>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4"/>
                <w:szCs w:val="24"/>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ind w:firstLine="240" w:firstLineChars="100"/>
              <w:outlineLvl w:val="1"/>
              <w:rPr>
                <w:rFonts w:hint="eastAsia" w:ascii="仿宋_GB2312" w:hAnsi="宋体" w:eastAsia="仿宋_GB2312"/>
                <w:b w:val="0"/>
                <w:bCs/>
                <w:color w:val="auto"/>
                <w:kern w:val="0"/>
                <w:sz w:val="24"/>
                <w:szCs w:val="24"/>
                <w:highlight w:val="none"/>
                <w:vertAlign w:val="baseline"/>
              </w:rPr>
            </w:pPr>
            <w:r>
              <w:rPr>
                <w:rFonts w:hint="eastAsia" w:ascii="仿宋_GB2312" w:hAnsi="宋体" w:eastAsia="仿宋_GB2312"/>
                <w:b w:val="0"/>
                <w:bCs/>
                <w:color w:val="auto"/>
                <w:kern w:val="0"/>
                <w:sz w:val="24"/>
                <w:szCs w:val="24"/>
                <w:highlight w:val="none"/>
                <w:vertAlign w:val="baseline"/>
              </w:rPr>
              <w:t>其中：公务用车购置费</w:t>
            </w:r>
          </w:p>
        </w:tc>
        <w:tc>
          <w:tcPr>
            <w:tcW w:w="1215" w:type="dxa"/>
            <w:noWrap w:val="0"/>
            <w:vAlign w:val="center"/>
          </w:tcPr>
          <w:p>
            <w:pPr>
              <w:widowControl/>
              <w:jc w:val="right"/>
              <w:outlineLvl w:val="1"/>
              <w:rPr>
                <w:rFonts w:hint="default" w:ascii="Times New Roman" w:hAnsi="Times New Roman" w:eastAsia="仿宋_GB2312" w:cs="Times New Roman"/>
                <w:b w:val="0"/>
                <w:bCs/>
                <w:color w:val="auto"/>
                <w:kern w:val="0"/>
                <w:sz w:val="24"/>
                <w:szCs w:val="24"/>
                <w:highlight w:val="none"/>
                <w:vertAlign w:val="baseline"/>
                <w:lang w:val="en-US" w:eastAsia="zh-CN"/>
              </w:rPr>
            </w:pPr>
          </w:p>
        </w:tc>
        <w:tc>
          <w:tcPr>
            <w:tcW w:w="1314" w:type="dxa"/>
            <w:noWrap w:val="0"/>
            <w:vAlign w:val="center"/>
          </w:tcPr>
          <w:p>
            <w:pPr>
              <w:widowControl/>
              <w:jc w:val="right"/>
              <w:outlineLvl w:val="1"/>
              <w:rPr>
                <w:rFonts w:hint="default" w:ascii="Times New Roman" w:hAnsi="Times New Roman" w:eastAsia="仿宋_GB2312" w:cs="Times New Roman"/>
                <w:b w:val="0"/>
                <w:bCs/>
                <w:color w:val="auto"/>
                <w:kern w:val="0"/>
                <w:sz w:val="24"/>
                <w:szCs w:val="24"/>
                <w:highlight w:val="none"/>
                <w:vertAlign w:val="baseline"/>
              </w:rPr>
            </w:pPr>
          </w:p>
        </w:tc>
        <w:tc>
          <w:tcPr>
            <w:tcW w:w="1595" w:type="dxa"/>
            <w:noWrap w:val="0"/>
            <w:vAlign w:val="top"/>
          </w:tcPr>
          <w:p>
            <w:pPr>
              <w:widowControl/>
              <w:outlineLvl w:val="1"/>
              <w:rPr>
                <w:rFonts w:hint="eastAsia" w:ascii="仿宋_GB2312" w:hAnsi="宋体" w:eastAsia="仿宋_GB2312"/>
                <w:b w:val="0"/>
                <w:bCs/>
                <w:color w:val="auto"/>
                <w:kern w:val="0"/>
                <w:sz w:val="24"/>
                <w:szCs w:val="24"/>
                <w:highlight w:val="none"/>
                <w:vertAlign w:val="baseline"/>
              </w:rPr>
            </w:pPr>
          </w:p>
        </w:tc>
        <w:tc>
          <w:tcPr>
            <w:tcW w:w="1621" w:type="dxa"/>
            <w:noWrap w:val="0"/>
            <w:vAlign w:val="top"/>
          </w:tcPr>
          <w:p>
            <w:pPr>
              <w:widowControl/>
              <w:outlineLvl w:val="1"/>
              <w:rPr>
                <w:rFonts w:hint="eastAsia" w:ascii="仿宋_GB2312" w:hAnsi="宋体" w:eastAsia="仿宋_GB2312"/>
                <w:b w:val="0"/>
                <w:bCs/>
                <w:color w:val="auto"/>
                <w:kern w:val="0"/>
                <w:sz w:val="24"/>
                <w:szCs w:val="24"/>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val="0"/>
                <w:bCs/>
                <w:color w:val="auto"/>
                <w:kern w:val="0"/>
                <w:sz w:val="24"/>
                <w:szCs w:val="24"/>
                <w:highlight w:val="none"/>
                <w:vertAlign w:val="baseline"/>
              </w:rPr>
            </w:pPr>
            <w:r>
              <w:rPr>
                <w:rFonts w:hint="eastAsia" w:ascii="仿宋_GB2312" w:hAnsi="宋体" w:eastAsia="仿宋_GB2312"/>
                <w:b w:val="0"/>
                <w:bCs/>
                <w:color w:val="auto"/>
                <w:kern w:val="0"/>
                <w:sz w:val="24"/>
                <w:szCs w:val="24"/>
                <w:highlight w:val="none"/>
                <w:vertAlign w:val="baseline"/>
              </w:rPr>
              <w:t xml:space="preserve">     </w:t>
            </w:r>
            <w:r>
              <w:rPr>
                <w:rFonts w:hint="default" w:ascii="仿宋_GB2312" w:hAnsi="宋体" w:eastAsia="仿宋_GB2312"/>
                <w:b w:val="0"/>
                <w:bCs/>
                <w:color w:val="auto"/>
                <w:kern w:val="0"/>
                <w:sz w:val="24"/>
                <w:szCs w:val="24"/>
                <w:highlight w:val="none"/>
                <w:vertAlign w:val="baseline"/>
              </w:rPr>
              <w:t xml:space="preserve">  </w:t>
            </w:r>
            <w:r>
              <w:rPr>
                <w:rFonts w:hint="eastAsia" w:ascii="仿宋_GB2312" w:hAnsi="宋体" w:eastAsia="仿宋_GB2312"/>
                <w:b w:val="0"/>
                <w:bCs/>
                <w:color w:val="auto"/>
                <w:kern w:val="0"/>
                <w:sz w:val="24"/>
                <w:szCs w:val="24"/>
                <w:highlight w:val="none"/>
                <w:vertAlign w:val="baseline"/>
              </w:rPr>
              <w:t xml:space="preserve"> 公务用车运行费</w:t>
            </w:r>
          </w:p>
        </w:tc>
        <w:tc>
          <w:tcPr>
            <w:tcW w:w="1215" w:type="dxa"/>
            <w:noWrap w:val="0"/>
            <w:vAlign w:val="center"/>
          </w:tcPr>
          <w:p>
            <w:pPr>
              <w:widowControl/>
              <w:jc w:val="right"/>
              <w:outlineLvl w:val="1"/>
              <w:rPr>
                <w:rFonts w:hint="default" w:ascii="Times New Roman" w:hAnsi="Times New Roman" w:eastAsia="仿宋_GB2312" w:cs="Times New Roman"/>
                <w:b w:val="0"/>
                <w:bCs/>
                <w:color w:val="auto"/>
                <w:kern w:val="0"/>
                <w:sz w:val="24"/>
                <w:szCs w:val="24"/>
                <w:highlight w:val="none"/>
                <w:vertAlign w:val="baseline"/>
                <w:lang w:val="en-US" w:eastAsia="zh-CN"/>
              </w:rPr>
            </w:pPr>
            <w:r>
              <w:rPr>
                <w:rFonts w:hint="default" w:ascii="Times New Roman" w:hAnsi="Times New Roman" w:eastAsia="仿宋_GB2312" w:cs="Times New Roman"/>
                <w:b w:val="0"/>
                <w:bCs/>
                <w:color w:val="auto"/>
                <w:kern w:val="0"/>
                <w:sz w:val="24"/>
                <w:szCs w:val="24"/>
                <w:highlight w:val="none"/>
                <w:vertAlign w:val="baseline"/>
                <w:lang w:val="en-US" w:eastAsia="zh-CN"/>
              </w:rPr>
              <w:t>2.68</w:t>
            </w:r>
          </w:p>
        </w:tc>
        <w:tc>
          <w:tcPr>
            <w:tcW w:w="1314" w:type="dxa"/>
            <w:noWrap w:val="0"/>
            <w:vAlign w:val="center"/>
          </w:tcPr>
          <w:p>
            <w:pPr>
              <w:widowControl/>
              <w:jc w:val="right"/>
              <w:outlineLvl w:val="1"/>
              <w:rPr>
                <w:rFonts w:hint="default" w:ascii="Times New Roman" w:hAnsi="Times New Roman" w:eastAsia="仿宋_GB2312" w:cs="Times New Roman"/>
                <w:b w:val="0"/>
                <w:bCs/>
                <w:color w:val="auto"/>
                <w:kern w:val="0"/>
                <w:sz w:val="24"/>
                <w:szCs w:val="24"/>
                <w:highlight w:val="none"/>
                <w:vertAlign w:val="baseline"/>
                <w:lang w:val="en-US" w:eastAsia="zh-CN"/>
              </w:rPr>
            </w:pPr>
            <w:r>
              <w:rPr>
                <w:rFonts w:hint="default" w:ascii="Times New Roman" w:hAnsi="Times New Roman" w:eastAsia="仿宋_GB2312" w:cs="Times New Roman"/>
                <w:b w:val="0"/>
                <w:bCs/>
                <w:color w:val="auto"/>
                <w:kern w:val="0"/>
                <w:sz w:val="24"/>
                <w:szCs w:val="24"/>
                <w:highlight w:val="none"/>
                <w:vertAlign w:val="baseline"/>
                <w:lang w:val="en-US" w:eastAsia="zh-CN"/>
              </w:rPr>
              <w:t>2.68</w:t>
            </w:r>
          </w:p>
        </w:tc>
        <w:tc>
          <w:tcPr>
            <w:tcW w:w="1595" w:type="dxa"/>
            <w:noWrap w:val="0"/>
            <w:vAlign w:val="top"/>
          </w:tcPr>
          <w:p>
            <w:pPr>
              <w:widowControl/>
              <w:outlineLvl w:val="1"/>
              <w:rPr>
                <w:rFonts w:hint="eastAsia" w:ascii="仿宋_GB2312" w:hAnsi="宋体" w:eastAsia="仿宋_GB2312"/>
                <w:b w:val="0"/>
                <w:bCs/>
                <w:color w:val="auto"/>
                <w:kern w:val="0"/>
                <w:sz w:val="24"/>
                <w:szCs w:val="24"/>
                <w:highlight w:val="none"/>
                <w:vertAlign w:val="baseline"/>
              </w:rPr>
            </w:pPr>
          </w:p>
        </w:tc>
        <w:tc>
          <w:tcPr>
            <w:tcW w:w="1621" w:type="dxa"/>
            <w:noWrap w:val="0"/>
            <w:vAlign w:val="top"/>
          </w:tcPr>
          <w:p>
            <w:pPr>
              <w:widowControl/>
              <w:outlineLvl w:val="1"/>
              <w:rPr>
                <w:rFonts w:hint="eastAsia" w:ascii="仿宋_GB2312" w:hAnsi="宋体" w:eastAsia="仿宋_GB2312"/>
                <w:b w:val="0"/>
                <w:bCs/>
                <w:color w:val="auto"/>
                <w:kern w:val="0"/>
                <w:sz w:val="24"/>
                <w:szCs w:val="24"/>
                <w:highlight w:val="none"/>
                <w:vertAlign w:val="baseline"/>
              </w:rPr>
            </w:pPr>
          </w:p>
        </w:tc>
      </w:tr>
    </w:tbl>
    <w:p>
      <w:pPr>
        <w:rPr>
          <w:rFonts w:hint="eastAsia" w:ascii="宋体" w:hAnsi="宋体" w:eastAsia="宋体" w:cs="宋体"/>
          <w:i w:val="0"/>
          <w:color w:val="auto"/>
          <w:kern w:val="0"/>
          <w:sz w:val="20"/>
          <w:szCs w:val="20"/>
          <w:highlight w:val="none"/>
          <w:u w:val="none"/>
          <w:lang w:val="en-US" w:eastAsia="zh-CN" w:bidi="ar"/>
        </w:rPr>
      </w:pPr>
      <w:r>
        <w:rPr>
          <w:rFonts w:hint="eastAsia"/>
          <w:lang w:val="en-US" w:eastAsia="zh-CN"/>
        </w:rPr>
        <w:br w:type="page"/>
      </w: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891" w:firstLineChars="900"/>
        <w:jc w:val="left"/>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呼图壁县自然资源局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11"/>
        <w:tblpPr w:leftFromText="180" w:rightFromText="180" w:vertAnchor="text" w:horzAnchor="page" w:tblpXSpec="center" w:tblpY="190"/>
        <w:tblOverlap w:val="never"/>
        <w:tblW w:w="96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8" w:hRule="atLeast"/>
          <w:jc w:val="center"/>
        </w:trPr>
        <w:tc>
          <w:tcPr>
            <w:tcW w:w="1287" w:type="dxa"/>
            <w:noWrap w:val="0"/>
            <w:vAlign w:val="center"/>
          </w:tcPr>
          <w:p>
            <w:pPr>
              <w:spacing w:line="240" w:lineRule="auto"/>
              <w:jc w:val="center"/>
              <w:rPr>
                <w:rFonts w:ascii="仿宋" w:hAnsi="仿宋" w:eastAsia="仿宋" w:cs="仿宋_GB2312"/>
                <w:bCs/>
                <w:color w:val="auto"/>
                <w:kern w:val="0"/>
                <w:sz w:val="21"/>
                <w:szCs w:val="21"/>
                <w:highlight w:val="none"/>
              </w:rPr>
            </w:pPr>
            <w:r>
              <w:rPr>
                <w:rFonts w:hint="eastAsia" w:ascii="仿宋" w:hAnsi="仿宋" w:eastAsia="仿宋" w:cs="仿宋_GB2312"/>
                <w:bCs/>
                <w:color w:val="auto"/>
                <w:kern w:val="0"/>
                <w:sz w:val="21"/>
                <w:szCs w:val="21"/>
                <w:highlight w:val="none"/>
              </w:rPr>
              <w:t>为民办实事经费</w:t>
            </w:r>
          </w:p>
        </w:tc>
        <w:tc>
          <w:tcPr>
            <w:tcW w:w="850" w:type="dxa"/>
            <w:noWrap w:val="0"/>
            <w:vAlign w:val="center"/>
          </w:tcPr>
          <w:p>
            <w:pPr>
              <w:spacing w:line="600" w:lineRule="exact"/>
              <w:jc w:val="right"/>
              <w:rPr>
                <w:rFonts w:hint="default" w:ascii="仿宋" w:hAnsi="仿宋" w:eastAsia="仿宋" w:cs="仿宋_GB2312"/>
                <w:bCs/>
                <w:color w:val="auto"/>
                <w:kern w:val="0"/>
                <w:sz w:val="21"/>
                <w:szCs w:val="21"/>
                <w:highlight w:val="none"/>
                <w:lang w:val="en-US" w:eastAsia="zh-CN"/>
              </w:rPr>
            </w:pPr>
            <w:r>
              <w:rPr>
                <w:rFonts w:hint="eastAsia" w:ascii="仿宋" w:hAnsi="仿宋" w:eastAsia="仿宋" w:cs="仿宋_GB2312"/>
                <w:bCs/>
                <w:color w:val="auto"/>
                <w:kern w:val="0"/>
                <w:sz w:val="21"/>
                <w:szCs w:val="21"/>
                <w:highlight w:val="none"/>
                <w:lang w:val="en-US" w:eastAsia="zh-CN"/>
              </w:rPr>
              <w:t>14.20</w:t>
            </w:r>
          </w:p>
        </w:tc>
        <w:tc>
          <w:tcPr>
            <w:tcW w:w="1054" w:type="dxa"/>
            <w:noWrap w:val="0"/>
            <w:vAlign w:val="center"/>
          </w:tcPr>
          <w:p>
            <w:pPr>
              <w:spacing w:line="600" w:lineRule="exact"/>
              <w:jc w:val="right"/>
              <w:rPr>
                <w:rFonts w:hint="default" w:ascii="仿宋" w:hAnsi="仿宋" w:eastAsia="仿宋" w:cs="仿宋_GB2312"/>
                <w:bCs/>
                <w:color w:val="auto"/>
                <w:kern w:val="0"/>
                <w:sz w:val="21"/>
                <w:szCs w:val="21"/>
                <w:highlight w:val="none"/>
                <w:lang w:val="en-US" w:eastAsia="zh-CN"/>
              </w:rPr>
            </w:pPr>
            <w:r>
              <w:rPr>
                <w:rFonts w:hint="eastAsia" w:ascii="仿宋" w:hAnsi="仿宋" w:eastAsia="仿宋" w:cs="仿宋_GB2312"/>
                <w:bCs/>
                <w:color w:val="auto"/>
                <w:kern w:val="0"/>
                <w:sz w:val="21"/>
                <w:szCs w:val="21"/>
                <w:highlight w:val="none"/>
                <w:lang w:val="en-US" w:eastAsia="zh-CN"/>
              </w:rPr>
              <w:t>14.20</w:t>
            </w:r>
          </w:p>
        </w:tc>
        <w:tc>
          <w:tcPr>
            <w:tcW w:w="890" w:type="dxa"/>
            <w:noWrap w:val="0"/>
            <w:vAlign w:val="center"/>
          </w:tcPr>
          <w:p>
            <w:pPr>
              <w:widowControl/>
              <w:spacing w:line="280" w:lineRule="exact"/>
              <w:jc w:val="right"/>
              <w:rPr>
                <w:rFonts w:hint="eastAsia" w:ascii="仿宋_GB2312" w:hAnsi="宋体" w:eastAsia="仿宋_GB2312" w:cs="宋体"/>
                <w:b/>
                <w:bCs/>
                <w:color w:val="auto"/>
                <w:kern w:val="0"/>
                <w:sz w:val="21"/>
                <w:szCs w:val="21"/>
                <w:highlight w:val="none"/>
                <w:lang w:val="en-US" w:eastAsia="zh-CN"/>
              </w:rPr>
            </w:pPr>
          </w:p>
        </w:tc>
        <w:tc>
          <w:tcPr>
            <w:tcW w:w="714" w:type="dxa"/>
            <w:noWrap w:val="0"/>
            <w:vAlign w:val="center"/>
          </w:tcPr>
          <w:p>
            <w:pPr>
              <w:widowControl/>
              <w:spacing w:line="280" w:lineRule="exact"/>
              <w:jc w:val="right"/>
              <w:rPr>
                <w:rFonts w:hint="eastAsia" w:ascii="仿宋_GB2312" w:hAnsi="宋体" w:eastAsia="仿宋_GB2312" w:cs="宋体"/>
                <w:b/>
                <w:bCs/>
                <w:color w:val="auto"/>
                <w:kern w:val="0"/>
                <w:sz w:val="21"/>
                <w:szCs w:val="21"/>
                <w:highlight w:val="none"/>
                <w:lang w:val="en-US" w:eastAsia="zh-CN"/>
              </w:rPr>
            </w:pPr>
          </w:p>
        </w:tc>
        <w:tc>
          <w:tcPr>
            <w:tcW w:w="1211" w:type="dxa"/>
            <w:noWrap w:val="0"/>
            <w:vAlign w:val="center"/>
          </w:tcPr>
          <w:p>
            <w:pPr>
              <w:spacing w:line="600" w:lineRule="exact"/>
              <w:jc w:val="right"/>
              <w:rPr>
                <w:rFonts w:hint="default" w:ascii="仿宋" w:hAnsi="仿宋" w:eastAsia="仿宋" w:cs="仿宋_GB2312"/>
                <w:bCs/>
                <w:color w:val="auto"/>
                <w:kern w:val="0"/>
                <w:sz w:val="21"/>
                <w:szCs w:val="21"/>
                <w:highlight w:val="none"/>
                <w:lang w:val="en-US" w:eastAsia="zh-CN"/>
              </w:rPr>
            </w:pPr>
            <w:r>
              <w:rPr>
                <w:rFonts w:hint="eastAsia" w:ascii="仿宋" w:hAnsi="仿宋" w:eastAsia="仿宋" w:cs="仿宋_GB2312"/>
                <w:bCs/>
                <w:color w:val="auto"/>
                <w:kern w:val="0"/>
                <w:sz w:val="21"/>
                <w:szCs w:val="21"/>
                <w:highlight w:val="none"/>
                <w:lang w:val="en-US" w:eastAsia="zh-CN"/>
              </w:rPr>
              <w:t>14.20</w:t>
            </w:r>
          </w:p>
        </w:tc>
        <w:tc>
          <w:tcPr>
            <w:tcW w:w="797" w:type="dxa"/>
            <w:noWrap w:val="0"/>
            <w:vAlign w:val="center"/>
          </w:tcPr>
          <w:p>
            <w:pPr>
              <w:spacing w:line="600" w:lineRule="exact"/>
              <w:jc w:val="right"/>
              <w:rPr>
                <w:rFonts w:ascii="仿宋" w:hAnsi="仿宋" w:eastAsia="仿宋" w:cs="仿宋_GB2312"/>
                <w:bCs/>
                <w:color w:val="auto"/>
                <w:kern w:val="0"/>
                <w:sz w:val="21"/>
                <w:szCs w:val="21"/>
                <w:highlight w:val="none"/>
              </w:rPr>
            </w:pPr>
          </w:p>
        </w:tc>
        <w:tc>
          <w:tcPr>
            <w:tcW w:w="723" w:type="dxa"/>
            <w:noWrap w:val="0"/>
            <w:vAlign w:val="center"/>
          </w:tcPr>
          <w:p>
            <w:pPr>
              <w:spacing w:line="600" w:lineRule="exact"/>
              <w:jc w:val="center"/>
              <w:rPr>
                <w:rFonts w:ascii="仿宋" w:hAnsi="仿宋" w:eastAsia="仿宋" w:cs="仿宋_GB2312"/>
                <w:bCs/>
                <w:color w:val="auto"/>
                <w:kern w:val="0"/>
                <w:sz w:val="21"/>
                <w:szCs w:val="21"/>
                <w:highlight w:val="none"/>
              </w:rPr>
            </w:pPr>
          </w:p>
        </w:tc>
        <w:tc>
          <w:tcPr>
            <w:tcW w:w="881" w:type="dxa"/>
            <w:noWrap w:val="0"/>
            <w:vAlign w:val="center"/>
          </w:tcPr>
          <w:p>
            <w:pPr>
              <w:spacing w:line="600" w:lineRule="exact"/>
              <w:jc w:val="center"/>
              <w:rPr>
                <w:rFonts w:ascii="仿宋" w:hAnsi="仿宋" w:eastAsia="仿宋" w:cs="仿宋_GB2312"/>
                <w:bCs/>
                <w:color w:val="auto"/>
                <w:kern w:val="0"/>
                <w:sz w:val="21"/>
                <w:szCs w:val="21"/>
                <w:highlight w:val="none"/>
              </w:rPr>
            </w:pPr>
          </w:p>
        </w:tc>
        <w:tc>
          <w:tcPr>
            <w:tcW w:w="1211" w:type="dxa"/>
            <w:noWrap w:val="0"/>
            <w:vAlign w:val="center"/>
          </w:tcPr>
          <w:p>
            <w:pPr>
              <w:spacing w:line="600" w:lineRule="exact"/>
              <w:jc w:val="center"/>
              <w:rPr>
                <w:rFonts w:ascii="仿宋" w:hAnsi="仿宋" w:eastAsia="仿宋" w:cs="仿宋_GB2312"/>
                <w:bCs/>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8" w:hRule="atLeast"/>
          <w:jc w:val="center"/>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right"/>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right"/>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right"/>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right"/>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right"/>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right"/>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8" w:hRule="atLeast"/>
          <w:jc w:val="center"/>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right"/>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right"/>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right"/>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right"/>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right"/>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right"/>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hint="eastAsia" w:ascii="仿宋" w:hAnsi="仿宋" w:eastAsia="仿宋" w:cs="仿宋_GB2312"/>
                <w:bCs/>
                <w:color w:val="auto"/>
                <w:kern w:val="0"/>
                <w:sz w:val="28"/>
                <w:szCs w:val="28"/>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1054" w:type="dxa"/>
            <w:noWrap w:val="0"/>
            <w:vAlign w:val="center"/>
          </w:tcPr>
          <w:p>
            <w:pPr>
              <w:spacing w:line="600" w:lineRule="exact"/>
              <w:jc w:val="right"/>
              <w:rPr>
                <w:rFonts w:hint="default" w:ascii="仿宋" w:hAnsi="仿宋" w:eastAsia="仿宋" w:cs="仿宋_GB2312"/>
                <w:bCs/>
                <w:color w:val="auto"/>
                <w:kern w:val="0"/>
                <w:sz w:val="21"/>
                <w:szCs w:val="21"/>
                <w:highlight w:val="none"/>
                <w:lang w:val="en-US" w:eastAsia="zh-CN"/>
              </w:rPr>
            </w:pPr>
            <w:r>
              <w:rPr>
                <w:rFonts w:hint="eastAsia" w:ascii="仿宋" w:hAnsi="仿宋" w:eastAsia="仿宋" w:cs="仿宋_GB2312"/>
                <w:bCs/>
                <w:color w:val="auto"/>
                <w:kern w:val="0"/>
                <w:sz w:val="21"/>
                <w:szCs w:val="21"/>
                <w:highlight w:val="none"/>
                <w:lang w:val="en-US" w:eastAsia="zh-CN"/>
              </w:rPr>
              <w:t>14.20</w:t>
            </w:r>
          </w:p>
        </w:tc>
        <w:tc>
          <w:tcPr>
            <w:tcW w:w="890" w:type="dxa"/>
            <w:noWrap w:val="0"/>
            <w:vAlign w:val="center"/>
          </w:tcPr>
          <w:p>
            <w:pPr>
              <w:widowControl/>
              <w:spacing w:line="280" w:lineRule="exact"/>
              <w:jc w:val="right"/>
              <w:rPr>
                <w:rFonts w:hint="eastAsia" w:ascii="仿宋_GB2312" w:hAnsi="宋体" w:eastAsia="仿宋_GB2312" w:cs="宋体"/>
                <w:b/>
                <w:bCs/>
                <w:color w:val="auto"/>
                <w:kern w:val="0"/>
                <w:sz w:val="21"/>
                <w:szCs w:val="21"/>
                <w:highlight w:val="none"/>
                <w:lang w:val="en-US" w:eastAsia="zh-CN"/>
              </w:rPr>
            </w:pPr>
          </w:p>
        </w:tc>
        <w:tc>
          <w:tcPr>
            <w:tcW w:w="714" w:type="dxa"/>
            <w:noWrap w:val="0"/>
            <w:vAlign w:val="center"/>
          </w:tcPr>
          <w:p>
            <w:pPr>
              <w:widowControl/>
              <w:spacing w:line="280" w:lineRule="exact"/>
              <w:jc w:val="right"/>
              <w:rPr>
                <w:rFonts w:hint="eastAsia" w:ascii="仿宋_GB2312" w:hAnsi="宋体" w:eastAsia="仿宋_GB2312" w:cs="宋体"/>
                <w:b/>
                <w:bCs/>
                <w:color w:val="auto"/>
                <w:kern w:val="0"/>
                <w:sz w:val="21"/>
                <w:szCs w:val="21"/>
                <w:highlight w:val="none"/>
                <w:lang w:val="en-US" w:eastAsia="zh-CN"/>
              </w:rPr>
            </w:pPr>
          </w:p>
        </w:tc>
        <w:tc>
          <w:tcPr>
            <w:tcW w:w="1211" w:type="dxa"/>
            <w:noWrap w:val="0"/>
            <w:vAlign w:val="center"/>
          </w:tcPr>
          <w:p>
            <w:pPr>
              <w:spacing w:line="600" w:lineRule="exact"/>
              <w:jc w:val="right"/>
              <w:rPr>
                <w:rFonts w:hint="default" w:ascii="仿宋" w:hAnsi="仿宋" w:eastAsia="仿宋" w:cs="仿宋_GB2312"/>
                <w:bCs/>
                <w:color w:val="auto"/>
                <w:kern w:val="0"/>
                <w:sz w:val="21"/>
                <w:szCs w:val="21"/>
                <w:highlight w:val="none"/>
                <w:lang w:val="en-US" w:eastAsia="zh-CN"/>
              </w:rPr>
            </w:pPr>
            <w:r>
              <w:rPr>
                <w:rFonts w:hint="eastAsia" w:ascii="仿宋" w:hAnsi="仿宋" w:eastAsia="仿宋" w:cs="仿宋_GB2312"/>
                <w:bCs/>
                <w:color w:val="auto"/>
                <w:kern w:val="0"/>
                <w:sz w:val="21"/>
                <w:szCs w:val="21"/>
                <w:highlight w:val="none"/>
                <w:lang w:val="en-US" w:eastAsia="zh-CN"/>
              </w:rPr>
              <w:t>14.20</w:t>
            </w: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outlineLvl w:val="1"/>
        <w:rPr>
          <w:rFonts w:hint="eastAsia" w:ascii="仿宋_GB2312" w:hAnsi="宋体" w:eastAsia="仿宋_GB2312"/>
          <w:b/>
          <w:color w:val="FF0000"/>
          <w:kern w:val="0"/>
          <w:sz w:val="28"/>
          <w:szCs w:val="32"/>
          <w:highlight w:val="none"/>
          <w:lang w:eastAsia="zh-CN"/>
        </w:rPr>
      </w:pPr>
    </w:p>
    <w:p>
      <w:pPr>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val="en-US" w:eastAsia="zh-CN"/>
        </w:rPr>
        <w:t>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center"/>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left"/>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color w:val="auto"/>
          <w:kern w:val="0"/>
          <w:sz w:val="32"/>
          <w:szCs w:val="32"/>
          <w:highlight w:val="none"/>
          <w:lang w:val="en-US" w:eastAsia="zh-CN"/>
        </w:rPr>
        <w:t>呼图壁县自然资源局2025</w:t>
      </w:r>
      <w:r>
        <w:rPr>
          <w:rFonts w:hint="eastAsia" w:ascii="楷体_GB2312" w:hAnsi="楷体_GB2312" w:eastAsia="楷体_GB2312" w:cs="楷体_GB2312"/>
          <w:b/>
          <w:bCs w:val="0"/>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仿宋_GB2312" w:eastAsia="仿宋_GB2312" w:cs="仿宋_GB2312"/>
          <w:color w:val="auto"/>
          <w:kern w:val="0"/>
          <w:sz w:val="32"/>
          <w:szCs w:val="32"/>
          <w:highlight w:val="none"/>
          <w:lang w:val="en-US" w:eastAsia="zh-CN"/>
        </w:rPr>
        <w:t>呼图壁县自然资源局2025</w:t>
      </w:r>
      <w:r>
        <w:rPr>
          <w:rFonts w:hint="eastAsia" w:ascii="仿宋_GB2312" w:hAnsi="宋体" w:eastAsia="仿宋_GB2312" w:cs="宋体"/>
          <w:color w:val="auto"/>
          <w:kern w:val="0"/>
          <w:sz w:val="32"/>
          <w:szCs w:val="32"/>
          <w:highlight w:val="none"/>
        </w:rPr>
        <w:t>年所有收入和支出均纳入</w:t>
      </w:r>
      <w:r>
        <w:rPr>
          <w:rFonts w:hint="eastAsia" w:ascii="仿宋_GB2312" w:hAnsi="宋体" w:eastAsia="仿宋_GB2312" w:cs="宋体"/>
          <w:color w:val="auto"/>
          <w:kern w:val="0"/>
          <w:sz w:val="32"/>
          <w:szCs w:val="32"/>
          <w:highlight w:val="none"/>
          <w:lang w:val="en-US" w:eastAsia="zh-CN"/>
        </w:rPr>
        <w:t>部门</w:t>
      </w:r>
      <w:r>
        <w:rPr>
          <w:rFonts w:hint="eastAsia" w:ascii="仿宋_GB2312" w:hAnsi="宋体" w:eastAsia="仿宋_GB2312" w:cs="宋体"/>
          <w:color w:val="auto"/>
          <w:kern w:val="0"/>
          <w:sz w:val="32"/>
          <w:szCs w:val="32"/>
          <w:highlight w:val="none"/>
        </w:rPr>
        <w:t>预算管理。收支总预算</w:t>
      </w:r>
      <w:r>
        <w:rPr>
          <w:rFonts w:hint="eastAsia" w:ascii="仿宋_GB2312" w:hAnsi="宋体" w:eastAsia="仿宋_GB2312" w:cs="宋体"/>
          <w:color w:val="auto"/>
          <w:kern w:val="0"/>
          <w:sz w:val="32"/>
          <w:szCs w:val="32"/>
          <w:highlight w:val="none"/>
          <w:lang w:val="en-US" w:eastAsia="zh-CN"/>
        </w:rPr>
        <w:t>1116.83</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kern w:val="0"/>
          <w:sz w:val="32"/>
          <w:szCs w:val="32"/>
          <w:highlight w:val="none"/>
          <w:lang w:val="en-US" w:eastAsia="zh-Hans"/>
        </w:rPr>
        <w:t>单位资金、财政拨款结转结余</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支出预算包括：社会保障和就业支出、卫生健康支出、自然资源海洋气象等支出、住房保障支出</w:t>
      </w:r>
      <w:r>
        <w:rPr>
          <w:rFonts w:hint="eastAsia" w:ascii="仿宋_GB2312" w:hAnsi="宋体" w:eastAsia="仿宋_GB2312" w:cs="宋体"/>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color w:val="auto"/>
          <w:kern w:val="0"/>
          <w:sz w:val="32"/>
          <w:szCs w:val="32"/>
          <w:highlight w:val="none"/>
          <w:lang w:val="en-US" w:eastAsia="zh-CN"/>
        </w:rPr>
        <w:t>呼图壁县自然资源局</w:t>
      </w:r>
      <w:r>
        <w:rPr>
          <w:rFonts w:hint="eastAsia" w:ascii="楷体_GB2312" w:hAnsi="楷体_GB2312" w:eastAsia="楷体_GB2312" w:cs="楷体_GB2312"/>
          <w:b/>
          <w:bCs/>
          <w:color w:val="auto"/>
          <w:kern w:val="0"/>
          <w:sz w:val="32"/>
          <w:szCs w:val="32"/>
          <w:highlight w:val="none"/>
          <w:lang w:eastAsia="zh-CN"/>
        </w:rPr>
        <w:t>部门</w:t>
      </w:r>
      <w:r>
        <w:rPr>
          <w:rFonts w:hint="eastAsia" w:ascii="楷体_GB2312" w:hAnsi="楷体_GB2312" w:eastAsia="楷体_GB2312" w:cs="楷体_GB2312"/>
          <w:b/>
          <w:bCs/>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呼图壁县自然资源局</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1116.83</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802.63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71.87</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55.91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7.49%，</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人员增加，项目支出增加；</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未安排。</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政府性基金预算</w:t>
      </w:r>
      <w:r>
        <w:rPr>
          <w:rFonts w:hint="eastAsia" w:ascii="仿宋_GB2312" w:hAnsi="宋体" w:eastAsia="仿宋_GB2312" w:cs="宋体"/>
          <w:color w:val="auto"/>
          <w:kern w:val="0"/>
          <w:sz w:val="32"/>
          <w:szCs w:val="32"/>
          <w:highlight w:val="none"/>
          <w:lang w:val="en-US" w:eastAsia="zh-CN"/>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eastAsia="zh-Hans"/>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r>
        <w:rPr>
          <w:rFonts w:hint="default" w:ascii="仿宋_GB2312" w:hAnsi="宋体" w:eastAsia="仿宋_GB2312" w:cs="宋体"/>
          <w:color w:val="auto"/>
          <w:kern w:val="0"/>
          <w:sz w:val="32"/>
          <w:szCs w:val="32"/>
          <w:highlight w:val="none"/>
          <w:lang w:eastAsia="zh-Hans"/>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ind w:left="958" w:leftChars="304" w:hanging="320" w:hangingChars="1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300.00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26.86</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36.00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13.64%，</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在职人员增加3人，单位资金相应新增资金安排</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14.20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1.27</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14.20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2024年度为民办实事资金未执行完结转至2025年继续使用。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val="en-US" w:eastAsia="zh-CN"/>
        </w:rPr>
        <w:t>呼图壁县自然资源局2025</w:t>
      </w:r>
      <w:r>
        <w:rPr>
          <w:rFonts w:hint="eastAsia" w:ascii="楷体_GB2312" w:hAnsi="楷体_GB2312" w:eastAsia="楷体_GB2312" w:cs="楷体_GB2312"/>
          <w:b/>
          <w:bCs/>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呼图壁县自然资源局2025</w:t>
      </w:r>
      <w:r>
        <w:rPr>
          <w:rFonts w:hint="eastAsia" w:ascii="仿宋_GB2312" w:hAnsi="宋体" w:eastAsia="仿宋_GB2312" w:cs="宋体"/>
          <w:color w:val="auto"/>
          <w:kern w:val="0"/>
          <w:sz w:val="32"/>
          <w:szCs w:val="32"/>
          <w:highlight w:val="none"/>
        </w:rPr>
        <w:t>年支出预算</w:t>
      </w:r>
      <w:r>
        <w:rPr>
          <w:rFonts w:hint="eastAsia" w:ascii="仿宋_GB2312" w:hAnsi="宋体" w:eastAsia="仿宋_GB2312" w:cs="宋体"/>
          <w:color w:val="auto"/>
          <w:kern w:val="0"/>
          <w:sz w:val="32"/>
          <w:szCs w:val="32"/>
          <w:highlight w:val="none"/>
          <w:lang w:val="en-US" w:eastAsia="zh-CN"/>
        </w:rPr>
        <w:t>1116.83</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1102.63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98.73</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91.91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9.09%，</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人员工资增加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b/>
          <w:color w:val="auto"/>
          <w:spacing w:val="-6"/>
          <w:kern w:val="0"/>
          <w:sz w:val="32"/>
          <w:szCs w:val="32"/>
          <w:highlight w:val="none"/>
          <w:lang w:val="en-US" w:eastAsia="zh-CN"/>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14.20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1.27</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35.80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71.6%，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本年上级安排项目减少，新疆昌吉州呼图壁县地质灾害项目本年度未安排。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val="en-US" w:eastAsia="zh-CN"/>
        </w:rPr>
        <w:t>呼图壁县自然资源局2025</w:t>
      </w:r>
      <w:r>
        <w:rPr>
          <w:rFonts w:hint="eastAsia" w:ascii="楷体_GB2312" w:hAnsi="楷体_GB2312" w:eastAsia="楷体_GB2312" w:cs="楷体_GB2312"/>
          <w:b/>
          <w:bCs/>
          <w:color w:val="auto"/>
          <w:kern w:val="0"/>
          <w:sz w:val="32"/>
          <w:szCs w:val="32"/>
          <w:highlight w:val="none"/>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年财政拨款收支总预算</w:t>
      </w:r>
      <w:r>
        <w:rPr>
          <w:rFonts w:hint="eastAsia" w:ascii="仿宋_GB2312" w:hAnsi="宋体" w:eastAsia="仿宋_GB2312" w:cs="宋体"/>
          <w:color w:val="auto"/>
          <w:kern w:val="0"/>
          <w:sz w:val="32"/>
          <w:szCs w:val="32"/>
          <w:highlight w:val="none"/>
          <w:lang w:val="en-US" w:eastAsia="zh-CN"/>
        </w:rPr>
        <w:t>802.63</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802.63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w:t>
      </w:r>
      <w:r>
        <w:rPr>
          <w:rFonts w:hint="eastAsia" w:ascii="仿宋_GB2312" w:hAnsi="宋体" w:eastAsia="仿宋_GB2312" w:cs="宋体"/>
          <w:color w:val="auto"/>
          <w:kern w:val="0"/>
          <w:sz w:val="32"/>
          <w:szCs w:val="32"/>
          <w:highlight w:val="none"/>
          <w:lang w:val="en-US" w:eastAsia="zh-CN"/>
        </w:rPr>
        <w:t>社会保障和就业支出 89.42万元，主要用于人员社保缴费；卫生健康支出57.60万元，主要用于人员医保缴费；自然资源海洋气象等支出592.59万元，主要用于人员经费、公用经费支出；住房保障支出63.02万元，主要用于人员经费</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呼图壁县自然资源局2025</w:t>
      </w:r>
      <w:r>
        <w:rPr>
          <w:rFonts w:hint="eastAsia" w:ascii="楷体_GB2312" w:hAnsi="楷体_GB2312" w:eastAsia="楷体_GB2312" w:cs="楷体_GB2312"/>
          <w:b/>
          <w:bCs/>
          <w:color w:val="auto"/>
          <w:spacing w:val="-6"/>
          <w:kern w:val="0"/>
          <w:sz w:val="32"/>
          <w:szCs w:val="32"/>
          <w:highlight w:val="none"/>
        </w:rPr>
        <w:t>年一般公共预算当年拨款情况说明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呼图壁县自然资源局2025</w:t>
      </w:r>
      <w:r>
        <w:rPr>
          <w:rFonts w:hint="eastAsia" w:ascii="仿宋_GB2312" w:hAnsi="仿宋_GB2312" w:eastAsia="仿宋_GB2312" w:cs="仿宋_GB2312"/>
          <w:color w:val="auto"/>
          <w:kern w:val="0"/>
          <w:sz w:val="32"/>
          <w:szCs w:val="32"/>
          <w:highlight w:val="none"/>
        </w:rPr>
        <w:t>年一般公共预算拨款合计</w:t>
      </w:r>
      <w:r>
        <w:rPr>
          <w:rFonts w:hint="eastAsia" w:ascii="仿宋_GB2312" w:hAnsi="仿宋_GB2312" w:eastAsia="仿宋_GB2312" w:cs="仿宋_GB2312"/>
          <w:color w:val="auto"/>
          <w:kern w:val="0"/>
          <w:sz w:val="32"/>
          <w:szCs w:val="32"/>
          <w:highlight w:val="none"/>
          <w:lang w:val="en-US" w:eastAsia="zh-CN"/>
        </w:rPr>
        <w:t>802.63</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802.63</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35.91</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4.68</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人员工资增加</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万元，增长</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2024、2025均未安排当年项目支出</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1.社会保障和就业支出（类）89.42万元，占11.14%；</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2.卫生健康支出（类）57.60万元，占7.18%；</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3.自然资源海洋气象等支出（类）592.59万元，占73.83%；</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4.住房保障支出（类）63.02万元，占7.85%。</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auto"/>
          <w:kern w:val="0"/>
          <w:sz w:val="32"/>
          <w:szCs w:val="32"/>
          <w:highlight w:val="none"/>
          <w:lang w:val="en-US" w:eastAsia="zh-CN"/>
        </w:rPr>
        <w:t>1.社会保障和就业支出</w:t>
      </w:r>
      <w:r>
        <w:rPr>
          <w:rFonts w:hint="eastAsia" w:ascii="仿宋_GB2312" w:hAnsi="仿宋_GB2312" w:eastAsia="仿宋_GB2312" w:cs="仿宋_GB2312"/>
          <w:color w:val="auto"/>
          <w:kern w:val="0"/>
          <w:sz w:val="32"/>
          <w:szCs w:val="32"/>
          <w:highlight w:val="none"/>
        </w:rPr>
        <w:t>（类）</w:t>
      </w:r>
      <w:r>
        <w:rPr>
          <w:rFonts w:hint="eastAsia" w:ascii="仿宋_GB2312" w:hAnsi="仿宋_GB2312" w:eastAsia="仿宋_GB2312" w:cs="仿宋_GB2312"/>
          <w:color w:val="auto"/>
          <w:kern w:val="0"/>
          <w:sz w:val="32"/>
          <w:szCs w:val="32"/>
          <w:highlight w:val="none"/>
          <w:lang w:val="en-US" w:eastAsia="zh-CN"/>
        </w:rPr>
        <w:t>行政事业单位养老支出</w:t>
      </w:r>
      <w:r>
        <w:rPr>
          <w:rFonts w:hint="eastAsia" w:ascii="仿宋_GB2312" w:hAnsi="仿宋_GB2312" w:eastAsia="仿宋_GB2312" w:cs="仿宋_GB2312"/>
          <w:color w:val="auto"/>
          <w:kern w:val="0"/>
          <w:sz w:val="32"/>
          <w:szCs w:val="32"/>
          <w:highlight w:val="none"/>
        </w:rPr>
        <w:t>（款</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行政单位离退休</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kern w:val="0"/>
          <w:sz w:val="32"/>
          <w:szCs w:val="32"/>
          <w:highlight w:val="none"/>
          <w:lang w:eastAsia="zh-CN"/>
          <w14:textFill>
            <w14:solidFill>
              <w14:schemeClr w14:val="tx1"/>
            </w14:solidFill>
          </w14:textFill>
        </w:rPr>
        <w:t>202</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5</w:t>
      </w:r>
      <w:r>
        <w:rPr>
          <w:rFonts w:hint="eastAsia" w:ascii="仿宋_GB2312" w:hAnsi="仿宋_GB2312" w:eastAsia="仿宋_GB2312" w:cs="仿宋_GB2312"/>
          <w:color w:val="000000" w:themeColor="text1"/>
          <w:kern w:val="0"/>
          <w:sz w:val="32"/>
          <w:szCs w:val="32"/>
          <w:highlight w:val="none"/>
          <w:lang w:eastAsia="zh-CN"/>
          <w14:textFill>
            <w14:solidFill>
              <w14:schemeClr w14:val="tx1"/>
            </w14:solidFill>
          </w14:textFill>
        </w:rPr>
        <w:t>年</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预算数为</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13.26万元，比上年预算减少9.36万元，下降41.38%，主要原因是：人员减少，相关预算减少。</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color w:val="FF0000"/>
          <w:kern w:val="0"/>
          <w:sz w:val="32"/>
          <w:szCs w:val="32"/>
          <w:highlight w:val="none"/>
        </w:rPr>
      </w:pP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2.社会保障和就业支出</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行政事业单位养老支出</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机关事业单位基本养老保险缴费支出</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kern w:val="0"/>
          <w:sz w:val="32"/>
          <w:szCs w:val="32"/>
          <w:highlight w:val="none"/>
          <w:lang w:eastAsia="zh-CN"/>
          <w14:textFill>
            <w14:solidFill>
              <w14:schemeClr w14:val="tx1"/>
            </w14:solidFill>
          </w14:textFill>
        </w:rPr>
        <w:t>202</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5</w:t>
      </w:r>
      <w:r>
        <w:rPr>
          <w:rFonts w:hint="eastAsia" w:ascii="仿宋_GB2312" w:hAnsi="仿宋_GB2312" w:eastAsia="仿宋_GB2312" w:cs="仿宋_GB2312"/>
          <w:color w:val="000000" w:themeColor="text1"/>
          <w:kern w:val="0"/>
          <w:sz w:val="32"/>
          <w:szCs w:val="32"/>
          <w:highlight w:val="none"/>
          <w:lang w:eastAsia="zh-CN"/>
          <w14:textFill>
            <w14:solidFill>
              <w14:schemeClr w14:val="tx1"/>
            </w14:solidFill>
          </w14:textFill>
        </w:rPr>
        <w:t>年</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预算数为</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76.16万元，比上年预算增加8.28万元，增长12.20%，主要原因是：社保基数上调。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color w:val="FF0000"/>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3.卫生健康支出</w:t>
      </w:r>
      <w:r>
        <w:rPr>
          <w:rFonts w:hint="eastAsia" w:ascii="仿宋_GB2312" w:hAnsi="仿宋_GB2312" w:eastAsia="仿宋_GB2312" w:cs="仿宋_GB2312"/>
          <w:color w:val="auto"/>
          <w:kern w:val="0"/>
          <w:sz w:val="32"/>
          <w:szCs w:val="32"/>
          <w:highlight w:val="none"/>
        </w:rPr>
        <w:t>（类）</w:t>
      </w:r>
      <w:r>
        <w:rPr>
          <w:rFonts w:hint="eastAsia" w:ascii="仿宋_GB2312" w:hAnsi="仿宋_GB2312" w:eastAsia="仿宋_GB2312" w:cs="仿宋_GB2312"/>
          <w:color w:val="auto"/>
          <w:kern w:val="0"/>
          <w:sz w:val="32"/>
          <w:szCs w:val="32"/>
          <w:highlight w:val="none"/>
          <w:lang w:val="en-US" w:eastAsia="zh-CN"/>
        </w:rPr>
        <w:t>行政事业单位医疗</w:t>
      </w:r>
      <w:r>
        <w:rPr>
          <w:rFonts w:hint="eastAsia" w:ascii="仿宋_GB2312" w:hAnsi="仿宋_GB2312" w:eastAsia="仿宋_GB2312" w:cs="仿宋_GB2312"/>
          <w:color w:val="auto"/>
          <w:kern w:val="0"/>
          <w:sz w:val="32"/>
          <w:szCs w:val="32"/>
          <w:highlight w:val="none"/>
        </w:rPr>
        <w:t>（款）</w:t>
      </w:r>
      <w:r>
        <w:rPr>
          <w:rFonts w:hint="eastAsia" w:ascii="仿宋_GB2312" w:hAnsi="仿宋_GB2312" w:eastAsia="仿宋_GB2312" w:cs="仿宋_GB2312"/>
          <w:color w:val="auto"/>
          <w:kern w:val="0"/>
          <w:sz w:val="32"/>
          <w:szCs w:val="32"/>
          <w:highlight w:val="none"/>
          <w:lang w:val="en-US" w:eastAsia="zh-CN"/>
        </w:rPr>
        <w:t>行政单位医疗</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24.07</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增加3.11</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增加14.84</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大队转隶三人，预算增加。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rPr>
      </w:pPr>
      <w:r>
        <w:rPr>
          <w:rFonts w:hint="eastAsia" w:ascii="仿宋_GB2312" w:hAnsi="仿宋_GB2312" w:eastAsia="仿宋_GB2312" w:cs="仿宋_GB2312"/>
          <w:color w:val="auto"/>
          <w:kern w:val="0"/>
          <w:sz w:val="32"/>
          <w:szCs w:val="32"/>
          <w:highlight w:val="none"/>
          <w:lang w:val="en-US" w:eastAsia="zh-CN"/>
        </w:rPr>
        <w:t>4.卫生健康支出</w:t>
      </w:r>
      <w:r>
        <w:rPr>
          <w:rFonts w:hint="eastAsia" w:ascii="仿宋_GB2312" w:hAnsi="仿宋_GB2312" w:eastAsia="仿宋_GB2312" w:cs="仿宋_GB2312"/>
          <w:color w:val="auto"/>
          <w:kern w:val="0"/>
          <w:sz w:val="32"/>
          <w:szCs w:val="32"/>
          <w:highlight w:val="none"/>
        </w:rPr>
        <w:t>（类）</w:t>
      </w:r>
      <w:r>
        <w:rPr>
          <w:rFonts w:hint="eastAsia" w:ascii="仿宋_GB2312" w:hAnsi="仿宋_GB2312" w:eastAsia="仿宋_GB2312" w:cs="仿宋_GB2312"/>
          <w:color w:val="auto"/>
          <w:kern w:val="0"/>
          <w:sz w:val="32"/>
          <w:szCs w:val="32"/>
          <w:highlight w:val="none"/>
          <w:lang w:val="en-US" w:eastAsia="zh-CN"/>
        </w:rPr>
        <w:t>行政事业单位医疗</w:t>
      </w:r>
      <w:r>
        <w:rPr>
          <w:rFonts w:hint="eastAsia" w:ascii="仿宋_GB2312" w:hAnsi="仿宋_GB2312" w:eastAsia="仿宋_GB2312" w:cs="仿宋_GB2312"/>
          <w:color w:val="auto"/>
          <w:kern w:val="0"/>
          <w:sz w:val="32"/>
          <w:szCs w:val="32"/>
          <w:highlight w:val="none"/>
        </w:rPr>
        <w:t>（款）</w:t>
      </w:r>
      <w:r>
        <w:rPr>
          <w:rFonts w:hint="eastAsia" w:ascii="仿宋_GB2312" w:hAnsi="仿宋_GB2312" w:eastAsia="仿宋_GB2312" w:cs="仿宋_GB2312"/>
          <w:color w:val="auto"/>
          <w:kern w:val="0"/>
          <w:sz w:val="32"/>
          <w:szCs w:val="32"/>
          <w:highlight w:val="none"/>
          <w:lang w:val="en-US" w:eastAsia="zh-CN"/>
        </w:rPr>
        <w:t>事业单位医疗</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14.01</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1.03</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7.94</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人员社保基数调整。</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rPr>
      </w:pPr>
      <w:r>
        <w:rPr>
          <w:rFonts w:hint="eastAsia" w:ascii="仿宋_GB2312" w:hAnsi="仿宋_GB2312" w:eastAsia="仿宋_GB2312" w:cs="仿宋_GB2312"/>
          <w:color w:val="auto"/>
          <w:kern w:val="0"/>
          <w:sz w:val="32"/>
          <w:szCs w:val="32"/>
          <w:highlight w:val="none"/>
          <w:lang w:val="en-US" w:eastAsia="zh-CN"/>
        </w:rPr>
        <w:t>5.卫生健康支出</w:t>
      </w:r>
      <w:r>
        <w:rPr>
          <w:rFonts w:hint="eastAsia" w:ascii="仿宋_GB2312" w:hAnsi="仿宋_GB2312" w:eastAsia="仿宋_GB2312" w:cs="仿宋_GB2312"/>
          <w:color w:val="auto"/>
          <w:kern w:val="0"/>
          <w:sz w:val="32"/>
          <w:szCs w:val="32"/>
          <w:highlight w:val="none"/>
        </w:rPr>
        <w:t>（类）</w:t>
      </w:r>
      <w:r>
        <w:rPr>
          <w:rFonts w:hint="eastAsia" w:ascii="仿宋_GB2312" w:hAnsi="仿宋_GB2312" w:eastAsia="仿宋_GB2312" w:cs="仿宋_GB2312"/>
          <w:color w:val="auto"/>
          <w:kern w:val="0"/>
          <w:sz w:val="32"/>
          <w:szCs w:val="32"/>
          <w:highlight w:val="none"/>
          <w:lang w:val="en-US" w:eastAsia="zh-CN"/>
        </w:rPr>
        <w:t>行政事业单位医疗</w:t>
      </w:r>
      <w:r>
        <w:rPr>
          <w:rFonts w:hint="eastAsia" w:ascii="仿宋_GB2312" w:hAnsi="仿宋_GB2312" w:eastAsia="仿宋_GB2312" w:cs="仿宋_GB2312"/>
          <w:color w:val="auto"/>
          <w:kern w:val="0"/>
          <w:sz w:val="32"/>
          <w:szCs w:val="32"/>
          <w:highlight w:val="none"/>
        </w:rPr>
        <w:t>（款）</w:t>
      </w:r>
      <w:r>
        <w:rPr>
          <w:rFonts w:hint="eastAsia" w:ascii="仿宋_GB2312" w:hAnsi="仿宋_GB2312" w:eastAsia="仿宋_GB2312" w:cs="仿宋_GB2312"/>
          <w:color w:val="auto"/>
          <w:kern w:val="0"/>
          <w:sz w:val="32"/>
          <w:szCs w:val="32"/>
          <w:highlight w:val="none"/>
          <w:lang w:val="en-US" w:eastAsia="zh-CN"/>
        </w:rPr>
        <w:t>公务员医疗补助</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19.04</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增加9.71</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增加104.10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大队转隶三人，预算增加。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rPr>
      </w:pPr>
      <w:r>
        <w:rPr>
          <w:rFonts w:hint="eastAsia" w:ascii="仿宋_GB2312" w:hAnsi="仿宋_GB2312" w:eastAsia="仿宋_GB2312" w:cs="仿宋_GB2312"/>
          <w:color w:val="auto"/>
          <w:kern w:val="0"/>
          <w:sz w:val="32"/>
          <w:szCs w:val="32"/>
          <w:highlight w:val="none"/>
          <w:lang w:val="en-US" w:eastAsia="zh-CN"/>
        </w:rPr>
        <w:t>6.卫生健康支出</w:t>
      </w:r>
      <w:r>
        <w:rPr>
          <w:rFonts w:hint="eastAsia" w:ascii="仿宋_GB2312" w:hAnsi="仿宋_GB2312" w:eastAsia="仿宋_GB2312" w:cs="仿宋_GB2312"/>
          <w:color w:val="auto"/>
          <w:kern w:val="0"/>
          <w:sz w:val="32"/>
          <w:szCs w:val="32"/>
          <w:highlight w:val="none"/>
        </w:rPr>
        <w:t>（类）</w:t>
      </w:r>
      <w:r>
        <w:rPr>
          <w:rFonts w:hint="eastAsia" w:ascii="仿宋_GB2312" w:hAnsi="仿宋_GB2312" w:eastAsia="仿宋_GB2312" w:cs="仿宋_GB2312"/>
          <w:color w:val="auto"/>
          <w:kern w:val="0"/>
          <w:sz w:val="32"/>
          <w:szCs w:val="32"/>
          <w:highlight w:val="none"/>
          <w:lang w:val="en-US" w:eastAsia="zh-CN"/>
        </w:rPr>
        <w:t>行政事业单位医疗</w:t>
      </w:r>
      <w:r>
        <w:rPr>
          <w:rFonts w:hint="eastAsia" w:ascii="仿宋_GB2312" w:hAnsi="仿宋_GB2312" w:eastAsia="仿宋_GB2312" w:cs="仿宋_GB2312"/>
          <w:color w:val="auto"/>
          <w:kern w:val="0"/>
          <w:sz w:val="32"/>
          <w:szCs w:val="32"/>
          <w:highlight w:val="none"/>
        </w:rPr>
        <w:t>（款）</w:t>
      </w:r>
      <w:r>
        <w:rPr>
          <w:rFonts w:hint="eastAsia" w:ascii="仿宋_GB2312" w:hAnsi="仿宋_GB2312" w:eastAsia="仿宋_GB2312" w:cs="仿宋_GB2312"/>
          <w:color w:val="auto"/>
          <w:kern w:val="0"/>
          <w:sz w:val="32"/>
          <w:szCs w:val="32"/>
          <w:highlight w:val="none"/>
          <w:lang w:val="en-US" w:eastAsia="zh-CN"/>
        </w:rPr>
        <w:t>其他行政事业单位医疗支出</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0.48</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0.23</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92.00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人员社保基数调整。</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lang w:val="en-US"/>
        </w:rPr>
      </w:pPr>
      <w:r>
        <w:rPr>
          <w:rFonts w:hint="eastAsia" w:ascii="仿宋_GB2312" w:hAnsi="仿宋_GB2312" w:eastAsia="仿宋_GB2312" w:cs="仿宋_GB2312"/>
          <w:color w:val="auto"/>
          <w:kern w:val="0"/>
          <w:sz w:val="32"/>
          <w:szCs w:val="32"/>
          <w:highlight w:val="none"/>
          <w:lang w:val="en-US" w:eastAsia="zh-CN"/>
        </w:rPr>
        <w:t>7.自然资源海洋气象等支出</w:t>
      </w:r>
      <w:r>
        <w:rPr>
          <w:rFonts w:hint="eastAsia" w:ascii="仿宋_GB2312" w:hAnsi="仿宋_GB2312" w:eastAsia="仿宋_GB2312" w:cs="仿宋_GB2312"/>
          <w:color w:val="auto"/>
          <w:kern w:val="0"/>
          <w:sz w:val="32"/>
          <w:szCs w:val="32"/>
          <w:highlight w:val="none"/>
        </w:rPr>
        <w:t>（类）</w:t>
      </w:r>
      <w:r>
        <w:rPr>
          <w:rFonts w:hint="eastAsia" w:ascii="仿宋_GB2312" w:hAnsi="仿宋_GB2312" w:eastAsia="仿宋_GB2312" w:cs="仿宋_GB2312"/>
          <w:color w:val="auto"/>
          <w:kern w:val="0"/>
          <w:sz w:val="32"/>
          <w:szCs w:val="32"/>
          <w:highlight w:val="none"/>
          <w:lang w:val="en-US" w:eastAsia="zh-CN"/>
        </w:rPr>
        <w:t>自然资源事务</w:t>
      </w:r>
      <w:r>
        <w:rPr>
          <w:rFonts w:hint="eastAsia" w:ascii="仿宋_GB2312" w:hAnsi="仿宋_GB2312" w:eastAsia="仿宋_GB2312" w:cs="仿宋_GB2312"/>
          <w:color w:val="auto"/>
          <w:kern w:val="0"/>
          <w:sz w:val="32"/>
          <w:szCs w:val="32"/>
          <w:highlight w:val="none"/>
        </w:rPr>
        <w:t>（款）</w:t>
      </w:r>
      <w:r>
        <w:rPr>
          <w:rFonts w:hint="eastAsia" w:ascii="仿宋_GB2312" w:hAnsi="仿宋_GB2312" w:eastAsia="仿宋_GB2312" w:cs="仿宋_GB2312"/>
          <w:color w:val="auto"/>
          <w:kern w:val="0"/>
          <w:sz w:val="32"/>
          <w:szCs w:val="32"/>
          <w:highlight w:val="none"/>
          <w:lang w:val="en-US" w:eastAsia="zh-CN"/>
        </w:rPr>
        <w:t>行政运行</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397.28</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增加52.01</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增加15.06%</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人员增加，相关预算增加。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lang w:val="en-US"/>
        </w:rPr>
      </w:pPr>
      <w:r>
        <w:rPr>
          <w:rFonts w:hint="eastAsia" w:ascii="仿宋_GB2312" w:hAnsi="仿宋_GB2312" w:eastAsia="仿宋_GB2312" w:cs="仿宋_GB2312"/>
          <w:color w:val="auto"/>
          <w:kern w:val="0"/>
          <w:sz w:val="32"/>
          <w:szCs w:val="32"/>
          <w:highlight w:val="none"/>
          <w:lang w:val="en-US" w:eastAsia="zh-CN"/>
        </w:rPr>
        <w:t>8.自然资源海洋气象等支出</w:t>
      </w:r>
      <w:r>
        <w:rPr>
          <w:rFonts w:hint="eastAsia" w:ascii="仿宋_GB2312" w:hAnsi="仿宋_GB2312" w:eastAsia="仿宋_GB2312" w:cs="仿宋_GB2312"/>
          <w:color w:val="auto"/>
          <w:kern w:val="0"/>
          <w:sz w:val="32"/>
          <w:szCs w:val="32"/>
          <w:highlight w:val="none"/>
        </w:rPr>
        <w:t>（类）</w:t>
      </w:r>
      <w:r>
        <w:rPr>
          <w:rFonts w:hint="eastAsia" w:ascii="仿宋_GB2312" w:hAnsi="仿宋_GB2312" w:eastAsia="仿宋_GB2312" w:cs="仿宋_GB2312"/>
          <w:color w:val="auto"/>
          <w:kern w:val="0"/>
          <w:sz w:val="32"/>
          <w:szCs w:val="32"/>
          <w:highlight w:val="none"/>
          <w:lang w:val="en-US" w:eastAsia="zh-CN"/>
        </w:rPr>
        <w:t>自然资源事务</w:t>
      </w:r>
      <w:r>
        <w:rPr>
          <w:rFonts w:hint="eastAsia" w:ascii="仿宋_GB2312" w:hAnsi="仿宋_GB2312" w:eastAsia="仿宋_GB2312" w:cs="仿宋_GB2312"/>
          <w:color w:val="auto"/>
          <w:kern w:val="0"/>
          <w:sz w:val="32"/>
          <w:szCs w:val="32"/>
          <w:highlight w:val="none"/>
        </w:rPr>
        <w:t>（款）</w:t>
      </w:r>
      <w:r>
        <w:rPr>
          <w:rFonts w:hint="eastAsia" w:ascii="仿宋_GB2312" w:hAnsi="仿宋_GB2312" w:eastAsia="仿宋_GB2312" w:cs="仿宋_GB2312"/>
          <w:color w:val="auto"/>
          <w:kern w:val="0"/>
          <w:sz w:val="32"/>
          <w:szCs w:val="32"/>
          <w:highlight w:val="none"/>
          <w:lang w:val="en-US" w:eastAsia="zh-CN"/>
        </w:rPr>
        <w:t>事业运行</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195.31</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增加14.16</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增长7.82%</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人员增加，相关预算增加。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color w:val="FF0000"/>
          <w:kern w:val="0"/>
          <w:sz w:val="32"/>
          <w:szCs w:val="32"/>
          <w:highlight w:val="none"/>
        </w:rPr>
      </w:pPr>
      <w:r>
        <w:rPr>
          <w:rFonts w:hint="eastAsia" w:ascii="仿宋_GB2312" w:hAnsi="仿宋_GB2312" w:eastAsia="仿宋_GB2312" w:cs="仿宋_GB2312"/>
          <w:b w:val="0"/>
          <w:bCs w:val="0"/>
          <w:color w:val="auto"/>
          <w:kern w:val="0"/>
          <w:sz w:val="32"/>
          <w:szCs w:val="32"/>
          <w:highlight w:val="none"/>
          <w:lang w:val="en-US" w:eastAsia="zh-CN" w:bidi="ar-SA"/>
        </w:rPr>
        <w:t>9.住房保障支出（类）住房改革支出（款）住房公积金（项）:2025年预算数为63.02万元，比上年预算增加6.74万元，增加11.98%，主要原因是：</w:t>
      </w:r>
      <w:r>
        <w:rPr>
          <w:rFonts w:hint="eastAsia" w:ascii="仿宋_GB2312" w:hAnsi="仿宋_GB2312" w:eastAsia="仿宋_GB2312" w:cs="仿宋_GB2312"/>
          <w:color w:val="auto"/>
          <w:kern w:val="0"/>
          <w:sz w:val="32"/>
          <w:szCs w:val="32"/>
          <w:highlight w:val="none"/>
          <w:lang w:val="en-US" w:eastAsia="zh-CN"/>
        </w:rPr>
        <w:t>大队转隶三人，预算增加。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val="en-US" w:eastAsia="zh-CN"/>
        </w:rPr>
        <w:t>呼图壁县自然资源局2025</w:t>
      </w:r>
      <w:r>
        <w:rPr>
          <w:rFonts w:hint="eastAsia" w:ascii="楷体_GB2312" w:hAnsi="楷体_GB2312" w:eastAsia="楷体_GB2312" w:cs="楷体_GB2312"/>
          <w:b/>
          <w:bCs/>
          <w:color w:val="auto"/>
          <w:spacing w:val="-6"/>
          <w:kern w:val="0"/>
          <w:sz w:val="32"/>
          <w:szCs w:val="32"/>
          <w:highlight w:val="none"/>
        </w:rPr>
        <w:t>年一般公共预算基本支出情况说明</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left"/>
        <w:textAlignment w:val="auto"/>
        <w:rPr>
          <w:rFonts w:ascii="仿宋_GB2312" w:hAnsi="宋体" w:eastAsia="仿宋_GB2312" w:cs="宋体"/>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呼图壁县自然资源局2025</w:t>
      </w:r>
      <w:r>
        <w:rPr>
          <w:rFonts w:hint="eastAsia" w:ascii="仿宋_GB2312" w:hAnsi="宋体" w:eastAsia="仿宋_GB2312" w:cs="宋体"/>
          <w:color w:val="auto"/>
          <w:spacing w:val="-6"/>
          <w:kern w:val="0"/>
          <w:sz w:val="32"/>
          <w:szCs w:val="32"/>
          <w:highlight w:val="none"/>
        </w:rPr>
        <w:t>年一般公共预算基本支出</w:t>
      </w:r>
      <w:r>
        <w:rPr>
          <w:rFonts w:hint="eastAsia" w:ascii="仿宋_GB2312" w:hAnsi="宋体" w:eastAsia="仿宋_GB2312" w:cs="宋体"/>
          <w:color w:val="auto"/>
          <w:spacing w:val="-6"/>
          <w:kern w:val="0"/>
          <w:sz w:val="32"/>
          <w:szCs w:val="32"/>
          <w:highlight w:val="none"/>
          <w:lang w:val="en-US" w:eastAsia="zh-CN"/>
        </w:rPr>
        <w:t>802.63</w:t>
      </w:r>
      <w:r>
        <w:rPr>
          <w:rFonts w:hint="eastAsia" w:ascii="仿宋_GB2312" w:hAnsi="宋体" w:eastAsia="仿宋_GB2312" w:cs="宋体"/>
          <w:color w:val="auto"/>
          <w:spacing w:val="-6"/>
          <w:kern w:val="0"/>
          <w:sz w:val="32"/>
          <w:szCs w:val="32"/>
          <w:highlight w:val="none"/>
        </w:rPr>
        <w:t>万元，其中：</w:t>
      </w:r>
    </w:p>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748.00</w:t>
      </w:r>
      <w:r>
        <w:rPr>
          <w:rFonts w:hint="eastAsia" w:ascii="仿宋_GB2312" w:hAnsi="宋体" w:eastAsia="仿宋_GB2312" w:cs="宋体"/>
          <w:color w:val="auto"/>
          <w:kern w:val="0"/>
          <w:sz w:val="32"/>
          <w:szCs w:val="32"/>
          <w:highlight w:val="none"/>
        </w:rPr>
        <w:t>万元，主要包括：基本工资、津贴补贴、奖金、绩效工资、机关事业单位基本养老保险缴费</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职工基本医疗保险缴费、公务员医疗补助缴费、其他社会保障缴费、住房公积金、</w:t>
      </w:r>
      <w:r>
        <w:rPr>
          <w:rFonts w:hint="eastAsia" w:ascii="仿宋_GB2312" w:hAnsi="宋体" w:eastAsia="仿宋_GB2312" w:cs="宋体"/>
          <w:color w:val="auto"/>
          <w:kern w:val="0"/>
          <w:sz w:val="32"/>
          <w:szCs w:val="32"/>
          <w:highlight w:val="none"/>
          <w:lang w:val="en-US" w:eastAsia="zh-CN"/>
        </w:rPr>
        <w:t>对个人和家庭的补助、</w:t>
      </w:r>
      <w:r>
        <w:rPr>
          <w:rFonts w:hint="eastAsia" w:ascii="仿宋_GB2312" w:hAnsi="宋体" w:eastAsia="仿宋_GB2312" w:cs="宋体"/>
          <w:color w:val="auto"/>
          <w:kern w:val="0"/>
          <w:sz w:val="32"/>
          <w:szCs w:val="32"/>
          <w:highlight w:val="none"/>
        </w:rPr>
        <w:t>退休费、生活补助</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奖励金。</w:t>
      </w:r>
    </w:p>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54.63</w:t>
      </w:r>
      <w:r>
        <w:rPr>
          <w:rFonts w:hint="eastAsia" w:ascii="仿宋_GB2312" w:hAnsi="宋体" w:eastAsia="仿宋_GB2312" w:cs="宋体"/>
          <w:color w:val="auto"/>
          <w:kern w:val="0"/>
          <w:sz w:val="32"/>
          <w:szCs w:val="32"/>
          <w:highlight w:val="none"/>
        </w:rPr>
        <w:t>万元，主要包括：办公费、印刷费、水费、电费、邮电费、取暖费、差旅费</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公务接待费、劳务费</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工会经费、公务用车运行维护费、其他交通费用。</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19" w:firstLineChars="200"/>
        <w:jc w:val="both"/>
        <w:textAlignment w:val="auto"/>
        <w:rPr>
          <w:rFonts w:hint="eastAsia"/>
        </w:rPr>
      </w:pP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val="en-US" w:eastAsia="zh-CN"/>
        </w:rPr>
        <w:t>呼图壁县自然资源局2025</w:t>
      </w:r>
      <w:r>
        <w:rPr>
          <w:rFonts w:hint="eastAsia" w:ascii="楷体_GB2312" w:hAnsi="楷体_GB2312" w:eastAsia="楷体_GB2312" w:cs="楷体_GB2312"/>
          <w:b/>
          <w:bCs/>
          <w:color w:val="auto"/>
          <w:spacing w:val="-6"/>
          <w:kern w:val="0"/>
          <w:sz w:val="32"/>
          <w:szCs w:val="32"/>
          <w:highlight w:val="none"/>
        </w:rPr>
        <w:t>年一般公共预算项目支出情况说明</w:t>
      </w:r>
      <w:r>
        <w:rPr>
          <w:rFonts w:hint="eastAsia" w:ascii="楷体_GB2312" w:hAnsi="楷体_GB2312" w:eastAsia="楷体_GB2312" w:cs="楷体_GB2312"/>
          <w:b/>
          <w:bCs/>
          <w:color w:val="auto"/>
          <w:spacing w:val="-6"/>
          <w:kern w:val="0"/>
          <w:sz w:val="32"/>
          <w:szCs w:val="32"/>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rPr>
      </w:pPr>
      <w:r>
        <w:rPr>
          <w:rFonts w:hint="eastAsia" w:ascii="仿宋_GB2312" w:hAnsi="仿宋_GB2312" w:eastAsia="仿宋_GB2312" w:cs="仿宋_GB2312"/>
          <w:color w:val="auto"/>
          <w:kern w:val="0"/>
          <w:sz w:val="32"/>
          <w:szCs w:val="32"/>
          <w:highlight w:val="none"/>
          <w:lang w:eastAsia="zh-CN"/>
        </w:rPr>
        <w:t>呼图壁县</w:t>
      </w:r>
      <w:r>
        <w:rPr>
          <w:rFonts w:hint="eastAsia" w:ascii="仿宋_GB2312" w:hAnsi="仿宋_GB2312" w:eastAsia="仿宋_GB2312" w:cs="仿宋_GB2312"/>
          <w:color w:val="auto"/>
          <w:kern w:val="0"/>
          <w:sz w:val="32"/>
          <w:szCs w:val="32"/>
          <w:highlight w:val="none"/>
          <w:lang w:val="en-US" w:eastAsia="zh-CN"/>
        </w:rPr>
        <w:t>自然资源</w:t>
      </w:r>
      <w:r>
        <w:rPr>
          <w:rFonts w:hint="eastAsia" w:ascii="仿宋_GB2312" w:hAnsi="仿宋_GB2312" w:eastAsia="仿宋_GB2312" w:cs="仿宋_GB2312"/>
          <w:color w:val="auto"/>
          <w:kern w:val="0"/>
          <w:sz w:val="32"/>
          <w:szCs w:val="32"/>
          <w:highlight w:val="none"/>
          <w:lang w:eastAsia="zh-CN"/>
        </w:rPr>
        <w:t>局</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年没有使用</w:t>
      </w:r>
      <w:r>
        <w:rPr>
          <w:rFonts w:hint="eastAsia" w:ascii="仿宋_GB2312" w:hAnsi="仿宋_GB2312" w:eastAsia="仿宋_GB2312" w:cs="仿宋_GB2312"/>
          <w:color w:val="auto"/>
          <w:kern w:val="0"/>
          <w:sz w:val="32"/>
          <w:szCs w:val="32"/>
          <w:highlight w:val="none"/>
          <w:lang w:val="en-US" w:eastAsia="zh-CN"/>
        </w:rPr>
        <w:t>一般公共</w:t>
      </w:r>
      <w:r>
        <w:rPr>
          <w:rFonts w:hint="eastAsia" w:ascii="仿宋_GB2312" w:hAnsi="仿宋_GB2312" w:eastAsia="仿宋_GB2312" w:cs="仿宋_GB2312"/>
          <w:color w:val="auto"/>
          <w:kern w:val="0"/>
          <w:sz w:val="32"/>
          <w:szCs w:val="32"/>
          <w:highlight w:val="none"/>
        </w:rPr>
        <w:t>预算</w:t>
      </w:r>
      <w:r>
        <w:rPr>
          <w:rFonts w:hint="eastAsia" w:ascii="仿宋_GB2312" w:hAnsi="仿宋_GB2312" w:eastAsia="仿宋_GB2312" w:cs="仿宋_GB2312"/>
          <w:color w:val="auto"/>
          <w:kern w:val="0"/>
          <w:sz w:val="32"/>
          <w:szCs w:val="32"/>
          <w:highlight w:val="none"/>
          <w:lang w:val="en-US" w:eastAsia="zh-CN"/>
        </w:rPr>
        <w:t>项目</w:t>
      </w:r>
      <w:r>
        <w:rPr>
          <w:rFonts w:hint="eastAsia" w:ascii="仿宋_GB2312" w:hAnsi="仿宋_GB2312" w:eastAsia="仿宋_GB2312" w:cs="仿宋_GB2312"/>
          <w:color w:val="auto"/>
          <w:kern w:val="0"/>
          <w:sz w:val="32"/>
          <w:szCs w:val="32"/>
          <w:highlight w:val="none"/>
        </w:rPr>
        <w:t>的支出，</w:t>
      </w:r>
      <w:r>
        <w:rPr>
          <w:rFonts w:hint="eastAsia" w:ascii="仿宋_GB2312" w:hAnsi="仿宋_GB2312" w:eastAsia="仿宋_GB2312" w:cs="仿宋_GB2312"/>
          <w:color w:val="auto"/>
          <w:kern w:val="0"/>
          <w:sz w:val="32"/>
          <w:szCs w:val="32"/>
          <w:highlight w:val="none"/>
          <w:lang w:val="en-US" w:eastAsia="zh-CN"/>
        </w:rPr>
        <w:t>一般公共</w:t>
      </w:r>
      <w:r>
        <w:rPr>
          <w:rFonts w:hint="eastAsia" w:ascii="仿宋_GB2312" w:hAnsi="仿宋_GB2312" w:eastAsia="仿宋_GB2312" w:cs="仿宋_GB2312"/>
          <w:color w:val="auto"/>
          <w:kern w:val="0"/>
          <w:sz w:val="32"/>
          <w:szCs w:val="32"/>
          <w:highlight w:val="none"/>
        </w:rPr>
        <w:t>预算</w:t>
      </w:r>
      <w:r>
        <w:rPr>
          <w:rFonts w:hint="eastAsia" w:ascii="仿宋_GB2312" w:hAnsi="仿宋_GB2312" w:eastAsia="仿宋_GB2312" w:cs="仿宋_GB2312"/>
          <w:color w:val="auto"/>
          <w:kern w:val="0"/>
          <w:sz w:val="32"/>
          <w:szCs w:val="32"/>
          <w:highlight w:val="none"/>
          <w:lang w:val="en-US" w:eastAsia="zh-CN"/>
        </w:rPr>
        <w:t>项目</w:t>
      </w:r>
      <w:r>
        <w:rPr>
          <w:rFonts w:hint="eastAsia" w:ascii="仿宋_GB2312" w:hAnsi="仿宋_GB2312" w:eastAsia="仿宋_GB2312" w:cs="仿宋_GB2312"/>
          <w:color w:val="auto"/>
          <w:kern w:val="0"/>
          <w:sz w:val="32"/>
          <w:szCs w:val="32"/>
          <w:highlight w:val="none"/>
        </w:rPr>
        <w:t>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val="en-US" w:eastAsia="zh-CN"/>
        </w:rPr>
        <w:t>呼图壁县自然资源局2025</w:t>
      </w:r>
      <w:r>
        <w:rPr>
          <w:rFonts w:hint="eastAsia" w:ascii="楷体_GB2312" w:hAnsi="楷体_GB2312" w:eastAsia="楷体_GB2312" w:cs="楷体_GB2312"/>
          <w:b/>
          <w:bCs/>
          <w:color w:val="auto"/>
          <w:spacing w:val="-6"/>
          <w:kern w:val="0"/>
          <w:sz w:val="32"/>
          <w:szCs w:val="32"/>
          <w:highlight w:val="none"/>
        </w:rPr>
        <w:t>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w:t>
      </w:r>
      <w:r>
        <w:rPr>
          <w:rFonts w:hint="eastAsia" w:ascii="仿宋_GB2312" w:hAnsi="仿宋_GB2312" w:eastAsia="仿宋_GB2312" w:cs="仿宋_GB2312"/>
          <w:color w:val="auto"/>
          <w:kern w:val="0"/>
          <w:sz w:val="32"/>
          <w:szCs w:val="32"/>
          <w:highlight w:val="none"/>
          <w:lang w:val="en-US" w:eastAsia="zh-CN"/>
        </w:rPr>
        <w:t>自然资源</w:t>
      </w:r>
      <w:r>
        <w:rPr>
          <w:rFonts w:hint="eastAsia" w:ascii="仿宋_GB2312" w:hAnsi="仿宋_GB2312" w:eastAsia="仿宋_GB2312" w:cs="仿宋_GB2312"/>
          <w:color w:val="auto"/>
          <w:kern w:val="0"/>
          <w:sz w:val="32"/>
          <w:szCs w:val="32"/>
          <w:highlight w:val="none"/>
          <w:lang w:eastAsia="zh-CN"/>
        </w:rPr>
        <w:t>局</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val="en-US" w:eastAsia="zh-CN"/>
        </w:rPr>
        <w:t>呼图壁县自然资源局2025</w:t>
      </w:r>
      <w:r>
        <w:rPr>
          <w:rFonts w:hint="eastAsia" w:ascii="楷体_GB2312" w:hAnsi="楷体_GB2312" w:eastAsia="楷体_GB2312" w:cs="楷体_GB2312"/>
          <w:b/>
          <w:bCs/>
          <w:color w:val="auto"/>
          <w:kern w:val="0"/>
          <w:sz w:val="32"/>
          <w:szCs w:val="32"/>
          <w:highlight w:val="none"/>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w:t>
      </w:r>
      <w:r>
        <w:rPr>
          <w:rFonts w:hint="eastAsia" w:ascii="仿宋_GB2312" w:hAnsi="仿宋_GB2312" w:eastAsia="仿宋_GB2312" w:cs="仿宋_GB2312"/>
          <w:color w:val="auto"/>
          <w:kern w:val="0"/>
          <w:sz w:val="32"/>
          <w:szCs w:val="32"/>
          <w:highlight w:val="none"/>
          <w:lang w:val="en-US" w:eastAsia="zh-CN"/>
        </w:rPr>
        <w:t>自然资源</w:t>
      </w:r>
      <w:r>
        <w:rPr>
          <w:rFonts w:hint="eastAsia" w:ascii="仿宋_GB2312" w:hAnsi="仿宋_GB2312" w:eastAsia="仿宋_GB2312" w:cs="仿宋_GB2312"/>
          <w:color w:val="auto"/>
          <w:kern w:val="0"/>
          <w:sz w:val="32"/>
          <w:szCs w:val="32"/>
          <w:highlight w:val="none"/>
          <w:lang w:eastAsia="zh-CN"/>
        </w:rPr>
        <w:t>局</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val="en-US" w:eastAsia="zh-CN"/>
        </w:rPr>
        <w:t>呼图壁县自然资源局2025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w:t>
      </w:r>
      <w:r>
        <w:rPr>
          <w:rFonts w:hint="eastAsia" w:ascii="仿宋_GB2312" w:hAnsi="仿宋_GB2312" w:eastAsia="仿宋_GB2312" w:cs="仿宋_GB2312"/>
          <w:color w:val="auto"/>
          <w:kern w:val="0"/>
          <w:sz w:val="32"/>
          <w:szCs w:val="32"/>
          <w:highlight w:val="none"/>
          <w:lang w:val="en-US" w:eastAsia="zh-CN"/>
        </w:rPr>
        <w:t>自然资源</w:t>
      </w:r>
      <w:r>
        <w:rPr>
          <w:rFonts w:hint="eastAsia" w:ascii="仿宋_GB2312" w:hAnsi="仿宋_GB2312" w:eastAsia="仿宋_GB2312" w:cs="仿宋_GB2312"/>
          <w:color w:val="auto"/>
          <w:kern w:val="0"/>
          <w:sz w:val="32"/>
          <w:szCs w:val="32"/>
          <w:highlight w:val="none"/>
          <w:lang w:eastAsia="zh-CN"/>
        </w:rPr>
        <w:t>局</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2.93</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2.68</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0.25</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减少</w:t>
      </w:r>
      <w:r>
        <w:rPr>
          <w:rFonts w:hint="eastAsia" w:ascii="仿宋_GB2312" w:hAnsi="宋体" w:eastAsia="仿宋_GB2312" w:cs="宋体"/>
          <w:color w:val="auto"/>
          <w:kern w:val="0"/>
          <w:sz w:val="32"/>
          <w:szCs w:val="32"/>
          <w:highlight w:val="none"/>
          <w:lang w:val="en-US" w:eastAsia="zh-CN"/>
        </w:rPr>
        <w:t>3.10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51.41%，</w:t>
      </w:r>
      <w:r>
        <w:rPr>
          <w:rFonts w:hint="eastAsia" w:ascii="仿宋_GB2312" w:hAnsi="宋体" w:eastAsia="仿宋_GB2312" w:cs="宋体"/>
          <w:color w:val="auto"/>
          <w:kern w:val="0"/>
          <w:sz w:val="32"/>
          <w:szCs w:val="32"/>
          <w:highlight w:val="none"/>
        </w:rPr>
        <w:t>其中：因公出国（境）费</w:t>
      </w:r>
      <w:r>
        <w:rPr>
          <w:rFonts w:hint="eastAsia" w:ascii="仿宋_GB2312" w:hAnsi="宋体" w:eastAsia="仿宋_GB2312" w:cs="宋体"/>
          <w:color w:val="auto"/>
          <w:kern w:val="0"/>
          <w:sz w:val="32"/>
          <w:szCs w:val="32"/>
          <w:highlight w:val="none"/>
          <w:lang w:val="en-US" w:eastAsia="zh-CN"/>
        </w:rPr>
        <w:t>增加0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2024年、2025年均未安排因公出国（境）费；</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2024年、2025年均未安排</w:t>
      </w:r>
      <w:r>
        <w:rPr>
          <w:rFonts w:hint="eastAsia" w:ascii="仿宋_GB2312" w:hAnsi="宋体" w:eastAsia="仿宋_GB2312" w:cs="宋体"/>
          <w:color w:val="auto"/>
          <w:kern w:val="0"/>
          <w:sz w:val="32"/>
          <w:szCs w:val="32"/>
          <w:highlight w:val="none"/>
        </w:rPr>
        <w:t>公务用车购置费</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公务用车运行费减少</w:t>
      </w:r>
      <w:r>
        <w:rPr>
          <w:rFonts w:hint="eastAsia" w:ascii="仿宋_GB2312" w:hAnsi="宋体" w:eastAsia="仿宋_GB2312" w:cs="宋体"/>
          <w:color w:val="auto"/>
          <w:kern w:val="0"/>
          <w:sz w:val="32"/>
          <w:szCs w:val="32"/>
          <w:highlight w:val="none"/>
          <w:lang w:val="en-US" w:eastAsia="zh-CN"/>
        </w:rPr>
        <w:t>2.12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44.08%，</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优化资源配置</w:t>
      </w:r>
      <w:r>
        <w:rPr>
          <w:rFonts w:hint="eastAsia" w:ascii="仿宋_GB2312" w:hAnsi="宋体" w:eastAsia="仿宋_GB2312" w:cs="宋体"/>
          <w:color w:val="auto"/>
          <w:kern w:val="0"/>
          <w:sz w:val="32"/>
          <w:szCs w:val="32"/>
          <w:highlight w:val="none"/>
        </w:rPr>
        <w:t>；公务接待费减少</w:t>
      </w:r>
      <w:r>
        <w:rPr>
          <w:rFonts w:hint="eastAsia" w:ascii="仿宋_GB2312" w:hAnsi="宋体" w:eastAsia="仿宋_GB2312" w:cs="宋体"/>
          <w:color w:val="auto"/>
          <w:kern w:val="0"/>
          <w:sz w:val="32"/>
          <w:szCs w:val="32"/>
          <w:highlight w:val="none"/>
          <w:lang w:val="en-US" w:eastAsia="zh-CN"/>
        </w:rPr>
        <w:t>0.98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79.97%，</w:t>
      </w:r>
      <w:r>
        <w:rPr>
          <w:rFonts w:hint="eastAsia" w:ascii="仿宋_GB2312" w:hAnsi="仿宋_GB2312" w:eastAsia="仿宋_GB2312" w:cs="仿宋_GB2312"/>
          <w:color w:val="auto"/>
          <w:kern w:val="0"/>
          <w:sz w:val="32"/>
          <w:szCs w:val="32"/>
          <w:highlight w:val="none"/>
          <w:lang w:eastAsia="zh-CN"/>
        </w:rPr>
        <w:t>严格执行中央八项规定，三公经费只减不增。</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FF0000"/>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val="en-US" w:eastAsia="zh-CN"/>
        </w:rPr>
        <w:t>呼图壁县自然资源局2025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w:t>
      </w:r>
      <w:r>
        <w:rPr>
          <w:rFonts w:hint="eastAsia" w:ascii="仿宋_GB2312" w:hAnsi="仿宋_GB2312" w:eastAsia="仿宋_GB2312" w:cs="仿宋_GB2312"/>
          <w:color w:val="auto"/>
          <w:kern w:val="0"/>
          <w:sz w:val="32"/>
          <w:szCs w:val="32"/>
          <w:highlight w:val="none"/>
          <w:lang w:val="en-US" w:eastAsia="zh-CN"/>
        </w:rPr>
        <w:t>自然资源</w:t>
      </w:r>
      <w:r>
        <w:rPr>
          <w:rFonts w:hint="eastAsia" w:ascii="仿宋_GB2312" w:hAnsi="仿宋_GB2312" w:eastAsia="仿宋_GB2312" w:cs="仿宋_GB2312"/>
          <w:color w:val="auto"/>
          <w:kern w:val="0"/>
          <w:sz w:val="32"/>
          <w:szCs w:val="32"/>
          <w:highlight w:val="none"/>
          <w:lang w:eastAsia="zh-CN"/>
        </w:rPr>
        <w:t>局</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上年结转结余14.20万元，包括：财政拨款14.20万元，非财政拨款0万元，</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color w:val="FF0000"/>
          <w:kern w:val="0"/>
          <w:sz w:val="32"/>
          <w:szCs w:val="32"/>
          <w:highlight w:val="yellow"/>
          <w:lang w:val="en-US" w:eastAsia="zh-Hans"/>
        </w:rPr>
      </w:pPr>
      <w:r>
        <w:rPr>
          <w:rFonts w:hint="eastAsia" w:ascii="仿宋_GB2312" w:hAnsi="仿宋_GB2312" w:eastAsia="仿宋_GB2312" w:cs="仿宋_GB2312"/>
          <w:color w:val="auto"/>
          <w:kern w:val="0"/>
          <w:sz w:val="32"/>
          <w:szCs w:val="32"/>
          <w:highlight w:val="none"/>
          <w:lang w:val="en-US" w:eastAsia="zh-CN"/>
        </w:rPr>
        <w:t>1.为民办实事项目14.20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主要用于：解决人民群众生活保障方面的实际问题，改善人居环境，开展文艺活动。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呼图壁县</w:t>
      </w:r>
      <w:r>
        <w:rPr>
          <w:rFonts w:hint="eastAsia" w:ascii="仿宋_GB2312" w:hAnsi="仿宋_GB2312" w:eastAsia="仿宋_GB2312" w:cs="仿宋_GB2312"/>
          <w:color w:val="auto"/>
          <w:kern w:val="0"/>
          <w:sz w:val="32"/>
          <w:szCs w:val="32"/>
          <w:highlight w:val="none"/>
          <w:lang w:val="en-US" w:eastAsia="zh-CN"/>
        </w:rPr>
        <w:t>自然资源</w:t>
      </w:r>
      <w:r>
        <w:rPr>
          <w:rFonts w:hint="eastAsia" w:ascii="仿宋_GB2312" w:hAnsi="仿宋_GB2312" w:eastAsia="仿宋_GB2312" w:cs="仿宋_GB2312"/>
          <w:color w:val="auto"/>
          <w:kern w:val="0"/>
          <w:sz w:val="32"/>
          <w:szCs w:val="32"/>
          <w:highlight w:val="none"/>
          <w:lang w:eastAsia="zh-CN"/>
        </w:rPr>
        <w:t>局</w:t>
      </w:r>
      <w:r>
        <w:rPr>
          <w:rFonts w:hint="eastAsia" w:ascii="仿宋_GB2312" w:hAnsi="仿宋_GB2312" w:eastAsia="仿宋_GB2312" w:cs="仿宋_GB2312"/>
          <w:color w:val="auto"/>
          <w:kern w:val="0"/>
          <w:sz w:val="32"/>
          <w:szCs w:val="32"/>
          <w:highlight w:val="none"/>
          <w:lang w:val="en-US" w:eastAsia="zh-CN"/>
        </w:rPr>
        <w:t>2025年</w:t>
      </w:r>
      <w:r>
        <w:rPr>
          <w:rFonts w:hint="eastAsia" w:ascii="仿宋_GB2312" w:hAnsi="仿宋_GB2312" w:eastAsia="仿宋_GB2312" w:cs="仿宋_GB2312"/>
          <w:color w:val="auto"/>
          <w:kern w:val="0"/>
          <w:sz w:val="32"/>
          <w:szCs w:val="32"/>
          <w:highlight w:val="none"/>
        </w:rPr>
        <w:t>的机关运行经费财政拨款预算</w:t>
      </w:r>
      <w:r>
        <w:rPr>
          <w:rFonts w:hint="eastAsia" w:ascii="仿宋_GB2312" w:hAnsi="仿宋_GB2312" w:eastAsia="仿宋_GB2312" w:cs="仿宋_GB2312"/>
          <w:color w:val="auto"/>
          <w:kern w:val="0"/>
          <w:sz w:val="32"/>
          <w:szCs w:val="32"/>
          <w:highlight w:val="none"/>
          <w:lang w:val="en-US" w:eastAsia="zh-CN"/>
        </w:rPr>
        <w:t>54.63</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14.17</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35.02</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人员增加</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w:t>
      </w:r>
      <w:r>
        <w:rPr>
          <w:rFonts w:hint="eastAsia" w:ascii="仿宋_GB2312" w:hAnsi="仿宋_GB2312" w:eastAsia="仿宋_GB2312" w:cs="仿宋_GB2312"/>
          <w:color w:val="auto"/>
          <w:kern w:val="0"/>
          <w:sz w:val="32"/>
          <w:szCs w:val="32"/>
          <w:highlight w:val="none"/>
          <w:lang w:val="en-US" w:eastAsia="zh-CN"/>
        </w:rPr>
        <w:t>自然资源</w:t>
      </w:r>
      <w:r>
        <w:rPr>
          <w:rFonts w:hint="eastAsia" w:ascii="仿宋_GB2312" w:hAnsi="仿宋_GB2312" w:eastAsia="仿宋_GB2312" w:cs="仿宋_GB2312"/>
          <w:color w:val="auto"/>
          <w:kern w:val="0"/>
          <w:sz w:val="32"/>
          <w:szCs w:val="32"/>
          <w:highlight w:val="none"/>
          <w:lang w:eastAsia="zh-CN"/>
        </w:rPr>
        <w:t>局</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83.13</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27.88</w:t>
      </w:r>
      <w:r>
        <w:rPr>
          <w:rFonts w:hint="eastAsia" w:ascii="仿宋_GB2312" w:hAnsi="仿宋_GB2312" w:eastAsia="仿宋_GB2312" w:cs="仿宋_GB2312"/>
          <w:color w:val="auto"/>
          <w:kern w:val="0"/>
          <w:sz w:val="32"/>
          <w:szCs w:val="32"/>
          <w:highlight w:val="none"/>
        </w:rPr>
        <w:t xml:space="preserve">万元，政府采购服务预算     </w:t>
      </w:r>
      <w:r>
        <w:rPr>
          <w:rFonts w:hint="eastAsia" w:ascii="仿宋_GB2312" w:hAnsi="仿宋_GB2312" w:eastAsia="仿宋_GB2312" w:cs="仿宋_GB2312"/>
          <w:color w:val="auto"/>
          <w:kern w:val="0"/>
          <w:sz w:val="32"/>
          <w:szCs w:val="32"/>
          <w:highlight w:val="none"/>
          <w:lang w:val="en-US" w:eastAsia="zh-CN"/>
        </w:rPr>
        <w:t>55.25</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w:t>
      </w:r>
      <w:r>
        <w:rPr>
          <w:rFonts w:hint="eastAsia" w:ascii="仿宋_GB2312" w:hAnsi="仿宋_GB2312" w:eastAsia="仿宋_GB2312" w:cs="仿宋_GB2312"/>
          <w:color w:val="auto"/>
          <w:kern w:val="0"/>
          <w:sz w:val="32"/>
          <w:szCs w:val="32"/>
          <w:highlight w:val="none"/>
          <w:lang w:val="en-US" w:eastAsia="zh-CN"/>
        </w:rPr>
        <w:t>自然资源</w:t>
      </w:r>
      <w:r>
        <w:rPr>
          <w:rFonts w:hint="eastAsia" w:ascii="仿宋_GB2312" w:hAnsi="仿宋_GB2312" w:eastAsia="仿宋_GB2312" w:cs="仿宋_GB2312"/>
          <w:color w:val="auto"/>
          <w:kern w:val="0"/>
          <w:sz w:val="32"/>
          <w:szCs w:val="32"/>
          <w:highlight w:val="none"/>
          <w:lang w:eastAsia="zh-CN"/>
        </w:rPr>
        <w:t>局</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83.13</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83.13</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eastAsia="zh-CN"/>
        </w:rPr>
        <w:t>呼图壁县</w:t>
      </w:r>
      <w:r>
        <w:rPr>
          <w:rFonts w:hint="eastAsia" w:ascii="仿宋_GB2312" w:hAnsi="仿宋_GB2312" w:eastAsia="仿宋_GB2312" w:cs="仿宋_GB2312"/>
          <w:color w:val="auto"/>
          <w:kern w:val="0"/>
          <w:sz w:val="32"/>
          <w:szCs w:val="32"/>
          <w:highlight w:val="none"/>
          <w:lang w:val="en-US" w:eastAsia="zh-CN"/>
        </w:rPr>
        <w:t>自然资源</w:t>
      </w:r>
      <w:r>
        <w:rPr>
          <w:rFonts w:hint="eastAsia" w:ascii="仿宋_GB2312" w:hAnsi="仿宋_GB2312" w:eastAsia="仿宋_GB2312" w:cs="仿宋_GB2312"/>
          <w:color w:val="auto"/>
          <w:kern w:val="0"/>
          <w:sz w:val="32"/>
          <w:szCs w:val="32"/>
          <w:highlight w:val="none"/>
          <w:lang w:eastAsia="zh-CN"/>
        </w:rPr>
        <w:t>局</w:t>
      </w:r>
      <w:r>
        <w:rPr>
          <w:rFonts w:hint="eastAsia" w:ascii="仿宋_GB2312" w:hAnsi="仿宋_GB2312" w:eastAsia="仿宋_GB2312" w:cs="仿宋_GB2312"/>
          <w:color w:val="auto"/>
          <w:kern w:val="0"/>
          <w:sz w:val="32"/>
          <w:szCs w:val="32"/>
          <w:highlight w:val="none"/>
        </w:rPr>
        <w:t>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751</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13.07</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40.68</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27.70</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12.98</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81.76</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312.30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台，单位价值100万元以上大型设备</w:t>
      </w:r>
      <w:r>
        <w:rPr>
          <w:rFonts w:hint="eastAsia" w:ascii="仿宋_GB2312" w:hAnsi="仿宋_GB2312" w:eastAsia="仿宋_GB2312" w:cs="仿宋_GB2312"/>
          <w:color w:val="auto"/>
          <w:kern w:val="0"/>
          <w:sz w:val="32"/>
          <w:szCs w:val="32"/>
          <w:highlight w:val="none"/>
          <w:lang w:val="en-US" w:eastAsia="zh-CN"/>
        </w:rPr>
        <w:t xml:space="preserve">                                                                                     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bookmarkStart w:id="0" w:name="OLE_LINK1"/>
      <w:r>
        <w:rPr>
          <w:rFonts w:hint="default" w:ascii="Times New Roman" w:hAnsi="Times New Roman" w:eastAsia="仿宋_GB2312" w:cs="Times New Roman"/>
          <w:color w:val="auto"/>
          <w:kern w:val="0"/>
          <w:sz w:val="32"/>
          <w:szCs w:val="32"/>
          <w:highlight w:val="none"/>
        </w:rPr>
        <w:t>202</w:t>
      </w:r>
      <w:r>
        <w:rPr>
          <w:rFonts w:hint="default" w:ascii="Times New Roman" w:hAnsi="Times New Roman" w:eastAsia="仿宋_GB2312" w:cs="Times New Roman"/>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整体预算绩效目标1个，涉及预算金额1116.83万元；当年预算安排项目共0个，其中: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涉及预算金额0万元；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r>
        <w:rPr>
          <w:rFonts w:hint="eastAsia" w:ascii="仿宋_GB2312" w:hAnsi="仿宋_GB2312" w:eastAsia="仿宋_GB2312" w:cs="仿宋_GB2312"/>
          <w:color w:val="auto"/>
          <w:kern w:val="0"/>
          <w:sz w:val="32"/>
          <w:szCs w:val="32"/>
          <w:highlight w:val="none"/>
          <w:lang w:val="en-US" w:eastAsia="zh-CN"/>
        </w:rPr>
        <w:t xml:space="preserve">  </w:t>
      </w:r>
      <w:bookmarkEnd w:id="0"/>
    </w:p>
    <w:p>
      <w:pPr>
        <w:pStyle w:val="3"/>
        <w:rPr>
          <w:rFonts w:hint="eastAsia"/>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tbl>
      <w:tblPr>
        <w:tblStyle w:val="10"/>
        <w:tblpPr w:leftFromText="180" w:rightFromText="180" w:vertAnchor="text" w:horzAnchor="page" w:tblpX="1210" w:tblpY="-1043"/>
        <w:tblOverlap w:val="never"/>
        <w:tblW w:w="95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45"/>
        <w:gridCol w:w="1397"/>
        <w:gridCol w:w="1939"/>
        <w:gridCol w:w="1051"/>
        <w:gridCol w:w="2158"/>
        <w:gridCol w:w="18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75" w:hRule="atLeast"/>
        </w:trPr>
        <w:tc>
          <w:tcPr>
            <w:tcW w:w="95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7" w:hRule="atLeast"/>
        </w:trPr>
        <w:tc>
          <w:tcPr>
            <w:tcW w:w="95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254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名称（盖章）</w:t>
            </w:r>
          </w:p>
        </w:tc>
        <w:tc>
          <w:tcPr>
            <w:tcW w:w="6998"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u w:val="none"/>
                <w:lang w:eastAsia="zh-CN"/>
              </w:rPr>
              <w:t>呼图壁县</w:t>
            </w:r>
            <w:r>
              <w:rPr>
                <w:rFonts w:hint="eastAsia" w:ascii="宋体" w:hAnsi="宋体" w:cs="宋体"/>
                <w:i w:val="0"/>
                <w:iCs w:val="0"/>
                <w:color w:val="000000"/>
                <w:sz w:val="20"/>
                <w:szCs w:val="20"/>
                <w:u w:val="none"/>
                <w:lang w:val="en-US" w:eastAsia="zh-CN"/>
              </w:rPr>
              <w:t>自然资源</w:t>
            </w:r>
            <w:r>
              <w:rPr>
                <w:rFonts w:hint="eastAsia" w:ascii="宋体" w:hAnsi="宋体" w:cs="宋体"/>
                <w:i w:val="0"/>
                <w:iCs w:val="0"/>
                <w:color w:val="000000"/>
                <w:sz w:val="20"/>
                <w:szCs w:val="20"/>
                <w:u w:val="none"/>
                <w:lang w:eastAsia="zh-CN"/>
              </w:rPr>
              <w:t>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254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联系人</w:t>
            </w:r>
          </w:p>
        </w:tc>
        <w:tc>
          <w:tcPr>
            <w:tcW w:w="299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葛环</w:t>
            </w:r>
          </w:p>
        </w:tc>
        <w:tc>
          <w:tcPr>
            <w:tcW w:w="21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5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18096815151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76" w:hRule="atLeast"/>
        </w:trPr>
        <w:tc>
          <w:tcPr>
            <w:tcW w:w="2542"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998"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400" w:firstLineChars="20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b w:val="0"/>
                <w:bCs w:val="0"/>
                <w:i w:val="0"/>
                <w:iCs w:val="0"/>
                <w:color w:val="000000"/>
                <w:sz w:val="20"/>
                <w:szCs w:val="20"/>
                <w:highlight w:val="none"/>
                <w:u w:val="none"/>
              </w:rPr>
              <w:t>落实自然资源部门的职责使命，持续用力，高质量做好自然资源工作。全力做好建设项目用地服务，助推县域经济发展，进一步规范不动产登记工作，贯彻落实各项措施，强化管理保护耕地，做好矿业权登记管理各项工作，统筹推进生态保护修复：继续实施重大保护修复项目，扎实做好矿山地质环境治理工作。围绕重大战略部署，推动编制国土空间专项规划，指导编制详细规划，保障“十四五”重大项目空间落位。通过推进资源节约集约高效利用、提升测绘地理信息服务支撑能力等工作，做好自然资源要素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2542"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9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400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254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939"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0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400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254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93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0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400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816.83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254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9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0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400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11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9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0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6" w:hRule="atLeast"/>
        </w:trPr>
        <w:tc>
          <w:tcPr>
            <w:tcW w:w="1145"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97"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数量指标</w:t>
            </w:r>
          </w:p>
        </w:tc>
        <w:tc>
          <w:tcPr>
            <w:tcW w:w="19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开展地质灾害巡查</w:t>
            </w:r>
          </w:p>
        </w:tc>
        <w:tc>
          <w:tcPr>
            <w:tcW w:w="10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highlight w:val="none"/>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&gt;=3次</w:t>
            </w:r>
          </w:p>
        </w:tc>
        <w:tc>
          <w:tcPr>
            <w:tcW w:w="21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highlight w:val="none"/>
                <w:u w:val="none"/>
              </w:rPr>
            </w:pPr>
            <w:r>
              <w:rPr>
                <w:rFonts w:hint="eastAsia" w:ascii="宋体" w:hAnsi="宋体" w:eastAsia="宋体" w:cs="宋体"/>
                <w:b w:val="0"/>
                <w:bCs w:val="0"/>
                <w:i w:val="0"/>
                <w:iCs w:val="0"/>
                <w:color w:val="000000"/>
                <w:kern w:val="0"/>
                <w:sz w:val="20"/>
                <w:szCs w:val="20"/>
                <w:u w:val="none"/>
                <w:lang w:val="en-US" w:eastAsia="zh-CN" w:bidi="ar"/>
              </w:rPr>
              <w:t>呼图壁县自然资源局2024年工作总结</w:t>
            </w:r>
          </w:p>
        </w:tc>
        <w:tc>
          <w:tcPr>
            <w:tcW w:w="1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highlight w:val="none"/>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6" w:hRule="atLeast"/>
        </w:trPr>
        <w:tc>
          <w:tcPr>
            <w:tcW w:w="1145"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1397" w:type="dxa"/>
            <w:vMerge w:val="continue"/>
            <w:tcBorders>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0"/>
                <w:szCs w:val="20"/>
                <w:highlight w:val="none"/>
                <w:u w:val="none"/>
                <w:lang w:val="en-US" w:eastAsia="zh-CN"/>
              </w:rPr>
            </w:pPr>
          </w:p>
        </w:tc>
        <w:tc>
          <w:tcPr>
            <w:tcW w:w="193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开展安全检查</w:t>
            </w:r>
          </w:p>
        </w:tc>
        <w:tc>
          <w:tcPr>
            <w:tcW w:w="10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highlight w:val="none"/>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&gt;=</w:t>
            </w:r>
            <w:r>
              <w:rPr>
                <w:rFonts w:hint="eastAsia" w:ascii="Times New Roman" w:hAnsi="Times New Roman" w:cs="Times New Roman"/>
                <w:b w:val="0"/>
                <w:bCs w:val="0"/>
                <w:i w:val="0"/>
                <w:iCs w:val="0"/>
                <w:color w:val="000000"/>
                <w:kern w:val="0"/>
                <w:sz w:val="20"/>
                <w:szCs w:val="20"/>
                <w:u w:val="none"/>
                <w:lang w:val="en-US" w:eastAsia="zh-CN" w:bidi="ar"/>
              </w:rPr>
              <w:t>4</w:t>
            </w:r>
            <w:r>
              <w:rPr>
                <w:rFonts w:hint="default" w:ascii="Times New Roman" w:hAnsi="Times New Roman" w:eastAsia="宋体" w:cs="Times New Roman"/>
                <w:b w:val="0"/>
                <w:bCs w:val="0"/>
                <w:i w:val="0"/>
                <w:iCs w:val="0"/>
                <w:color w:val="000000"/>
                <w:kern w:val="0"/>
                <w:sz w:val="20"/>
                <w:szCs w:val="20"/>
                <w:u w:val="none"/>
                <w:lang w:val="en-US" w:eastAsia="zh-CN" w:bidi="ar"/>
              </w:rPr>
              <w:t>次</w:t>
            </w:r>
          </w:p>
        </w:tc>
        <w:tc>
          <w:tcPr>
            <w:tcW w:w="21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highlight w:val="none"/>
                <w:u w:val="none"/>
              </w:rPr>
            </w:pPr>
            <w:r>
              <w:rPr>
                <w:rFonts w:hint="eastAsia" w:ascii="宋体" w:hAnsi="宋体" w:eastAsia="宋体" w:cs="宋体"/>
                <w:b w:val="0"/>
                <w:bCs w:val="0"/>
                <w:i w:val="0"/>
                <w:iCs w:val="0"/>
                <w:color w:val="000000"/>
                <w:kern w:val="0"/>
                <w:sz w:val="20"/>
                <w:szCs w:val="20"/>
                <w:u w:val="none"/>
                <w:lang w:val="en-US" w:eastAsia="zh-CN" w:bidi="ar"/>
              </w:rPr>
              <w:t>呼图壁县自然资源局2024年工作总结</w:t>
            </w:r>
          </w:p>
        </w:tc>
        <w:tc>
          <w:tcPr>
            <w:tcW w:w="1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highlight w:val="none"/>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6" w:hRule="atLeast"/>
        </w:trPr>
        <w:tc>
          <w:tcPr>
            <w:tcW w:w="1145"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1397" w:type="dxa"/>
            <w:vMerge w:val="restart"/>
            <w:tcBorders>
              <w:top w:val="single" w:color="000000" w:sz="4" w:space="0"/>
              <w:left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时效指标</w:t>
            </w:r>
          </w:p>
        </w:tc>
        <w:tc>
          <w:tcPr>
            <w:tcW w:w="193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不动产办理及时率</w:t>
            </w:r>
          </w:p>
        </w:tc>
        <w:tc>
          <w:tcPr>
            <w:tcW w:w="10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highlight w:val="none"/>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&gt;=90%</w:t>
            </w:r>
          </w:p>
        </w:tc>
        <w:tc>
          <w:tcPr>
            <w:tcW w:w="21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highlight w:val="none"/>
                <w:u w:val="none"/>
              </w:rPr>
            </w:pPr>
            <w:r>
              <w:rPr>
                <w:rFonts w:hint="eastAsia" w:ascii="宋体" w:hAnsi="宋体" w:eastAsia="宋体" w:cs="宋体"/>
                <w:b w:val="0"/>
                <w:bCs w:val="0"/>
                <w:i w:val="0"/>
                <w:iCs w:val="0"/>
                <w:color w:val="000000"/>
                <w:kern w:val="0"/>
                <w:sz w:val="20"/>
                <w:szCs w:val="20"/>
                <w:u w:val="none"/>
                <w:lang w:val="en-US" w:eastAsia="zh-CN" w:bidi="ar"/>
              </w:rPr>
              <w:t>呼图壁县自然资源局2024年工作总结</w:t>
            </w:r>
          </w:p>
        </w:tc>
        <w:tc>
          <w:tcPr>
            <w:tcW w:w="1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highlight w:val="none"/>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6" w:hRule="atLeast"/>
        </w:trPr>
        <w:tc>
          <w:tcPr>
            <w:tcW w:w="1145"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1397"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19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安全检查及时率</w:t>
            </w:r>
          </w:p>
        </w:tc>
        <w:tc>
          <w:tcPr>
            <w:tcW w:w="10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highlight w:val="none"/>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&gt;=90%</w:t>
            </w:r>
          </w:p>
        </w:tc>
        <w:tc>
          <w:tcPr>
            <w:tcW w:w="21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highlight w:val="none"/>
                <w:u w:val="none"/>
              </w:rPr>
            </w:pPr>
            <w:r>
              <w:rPr>
                <w:rFonts w:hint="eastAsia" w:ascii="宋体" w:hAnsi="宋体" w:eastAsia="宋体" w:cs="宋体"/>
                <w:b w:val="0"/>
                <w:bCs w:val="0"/>
                <w:i w:val="0"/>
                <w:iCs w:val="0"/>
                <w:color w:val="000000"/>
                <w:kern w:val="0"/>
                <w:sz w:val="20"/>
                <w:szCs w:val="20"/>
                <w:u w:val="none"/>
                <w:lang w:val="en-US" w:eastAsia="zh-CN" w:bidi="ar"/>
              </w:rPr>
              <w:t>呼图壁县自然资源局2024年工作总结</w:t>
            </w:r>
          </w:p>
        </w:tc>
        <w:tc>
          <w:tcPr>
            <w:tcW w:w="1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highlight w:val="none"/>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6" w:hRule="atLeast"/>
        </w:trPr>
        <w:tc>
          <w:tcPr>
            <w:tcW w:w="1145" w:type="dxa"/>
            <w:vMerge w:val="continue"/>
            <w:tcBorders>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1397"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质量指标</w:t>
            </w:r>
          </w:p>
        </w:tc>
        <w:tc>
          <w:tcPr>
            <w:tcW w:w="19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安全检查合格率</w:t>
            </w:r>
          </w:p>
        </w:tc>
        <w:tc>
          <w:tcPr>
            <w:tcW w:w="10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highlight w:val="none"/>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&gt;=95%</w:t>
            </w:r>
          </w:p>
        </w:tc>
        <w:tc>
          <w:tcPr>
            <w:tcW w:w="21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highlight w:val="none"/>
                <w:u w:val="none"/>
              </w:rPr>
            </w:pPr>
            <w:r>
              <w:rPr>
                <w:rFonts w:hint="eastAsia" w:ascii="宋体" w:hAnsi="宋体" w:eastAsia="宋体" w:cs="宋体"/>
                <w:b w:val="0"/>
                <w:bCs w:val="0"/>
                <w:i w:val="0"/>
                <w:iCs w:val="0"/>
                <w:color w:val="000000"/>
                <w:kern w:val="0"/>
                <w:sz w:val="20"/>
                <w:szCs w:val="20"/>
                <w:u w:val="none"/>
                <w:lang w:val="en-US" w:eastAsia="zh-CN" w:bidi="ar"/>
              </w:rPr>
              <w:t>呼图壁县自然资源局2024年工作总结</w:t>
            </w:r>
          </w:p>
        </w:tc>
        <w:tc>
          <w:tcPr>
            <w:tcW w:w="1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sz w:val="20"/>
                <w:szCs w:val="20"/>
                <w:highlight w:val="none"/>
                <w:u w:val="none"/>
              </w:rPr>
            </w:pPr>
            <w:r>
              <w:rPr>
                <w:rFonts w:hint="default" w:ascii="Times New Roman" w:hAnsi="Times New Roman" w:eastAsia="宋体" w:cs="Times New Roman"/>
                <w:b w:val="0"/>
                <w:bCs w:val="0"/>
                <w:i w:val="0"/>
                <w:iCs w:val="0"/>
                <w:color w:val="000000"/>
                <w:kern w:val="0"/>
                <w:sz w:val="20"/>
                <w:szCs w:val="20"/>
                <w:u w:val="none"/>
                <w:lang w:val="en-US" w:eastAsia="zh-CN" w:bidi="ar"/>
              </w:rPr>
              <w:t>20</w:t>
            </w:r>
          </w:p>
        </w:tc>
      </w:tr>
    </w:tbl>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（五）其他需说明的事项</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仿宋_GB2312" w:eastAsia="仿宋_GB2312" w:cs="仿宋_GB2312"/>
          <w:b w:val="0"/>
          <w:bCs/>
          <w:color w:val="000000" w:themeColor="text1"/>
          <w:kern w:val="0"/>
          <w:sz w:val="32"/>
          <w:szCs w:val="32"/>
          <w:highlight w:val="none"/>
          <w:lang w:val="en-US" w:eastAsia="zh-CN"/>
          <w14:textFill>
            <w14:solidFill>
              <w14:schemeClr w14:val="tx1"/>
            </w14:solidFill>
          </w14:textFill>
        </w:rPr>
      </w:pPr>
      <w:r>
        <w:rPr>
          <w:rFonts w:hint="eastAsia" w:ascii="仿宋_GB2312" w:hAnsi="仿宋_GB2312" w:eastAsia="仿宋_GB2312" w:cs="仿宋_GB2312"/>
          <w:b w:val="0"/>
          <w:bCs/>
          <w:color w:val="000000" w:themeColor="text1"/>
          <w:kern w:val="0"/>
          <w:sz w:val="32"/>
          <w:szCs w:val="32"/>
          <w:highlight w:val="none"/>
          <w:lang w:val="en-US" w:eastAsia="zh-CN"/>
          <w14:textFill>
            <w14:solidFill>
              <w14:schemeClr w14:val="tx1"/>
            </w14:solidFill>
          </w14:textFill>
        </w:rPr>
        <w:t>本部门无</w:t>
      </w:r>
      <w:r>
        <w:rPr>
          <w:rFonts w:hint="eastAsia" w:ascii="仿宋" w:hAnsi="仿宋" w:eastAsia="仿宋" w:cs="仿宋"/>
          <w:b w:val="0"/>
          <w:bCs/>
          <w:kern w:val="0"/>
          <w:sz w:val="32"/>
          <w:szCs w:val="32"/>
          <w:highlight w:val="none"/>
        </w:rPr>
        <w:t>其他需说明的事项</w:t>
      </w:r>
      <w:r>
        <w:rPr>
          <w:rFonts w:hint="eastAsia" w:ascii="仿宋_GB2312" w:hAnsi="仿宋_GB2312" w:eastAsia="仿宋_GB2312" w:cs="仿宋_GB2312"/>
          <w:b w:val="0"/>
          <w:bCs/>
          <w:color w:val="000000" w:themeColor="text1"/>
          <w:kern w:val="0"/>
          <w:sz w:val="32"/>
          <w:szCs w:val="32"/>
          <w:highlight w:val="none"/>
          <w:lang w:val="en-US" w:eastAsia="zh-CN"/>
          <w14:textFill>
            <w14:solidFill>
              <w14:schemeClr w14:val="tx1"/>
            </w14:solidFill>
          </w14:textFill>
        </w:rPr>
        <w:t>。</w:t>
      </w:r>
    </w:p>
    <w:p>
      <w:pPr>
        <w:rPr>
          <w:rFonts w:hint="eastAsia" w:ascii="黑体" w:hAnsi="黑体" w:eastAsia="黑体"/>
          <w:kern w:val="0"/>
          <w:sz w:val="32"/>
          <w:szCs w:val="32"/>
          <w:highlight w:val="none"/>
        </w:rPr>
      </w:pPr>
      <w:r>
        <w:rPr>
          <w:rFonts w:hint="eastAsia" w:ascii="黑体" w:hAnsi="黑体" w:eastAsia="黑体"/>
          <w:kern w:val="0"/>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bookmarkStart w:id="1" w:name="_GoBack"/>
      <w:bookmarkEnd w:id="1"/>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5120" w:firstLineChars="16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CN"/>
        </w:rPr>
        <w:t>呼图壁县</w:t>
      </w:r>
      <w:r>
        <w:rPr>
          <w:rFonts w:hint="eastAsia" w:ascii="仿宋_GB2312" w:hAnsi="宋体" w:eastAsia="仿宋_GB2312" w:cs="宋体"/>
          <w:kern w:val="0"/>
          <w:sz w:val="32"/>
          <w:szCs w:val="32"/>
          <w:highlight w:val="none"/>
          <w:lang w:val="en-US" w:eastAsia="zh-CN"/>
        </w:rPr>
        <w:t>自然资源</w:t>
      </w:r>
      <w:r>
        <w:rPr>
          <w:rFonts w:hint="eastAsia" w:ascii="仿宋_GB2312" w:hAnsi="宋体" w:eastAsia="仿宋_GB2312" w:cs="宋体"/>
          <w:kern w:val="0"/>
          <w:sz w:val="32"/>
          <w:szCs w:val="32"/>
          <w:highlight w:val="none"/>
          <w:lang w:eastAsia="zh-CN"/>
        </w:rPr>
        <w:t>局</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 xml:space="preserve"> </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 xml:space="preserve"> 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rPr>
          <w:highlight w:val="none"/>
        </w:rPr>
      </w:pPr>
    </w:p>
    <w:p>
      <w:pPr>
        <w:rPr>
          <w:highlight w:val="none"/>
        </w:rPr>
      </w:pPr>
    </w:p>
    <w:sectPr>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panose1 w:val="02000000000000000000"/>
    <w:charset w:val="86"/>
    <w:family w:val="auto"/>
    <w:pitch w:val="default"/>
    <w:sig w:usb0="A00002BF" w:usb1="38CF7CFA" w:usb2="00082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- 1 -</w:t>
                    </w:r>
                    <w:r>
                      <w:fldChar w:fldCharType="end"/>
                    </w:r>
                  </w:p>
                </w:txbxContent>
              </v:textbox>
            </v:shape>
          </w:pict>
        </mc:Fallback>
      </mc:AlternateContent>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w:t>
                    </w:r>
                    <w:r>
                      <w:fldChar w:fldCharType="end"/>
                    </w:r>
                  </w:p>
                </w:txbxContent>
              </v:textbox>
            </v:shape>
          </w:pict>
        </mc:Fallback>
      </mc:AlternateContent>
    </w:r>
  </w:p>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p>
                        <w:p>
                          <w:pPr>
                            <w:pStyle w:val="6"/>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6"/>
                    </w:pPr>
                  </w:p>
                  <w:p>
                    <w:pPr>
                      <w:pStyle w:val="6"/>
                    </w:pPr>
                    <w:r>
                      <w:fldChar w:fldCharType="begin"/>
                    </w:r>
                    <w:r>
                      <w:instrText xml:space="preserve"> PAGE  \* MERGEFORMAT </w:instrText>
                    </w:r>
                    <w:r>
                      <w:fldChar w:fldCharType="separate"/>
                    </w:r>
                    <w:r>
                      <w:t>4</w:t>
                    </w:r>
                    <w:r>
                      <w:fldChar w:fldCharType="end"/>
                    </w:r>
                  </w:p>
                </w:txbxContent>
              </v:textbox>
            </v:shape>
          </w:pict>
        </mc:Fallback>
      </mc:AlternateContent>
    </w:r>
  </w:p>
  <w:p>
    <w:pPr>
      <w:pStyle w:val="6"/>
      <w:jc w:val="right"/>
      <w:rPr>
        <w:rFonts w:ascii="宋体" w:hAnsi="宋体" w:eastAsia="宋体"/>
        <w:sz w:val="28"/>
        <w:szCs w:val="28"/>
      </w:rPr>
    </w:pP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AF9975"/>
    <w:multiLevelType w:val="singleLevel"/>
    <w:tmpl w:val="EDAF9975"/>
    <w:lvl w:ilvl="0" w:tentative="0">
      <w:start w:val="7"/>
      <w:numFmt w:val="chineseCounting"/>
      <w:suff w:val="nothing"/>
      <w:lvlText w:val="%1、"/>
      <w:lvlJc w:val="left"/>
      <w:rPr>
        <w:rFonts w:hint="eastAsia" w:ascii="楷体_GB2312" w:hAnsi="楷体_GB2312" w:eastAsia="楷体_GB2312" w:cs="楷体_GB2312"/>
        <w:b/>
        <w:bCs/>
        <w:sz w:val="32"/>
        <w:szCs w:val="32"/>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RmZDEwYzQ1M2U1ZDYxOTExOWYzMzI2ZTFjZDU3Y2MifQ=="/>
  </w:docVars>
  <w:rsids>
    <w:rsidRoot w:val="10587512"/>
    <w:rsid w:val="002F4F49"/>
    <w:rsid w:val="004105FB"/>
    <w:rsid w:val="005843D3"/>
    <w:rsid w:val="00E41A1F"/>
    <w:rsid w:val="013A53B9"/>
    <w:rsid w:val="017B2F92"/>
    <w:rsid w:val="020E507E"/>
    <w:rsid w:val="02732F8E"/>
    <w:rsid w:val="02C67F77"/>
    <w:rsid w:val="02CB7F49"/>
    <w:rsid w:val="02D43422"/>
    <w:rsid w:val="037800D1"/>
    <w:rsid w:val="03C27ED6"/>
    <w:rsid w:val="03C50438"/>
    <w:rsid w:val="04267087"/>
    <w:rsid w:val="04267B2D"/>
    <w:rsid w:val="044C330C"/>
    <w:rsid w:val="045F6FA0"/>
    <w:rsid w:val="04ED3A23"/>
    <w:rsid w:val="05397FD9"/>
    <w:rsid w:val="057A5F58"/>
    <w:rsid w:val="058305E2"/>
    <w:rsid w:val="05CA273A"/>
    <w:rsid w:val="065E1222"/>
    <w:rsid w:val="06807987"/>
    <w:rsid w:val="06AF610C"/>
    <w:rsid w:val="070E6657"/>
    <w:rsid w:val="0737714A"/>
    <w:rsid w:val="074E588A"/>
    <w:rsid w:val="07BE37A0"/>
    <w:rsid w:val="07FB2F6A"/>
    <w:rsid w:val="080E3E4F"/>
    <w:rsid w:val="084451C2"/>
    <w:rsid w:val="08450B28"/>
    <w:rsid w:val="08762705"/>
    <w:rsid w:val="088F5575"/>
    <w:rsid w:val="08E81855"/>
    <w:rsid w:val="09521D9B"/>
    <w:rsid w:val="0A31491F"/>
    <w:rsid w:val="0A4168EC"/>
    <w:rsid w:val="0AB06AB1"/>
    <w:rsid w:val="0AB45338"/>
    <w:rsid w:val="0AD672A7"/>
    <w:rsid w:val="0B1D727B"/>
    <w:rsid w:val="0B247F12"/>
    <w:rsid w:val="0B770C23"/>
    <w:rsid w:val="0B7C3034"/>
    <w:rsid w:val="0B841FFD"/>
    <w:rsid w:val="0BD56A2F"/>
    <w:rsid w:val="0C0949A1"/>
    <w:rsid w:val="0C0A3890"/>
    <w:rsid w:val="0CD20198"/>
    <w:rsid w:val="0CEC568C"/>
    <w:rsid w:val="0D6E5FD0"/>
    <w:rsid w:val="0D6F3011"/>
    <w:rsid w:val="0DD25396"/>
    <w:rsid w:val="0E320E7D"/>
    <w:rsid w:val="0E9208E7"/>
    <w:rsid w:val="10587512"/>
    <w:rsid w:val="105D0E37"/>
    <w:rsid w:val="10916BDA"/>
    <w:rsid w:val="10CD475F"/>
    <w:rsid w:val="11036B00"/>
    <w:rsid w:val="11301FEB"/>
    <w:rsid w:val="11885670"/>
    <w:rsid w:val="11B6451D"/>
    <w:rsid w:val="121D6DE3"/>
    <w:rsid w:val="121E62E8"/>
    <w:rsid w:val="12DE57BD"/>
    <w:rsid w:val="155812D9"/>
    <w:rsid w:val="1697741D"/>
    <w:rsid w:val="172D4CE7"/>
    <w:rsid w:val="18501F69"/>
    <w:rsid w:val="19532307"/>
    <w:rsid w:val="19846628"/>
    <w:rsid w:val="199D15EF"/>
    <w:rsid w:val="19A215AC"/>
    <w:rsid w:val="1A132B78"/>
    <w:rsid w:val="1A166144"/>
    <w:rsid w:val="1A7E0AB4"/>
    <w:rsid w:val="1AC437A4"/>
    <w:rsid w:val="1B153D26"/>
    <w:rsid w:val="1B4347A6"/>
    <w:rsid w:val="1BE17666"/>
    <w:rsid w:val="1BEB54C3"/>
    <w:rsid w:val="1C3C6084"/>
    <w:rsid w:val="1C8C02F2"/>
    <w:rsid w:val="1D054D26"/>
    <w:rsid w:val="1D3E1AFE"/>
    <w:rsid w:val="1D57263F"/>
    <w:rsid w:val="1E56443D"/>
    <w:rsid w:val="1E6432D4"/>
    <w:rsid w:val="1E89232D"/>
    <w:rsid w:val="1EB049A2"/>
    <w:rsid w:val="1EB61656"/>
    <w:rsid w:val="1FBE7404"/>
    <w:rsid w:val="20407429"/>
    <w:rsid w:val="20CF3CE4"/>
    <w:rsid w:val="20DD55C0"/>
    <w:rsid w:val="216D5F0B"/>
    <w:rsid w:val="22922CB8"/>
    <w:rsid w:val="22DB78DD"/>
    <w:rsid w:val="244D65B8"/>
    <w:rsid w:val="24597900"/>
    <w:rsid w:val="2492221D"/>
    <w:rsid w:val="24931510"/>
    <w:rsid w:val="24B42D8E"/>
    <w:rsid w:val="250855AF"/>
    <w:rsid w:val="251C48EE"/>
    <w:rsid w:val="256006AD"/>
    <w:rsid w:val="258B383C"/>
    <w:rsid w:val="25E20724"/>
    <w:rsid w:val="263B5F44"/>
    <w:rsid w:val="263B7010"/>
    <w:rsid w:val="26B4291F"/>
    <w:rsid w:val="26BD282A"/>
    <w:rsid w:val="26D45D9C"/>
    <w:rsid w:val="26E769FA"/>
    <w:rsid w:val="27935FCD"/>
    <w:rsid w:val="27FE08F0"/>
    <w:rsid w:val="286D65BC"/>
    <w:rsid w:val="28D9041B"/>
    <w:rsid w:val="291F1BC2"/>
    <w:rsid w:val="293B2E83"/>
    <w:rsid w:val="2AB5106A"/>
    <w:rsid w:val="2AFC4894"/>
    <w:rsid w:val="2B3A05DE"/>
    <w:rsid w:val="2B6901C6"/>
    <w:rsid w:val="2BC4305B"/>
    <w:rsid w:val="2C550E71"/>
    <w:rsid w:val="2D480265"/>
    <w:rsid w:val="2D977453"/>
    <w:rsid w:val="2DFA2EFF"/>
    <w:rsid w:val="2E2943BA"/>
    <w:rsid w:val="2EC3689D"/>
    <w:rsid w:val="2EF22236"/>
    <w:rsid w:val="2FED29FE"/>
    <w:rsid w:val="300E1D4A"/>
    <w:rsid w:val="30B05F05"/>
    <w:rsid w:val="310F3573"/>
    <w:rsid w:val="31DC5B9E"/>
    <w:rsid w:val="32600DD9"/>
    <w:rsid w:val="32D560F7"/>
    <w:rsid w:val="33246E64"/>
    <w:rsid w:val="33A76F60"/>
    <w:rsid w:val="341E7629"/>
    <w:rsid w:val="35063077"/>
    <w:rsid w:val="354344D8"/>
    <w:rsid w:val="35F117C8"/>
    <w:rsid w:val="38284F1B"/>
    <w:rsid w:val="39851B45"/>
    <w:rsid w:val="39B0409D"/>
    <w:rsid w:val="3A9E5D18"/>
    <w:rsid w:val="3AE1307F"/>
    <w:rsid w:val="3BD71A1C"/>
    <w:rsid w:val="3BE45FB7"/>
    <w:rsid w:val="3BF21AC7"/>
    <w:rsid w:val="3C013037"/>
    <w:rsid w:val="3CBA7975"/>
    <w:rsid w:val="3FDF4D23"/>
    <w:rsid w:val="40CD26AD"/>
    <w:rsid w:val="40CE77E2"/>
    <w:rsid w:val="41083B3B"/>
    <w:rsid w:val="41270465"/>
    <w:rsid w:val="415E5FA5"/>
    <w:rsid w:val="41925F6D"/>
    <w:rsid w:val="41981D19"/>
    <w:rsid w:val="41DB2FFE"/>
    <w:rsid w:val="41E8035F"/>
    <w:rsid w:val="42F779C3"/>
    <w:rsid w:val="43502DA9"/>
    <w:rsid w:val="43B26AD1"/>
    <w:rsid w:val="43C26223"/>
    <w:rsid w:val="43D8307E"/>
    <w:rsid w:val="44507CD3"/>
    <w:rsid w:val="44AF5181"/>
    <w:rsid w:val="455A018C"/>
    <w:rsid w:val="458C0008"/>
    <w:rsid w:val="46270404"/>
    <w:rsid w:val="46AE3426"/>
    <w:rsid w:val="46B02CAB"/>
    <w:rsid w:val="46C07BAF"/>
    <w:rsid w:val="46CE3131"/>
    <w:rsid w:val="47731911"/>
    <w:rsid w:val="493059DD"/>
    <w:rsid w:val="494F7907"/>
    <w:rsid w:val="4ADF73DC"/>
    <w:rsid w:val="4B1B26BD"/>
    <w:rsid w:val="4B252E2C"/>
    <w:rsid w:val="4B315A3D"/>
    <w:rsid w:val="4BEA7F3D"/>
    <w:rsid w:val="4C0055E5"/>
    <w:rsid w:val="4C3677AE"/>
    <w:rsid w:val="4C706B3A"/>
    <w:rsid w:val="4D787250"/>
    <w:rsid w:val="4E5E3C77"/>
    <w:rsid w:val="4E5E68BD"/>
    <w:rsid w:val="4F3B332E"/>
    <w:rsid w:val="502C7FBC"/>
    <w:rsid w:val="503A283A"/>
    <w:rsid w:val="515F5369"/>
    <w:rsid w:val="51C15CED"/>
    <w:rsid w:val="52285DEB"/>
    <w:rsid w:val="528D55B6"/>
    <w:rsid w:val="52AD62F0"/>
    <w:rsid w:val="532E632D"/>
    <w:rsid w:val="53A94D0A"/>
    <w:rsid w:val="54071C49"/>
    <w:rsid w:val="546308FE"/>
    <w:rsid w:val="55FE5FA2"/>
    <w:rsid w:val="56B60541"/>
    <w:rsid w:val="56FE59C9"/>
    <w:rsid w:val="570D735E"/>
    <w:rsid w:val="571B2674"/>
    <w:rsid w:val="589917F1"/>
    <w:rsid w:val="59A303F3"/>
    <w:rsid w:val="59B241EC"/>
    <w:rsid w:val="5A5E27F6"/>
    <w:rsid w:val="5A695FDE"/>
    <w:rsid w:val="5A704801"/>
    <w:rsid w:val="5A8C5E4D"/>
    <w:rsid w:val="5AED2A9A"/>
    <w:rsid w:val="5B226126"/>
    <w:rsid w:val="5BC9296E"/>
    <w:rsid w:val="5C1E5B4F"/>
    <w:rsid w:val="5C2E48AD"/>
    <w:rsid w:val="5D9E1657"/>
    <w:rsid w:val="5E225DE5"/>
    <w:rsid w:val="5E257683"/>
    <w:rsid w:val="5E7802BC"/>
    <w:rsid w:val="5EE078B0"/>
    <w:rsid w:val="5F0D5523"/>
    <w:rsid w:val="5F2346ED"/>
    <w:rsid w:val="5FC873F9"/>
    <w:rsid w:val="5FE80A5D"/>
    <w:rsid w:val="60E10130"/>
    <w:rsid w:val="61086613"/>
    <w:rsid w:val="61686204"/>
    <w:rsid w:val="62917095"/>
    <w:rsid w:val="630E06E5"/>
    <w:rsid w:val="6408782B"/>
    <w:rsid w:val="64315D67"/>
    <w:rsid w:val="64734DB7"/>
    <w:rsid w:val="64AE21C0"/>
    <w:rsid w:val="65322CBF"/>
    <w:rsid w:val="65B35574"/>
    <w:rsid w:val="65C658ED"/>
    <w:rsid w:val="66550407"/>
    <w:rsid w:val="67514CA1"/>
    <w:rsid w:val="67A04D69"/>
    <w:rsid w:val="67FE7A32"/>
    <w:rsid w:val="68CC52CB"/>
    <w:rsid w:val="68DE4FFE"/>
    <w:rsid w:val="691B0000"/>
    <w:rsid w:val="69454882"/>
    <w:rsid w:val="694B58D7"/>
    <w:rsid w:val="69CE4E15"/>
    <w:rsid w:val="6A8E0296"/>
    <w:rsid w:val="6B3E7E06"/>
    <w:rsid w:val="6B7F3246"/>
    <w:rsid w:val="6BDD3D14"/>
    <w:rsid w:val="6BF904A6"/>
    <w:rsid w:val="6CB5251A"/>
    <w:rsid w:val="6CD429A0"/>
    <w:rsid w:val="6E010456"/>
    <w:rsid w:val="6EC404BD"/>
    <w:rsid w:val="6EF07839"/>
    <w:rsid w:val="6F377877"/>
    <w:rsid w:val="6F63000B"/>
    <w:rsid w:val="6FCF0C72"/>
    <w:rsid w:val="71500A63"/>
    <w:rsid w:val="717C1858"/>
    <w:rsid w:val="72B56DCF"/>
    <w:rsid w:val="72E964BC"/>
    <w:rsid w:val="735B6952"/>
    <w:rsid w:val="735C7C42"/>
    <w:rsid w:val="73D14950"/>
    <w:rsid w:val="747A76FE"/>
    <w:rsid w:val="74D07EF1"/>
    <w:rsid w:val="75A90395"/>
    <w:rsid w:val="75B570E6"/>
    <w:rsid w:val="75BF3AC1"/>
    <w:rsid w:val="75C96EE3"/>
    <w:rsid w:val="75D7623C"/>
    <w:rsid w:val="760E584C"/>
    <w:rsid w:val="76822517"/>
    <w:rsid w:val="7706409E"/>
    <w:rsid w:val="7797777E"/>
    <w:rsid w:val="780A1873"/>
    <w:rsid w:val="787D11B8"/>
    <w:rsid w:val="78A771BA"/>
    <w:rsid w:val="78AC6820"/>
    <w:rsid w:val="78CA6564"/>
    <w:rsid w:val="792C5912"/>
    <w:rsid w:val="7A6C603D"/>
    <w:rsid w:val="7BAE2502"/>
    <w:rsid w:val="7C694C28"/>
    <w:rsid w:val="7CA9457A"/>
    <w:rsid w:val="7CBA4FE2"/>
    <w:rsid w:val="7D06612B"/>
    <w:rsid w:val="7D7D32EF"/>
    <w:rsid w:val="7D844FBE"/>
    <w:rsid w:val="7E880152"/>
    <w:rsid w:val="7E8B30DA"/>
    <w:rsid w:val="7EC44A4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9"/>
    <w:pPr>
      <w:keepNext/>
      <w:keepLines/>
      <w:spacing w:before="260" w:after="260" w:line="416" w:lineRule="auto"/>
      <w:outlineLvl w:val="1"/>
    </w:pPr>
    <w:rPr>
      <w:rFonts w:hint="eastAsia" w:ascii="Arial" w:hAnsi="Arial" w:eastAsia="黑体"/>
      <w:b/>
      <w:sz w:val="21"/>
      <w:szCs w:val="24"/>
    </w:rPr>
  </w:style>
  <w:style w:type="paragraph" w:styleId="3">
    <w:name w:val="heading 3"/>
    <w:basedOn w:val="1"/>
    <w:next w:val="1"/>
    <w:qFormat/>
    <w:uiPriority w:val="0"/>
    <w:pPr>
      <w:keepNext/>
      <w:keepLines/>
      <w:spacing w:before="260" w:beforeLines="0" w:after="260" w:afterLines="0" w:line="416" w:lineRule="auto"/>
      <w:outlineLvl w:val="2"/>
    </w:pPr>
    <w:rPr>
      <w:b/>
      <w:bCs/>
      <w:sz w:val="32"/>
      <w:szCs w:val="3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qFormat/>
    <w:uiPriority w:val="1"/>
    <w:rPr>
      <w:rFonts w:ascii="仿宋_GB2312" w:hAnsi="仿宋_GB2312" w:eastAsia="仿宋_GB2312" w:cs="仿宋_GB2312"/>
      <w:sz w:val="32"/>
      <w:szCs w:val="32"/>
    </w:rPr>
  </w:style>
  <w:style w:type="paragraph" w:styleId="6">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footnote text"/>
    <w:basedOn w:val="1"/>
    <w:qFormat/>
    <w:uiPriority w:val="0"/>
    <w:pPr>
      <w:snapToGrid w:val="0"/>
      <w:jc w:val="left"/>
    </w:pPr>
    <w:rPr>
      <w:sz w:val="18"/>
    </w:r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font11"/>
    <w:basedOn w:val="12"/>
    <w:qFormat/>
    <w:uiPriority w:val="0"/>
    <w:rPr>
      <w:rFonts w:hint="eastAsia" w:ascii="宋体" w:hAnsi="宋体" w:eastAsia="宋体" w:cs="宋体"/>
      <w:color w:val="000000"/>
      <w:sz w:val="24"/>
      <w:szCs w:val="24"/>
      <w:u w:val="none"/>
    </w:rPr>
  </w:style>
  <w:style w:type="character" w:customStyle="1" w:styleId="14">
    <w:name w:val="font51"/>
    <w:basedOn w:val="12"/>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30</Pages>
  <Words>3224</Words>
  <Characters>3773</Characters>
  <Lines>0</Lines>
  <Paragraphs>0</Paragraphs>
  <TotalTime>3</TotalTime>
  <ScaleCrop>false</ScaleCrop>
  <LinksUpToDate>false</LinksUpToDate>
  <CharactersWithSpaces>4036</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dcterms:modified xsi:type="dcterms:W3CDTF">2025-05-30T05:27:25Z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0D4DE24AE1AF488EB5CE5F1234482630_13</vt:lpwstr>
  </property>
  <property fmtid="{D5CDD505-2E9C-101B-9397-08002B2CF9AE}" pid="4" name="KSOTemplateDocerSaveRecord">
    <vt:lpwstr>eyJoZGlkIjoiMDljYzUzMWQ4OWI0YzBkYjYzMDRhZTY5ZjZkYmFmYTgiLCJ1c2VySWQiOiI1ODMzMjMyMTIifQ==</vt:lpwstr>
  </property>
</Properties>
</file>