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jc w:val="center"/>
        <w:rPr>
          <w:rFonts w:hint="default" w:ascii="黑体" w:hAnsi="ArialUnicodeMS" w:eastAsia="黑体" w:cs="Times New Roman"/>
          <w:color w:val="000000"/>
          <w:sz w:val="44"/>
          <w:szCs w:val="44"/>
        </w:rPr>
      </w:pPr>
    </w:p>
    <w:p>
      <w:pPr>
        <w:jc w:val="center"/>
        <w:rPr>
          <w:rFonts w:hint="eastAsia" w:ascii="黑体" w:hAnsi="ArialUnicodeMS" w:eastAsia="黑体" w:cs="Times New Roman"/>
          <w:color w:val="000000"/>
          <w:sz w:val="44"/>
          <w:szCs w:val="44"/>
        </w:rPr>
      </w:pPr>
      <w:r>
        <w:rPr>
          <w:rFonts w:hint="eastAsia" w:ascii="黑体" w:hAnsi="ArialUnicodeMS" w:eastAsia="黑体" w:cs="Times New Roman"/>
          <w:color w:val="000000"/>
          <w:sz w:val="44"/>
          <w:szCs w:val="44"/>
        </w:rPr>
        <w:t>呼图壁县应急管理局</w:t>
      </w:r>
    </w:p>
    <w:p>
      <w:pPr>
        <w:jc w:val="center"/>
        <w:rPr>
          <w:rFonts w:hint="eastAsia" w:ascii="黑体" w:hAnsi="ArialUnicodeMS" w:eastAsia="黑体" w:cs="Times New Roman"/>
          <w:color w:val="000000"/>
          <w:sz w:val="44"/>
          <w:szCs w:val="44"/>
        </w:rPr>
      </w:pPr>
    </w:p>
    <w:p>
      <w:pPr>
        <w:jc w:val="center"/>
        <w:rPr>
          <w:rFonts w:hint="default" w:ascii="黑体" w:hAnsi="ArialUnicodeMS" w:eastAsia="黑体" w:cs="Times New Roman"/>
          <w:color w:val="000000"/>
          <w:sz w:val="44"/>
          <w:szCs w:val="44"/>
        </w:rPr>
      </w:pPr>
      <w:r>
        <w:rPr>
          <w:rFonts w:hint="eastAsia" w:ascii="黑体" w:hAnsi="ArialUnicodeMS" w:eastAsia="黑体" w:cs="Times New Roman"/>
          <w:color w:val="000000"/>
          <w:sz w:val="44"/>
          <w:szCs w:val="44"/>
        </w:rPr>
        <w:t>202</w:t>
      </w:r>
      <w:r>
        <w:rPr>
          <w:rFonts w:hint="eastAsia" w:ascii="黑体" w:hAnsi="ArialUnicodeMS" w:eastAsia="黑体" w:cs="Times New Roman"/>
          <w:color w:val="000000"/>
          <w:sz w:val="44"/>
          <w:szCs w:val="44"/>
          <w:lang w:val="en-US" w:eastAsia="zh-CN"/>
        </w:rPr>
        <w:t>5</w:t>
      </w:r>
      <w:r>
        <w:rPr>
          <w:rFonts w:hint="eastAsia" w:ascii="黑体" w:hAnsi="ArialUnicodeMS" w:eastAsia="黑体" w:cs="Times New Roman"/>
          <w:color w:val="000000"/>
          <w:sz w:val="44"/>
          <w:szCs w:val="44"/>
        </w:rPr>
        <w:t>年</w:t>
      </w:r>
      <w:r>
        <w:rPr>
          <w:rFonts w:hint="eastAsia" w:ascii="黑体" w:hAnsi="ArialUnicodeMS" w:eastAsia="黑体" w:cs="Times New Roman"/>
          <w:color w:val="000000"/>
          <w:sz w:val="44"/>
          <w:szCs w:val="44"/>
          <w:highlight w:val="none"/>
          <w:lang w:val="en-US" w:eastAsia="zh-CN"/>
        </w:rPr>
        <w:t>部门</w:t>
      </w:r>
      <w:r>
        <w:rPr>
          <w:rFonts w:hint="eastAsia" w:ascii="黑体" w:hAnsi="ArialUnicodeMS" w:eastAsia="黑体" w:cs="Times New Roman"/>
          <w:color w:val="00000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highlight w:val="none"/>
        </w:rPr>
      </w:pPr>
      <w:r>
        <w:rPr>
          <w:rFonts w:hint="eastAsia" w:ascii="仿宋" w:hAnsi="仿宋" w:eastAsia="仿宋" w:cs="Times New Roman"/>
          <w:b/>
          <w:color w:val="000000"/>
          <w:sz w:val="28"/>
          <w:szCs w:val="28"/>
        </w:rPr>
        <w:t>第一部分  202</w:t>
      </w:r>
      <w:r>
        <w:rPr>
          <w:rFonts w:hint="eastAsia" w:ascii="仿宋" w:hAnsi="仿宋" w:eastAsia="仿宋" w:cs="Times New Roman"/>
          <w:b/>
          <w:color w:val="000000"/>
          <w:sz w:val="28"/>
          <w:szCs w:val="28"/>
          <w:lang w:val="en-US" w:eastAsia="zh-CN"/>
        </w:rPr>
        <w:t>5</w:t>
      </w:r>
      <w:r>
        <w:rPr>
          <w:rFonts w:hint="eastAsia" w:ascii="仿宋" w:hAnsi="仿宋" w:eastAsia="仿宋" w:cs="Times New Roman"/>
          <w:b/>
          <w:color w:val="000000"/>
          <w:sz w:val="28"/>
          <w:szCs w:val="28"/>
        </w:rPr>
        <w:t>年呼图壁县应急管理</w:t>
      </w:r>
      <w:r>
        <w:rPr>
          <w:rFonts w:hint="eastAsia" w:ascii="仿宋" w:hAnsi="仿宋" w:eastAsia="仿宋" w:cs="Times New Roman"/>
          <w:b/>
          <w:color w:val="000000"/>
          <w:sz w:val="28"/>
          <w:szCs w:val="28"/>
          <w:highlight w:val="none"/>
        </w:rPr>
        <w:t>局</w:t>
      </w:r>
      <w:r>
        <w:rPr>
          <w:rFonts w:hint="eastAsia" w:ascii="仿宋" w:hAnsi="仿宋" w:eastAsia="仿宋" w:cs="Times New Roman"/>
          <w:b/>
          <w:color w:val="000000"/>
          <w:sz w:val="28"/>
          <w:szCs w:val="28"/>
          <w:highlight w:val="none"/>
          <w:lang w:val="en-US" w:eastAsia="zh-CN"/>
        </w:rPr>
        <w:t>部门</w:t>
      </w:r>
      <w:r>
        <w:rPr>
          <w:rFonts w:hint="eastAsia" w:ascii="仿宋" w:hAnsi="仿宋" w:eastAsia="仿宋" w:cs="Times New Roman"/>
          <w:b/>
          <w:color w:val="000000"/>
          <w:sz w:val="28"/>
          <w:szCs w:val="28"/>
          <w:highlight w:val="none"/>
        </w:rPr>
        <w:t>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第二部分  202</w:t>
      </w:r>
      <w:r>
        <w:rPr>
          <w:rFonts w:hint="eastAsia" w:ascii="仿宋" w:hAnsi="仿宋" w:eastAsia="仿宋" w:cs="Times New Roman"/>
          <w:b/>
          <w:color w:val="000000"/>
          <w:sz w:val="28"/>
          <w:szCs w:val="28"/>
          <w:lang w:val="en-US" w:eastAsia="zh-CN"/>
        </w:rPr>
        <w:t>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val="en-US" w:eastAsia="zh-CN"/>
        </w:rPr>
        <w:t>部门</w:t>
      </w:r>
      <w:r>
        <w:rPr>
          <w:rFonts w:hint="eastAsia" w:ascii="仿宋" w:hAnsi="仿宋" w:eastAsia="仿宋" w:cs="Times New Roman"/>
          <w:b/>
          <w:color w:val="000000"/>
          <w:sz w:val="28"/>
          <w:szCs w:val="28"/>
        </w:rPr>
        <w:t>预算公开表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收支总体情况表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收入总体情况表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支出总体情况表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四、财政拨款收支</w:t>
      </w:r>
      <w:r>
        <w:rPr>
          <w:rFonts w:hint="eastAsia" w:ascii="仿宋" w:hAnsi="仿宋" w:eastAsia="仿宋" w:cs="Times New Roman"/>
          <w:color w:val="000000"/>
          <w:sz w:val="28"/>
          <w:szCs w:val="28"/>
          <w:lang w:val="en-US" w:eastAsia="zh-CN"/>
        </w:rPr>
        <w:t>预算</w:t>
      </w:r>
      <w:r>
        <w:rPr>
          <w:rFonts w:hint="eastAsia" w:ascii="仿宋" w:hAnsi="仿宋" w:eastAsia="仿宋" w:cs="Times New Roman"/>
          <w:color w:val="000000"/>
          <w:sz w:val="28"/>
          <w:szCs w:val="28"/>
        </w:rPr>
        <w:t>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五、一般公共预算支出情况表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六、一般公共预算基本支出情况表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七、一般公共预算项目支出情况表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、政府性基金预算支出情况表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国有资本经营预算支出情况表</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十、财政拨款“三公”经费支出情况表</w:t>
      </w:r>
    </w:p>
    <w:p>
      <w:pPr>
        <w:spacing w:line="560" w:lineRule="exact"/>
        <w:ind w:firstLine="560" w:firstLineChars="200"/>
        <w:jc w:val="left"/>
        <w:rPr>
          <w:rFonts w:hint="default"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十一、</w:t>
      </w:r>
      <w:r>
        <w:rPr>
          <w:rFonts w:hint="eastAsia" w:ascii="仿宋" w:hAnsi="仿宋" w:eastAsia="仿宋" w:cs="Times New Roman"/>
          <w:color w:val="000000"/>
          <w:sz w:val="28"/>
          <w:szCs w:val="28"/>
          <w:lang w:val="en-US" w:eastAsia="zh-Hans"/>
        </w:rPr>
        <w:t>上年结转</w:t>
      </w:r>
      <w:r>
        <w:rPr>
          <w:rFonts w:hint="eastAsia" w:ascii="仿宋" w:hAnsi="仿宋" w:eastAsia="仿宋" w:cs="Times New Roman"/>
          <w:color w:val="000000"/>
          <w:sz w:val="28"/>
          <w:szCs w:val="28"/>
          <w:lang w:val="en-US" w:eastAsia="zh-CN"/>
        </w:rPr>
        <w:t>结余</w:t>
      </w:r>
      <w:r>
        <w:rPr>
          <w:rFonts w:hint="eastAsia" w:ascii="仿宋" w:hAnsi="仿宋" w:eastAsia="仿宋" w:cs="Times New Roman"/>
          <w:color w:val="000000"/>
          <w:sz w:val="28"/>
          <w:szCs w:val="28"/>
          <w:lang w:val="en-US" w:eastAsia="zh-Hans"/>
        </w:rPr>
        <w:t>情况明细表</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第三部分  202</w:t>
      </w:r>
      <w:r>
        <w:rPr>
          <w:rFonts w:hint="eastAsia" w:ascii="仿宋" w:hAnsi="仿宋" w:eastAsia="仿宋" w:cs="Times New Roman"/>
          <w:b/>
          <w:color w:val="000000"/>
          <w:sz w:val="28"/>
          <w:szCs w:val="28"/>
          <w:lang w:val="en-US" w:eastAsia="zh-CN"/>
        </w:rPr>
        <w:t>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val="en-US" w:eastAsia="zh-CN"/>
        </w:rPr>
        <w:t>部门</w:t>
      </w:r>
      <w:r>
        <w:rPr>
          <w:rFonts w:hint="eastAsia" w:ascii="仿宋" w:hAnsi="仿宋" w:eastAsia="仿宋" w:cs="Times New Roman"/>
          <w:b/>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一、关于呼图壁县应急管理局2025年收支预算情况的总体说明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二、关于呼图壁县应急管理局2025年收入预算情况说明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三、关于呼图壁县应急管理局2025年支出预算情况说明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四、关于呼图壁县应急管理局2025年财政拨款收支预算情况的总体说明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五、关于呼图壁县应急管理局2025年一般公共预算当年拨款情况说明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六、关于呼图壁县应急管理局2025年一般公共预算基本支出情况说明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七、关于呼图壁县应急管理局2025年一般公共预算项目支出情况说明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、关于呼图壁县应急管理局2025年政府性基金预算拨款情况说明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关于呼图壁县应急管理局2025年国有资本经营预算拨款情况说明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w:t>
      </w:r>
      <w:r>
        <w:rPr>
          <w:rFonts w:hint="eastAsia" w:ascii="仿宋" w:hAnsi="仿宋" w:eastAsia="仿宋" w:cs="Times New Roman"/>
          <w:color w:val="000000"/>
          <w:sz w:val="28"/>
          <w:szCs w:val="28"/>
        </w:rPr>
        <w:t>、关于呼图壁县应急管理局2025年</w:t>
      </w:r>
      <w:r>
        <w:rPr>
          <w:rFonts w:hint="eastAsia" w:ascii="仿宋" w:hAnsi="仿宋" w:eastAsia="仿宋" w:cs="Times New Roman"/>
          <w:color w:val="000000"/>
          <w:sz w:val="28"/>
          <w:szCs w:val="28"/>
          <w:lang w:val="en-US" w:eastAsia="zh-Hans"/>
        </w:rPr>
        <w:t>财政拨款</w:t>
      </w:r>
      <w:r>
        <w:rPr>
          <w:rFonts w:hint="eastAsia" w:ascii="仿宋" w:hAnsi="仿宋" w:eastAsia="仿宋" w:cs="Times New Roman"/>
          <w:color w:val="000000"/>
          <w:sz w:val="28"/>
          <w:szCs w:val="28"/>
        </w:rPr>
        <w:t>“三公”经费预算情况说明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十</w:t>
      </w:r>
      <w:r>
        <w:rPr>
          <w:rFonts w:hint="eastAsia" w:ascii="仿宋" w:hAnsi="仿宋" w:eastAsia="仿宋" w:cs="Times New Roman"/>
          <w:color w:val="000000"/>
          <w:sz w:val="28"/>
          <w:szCs w:val="28"/>
          <w:lang w:val="en-US" w:eastAsia="zh-Hans"/>
        </w:rPr>
        <w:t>一</w:t>
      </w:r>
      <w:r>
        <w:rPr>
          <w:rFonts w:hint="eastAsia" w:ascii="仿宋" w:hAnsi="仿宋" w:eastAsia="仿宋" w:cs="Times New Roman"/>
          <w:color w:val="000000"/>
          <w:sz w:val="28"/>
          <w:szCs w:val="28"/>
        </w:rPr>
        <w:t>、关于呼图壁县应急管理局2025年年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第一部分   2025年呼图壁县应急管理局部门概况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pStyle w:val="4"/>
        <w:numPr>
          <w:ilvl w:val="0"/>
          <w:numId w:val="0"/>
        </w:numPr>
        <w:spacing w:before="0" w:after="0" w:line="560" w:lineRule="exact"/>
        <w:ind w:leftChars="201"/>
        <w:rPr>
          <w:rFonts w:hint="eastAsia" w:ascii="仿宋" w:hAnsi="华文楷体" w:eastAsia="仿宋" w:cs="Times New Roman"/>
          <w:sz w:val="28"/>
          <w:szCs w:val="28"/>
        </w:rPr>
      </w:pPr>
      <w:r>
        <w:rPr>
          <w:rFonts w:hint="eastAsia" w:ascii="仿宋" w:hAnsi="华文楷体" w:eastAsia="仿宋" w:cs="Times New Roman"/>
          <w:sz w:val="28"/>
          <w:szCs w:val="28"/>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 w:hAnsi="仿宋" w:eastAsia="仿宋" w:cs="Times New Roman"/>
          <w:color w:val="000000"/>
          <w:kern w:val="2"/>
          <w:sz w:val="28"/>
          <w:szCs w:val="28"/>
          <w:lang w:val="en-US"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 w:hAnsi="仿宋" w:eastAsia="仿宋" w:cs="Times New Roman"/>
          <w:color w:val="000000"/>
          <w:kern w:val="2"/>
          <w:sz w:val="28"/>
          <w:szCs w:val="28"/>
          <w:lang w:val="en-US" w:eastAsia="zh-CN"/>
        </w:rPr>
        <w:t>呼图壁县应急管理局是主管安全生产及应急指挥综合管理的政府单位。呼图壁县应急管理局（以下简称应急局）为呼图壁县人民政府工作单位,履行呼图壁县人民政府应急指挥调度职能和安全生产综合监督管理职能,综合管理全县应急突发事件及安全生产工作。</w:t>
      </w:r>
    </w:p>
    <w:p>
      <w:pPr>
        <w:keepNext w:val="0"/>
        <w:keepLines w:val="0"/>
        <w:pageBreakBefore w:val="0"/>
        <w:widowControl/>
        <w:kinsoku/>
        <w:wordWrap/>
        <w:overflowPunct/>
        <w:topLinePunct w:val="0"/>
        <w:autoSpaceDE/>
        <w:autoSpaceDN/>
        <w:bidi w:val="0"/>
        <w:adjustRightInd/>
        <w:snapToGrid/>
        <w:spacing w:beforeLines="0" w:line="540" w:lineRule="exact"/>
        <w:ind w:firstLine="562" w:firstLineChars="200"/>
        <w:jc w:val="left"/>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呼图壁县应急管理局单位无下属预算单位，下设6个处室，分别是：行政办、综合减灾和风险监测科、安全生产监督管理科、安全生产综合协调科、安全生产执法、煤炭服务监督保障科、地震办公室。</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呼图壁县应急管理局单位编制数63人，实有人数67人，其中：在职53人，减少3人；退休14人，减少1人；离休0人，增加0人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 w:hAnsi="仿宋" w:eastAsia="仿宋" w:cs="Times New Roman"/>
          <w:color w:val="000000"/>
          <w:kern w:val="2"/>
          <w:sz w:val="28"/>
          <w:szCs w:val="28"/>
          <w:lang w:val="en-US"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第二部分  2025年部门预算公开表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：呼图壁县应急管理局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4948.82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4761.32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2374.32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2387.00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103.52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66.07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187.50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187.50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77.99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4717.23</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4964.82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4964.82</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：呼图壁县应急管理局                       单位：万元</w:t>
      </w:r>
    </w:p>
    <w:tbl>
      <w:tblPr>
        <w:tblStyle w:val="9"/>
        <w:tblW w:w="9773" w:type="dxa"/>
        <w:tblInd w:w="-450" w:type="dxa"/>
        <w:tblLayout w:type="fixed"/>
        <w:tblCellMar>
          <w:top w:w="0" w:type="dxa"/>
          <w:left w:w="108" w:type="dxa"/>
          <w:bottom w:w="0" w:type="dxa"/>
          <w:right w:w="108" w:type="dxa"/>
        </w:tblCellMar>
      </w:tblPr>
      <w:tblGrid>
        <w:gridCol w:w="488"/>
        <w:gridCol w:w="346"/>
        <w:gridCol w:w="417"/>
        <w:gridCol w:w="1247"/>
        <w:gridCol w:w="765"/>
        <w:gridCol w:w="735"/>
        <w:gridCol w:w="720"/>
        <w:gridCol w:w="707"/>
        <w:gridCol w:w="298"/>
        <w:gridCol w:w="645"/>
        <w:gridCol w:w="390"/>
        <w:gridCol w:w="795"/>
        <w:gridCol w:w="390"/>
        <w:gridCol w:w="720"/>
        <w:gridCol w:w="757"/>
        <w:gridCol w:w="353"/>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4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29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5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5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8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46"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4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29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5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社会保障和就业支出</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93.52</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93.52</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.00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93.52</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93.52</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.00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事业单位离退休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机关事业单位基本养老保险缴费支出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94.06</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84.06</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84.06</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.00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卫生健康支出</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63.57</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63.57</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2.50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rPr>
              <w:t>210</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行政事业单位医疗</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63.57</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63.57</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2.50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行政单位医疗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16.16</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13.66</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13.66</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2.50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34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247"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　</w:t>
            </w:r>
          </w:p>
        </w:tc>
        <w:tc>
          <w:tcPr>
            <w:tcW w:w="7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73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7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707"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w:t>
            </w:r>
          </w:p>
        </w:tc>
        <w:tc>
          <w:tcPr>
            <w:tcW w:w="757" w:type="dxa"/>
            <w:tcBorders>
              <w:top w:val="nil"/>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1247"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公务员医疗补助　</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2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其他行政事业单位医疗支出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12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住房保障支出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12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住房改革支出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p>
        </w:tc>
        <w:tc>
          <w:tcPr>
            <w:tcW w:w="124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住房公积金</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69.99</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lang w:val="en-US" w:eastAsia="zh-CN"/>
              </w:rPr>
              <w:t>224</w:t>
            </w:r>
            <w:r>
              <w:rPr>
                <w:rFonts w:hint="eastAsia" w:ascii="仿宋_GB2312" w:hAnsi="仿宋_GB2312" w:eastAsia="仿宋_GB2312" w:cs="仿宋_GB2312"/>
                <w:b w:val="0"/>
                <w:bCs w:val="0"/>
                <w:color w:val="000000"/>
                <w:sz w:val="18"/>
                <w:szCs w:val="18"/>
              </w:rPr>
              <w:t>　</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highlight w:val="none"/>
              </w:rPr>
              <w:t>灾害防治及应急管理支出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4717.23</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4534.23</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rPr>
            </w:pPr>
            <w:r>
              <w:rPr>
                <w:rFonts w:hint="eastAsia" w:ascii="仿宋_GB2312" w:eastAsia="仿宋_GB2312"/>
                <w:color w:val="auto"/>
                <w:sz w:val="20"/>
                <w:szCs w:val="20"/>
                <w:highlight w:val="none"/>
                <w:lang w:val="en-US" w:eastAsia="zh-CN"/>
              </w:rPr>
              <w:t>2147.23</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2387.00</w:t>
            </w: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167.00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highlight w:val="none"/>
              </w:rPr>
              <w:t>应急管理事务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2214.23</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2147.23</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2147.23</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highlight w:val="none"/>
              </w:rPr>
              <w:t>行政运行</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362.69</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311.69</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311.69</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51.00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eastAsia="仿宋_GB2312"/>
                <w:color w:val="auto"/>
                <w:sz w:val="20"/>
                <w:szCs w:val="20"/>
                <w:highlight w:val="none"/>
                <w:lang w:val="en-US" w:eastAsia="zh-CN"/>
              </w:rPr>
            </w:pPr>
            <w:r>
              <w:rPr>
                <w:rFonts w:hint="eastAsia" w:ascii="仿宋_GB2312" w:hAnsi="仿宋_GB2312" w:eastAsia="仿宋_GB2312" w:cs="仿宋_GB2312"/>
                <w:b w:val="0"/>
                <w:bCs w:val="0"/>
                <w:color w:val="000000"/>
                <w:sz w:val="18"/>
                <w:szCs w:val="18"/>
                <w:lang w:val="en-US" w:eastAsia="zh-CN"/>
              </w:rPr>
              <w:t>06</w:t>
            </w: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宋体" w:eastAsia="仿宋_GB2312" w:cs="宋体"/>
                <w:color w:val="auto"/>
                <w:sz w:val="20"/>
                <w:szCs w:val="20"/>
                <w:highlight w:val="none"/>
              </w:rPr>
            </w:pPr>
            <w:r>
              <w:rPr>
                <w:rFonts w:hint="eastAsia" w:ascii="仿宋_GB2312" w:hAnsi="仿宋_GB2312" w:eastAsia="仿宋_GB2312" w:cs="仿宋_GB2312"/>
                <w:b w:val="0"/>
                <w:bCs w:val="0"/>
                <w:color w:val="000000"/>
                <w:sz w:val="18"/>
                <w:szCs w:val="18"/>
                <w:highlight w:val="none"/>
              </w:rPr>
              <w:t>安全监管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1000.00</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1000.00</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50</w:t>
            </w:r>
            <w:r>
              <w:rPr>
                <w:rFonts w:hint="eastAsia" w:ascii="仿宋_GB2312" w:hAnsi="仿宋_GB2312" w:eastAsia="仿宋_GB2312" w:cs="仿宋_GB2312"/>
                <w:b w:val="0"/>
                <w:bCs w:val="0"/>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rPr>
              <w:t>事业运行</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851.54</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835.54</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835.54</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kern w:val="2"/>
                <w:sz w:val="18"/>
                <w:szCs w:val="18"/>
                <w:highlight w:val="none"/>
                <w:lang w:val="en-US" w:eastAsia="zh-CN" w:bidi="ar-SA"/>
              </w:rPr>
              <w:t>消防救援事务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rPr>
              <w:t>一般行政管理事务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sz w:val="18"/>
                <w:szCs w:val="18"/>
                <w:lang w:val="en-US" w:eastAsia="zh-CN"/>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sz w:val="18"/>
                <w:szCs w:val="18"/>
                <w:lang w:val="en-US" w:eastAsia="zh-CN"/>
              </w:rPr>
            </w:pPr>
            <w:r>
              <w:rPr>
                <w:rFonts w:hint="eastAsia" w:ascii="仿宋_GB2312" w:hAnsi="仿宋_GB2312" w:eastAsia="仿宋_GB2312" w:cs="仿宋_GB2312"/>
                <w:b w:val="0"/>
                <w:bCs w:val="0"/>
                <w:color w:val="000000"/>
                <w:sz w:val="18"/>
                <w:szCs w:val="18"/>
                <w:lang w:val="en-US" w:eastAsia="zh-CN"/>
              </w:rPr>
              <w:t>04</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b w:val="0"/>
                <w:bCs w:val="0"/>
                <w:color w:val="000000"/>
                <w:sz w:val="18"/>
                <w:szCs w:val="18"/>
                <w:lang w:val="en-US"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sz w:val="18"/>
                <w:szCs w:val="18"/>
                <w:highlight w:val="none"/>
              </w:rPr>
            </w:pPr>
            <w:r>
              <w:rPr>
                <w:rFonts w:hint="eastAsia" w:ascii="仿宋_GB2312" w:hAnsi="仿宋_GB2312" w:eastAsia="仿宋_GB2312" w:cs="仿宋_GB2312"/>
                <w:b w:val="0"/>
                <w:bCs w:val="0"/>
                <w:color w:val="000000"/>
                <w:sz w:val="18"/>
                <w:szCs w:val="18"/>
                <w:highlight w:val="none"/>
                <w:lang w:val="en-US" w:eastAsia="zh-CN"/>
              </w:rPr>
              <w:t>矿山安全</w:t>
            </w:r>
          </w:p>
        </w:tc>
        <w:tc>
          <w:tcPr>
            <w:tcW w:w="76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2403.00</w:t>
            </w:r>
          </w:p>
        </w:tc>
        <w:tc>
          <w:tcPr>
            <w:tcW w:w="73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7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298"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346" w:type="dxa"/>
            <w:tcBorders>
              <w:top w:val="single" w:color="auto" w:sz="4" w:space="0"/>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04</w:t>
            </w:r>
          </w:p>
        </w:tc>
        <w:tc>
          <w:tcPr>
            <w:tcW w:w="417"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kern w:val="2"/>
                <w:sz w:val="18"/>
                <w:szCs w:val="18"/>
                <w:lang w:val="en-US" w:eastAsia="zh-CN" w:bidi="ar-SA"/>
              </w:rPr>
              <w:t>04</w:t>
            </w:r>
          </w:p>
        </w:tc>
        <w:tc>
          <w:tcPr>
            <w:tcW w:w="124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eastAsia="仿宋_GB2312"/>
                <w:b w:val="0"/>
                <w:bCs w:val="0"/>
                <w:color w:val="auto"/>
                <w:sz w:val="20"/>
                <w:szCs w:val="20"/>
                <w:highlight w:val="none"/>
              </w:rPr>
              <w:t>矿山安全监察事务</w:t>
            </w:r>
          </w:p>
        </w:tc>
        <w:tc>
          <w:tcPr>
            <w:tcW w:w="765" w:type="dxa"/>
            <w:tcBorders>
              <w:top w:val="single" w:color="auto" w:sz="4" w:space="0"/>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2403.00</w:t>
            </w:r>
          </w:p>
        </w:tc>
        <w:tc>
          <w:tcPr>
            <w:tcW w:w="735" w:type="dxa"/>
            <w:tcBorders>
              <w:top w:val="single" w:color="auto" w:sz="4" w:space="0"/>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720" w:type="dxa"/>
            <w:tcBorders>
              <w:top w:val="single" w:color="auto" w:sz="4" w:space="0"/>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707"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298"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16.00</w:t>
            </w: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b w:val="0"/>
                <w:bCs w:val="0"/>
                <w:color w:val="000000"/>
                <w:kern w:val="2"/>
                <w:sz w:val="18"/>
                <w:szCs w:val="18"/>
                <w:lang w:val="en-US" w:eastAsia="zh-CN" w:bidi="ar-SA"/>
              </w:rPr>
            </w:pPr>
          </w:p>
        </w:tc>
        <w:tc>
          <w:tcPr>
            <w:tcW w:w="346"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b w:val="0"/>
                <w:bCs w:val="0"/>
                <w:color w:val="000000"/>
                <w:kern w:val="2"/>
                <w:sz w:val="18"/>
                <w:szCs w:val="18"/>
                <w:lang w:val="en-US" w:eastAsia="zh-CN" w:bidi="ar-SA"/>
              </w:rPr>
            </w:pPr>
          </w:p>
        </w:tc>
        <w:tc>
          <w:tcPr>
            <w:tcW w:w="417" w:type="dxa"/>
            <w:tcBorders>
              <w:top w:val="single" w:color="auto" w:sz="4" w:space="0"/>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val="0"/>
                <w:bCs w:val="0"/>
                <w:color w:val="000000"/>
                <w:kern w:val="2"/>
                <w:sz w:val="18"/>
                <w:szCs w:val="18"/>
                <w:lang w:val="en-US" w:eastAsia="zh-CN" w:bidi="ar-SA"/>
              </w:rPr>
            </w:pPr>
          </w:p>
        </w:tc>
        <w:tc>
          <w:tcPr>
            <w:tcW w:w="124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eastAsia="仿宋_GB2312"/>
                <w:b w:val="0"/>
                <w:bCs w:val="0"/>
                <w:color w:val="auto"/>
                <w:sz w:val="20"/>
                <w:szCs w:val="20"/>
                <w:highlight w:val="none"/>
              </w:rPr>
            </w:pPr>
            <w:r>
              <w:rPr>
                <w:rFonts w:hint="eastAsia" w:ascii="仿宋_GB2312" w:eastAsia="仿宋_GB2312"/>
                <w:b/>
                <w:bCs/>
                <w:color w:val="auto"/>
                <w:sz w:val="20"/>
                <w:szCs w:val="20"/>
                <w:highlight w:val="none"/>
              </w:rPr>
              <w:t>合  计</w:t>
            </w:r>
          </w:p>
        </w:tc>
        <w:tc>
          <w:tcPr>
            <w:tcW w:w="76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4964.82</w:t>
            </w:r>
          </w:p>
        </w:tc>
        <w:tc>
          <w:tcPr>
            <w:tcW w:w="73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4761.32</w:t>
            </w:r>
          </w:p>
        </w:tc>
        <w:tc>
          <w:tcPr>
            <w:tcW w:w="720" w:type="dxa"/>
            <w:tcBorders>
              <w:top w:val="single" w:color="auto" w:sz="4" w:space="0"/>
              <w:left w:val="nil"/>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2374.32</w:t>
            </w:r>
          </w:p>
        </w:tc>
        <w:tc>
          <w:tcPr>
            <w:tcW w:w="707"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2387.00</w:t>
            </w:r>
          </w:p>
        </w:tc>
        <w:tc>
          <w:tcPr>
            <w:tcW w:w="298"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64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95" w:type="dxa"/>
            <w:tcBorders>
              <w:top w:val="single" w:color="auto" w:sz="4" w:space="0"/>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187.50</w:t>
            </w:r>
          </w:p>
        </w:tc>
        <w:tc>
          <w:tcPr>
            <w:tcW w:w="757"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16.00</w:t>
            </w:r>
          </w:p>
        </w:tc>
        <w:tc>
          <w:tcPr>
            <w:tcW w:w="35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：呼图壁县应急管理局                       单位：万元</w:t>
      </w:r>
    </w:p>
    <w:tbl>
      <w:tblPr>
        <w:tblStyle w:val="9"/>
        <w:tblW w:w="9420" w:type="dxa"/>
        <w:tblInd w:w="-240" w:type="dxa"/>
        <w:tblLayout w:type="autofit"/>
        <w:tblCellMar>
          <w:top w:w="0" w:type="dxa"/>
          <w:left w:w="108" w:type="dxa"/>
          <w:bottom w:w="0" w:type="dxa"/>
          <w:right w:w="108" w:type="dxa"/>
        </w:tblCellMar>
      </w:tblPr>
      <w:tblGrid>
        <w:gridCol w:w="531"/>
        <w:gridCol w:w="417"/>
        <w:gridCol w:w="417"/>
        <w:gridCol w:w="2544"/>
        <w:gridCol w:w="1828"/>
        <w:gridCol w:w="1818"/>
        <w:gridCol w:w="1865"/>
      </w:tblGrid>
      <w:tr>
        <w:tblPrEx>
          <w:tblCellMar>
            <w:top w:w="0" w:type="dxa"/>
            <w:left w:w="108" w:type="dxa"/>
            <w:bottom w:w="0" w:type="dxa"/>
            <w:right w:w="108" w:type="dxa"/>
          </w:tblCellMar>
        </w:tblPrEx>
        <w:trPr>
          <w:trHeight w:val="328" w:hRule="atLeast"/>
        </w:trPr>
        <w:tc>
          <w:tcPr>
            <w:tcW w:w="390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6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1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1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社会保障和就业支出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行政事业单位养老支出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103.52</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事业单位离退休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9.46</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208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05</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机关事业单位基本养老保险缴费支出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94.06</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94.06</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卫生健康支出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210</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行政事业单位医疗</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66.07</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行政单位医疗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16.16</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16.16</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事业单位医疗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28.37</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公务员医疗补助　</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21.02</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210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11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5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其他行政事业单位医疗支出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0.53</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25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住房保障支出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25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住房改革支出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25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rPr>
              <w:t>住房公积金</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77.99</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224</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highlight w:val="none"/>
              </w:rPr>
              <w:t>灾害防治及应急管理支出</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4717.23</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1214.23</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3503.00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highlight w:val="none"/>
              </w:rPr>
              <w:t>应急管理事务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2214.23</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1214.23</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highlight w:val="none"/>
              </w:rPr>
              <w:t>行政运行</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362.69</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362.69</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lang w:val="en-US" w:eastAsia="zh-CN"/>
              </w:rPr>
              <w:t>06</w:t>
            </w: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仿宋_GB2312" w:eastAsia="仿宋_GB2312" w:cs="仿宋_GB2312"/>
                <w:b w:val="0"/>
                <w:bCs w:val="0"/>
                <w:color w:val="000000"/>
                <w:sz w:val="18"/>
                <w:szCs w:val="18"/>
                <w:highlight w:val="none"/>
              </w:rPr>
              <w:t>安全监管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01</w:t>
            </w:r>
            <w:r>
              <w:rPr>
                <w:rFonts w:hint="eastAsia" w:ascii="仿宋_GB2312" w:hAnsi="仿宋_GB2312" w:eastAsia="仿宋_GB2312" w:cs="仿宋_GB2312"/>
                <w:b w:val="0"/>
                <w:bCs w:val="0"/>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50</w:t>
            </w:r>
            <w:r>
              <w:rPr>
                <w:rFonts w:hint="eastAsia" w:ascii="仿宋_GB2312" w:hAnsi="仿宋_GB2312" w:eastAsia="仿宋_GB2312" w:cs="仿宋_GB2312"/>
                <w:b w:val="0"/>
                <w:bCs w:val="0"/>
                <w:color w:val="000000"/>
                <w:sz w:val="18"/>
                <w:szCs w:val="18"/>
              </w:rPr>
              <w:t>　</w:t>
            </w: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rPr>
              <w:t>事业运行</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851.54</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851.54</w:t>
            </w: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p>
        </w:tc>
        <w:tc>
          <w:tcPr>
            <w:tcW w:w="2544" w:type="dxa"/>
            <w:tcBorders>
              <w:top w:val="nil"/>
              <w:left w:val="nil"/>
              <w:bottom w:val="single" w:color="auto" w:sz="4" w:space="0"/>
              <w:right w:val="single" w:color="auto" w:sz="4" w:space="0"/>
            </w:tcBorders>
            <w:noWrap w:val="0"/>
            <w:vAlign w:val="top"/>
          </w:tcPr>
          <w:p>
            <w:pPr>
              <w:jc w:val="both"/>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kern w:val="2"/>
                <w:sz w:val="18"/>
                <w:szCs w:val="18"/>
                <w:highlight w:val="none"/>
                <w:lang w:val="en-US" w:eastAsia="zh-CN" w:bidi="ar-SA"/>
              </w:rPr>
              <w:t>消防救援事务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02</w:t>
            </w:r>
          </w:p>
        </w:tc>
        <w:tc>
          <w:tcPr>
            <w:tcW w:w="2544" w:type="dxa"/>
            <w:tcBorders>
              <w:top w:val="nil"/>
              <w:left w:val="nil"/>
              <w:bottom w:val="single" w:color="auto" w:sz="4" w:space="0"/>
              <w:right w:val="single" w:color="auto" w:sz="4" w:space="0"/>
            </w:tcBorders>
            <w:noWrap w:val="0"/>
            <w:vAlign w:val="top"/>
          </w:tcPr>
          <w:p>
            <w:pPr>
              <w:jc w:val="center"/>
              <w:rPr>
                <w:rFonts w:hint="default"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rPr>
              <w:t>一般行政管理事务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b w:val="0"/>
                <w:bCs w:val="0"/>
                <w:color w:val="000000"/>
                <w:kern w:val="2"/>
                <w:sz w:val="18"/>
                <w:szCs w:val="18"/>
                <w:lang w:val="en-US" w:eastAsia="zh-CN" w:bidi="ar-SA"/>
              </w:rPr>
            </w:pPr>
          </w:p>
        </w:tc>
        <w:tc>
          <w:tcPr>
            <w:tcW w:w="2544" w:type="dxa"/>
            <w:tcBorders>
              <w:top w:val="nil"/>
              <w:left w:val="nil"/>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矿山安全</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2403.00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2403.00</w:t>
            </w:r>
          </w:p>
        </w:tc>
      </w:tr>
      <w:tr>
        <w:tblPrEx>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224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sz w:val="18"/>
                <w:szCs w:val="18"/>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b w:val="0"/>
                <w:bCs w:val="0"/>
                <w:color w:val="000000"/>
                <w:kern w:val="2"/>
                <w:sz w:val="18"/>
                <w:szCs w:val="18"/>
                <w:lang w:val="en-US" w:eastAsia="zh-CN" w:bidi="ar-SA"/>
              </w:rPr>
            </w:pPr>
            <w:r>
              <w:rPr>
                <w:rFonts w:hint="eastAsia" w:ascii="仿宋_GB2312" w:hAnsi="仿宋_GB2312" w:eastAsia="仿宋_GB2312" w:cs="仿宋_GB2312"/>
                <w:b w:val="0"/>
                <w:bCs w:val="0"/>
                <w:color w:val="000000"/>
                <w:kern w:val="2"/>
                <w:sz w:val="18"/>
                <w:szCs w:val="18"/>
                <w:lang w:val="en-US" w:eastAsia="zh-CN" w:bidi="ar-SA"/>
              </w:rPr>
              <w:t>04</w:t>
            </w:r>
          </w:p>
        </w:tc>
        <w:tc>
          <w:tcPr>
            <w:tcW w:w="254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000000"/>
                <w:kern w:val="2"/>
                <w:sz w:val="18"/>
                <w:szCs w:val="18"/>
                <w:highlight w:val="none"/>
                <w:lang w:val="en-US" w:eastAsia="zh-CN" w:bidi="ar-SA"/>
              </w:rPr>
            </w:pPr>
            <w:r>
              <w:rPr>
                <w:rFonts w:hint="eastAsia" w:ascii="仿宋_GB2312" w:eastAsia="仿宋_GB2312"/>
                <w:b w:val="0"/>
                <w:bCs w:val="0"/>
                <w:color w:val="auto"/>
                <w:sz w:val="20"/>
                <w:szCs w:val="20"/>
                <w:highlight w:val="none"/>
              </w:rPr>
              <w:t>矿山安全监察事务</w:t>
            </w:r>
          </w:p>
        </w:tc>
        <w:tc>
          <w:tcPr>
            <w:tcW w:w="182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2403.00</w:t>
            </w:r>
          </w:p>
        </w:tc>
        <w:tc>
          <w:tcPr>
            <w:tcW w:w="1818"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p>
        </w:tc>
        <w:tc>
          <w:tcPr>
            <w:tcW w:w="1865"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2403.00</w:t>
            </w:r>
          </w:p>
        </w:tc>
      </w:tr>
      <w:tr>
        <w:tblPrEx>
          <w:tblCellMar>
            <w:top w:w="0" w:type="dxa"/>
            <w:left w:w="108" w:type="dxa"/>
            <w:bottom w:w="0" w:type="dxa"/>
            <w:right w:w="108" w:type="dxa"/>
          </w:tblCellMar>
        </w:tblPrEx>
        <w:trPr>
          <w:trHeight w:val="405" w:hRule="atLeast"/>
        </w:trPr>
        <w:tc>
          <w:tcPr>
            <w:tcW w:w="531"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8"/>
                <w:szCs w:val="18"/>
                <w:lang w:val="en-US" w:eastAsia="zh-CN" w:bidi="ar-SA"/>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b w:val="0"/>
                <w:bCs w:val="0"/>
                <w:color w:val="000000"/>
                <w:kern w:val="2"/>
                <w:sz w:val="18"/>
                <w:szCs w:val="18"/>
                <w:lang w:val="en-US" w:eastAsia="zh-CN" w:bidi="ar-SA"/>
              </w:rPr>
            </w:pPr>
          </w:p>
        </w:tc>
        <w:tc>
          <w:tcPr>
            <w:tcW w:w="25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val="0"/>
                <w:bCs w:val="0"/>
                <w:color w:val="auto"/>
                <w:kern w:val="2"/>
                <w:sz w:val="20"/>
                <w:szCs w:val="20"/>
                <w:highlight w:val="none"/>
                <w:lang w:val="en-US" w:eastAsia="zh-CN" w:bidi="ar-SA"/>
              </w:rPr>
            </w:pPr>
            <w:r>
              <w:rPr>
                <w:rFonts w:hint="eastAsia" w:ascii="仿宋_GB2312" w:eastAsia="仿宋_GB2312"/>
                <w:b/>
                <w:bCs/>
                <w:color w:val="auto"/>
                <w:sz w:val="20"/>
                <w:szCs w:val="20"/>
                <w:highlight w:val="none"/>
              </w:rPr>
              <w:t>合  计</w:t>
            </w:r>
          </w:p>
        </w:tc>
        <w:tc>
          <w:tcPr>
            <w:tcW w:w="1828"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4964.82</w:t>
            </w:r>
          </w:p>
        </w:tc>
        <w:tc>
          <w:tcPr>
            <w:tcW w:w="1818"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1461.82</w:t>
            </w:r>
          </w:p>
        </w:tc>
        <w:tc>
          <w:tcPr>
            <w:tcW w:w="1865" w:type="dxa"/>
            <w:tcBorders>
              <w:top w:val="single" w:color="auto" w:sz="4" w:space="0"/>
              <w:left w:val="single" w:color="auto" w:sz="4" w:space="0"/>
              <w:bottom w:val="single" w:color="auto" w:sz="4" w:space="0"/>
              <w:right w:val="single" w:color="auto" w:sz="4" w:space="0"/>
            </w:tcBorders>
            <w:noWrap w:val="0"/>
            <w:vAlign w:val="center"/>
          </w:tcPr>
          <w:p>
            <w:pP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3503.00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rPr>
        <w:t>呼图壁县应急管理局</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875"/>
        <w:gridCol w:w="911"/>
        <w:gridCol w:w="2487"/>
        <w:gridCol w:w="986"/>
        <w:gridCol w:w="986"/>
        <w:gridCol w:w="1102"/>
        <w:gridCol w:w="1102"/>
      </w:tblGrid>
      <w:tr>
        <w:tblPrEx>
          <w:tblCellMar>
            <w:top w:w="0" w:type="dxa"/>
            <w:left w:w="108" w:type="dxa"/>
            <w:bottom w:w="0" w:type="dxa"/>
            <w:right w:w="108" w:type="dxa"/>
          </w:tblCellMar>
        </w:tblPrEx>
        <w:trPr>
          <w:trHeight w:val="285" w:hRule="atLeast"/>
        </w:trPr>
        <w:tc>
          <w:tcPr>
            <w:tcW w:w="2786"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63"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4761.32</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4761.32</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93.52</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93.52</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63.57</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63.57</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69.99</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69.99</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4534.24</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4534.24</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rPr>
              <w:t>收  入  总  计</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4761.32</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rPr>
              <w:t>支  出  总  计</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4761.32</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4761.32</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31"/>
        <w:gridCol w:w="499"/>
        <w:gridCol w:w="502"/>
        <w:gridCol w:w="2484"/>
        <w:gridCol w:w="658"/>
        <w:gridCol w:w="1017"/>
        <w:gridCol w:w="216"/>
        <w:gridCol w:w="1615"/>
        <w:gridCol w:w="1692"/>
      </w:tblGrid>
      <w:tr>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24"/>
                <w:szCs w:val="24"/>
                <w:highlight w:val="none"/>
              </w:rPr>
              <w:t>一般公共预算支出情况表</w:t>
            </w:r>
          </w:p>
        </w:tc>
      </w:tr>
      <w:tr>
        <w:tblPrEx>
          <w:tblCellMar>
            <w:top w:w="0" w:type="dxa"/>
            <w:left w:w="108" w:type="dxa"/>
            <w:bottom w:w="0" w:type="dxa"/>
            <w:right w:w="108" w:type="dxa"/>
          </w:tblCellMar>
        </w:tblPrEx>
        <w:trPr>
          <w:trHeight w:val="285" w:hRule="atLeast"/>
        </w:trPr>
        <w:tc>
          <w:tcPr>
            <w:tcW w:w="4016"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2"/>
                <w:szCs w:val="22"/>
                <w:highlight w:val="none"/>
                <w:lang w:val="en-US" w:eastAsia="zh-CN"/>
              </w:rPr>
            </w:pPr>
            <w:r>
              <w:rPr>
                <w:rFonts w:hint="eastAsia" w:ascii="仿宋_GB2312" w:hAnsi="宋体" w:eastAsia="仿宋_GB2312" w:cs="宋体"/>
                <w:color w:val="auto"/>
                <w:kern w:val="0"/>
                <w:sz w:val="22"/>
                <w:szCs w:val="22"/>
                <w:highlight w:val="none"/>
              </w:rPr>
              <w:t>编制</w:t>
            </w:r>
            <w:r>
              <w:rPr>
                <w:rFonts w:hint="eastAsia" w:ascii="仿宋_GB2312" w:hAnsi="宋体" w:eastAsia="仿宋_GB2312" w:cs="宋体"/>
                <w:color w:val="auto"/>
                <w:kern w:val="0"/>
                <w:sz w:val="22"/>
                <w:szCs w:val="22"/>
                <w:highlight w:val="none"/>
                <w:lang w:eastAsia="zh-CN"/>
              </w:rPr>
              <w:t>部门</w:t>
            </w:r>
            <w:r>
              <w:rPr>
                <w:rFonts w:hint="eastAsia" w:ascii="仿宋_GB2312" w:hAnsi="宋体" w:eastAsia="仿宋_GB2312" w:cs="宋体"/>
                <w:color w:val="auto"/>
                <w:kern w:val="0"/>
                <w:sz w:val="22"/>
                <w:szCs w:val="22"/>
                <w:highlight w:val="none"/>
              </w:rPr>
              <w:t>：</w:t>
            </w:r>
            <w:r>
              <w:rPr>
                <w:rFonts w:hint="eastAsia" w:ascii="仿宋_GB2312" w:hAnsi="宋体" w:eastAsia="仿宋_GB2312"/>
                <w:color w:val="auto"/>
                <w:kern w:val="0"/>
                <w:sz w:val="22"/>
                <w:szCs w:val="22"/>
                <w:highlight w:val="none"/>
              </w:rPr>
              <w:t>呼图壁县应急管理局</w:t>
            </w:r>
          </w:p>
        </w:tc>
        <w:tc>
          <w:tcPr>
            <w:tcW w:w="65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rPr>
              <w:t xml:space="preserve">  </w:t>
            </w:r>
          </w:p>
        </w:tc>
        <w:tc>
          <w:tcPr>
            <w:tcW w:w="330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rPr>
              <w:t>单位：万元</w:t>
            </w:r>
          </w:p>
        </w:tc>
      </w:tr>
      <w:tr>
        <w:tblPrEx>
          <w:tblCellMar>
            <w:top w:w="0" w:type="dxa"/>
            <w:left w:w="108" w:type="dxa"/>
            <w:bottom w:w="0" w:type="dxa"/>
            <w:right w:w="108" w:type="dxa"/>
          </w:tblCellMar>
        </w:tblPrEx>
        <w:trPr>
          <w:trHeight w:val="405" w:hRule="atLeast"/>
        </w:trPr>
        <w:tc>
          <w:tcPr>
            <w:tcW w:w="4016"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lang w:val="en-US" w:eastAsia="zh-CN"/>
              </w:rPr>
              <w:t>科</w:t>
            </w:r>
            <w:r>
              <w:rPr>
                <w:rFonts w:hint="eastAsia" w:ascii="仿宋_GB2312" w:hAnsi="宋体" w:eastAsia="仿宋_GB2312" w:cs="宋体"/>
                <w:b/>
                <w:bCs/>
                <w:color w:val="auto"/>
                <w:kern w:val="0"/>
                <w:sz w:val="22"/>
                <w:szCs w:val="22"/>
                <w:highlight w:val="none"/>
              </w:rPr>
              <w:t xml:space="preserve">  目</w:t>
            </w:r>
          </w:p>
        </w:tc>
        <w:tc>
          <w:tcPr>
            <w:tcW w:w="5198"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一般公共预算支出</w:t>
            </w:r>
          </w:p>
        </w:tc>
      </w:tr>
      <w:tr>
        <w:tblPrEx>
          <w:tblCellMar>
            <w:top w:w="0" w:type="dxa"/>
            <w:left w:w="108" w:type="dxa"/>
            <w:bottom w:w="0" w:type="dxa"/>
            <w:right w:w="108" w:type="dxa"/>
          </w:tblCellMar>
        </w:tblPrEx>
        <w:trPr>
          <w:trHeight w:val="390" w:hRule="atLeast"/>
        </w:trPr>
        <w:tc>
          <w:tcPr>
            <w:tcW w:w="153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6"/>
                <w:szCs w:val="16"/>
                <w:highlight w:val="none"/>
              </w:rPr>
              <w:t>功能分类科目编码</w:t>
            </w:r>
          </w:p>
        </w:tc>
        <w:tc>
          <w:tcPr>
            <w:tcW w:w="24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合  计</w:t>
            </w:r>
          </w:p>
        </w:tc>
        <w:tc>
          <w:tcPr>
            <w:tcW w:w="183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项目支出</w:t>
            </w:r>
          </w:p>
        </w:tc>
      </w:tr>
      <w:tr>
        <w:tblPrEx>
          <w:tblCellMar>
            <w:top w:w="0" w:type="dxa"/>
            <w:left w:w="108" w:type="dxa"/>
            <w:bottom w:w="0" w:type="dxa"/>
            <w:right w:w="108" w:type="dxa"/>
          </w:tblCellMar>
        </w:tblPrEx>
        <w:trPr>
          <w:trHeight w:val="150" w:hRule="atLeast"/>
        </w:trPr>
        <w:tc>
          <w:tcPr>
            <w:tcW w:w="53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项</w:t>
            </w:r>
          </w:p>
        </w:tc>
        <w:tc>
          <w:tcPr>
            <w:tcW w:w="24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p>
        </w:tc>
        <w:tc>
          <w:tcPr>
            <w:tcW w:w="183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社会保障和就业支出</w:t>
            </w:r>
          </w:p>
        </w:tc>
        <w:tc>
          <w:tcPr>
            <w:tcW w:w="1675" w:type="dxa"/>
            <w:gridSpan w:val="2"/>
            <w:tcBorders>
              <w:top w:val="nil"/>
              <w:left w:val="nil"/>
              <w:bottom w:val="single" w:color="auto" w:sz="4" w:space="0"/>
              <w:right w:val="single" w:color="auto" w:sz="4" w:space="0"/>
            </w:tcBorders>
            <w:noWrap w:val="0"/>
            <w:vAlign w:val="top"/>
          </w:tcPr>
          <w:p>
            <w:pPr>
              <w:jc w:val="center"/>
              <w:rPr>
                <w:rFonts w:hint="default"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93.52</w:t>
            </w:r>
          </w:p>
        </w:tc>
        <w:tc>
          <w:tcPr>
            <w:tcW w:w="1831" w:type="dxa"/>
            <w:gridSpan w:val="2"/>
            <w:tcBorders>
              <w:top w:val="nil"/>
              <w:left w:val="nil"/>
              <w:bottom w:val="single" w:color="auto" w:sz="4" w:space="0"/>
              <w:right w:val="single" w:color="auto" w:sz="4" w:space="0"/>
            </w:tcBorders>
            <w:noWrap w:val="0"/>
            <w:vAlign w:val="top"/>
          </w:tcPr>
          <w:p>
            <w:pPr>
              <w:jc w:val="center"/>
              <w:rPr>
                <w:rFonts w:hint="default"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93.52</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05</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行政事业单位养老支出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93.52</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93.52</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05</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事业单位离退休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9.46</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9.46</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208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05</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机关事业单位基本养老保险缴费支出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84.06</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84.06</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卫生健康支出</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63.57</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63.57</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sz w:val="20"/>
                <w:szCs w:val="22"/>
              </w:rPr>
              <w:t>210</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行政事业单位医疗</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63.57</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63.57</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行政单位医疗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13.66</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13.66</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事业单位医疗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28.37</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28.37</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公务员医疗补助　</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21.02</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21.02</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210　</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11　</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248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rPr>
              <w:t>其他行政事业单位医疗支出</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0.53</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0.53</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221</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p>
        </w:tc>
        <w:tc>
          <w:tcPr>
            <w:tcW w:w="248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rPr>
              <w:t>住房保障支出</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221</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p>
        </w:tc>
        <w:tc>
          <w:tcPr>
            <w:tcW w:w="248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rPr>
              <w:t>住房改革支出</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221</w:t>
            </w:r>
          </w:p>
        </w:tc>
        <w:tc>
          <w:tcPr>
            <w:tcW w:w="4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p>
        </w:tc>
        <w:tc>
          <w:tcPr>
            <w:tcW w:w="248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rPr>
              <w:t>住房公积金</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69.99</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224</w:t>
            </w:r>
            <w:r>
              <w:rPr>
                <w:rFonts w:hint="eastAsia" w:ascii="仿宋_GB2312" w:hAnsi="仿宋_GB2312" w:eastAsia="仿宋_GB2312" w:cs="仿宋_GB2312"/>
                <w:b w:val="0"/>
                <w:bCs w:val="0"/>
                <w:color w:val="000000"/>
                <w:sz w:val="16"/>
                <w:szCs w:val="16"/>
              </w:rPr>
              <w:t>　</w:t>
            </w:r>
          </w:p>
        </w:tc>
        <w:tc>
          <w:tcPr>
            <w:tcW w:w="499"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highlight w:val="none"/>
              </w:rPr>
              <w:t>灾害防治及应急管理支出</w:t>
            </w:r>
          </w:p>
        </w:tc>
        <w:tc>
          <w:tcPr>
            <w:tcW w:w="1675" w:type="dxa"/>
            <w:gridSpan w:val="2"/>
            <w:tcBorders>
              <w:top w:val="nil"/>
              <w:left w:val="nil"/>
              <w:bottom w:val="single" w:color="auto" w:sz="4" w:space="0"/>
              <w:right w:val="single" w:color="auto" w:sz="4" w:space="0"/>
            </w:tcBorders>
            <w:noWrap w:val="0"/>
            <w:vAlign w:val="top"/>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4487.23</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1147.23</w:t>
            </w:r>
          </w:p>
        </w:tc>
        <w:tc>
          <w:tcPr>
            <w:tcW w:w="1692"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3387</w:t>
            </w: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highlight w:val="none"/>
              </w:rPr>
              <w:t>应急管理事务</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2147.23</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1147.23</w:t>
            </w:r>
          </w:p>
        </w:tc>
        <w:tc>
          <w:tcPr>
            <w:tcW w:w="1692"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1000.00</w:t>
            </w: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highlight w:val="none"/>
              </w:rPr>
              <w:t>行政运行</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311.69</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311.69</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lang w:val="en-US" w:eastAsia="zh-CN"/>
              </w:rPr>
              <w:t>06</w:t>
            </w: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仿宋_GB2312" w:eastAsia="仿宋_GB2312" w:cs="仿宋_GB2312"/>
                <w:b w:val="0"/>
                <w:bCs w:val="0"/>
                <w:color w:val="000000"/>
                <w:sz w:val="16"/>
                <w:szCs w:val="16"/>
                <w:highlight w:val="none"/>
              </w:rPr>
              <w:t>安全监管</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1000.00</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1000.00</w:t>
            </w:r>
          </w:p>
        </w:tc>
      </w:tr>
      <w:tr>
        <w:tblPrEx>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499"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01</w:t>
            </w:r>
            <w:r>
              <w:rPr>
                <w:rFonts w:hint="eastAsia" w:ascii="仿宋_GB2312" w:hAnsi="仿宋_GB2312" w:eastAsia="仿宋_GB2312" w:cs="仿宋_GB2312"/>
                <w:b w:val="0"/>
                <w:bCs w:val="0"/>
                <w:color w:val="000000"/>
                <w:sz w:val="16"/>
                <w:szCs w:val="16"/>
              </w:rPr>
              <w:t>　</w:t>
            </w:r>
          </w:p>
        </w:tc>
        <w:tc>
          <w:tcPr>
            <w:tcW w:w="502"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50</w:t>
            </w:r>
            <w:r>
              <w:rPr>
                <w:rFonts w:hint="eastAsia" w:ascii="仿宋_GB2312" w:hAnsi="仿宋_GB2312" w:eastAsia="仿宋_GB2312" w:cs="仿宋_GB2312"/>
                <w:b w:val="0"/>
                <w:bCs w:val="0"/>
                <w:color w:val="000000"/>
                <w:sz w:val="16"/>
                <w:szCs w:val="16"/>
              </w:rPr>
              <w:t>　</w:t>
            </w:r>
          </w:p>
        </w:tc>
        <w:tc>
          <w:tcPr>
            <w:tcW w:w="2484" w:type="dxa"/>
            <w:tcBorders>
              <w:top w:val="nil"/>
              <w:left w:val="nil"/>
              <w:bottom w:val="single" w:color="auto" w:sz="4" w:space="0"/>
              <w:right w:val="single" w:color="auto" w:sz="4" w:space="0"/>
            </w:tcBorders>
            <w:noWrap w:val="0"/>
            <w:vAlign w:val="top"/>
          </w:tcPr>
          <w:p>
            <w:pPr>
              <w:jc w:val="center"/>
              <w:rPr>
                <w:rFonts w:hint="eastAsia" w:ascii="仿宋_GB2312" w:hAnsi="仿宋_GB2312" w:eastAsia="仿宋_GB2312" w:cs="仿宋_GB2312"/>
                <w:b w:val="0"/>
                <w:bCs w:val="0"/>
                <w:color w:val="000000"/>
                <w:kern w:val="2"/>
                <w:sz w:val="16"/>
                <w:szCs w:val="16"/>
                <w:highlight w:val="none"/>
                <w:lang w:val="en-US" w:eastAsia="zh-CN" w:bidi="ar-SA"/>
              </w:rPr>
            </w:pPr>
            <w:r>
              <w:rPr>
                <w:rFonts w:hint="eastAsia" w:ascii="仿宋_GB2312" w:hAnsi="仿宋_GB2312" w:eastAsia="仿宋_GB2312" w:cs="仿宋_GB2312"/>
                <w:b w:val="0"/>
                <w:bCs w:val="0"/>
                <w:color w:val="000000"/>
                <w:sz w:val="16"/>
                <w:szCs w:val="16"/>
                <w:highlight w:val="none"/>
              </w:rPr>
              <w:t>事业运行</w:t>
            </w:r>
          </w:p>
        </w:tc>
        <w:tc>
          <w:tcPr>
            <w:tcW w:w="1675"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835.54</w:t>
            </w:r>
          </w:p>
        </w:tc>
        <w:tc>
          <w:tcPr>
            <w:tcW w:w="1831" w:type="dxa"/>
            <w:gridSpan w:val="2"/>
            <w:tcBorders>
              <w:top w:val="nil"/>
              <w:left w:val="nil"/>
              <w:bottom w:val="single" w:color="auto" w:sz="4" w:space="0"/>
              <w:right w:val="single" w:color="auto" w:sz="4" w:space="0"/>
            </w:tcBorders>
            <w:noWrap w:val="0"/>
            <w:vAlign w:val="top"/>
          </w:tcPr>
          <w:p>
            <w:pPr>
              <w:jc w:val="center"/>
              <w:rPr>
                <w:rFonts w:hint="eastAsia" w:ascii="仿宋_GB2312" w:hAnsi="Times New Roman" w:eastAsia="仿宋_GB2312" w:cs="Times New Roman"/>
                <w:color w:val="auto"/>
                <w:sz w:val="18"/>
                <w:szCs w:val="18"/>
                <w:highlight w:val="none"/>
                <w:lang w:val="en-US" w:eastAsia="zh-CN"/>
              </w:rPr>
            </w:pPr>
            <w:r>
              <w:rPr>
                <w:rFonts w:hint="default" w:ascii="仿宋_GB2312" w:hAnsi="Times New Roman" w:eastAsia="仿宋_GB2312" w:cs="Times New Roman"/>
                <w:color w:val="auto"/>
                <w:sz w:val="18"/>
                <w:szCs w:val="18"/>
                <w:highlight w:val="none"/>
                <w:lang w:val="en-US" w:eastAsia="zh-CN"/>
              </w:rPr>
              <w:t>835.54</w:t>
            </w:r>
          </w:p>
        </w:tc>
        <w:tc>
          <w:tcPr>
            <w:tcW w:w="16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04</w:t>
            </w:r>
          </w:p>
        </w:tc>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default" w:ascii="仿宋_GB2312" w:hAnsi="仿宋_GB2312" w:eastAsia="仿宋_GB2312" w:cs="仿宋_GB2312"/>
                <w:b w:val="0"/>
                <w:bCs w:val="0"/>
                <w:color w:val="000000"/>
                <w:kern w:val="2"/>
                <w:sz w:val="16"/>
                <w:szCs w:val="16"/>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b w:val="0"/>
                <w:bCs w:val="0"/>
                <w:color w:val="000000"/>
                <w:kern w:val="2"/>
                <w:sz w:val="16"/>
                <w:szCs w:val="16"/>
                <w:highlight w:val="none"/>
                <w:lang w:val="en-US" w:eastAsia="zh-CN" w:bidi="ar-SA"/>
              </w:rPr>
            </w:pPr>
            <w:r>
              <w:rPr>
                <w:rFonts w:hint="eastAsia" w:ascii="仿宋_GB2312" w:hAnsi="仿宋_GB2312" w:eastAsia="仿宋_GB2312" w:cs="仿宋_GB2312"/>
                <w:b w:val="0"/>
                <w:bCs w:val="0"/>
                <w:color w:val="000000"/>
                <w:sz w:val="16"/>
                <w:szCs w:val="16"/>
                <w:highlight w:val="none"/>
                <w:lang w:val="en-US" w:eastAsia="zh-CN"/>
              </w:rPr>
              <w:t>矿山安全</w:t>
            </w:r>
          </w:p>
        </w:tc>
        <w:tc>
          <w:tcPr>
            <w:tcW w:w="1675" w:type="dxa"/>
            <w:gridSpan w:val="2"/>
            <w:tcBorders>
              <w:top w:val="single" w:color="auto" w:sz="4" w:space="0"/>
              <w:left w:val="single" w:color="auto" w:sz="4" w:space="0"/>
              <w:bottom w:val="single" w:color="auto" w:sz="4" w:space="0"/>
              <w:right w:val="single" w:color="auto" w:sz="4" w:space="0"/>
            </w:tcBorders>
            <w:vAlign w:val="top"/>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2387</w:t>
            </w:r>
          </w:p>
        </w:tc>
        <w:tc>
          <w:tcPr>
            <w:tcW w:w="1831"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Times New Roman" w:eastAsia="仿宋_GB2312" w:cs="Times New Roman"/>
                <w:color w:val="auto"/>
                <w:sz w:val="18"/>
                <w:szCs w:val="18"/>
                <w:highlight w:val="none"/>
                <w:lang w:val="en-US" w:eastAsia="zh-CN"/>
              </w:rPr>
            </w:pPr>
          </w:p>
        </w:tc>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2387</w:t>
            </w:r>
          </w:p>
        </w:tc>
      </w:tr>
      <w:tr>
        <w:tblPrEx>
          <w:tblCellMar>
            <w:top w:w="0" w:type="dxa"/>
            <w:left w:w="108" w:type="dxa"/>
            <w:bottom w:w="0" w:type="dxa"/>
            <w:right w:w="108" w:type="dxa"/>
          </w:tblCellMar>
        </w:tblPrEx>
        <w:trPr>
          <w:trHeight w:val="450" w:hRule="atLeast"/>
        </w:trPr>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224</w:t>
            </w:r>
          </w:p>
        </w:tc>
        <w:tc>
          <w:tcPr>
            <w:tcW w:w="0" w:type="auto"/>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sz w:val="16"/>
                <w:szCs w:val="16"/>
                <w:lang w:val="en-US" w:eastAsia="zh-CN"/>
              </w:rPr>
              <w:t>04</w:t>
            </w:r>
          </w:p>
        </w:tc>
        <w:tc>
          <w:tcPr>
            <w:tcW w:w="0" w:type="auto"/>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val="0"/>
                <w:bCs w:val="0"/>
                <w:color w:val="000000"/>
                <w:kern w:val="2"/>
                <w:sz w:val="16"/>
                <w:szCs w:val="16"/>
                <w:lang w:val="en-US" w:eastAsia="zh-CN" w:bidi="ar-SA"/>
              </w:rPr>
            </w:pPr>
            <w:r>
              <w:rPr>
                <w:rFonts w:hint="eastAsia" w:ascii="仿宋_GB2312" w:hAnsi="仿宋_GB2312" w:eastAsia="仿宋_GB2312" w:cs="仿宋_GB2312"/>
                <w:b w:val="0"/>
                <w:bCs w:val="0"/>
                <w:color w:val="000000"/>
                <w:kern w:val="2"/>
                <w:sz w:val="16"/>
                <w:szCs w:val="16"/>
                <w:lang w:val="en-US" w:eastAsia="zh-CN" w:bidi="ar-SA"/>
              </w:rPr>
              <w:t>04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val="0"/>
                <w:bCs w:val="0"/>
                <w:color w:val="000000"/>
                <w:kern w:val="2"/>
                <w:sz w:val="16"/>
                <w:szCs w:val="16"/>
                <w:highlight w:val="none"/>
                <w:lang w:val="en-US" w:eastAsia="zh-CN" w:bidi="ar-SA"/>
              </w:rPr>
            </w:pPr>
            <w:r>
              <w:rPr>
                <w:rFonts w:hint="eastAsia" w:ascii="仿宋_GB2312" w:eastAsia="仿宋_GB2312"/>
                <w:b w:val="0"/>
                <w:bCs w:val="0"/>
                <w:color w:val="auto"/>
                <w:sz w:val="18"/>
                <w:szCs w:val="18"/>
                <w:highlight w:val="none"/>
              </w:rPr>
              <w:t>矿山安全监察事务</w:t>
            </w:r>
          </w:p>
        </w:tc>
        <w:tc>
          <w:tcPr>
            <w:tcW w:w="1675" w:type="dxa"/>
            <w:gridSpan w:val="2"/>
            <w:tcBorders>
              <w:top w:val="single" w:color="auto" w:sz="4" w:space="0"/>
              <w:left w:val="single" w:color="auto" w:sz="4" w:space="0"/>
              <w:bottom w:val="single" w:color="auto" w:sz="4" w:space="0"/>
              <w:right w:val="single" w:color="auto" w:sz="4" w:space="0"/>
            </w:tcBorders>
            <w:vAlign w:val="top"/>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2387</w:t>
            </w:r>
          </w:p>
        </w:tc>
        <w:tc>
          <w:tcPr>
            <w:tcW w:w="1831"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Times New Roman" w:eastAsia="仿宋_GB2312" w:cs="Times New Roman"/>
                <w:color w:val="auto"/>
                <w:sz w:val="18"/>
                <w:szCs w:val="18"/>
                <w:highlight w:val="none"/>
                <w:lang w:val="en-US" w:eastAsia="zh-CN"/>
              </w:rPr>
            </w:pPr>
          </w:p>
        </w:tc>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2387</w:t>
            </w:r>
          </w:p>
        </w:tc>
      </w:tr>
      <w:tr>
        <w:tblPrEx>
          <w:tblCellMar>
            <w:top w:w="0" w:type="dxa"/>
            <w:left w:w="108" w:type="dxa"/>
            <w:bottom w:w="0" w:type="dxa"/>
            <w:right w:w="108" w:type="dxa"/>
          </w:tblCellMar>
        </w:tblPrEx>
        <w:trPr>
          <w:trHeight w:val="45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18"/>
                <w:szCs w:val="18"/>
                <w:highlight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18"/>
                <w:szCs w:val="18"/>
                <w:highlight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 w:val="18"/>
                <w:szCs w:val="18"/>
                <w:highlight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8"/>
                <w:szCs w:val="18"/>
                <w:highlight w:val="none"/>
                <w:lang w:val="en-US" w:eastAsia="zh-CN" w:bidi="ar-SA"/>
              </w:rPr>
            </w:pPr>
            <w:r>
              <w:rPr>
                <w:rFonts w:hint="eastAsia" w:ascii="仿宋_GB2312" w:hAnsi="仿宋_GB2312" w:eastAsia="仿宋_GB2312" w:cs="仿宋_GB2312"/>
                <w:b/>
                <w:bCs/>
                <w:color w:val="auto"/>
                <w:kern w:val="0"/>
                <w:sz w:val="18"/>
                <w:szCs w:val="18"/>
                <w:highlight w:val="none"/>
              </w:rPr>
              <w:t>合  计</w:t>
            </w:r>
          </w:p>
        </w:tc>
        <w:tc>
          <w:tcPr>
            <w:tcW w:w="167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4761.32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1374.32</w:t>
            </w:r>
          </w:p>
        </w:tc>
        <w:tc>
          <w:tcPr>
            <w:tcW w:w="169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3387</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bookmarkStart w:id="0" w:name="OLE_LINK2"/>
            <w:r>
              <w:rPr>
                <w:rFonts w:hint="eastAsia" w:ascii="仿宋_GB2312" w:hAnsi="宋体" w:eastAsia="仿宋_GB2312"/>
                <w:color w:val="auto"/>
                <w:kern w:val="0"/>
                <w:sz w:val="24"/>
                <w:highlight w:val="none"/>
              </w:rPr>
              <w:t>呼图壁县应急管理局</w:t>
            </w:r>
            <w:bookmarkEnd w:id="0"/>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1157.85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1157.85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194.41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194.41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02</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128.30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128.30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241.85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241.85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92.35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92.35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08</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84.06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84.06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城镇职工基本医疗保险缴费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42.03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42.03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11</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21.02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21.02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12</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4.40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4.40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69.99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69.99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279.94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279.94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r>
      <w:tr>
        <w:tblPrEx>
          <w:tblCellMar>
            <w:top w:w="0" w:type="dxa"/>
            <w:left w:w="108" w:type="dxa"/>
            <w:bottom w:w="0" w:type="dxa"/>
            <w:right w:w="108" w:type="dxa"/>
          </w:tblCellMar>
        </w:tblPrEx>
        <w:trPr>
          <w:trHeight w:val="20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122.74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122.74</w:t>
            </w:r>
          </w:p>
        </w:tc>
      </w:tr>
      <w:tr>
        <w:tblPrEx>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01</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办公费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1.00</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05</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水费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default"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0.11</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default"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0.11</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06</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电费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0.75</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0.75</w:t>
            </w:r>
          </w:p>
        </w:tc>
      </w:tr>
      <w:tr>
        <w:tblPrEx>
          <w:tblCellMar>
            <w:top w:w="0" w:type="dxa"/>
            <w:left w:w="108" w:type="dxa"/>
            <w:bottom w:w="0" w:type="dxa"/>
            <w:right w:w="108" w:type="dxa"/>
          </w:tblCellMar>
        </w:tblPrEx>
        <w:trPr>
          <w:trHeight w:val="19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07</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邮电费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4.37</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4.37</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10.60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10.60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11</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差旅费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4.00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4.00</w:t>
            </w:r>
          </w:p>
        </w:tc>
      </w:tr>
      <w:tr>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26</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82.12</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82.12</w:t>
            </w: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28</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10.18</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10.18</w:t>
            </w:r>
          </w:p>
        </w:tc>
      </w:tr>
      <w:tr>
        <w:tblPrEx>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31</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3.60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3.60</w:t>
            </w:r>
          </w:p>
        </w:tc>
      </w:tr>
      <w:tr>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39</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其他交通费用</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6.00</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p>
        </w:tc>
        <w:tc>
          <w:tcPr>
            <w:tcW w:w="170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6.00</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w:t>
            </w:r>
            <w:r>
              <w:rPr>
                <w:rFonts w:hint="eastAsia" w:ascii="仿宋_GB2312" w:hAnsi="仿宋_GB2312" w:eastAsia="仿宋_GB2312" w:cs="仿宋_GB2312"/>
                <w:color w:val="000000"/>
                <w:kern w:val="0"/>
                <w:sz w:val="20"/>
                <w:szCs w:val="20"/>
                <w:lang w:val="en-US" w:eastAsia="zh-CN"/>
              </w:rPr>
              <w:t>3</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93.73</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93.73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w:t>
            </w:r>
            <w:r>
              <w:rPr>
                <w:rFonts w:hint="eastAsia" w:ascii="仿宋_GB2312" w:hAnsi="仿宋_GB2312" w:eastAsia="仿宋_GB2312" w:cs="仿宋_GB2312"/>
                <w:color w:val="000000"/>
                <w:kern w:val="0"/>
                <w:sz w:val="20"/>
                <w:szCs w:val="20"/>
                <w:lang w:val="en-US" w:eastAsia="zh-CN"/>
              </w:rPr>
              <w:t>3</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02</w:t>
            </w: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9.46</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9.46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w:t>
            </w:r>
            <w:r>
              <w:rPr>
                <w:rFonts w:hint="eastAsia" w:ascii="仿宋_GB2312" w:hAnsi="仿宋_GB2312" w:eastAsia="仿宋_GB2312" w:cs="仿宋_GB2312"/>
                <w:color w:val="000000"/>
                <w:kern w:val="0"/>
                <w:sz w:val="20"/>
                <w:szCs w:val="20"/>
                <w:lang w:val="en-US" w:eastAsia="zh-CN"/>
              </w:rPr>
              <w:t>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05</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生活补助</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83.28</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83.28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30</w:t>
            </w:r>
            <w:r>
              <w:rPr>
                <w:rFonts w:hint="eastAsia" w:ascii="仿宋_GB2312" w:hAnsi="仿宋_GB2312" w:eastAsia="仿宋_GB2312" w:cs="仿宋_GB2312"/>
                <w:color w:val="000000"/>
                <w:kern w:val="0"/>
                <w:sz w:val="20"/>
                <w:szCs w:val="20"/>
                <w:lang w:val="en-US" w:eastAsia="zh-CN"/>
              </w:rPr>
              <w:t>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09</w:t>
            </w:r>
          </w:p>
        </w:tc>
        <w:tc>
          <w:tcPr>
            <w:tcW w:w="2891" w:type="dxa"/>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0.99</w:t>
            </w:r>
          </w:p>
        </w:tc>
        <w:tc>
          <w:tcPr>
            <w:tcW w:w="1701" w:type="dxa"/>
            <w:gridSpan w:val="2"/>
            <w:tcBorders>
              <w:top w:val="nil"/>
              <w:left w:val="nil"/>
              <w:bottom w:val="single" w:color="auto" w:sz="4" w:space="0"/>
              <w:right w:val="single" w:color="auto" w:sz="4" w:space="0"/>
            </w:tcBorders>
            <w:noWrap w:val="0"/>
            <w:vAlign w:val="top"/>
          </w:tcPr>
          <w:p>
            <w:pPr>
              <w:widowControl/>
              <w:jc w:val="center"/>
              <w:rPr>
                <w:rFonts w:hint="eastAsia" w:ascii="仿宋_GB2312" w:hAnsi="仿宋_GB2312" w:eastAsia="仿宋_GB2312" w:cs="仿宋_GB2312"/>
                <w:color w:val="000000"/>
                <w:kern w:val="0"/>
                <w:sz w:val="20"/>
                <w:szCs w:val="20"/>
                <w:lang w:val="en-US" w:eastAsia="zh-CN"/>
              </w:rPr>
            </w:pPr>
            <w:r>
              <w:rPr>
                <w:rFonts w:hint="default" w:ascii="仿宋_GB2312" w:hAnsi="仿宋_GB2312" w:eastAsia="仿宋_GB2312" w:cs="仿宋_GB2312"/>
                <w:color w:val="000000"/>
                <w:kern w:val="0"/>
                <w:sz w:val="20"/>
                <w:szCs w:val="20"/>
                <w:lang w:val="en-US" w:eastAsia="zh-CN"/>
              </w:rPr>
              <w:t>0.99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3.60</w:t>
            </w:r>
          </w:p>
        </w:tc>
      </w:tr>
      <w:tr>
        <w:tblPrEx>
          <w:tblCellMar>
            <w:top w:w="0" w:type="dxa"/>
            <w:left w:w="108" w:type="dxa"/>
            <w:bottom w:w="0" w:type="dxa"/>
            <w:right w:w="108" w:type="dxa"/>
          </w:tblCellMar>
        </w:tblPrEx>
        <w:trPr>
          <w:trHeight w:val="402"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宋体" w:hAnsi="宋体" w:cs="宋体"/>
                <w:color w:val="auto"/>
                <w:kern w:val="0"/>
                <w:sz w:val="20"/>
                <w:szCs w:val="20"/>
                <w:highlight w:val="none"/>
              </w:rPr>
              <w:t>　</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宋体" w:hAnsi="宋体" w:cs="宋体"/>
                <w:color w:val="auto"/>
                <w:kern w:val="0"/>
                <w:sz w:val="20"/>
                <w:szCs w:val="20"/>
                <w:highlight w:val="none"/>
              </w:rPr>
              <w:t>　</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b/>
                <w:bCs/>
                <w:color w:val="auto"/>
                <w:kern w:val="0"/>
                <w:sz w:val="20"/>
                <w:szCs w:val="20"/>
                <w:highlight w:val="none"/>
              </w:rPr>
              <w:t>合  计</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1374.32</w:t>
            </w:r>
          </w:p>
        </w:tc>
        <w:tc>
          <w:tcPr>
            <w:tcW w:w="0" w:type="auto"/>
            <w:gridSpan w:val="2"/>
            <w:tcBorders>
              <w:top w:val="single" w:color="auto" w:sz="4" w:space="0"/>
              <w:left w:val="single" w:color="auto" w:sz="4" w:space="0"/>
              <w:bottom w:val="single" w:color="auto" w:sz="4" w:space="0"/>
              <w:right w:val="single" w:color="auto" w:sz="4" w:space="0"/>
            </w:tcBorders>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1251.58</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122.74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9"/>
        <w:gridCol w:w="477"/>
        <w:gridCol w:w="666"/>
        <w:gridCol w:w="551"/>
        <w:gridCol w:w="855"/>
        <w:gridCol w:w="795"/>
        <w:gridCol w:w="679"/>
        <w:gridCol w:w="317"/>
        <w:gridCol w:w="846"/>
        <w:gridCol w:w="666"/>
        <w:gridCol w:w="432"/>
        <w:gridCol w:w="404"/>
        <w:gridCol w:w="214"/>
        <w:gridCol w:w="756"/>
        <w:gridCol w:w="618"/>
        <w:gridCol w:w="417"/>
        <w:gridCol w:w="417"/>
        <w:gridCol w:w="380"/>
        <w:gridCol w:w="41"/>
      </w:tblGrid>
      <w:tr>
        <w:tblPrEx>
          <w:tblCellMar>
            <w:top w:w="0" w:type="dxa"/>
            <w:left w:w="108" w:type="dxa"/>
            <w:bottom w:w="0" w:type="dxa"/>
            <w:right w:w="108" w:type="dxa"/>
          </w:tblCellMar>
        </w:tblPrEx>
        <w:trPr>
          <w:gridBefore w:val="1"/>
          <w:gridAfter w:val="1"/>
          <w:wBefore w:w="9" w:type="dxa"/>
          <w:wAfter w:w="41" w:type="dxa"/>
          <w:trHeight w:val="375" w:hRule="atLeast"/>
        </w:trPr>
        <w:tc>
          <w:tcPr>
            <w:tcW w:w="949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41" w:type="dxa"/>
          <w:trHeight w:val="405" w:hRule="atLeast"/>
        </w:trPr>
        <w:tc>
          <w:tcPr>
            <w:tcW w:w="4023"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rPr>
              <w:t>呼图壁县应急管理局</w:t>
            </w:r>
          </w:p>
        </w:tc>
        <w:tc>
          <w:tcPr>
            <w:tcW w:w="116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0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02"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703"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5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79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7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6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5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2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66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51"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5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5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486" w:type="dxa"/>
            <w:gridSpan w:val="2"/>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224</w:t>
            </w:r>
          </w:p>
        </w:tc>
        <w:tc>
          <w:tcPr>
            <w:tcW w:w="666"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Hans" w:bidi="ar-SA"/>
              </w:rPr>
            </w:pPr>
          </w:p>
        </w:tc>
        <w:tc>
          <w:tcPr>
            <w:tcW w:w="551"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灾害防治及应急管理支出</w:t>
            </w:r>
          </w:p>
        </w:tc>
        <w:tc>
          <w:tcPr>
            <w:tcW w:w="79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79"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3387</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3187</w:t>
            </w:r>
          </w:p>
        </w:tc>
        <w:tc>
          <w:tcPr>
            <w:tcW w:w="66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50</w:t>
            </w: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150</w:t>
            </w: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486" w:type="dxa"/>
            <w:gridSpan w:val="2"/>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224</w:t>
            </w:r>
          </w:p>
        </w:tc>
        <w:tc>
          <w:tcPr>
            <w:tcW w:w="666"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01</w:t>
            </w:r>
          </w:p>
        </w:tc>
        <w:tc>
          <w:tcPr>
            <w:tcW w:w="551"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应急管理事务</w:t>
            </w:r>
          </w:p>
        </w:tc>
        <w:tc>
          <w:tcPr>
            <w:tcW w:w="79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79"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p>
            <w:pPr>
              <w:jc w:val="center"/>
              <w:rPr>
                <w:rFonts w:hint="eastAsia" w:asciiTheme="minorEastAsia" w:hAnsiTheme="minorEastAsia" w:eastAsiaTheme="minorEastAsia" w:cstheme="minorEastAsia"/>
                <w:color w:val="auto"/>
                <w:sz w:val="18"/>
                <w:szCs w:val="18"/>
                <w:highlight w:val="none"/>
                <w:lang w:val="en-US" w:eastAsia="zh-CN"/>
              </w:rPr>
            </w:pPr>
          </w:p>
          <w:p>
            <w:pPr>
              <w:jc w:val="center"/>
              <w:rPr>
                <w:rFonts w:hint="eastAsia" w:asciiTheme="minorEastAsia" w:hAnsiTheme="minorEastAsia" w:eastAsiaTheme="minorEastAsia" w:cstheme="minorEastAsia"/>
                <w:color w:val="auto"/>
                <w:sz w:val="18"/>
                <w:szCs w:val="18"/>
                <w:highlight w:val="none"/>
                <w:lang w:val="en-US" w:eastAsia="zh-CN"/>
              </w:rPr>
            </w:pPr>
          </w:p>
          <w:p>
            <w:pPr>
              <w:jc w:val="center"/>
              <w:rPr>
                <w:rFonts w:hint="eastAsia" w:asciiTheme="minorEastAsia" w:hAnsiTheme="minorEastAsia" w:eastAsiaTheme="minorEastAsia" w:cstheme="minorEastAsia"/>
                <w:color w:val="auto"/>
                <w:sz w:val="18"/>
                <w:szCs w:val="18"/>
                <w:highlight w:val="none"/>
                <w:lang w:val="en-US" w:eastAsia="zh-CN"/>
              </w:rPr>
            </w:pPr>
          </w:p>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1000</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800</w:t>
            </w:r>
          </w:p>
        </w:tc>
        <w:tc>
          <w:tcPr>
            <w:tcW w:w="66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50</w:t>
            </w: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150</w:t>
            </w: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trPr>
        <w:tc>
          <w:tcPr>
            <w:tcW w:w="486" w:type="dxa"/>
            <w:gridSpan w:val="2"/>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224</w:t>
            </w:r>
          </w:p>
        </w:tc>
        <w:tc>
          <w:tcPr>
            <w:tcW w:w="666"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01</w:t>
            </w:r>
          </w:p>
        </w:tc>
        <w:tc>
          <w:tcPr>
            <w:tcW w:w="551" w:type="dxa"/>
            <w:noWrap w:val="0"/>
            <w:vAlign w:val="top"/>
          </w:tcPr>
          <w:p>
            <w:pPr>
              <w:jc w:val="center"/>
              <w:rPr>
                <w:rFonts w:hint="eastAsia" w:asciiTheme="minorEastAsia" w:hAnsiTheme="minorEastAsia" w:eastAsiaTheme="minorEastAsia" w:cstheme="minorEastAsia"/>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highlight w:val="none"/>
                <w:lang w:val="en-US" w:eastAsia="zh-CN"/>
              </w:rPr>
              <w:t>06</w:t>
            </w: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安全监管</w:t>
            </w:r>
          </w:p>
        </w:tc>
        <w:tc>
          <w:tcPr>
            <w:tcW w:w="79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县级安全生产专项资金（非定额）</w:t>
            </w:r>
          </w:p>
        </w:tc>
        <w:tc>
          <w:tcPr>
            <w:tcW w:w="679"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1000</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800</w:t>
            </w:r>
          </w:p>
        </w:tc>
        <w:tc>
          <w:tcPr>
            <w:tcW w:w="66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50</w:t>
            </w: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150</w:t>
            </w: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486"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224</w:t>
            </w:r>
          </w:p>
        </w:tc>
        <w:tc>
          <w:tcPr>
            <w:tcW w:w="6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04</w:t>
            </w:r>
          </w:p>
        </w:tc>
        <w:tc>
          <w:tcPr>
            <w:tcW w:w="551" w:type="dxa"/>
            <w:noWrap w:val="0"/>
            <w:vAlign w:val="center"/>
          </w:tcPr>
          <w:p>
            <w:pPr>
              <w:jc w:val="center"/>
              <w:rPr>
                <w:rFonts w:hint="eastAsia" w:asciiTheme="minorEastAsia" w:hAnsiTheme="minorEastAsia" w:eastAsiaTheme="minorEastAsia" w:cstheme="minorEastAsia"/>
                <w:color w:val="auto"/>
                <w:kern w:val="0"/>
                <w:sz w:val="18"/>
                <w:szCs w:val="18"/>
                <w:highlight w:val="none"/>
              </w:rPr>
            </w:pP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矿山安全</w:t>
            </w:r>
          </w:p>
        </w:tc>
        <w:tc>
          <w:tcPr>
            <w:tcW w:w="79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79"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2387</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2387</w:t>
            </w:r>
          </w:p>
        </w:tc>
        <w:tc>
          <w:tcPr>
            <w:tcW w:w="666"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trPr>
        <w:tc>
          <w:tcPr>
            <w:tcW w:w="486" w:type="dxa"/>
            <w:gridSpan w:val="2"/>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224</w:t>
            </w:r>
          </w:p>
        </w:tc>
        <w:tc>
          <w:tcPr>
            <w:tcW w:w="666"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04</w:t>
            </w:r>
          </w:p>
        </w:tc>
        <w:tc>
          <w:tcPr>
            <w:tcW w:w="551"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04</w:t>
            </w:r>
          </w:p>
        </w:tc>
        <w:tc>
          <w:tcPr>
            <w:tcW w:w="85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矿山安全监察事务</w:t>
            </w:r>
          </w:p>
        </w:tc>
        <w:tc>
          <w:tcPr>
            <w:tcW w:w="79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安全生产预防和应急救援能力建设补助资金</w:t>
            </w:r>
          </w:p>
        </w:tc>
        <w:tc>
          <w:tcPr>
            <w:tcW w:w="679" w:type="dxa"/>
            <w:noWrap w:val="0"/>
            <w:vAlign w:val="center"/>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2387</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2387</w:t>
            </w:r>
          </w:p>
        </w:tc>
        <w:tc>
          <w:tcPr>
            <w:tcW w:w="666"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c>
          <w:tcPr>
            <w:tcW w:w="421" w:type="dxa"/>
            <w:gridSpan w:val="2"/>
            <w:noWrap w:val="0"/>
            <w:vAlign w:val="top"/>
          </w:tcPr>
          <w:p>
            <w:pPr>
              <w:widowControl/>
              <w:jc w:val="center"/>
              <w:outlineLvl w:val="1"/>
              <w:rPr>
                <w:rFonts w:hint="eastAsia" w:asciiTheme="minorEastAsia" w:hAnsiTheme="minorEastAsia" w:eastAsiaTheme="minorEastAsia" w:cstheme="minorEastAsia"/>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center"/>
              <w:outlineLvl w:val="1"/>
              <w:rPr>
                <w:rFonts w:ascii="仿宋_GB2312" w:hAnsi="宋体" w:eastAsia="仿宋_GB2312"/>
                <w:color w:val="auto"/>
                <w:kern w:val="0"/>
                <w:sz w:val="32"/>
                <w:szCs w:val="32"/>
                <w:highlight w:val="none"/>
              </w:rPr>
            </w:pPr>
          </w:p>
        </w:tc>
        <w:tc>
          <w:tcPr>
            <w:tcW w:w="666" w:type="dxa"/>
            <w:noWrap w:val="0"/>
            <w:vAlign w:val="top"/>
          </w:tcPr>
          <w:p>
            <w:pPr>
              <w:widowControl/>
              <w:jc w:val="center"/>
              <w:outlineLvl w:val="1"/>
              <w:rPr>
                <w:rFonts w:ascii="仿宋_GB2312" w:hAnsi="宋体" w:eastAsia="仿宋_GB2312"/>
                <w:color w:val="auto"/>
                <w:kern w:val="0"/>
                <w:sz w:val="32"/>
                <w:szCs w:val="32"/>
                <w:highlight w:val="none"/>
              </w:rPr>
            </w:pPr>
          </w:p>
        </w:tc>
        <w:tc>
          <w:tcPr>
            <w:tcW w:w="551" w:type="dxa"/>
            <w:noWrap w:val="0"/>
            <w:vAlign w:val="top"/>
          </w:tcPr>
          <w:p>
            <w:pPr>
              <w:widowControl/>
              <w:jc w:val="center"/>
              <w:outlineLvl w:val="1"/>
              <w:rPr>
                <w:rFonts w:ascii="仿宋_GB2312" w:hAnsi="宋体" w:eastAsia="仿宋_GB2312"/>
                <w:color w:val="auto"/>
                <w:kern w:val="0"/>
                <w:sz w:val="32"/>
                <w:szCs w:val="32"/>
                <w:highlight w:val="none"/>
              </w:rPr>
            </w:pPr>
          </w:p>
        </w:tc>
        <w:tc>
          <w:tcPr>
            <w:tcW w:w="855"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95" w:type="dxa"/>
            <w:noWrap w:val="0"/>
            <w:vAlign w:val="center"/>
          </w:tcPr>
          <w:p>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合 计</w:t>
            </w:r>
          </w:p>
        </w:tc>
        <w:tc>
          <w:tcPr>
            <w:tcW w:w="679"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3387</w:t>
            </w:r>
          </w:p>
        </w:tc>
        <w:tc>
          <w:tcPr>
            <w:tcW w:w="3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84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3187.00</w:t>
            </w:r>
          </w:p>
        </w:tc>
        <w:tc>
          <w:tcPr>
            <w:tcW w:w="66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50.00</w:t>
            </w:r>
          </w:p>
        </w:tc>
        <w:tc>
          <w:tcPr>
            <w:tcW w:w="432"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618" w:type="dxa"/>
            <w:gridSpan w:val="2"/>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756" w:type="dxa"/>
            <w:noWrap w:val="0"/>
            <w:vAlign w:val="top"/>
          </w:tcPr>
          <w:p>
            <w:pPr>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150.00</w:t>
            </w:r>
          </w:p>
        </w:tc>
        <w:tc>
          <w:tcPr>
            <w:tcW w:w="618"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jc w:val="center"/>
              <w:rPr>
                <w:rFonts w:hint="eastAsia" w:asciiTheme="minorEastAsia" w:hAnsiTheme="minorEastAsia" w:eastAsiaTheme="minorEastAsia" w:cstheme="minorEastAsia"/>
                <w:color w:val="auto"/>
                <w:sz w:val="18"/>
                <w:szCs w:val="18"/>
                <w:highlight w:val="none"/>
                <w:lang w:val="en-US" w:eastAsia="zh-CN"/>
              </w:rPr>
            </w:pPr>
          </w:p>
        </w:tc>
        <w:tc>
          <w:tcPr>
            <w:tcW w:w="417" w:type="dxa"/>
            <w:noWrap w:val="0"/>
            <w:vAlign w:val="top"/>
          </w:tcPr>
          <w:p>
            <w:pPr>
              <w:widowControl/>
              <w:jc w:val="center"/>
              <w:outlineLvl w:val="1"/>
              <w:rPr>
                <w:rFonts w:ascii="仿宋_GB2312" w:hAnsi="宋体" w:eastAsia="仿宋_GB2312"/>
                <w:color w:val="auto"/>
                <w:kern w:val="0"/>
                <w:sz w:val="32"/>
                <w:szCs w:val="32"/>
                <w:highlight w:val="none"/>
              </w:rPr>
            </w:pPr>
          </w:p>
        </w:tc>
        <w:tc>
          <w:tcPr>
            <w:tcW w:w="421" w:type="dxa"/>
            <w:gridSpan w:val="2"/>
            <w:noWrap w:val="0"/>
            <w:vAlign w:val="top"/>
          </w:tcPr>
          <w:p>
            <w:pPr>
              <w:widowControl/>
              <w:jc w:val="center"/>
              <w:outlineLvl w:val="1"/>
              <w:rPr>
                <w:rFonts w:ascii="仿宋_GB2312" w:hAnsi="宋体" w:eastAsia="仿宋_GB2312"/>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呼图壁县应急管理局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default" w:ascii="仿宋" w:eastAsia="仿宋"/>
          <w:b/>
          <w:color w:val="000000"/>
          <w:szCs w:val="21"/>
          <w:highlight w:val="none"/>
        </w:rPr>
      </w:pPr>
      <w:r>
        <w:rPr>
          <w:rFonts w:hint="eastAsia" w:ascii="仿宋" w:hAnsi="Times New Roman" w:eastAsia="仿宋" w:cs="Times New Roman"/>
          <w:b/>
          <w:color w:val="000000"/>
          <w:szCs w:val="21"/>
          <w:highlight w:val="none"/>
        </w:rPr>
        <w:t>呼图壁县应急管理局202</w:t>
      </w:r>
      <w:r>
        <w:rPr>
          <w:rFonts w:hint="eastAsia" w:ascii="仿宋" w:hAnsi="Times New Roman" w:eastAsia="仿宋" w:cs="Times New Roman"/>
          <w:b/>
          <w:color w:val="000000"/>
          <w:szCs w:val="21"/>
          <w:highlight w:val="none"/>
          <w:lang w:val="en-US" w:eastAsia="zh-CN"/>
        </w:rPr>
        <w:t>5</w:t>
      </w:r>
      <w:r>
        <w:rPr>
          <w:rFonts w:hint="eastAsia" w:ascii="仿宋" w:hAnsi="Times New Roman" w:eastAsia="仿宋" w:cs="Times New Roman"/>
          <w:b/>
          <w:color w:val="000000"/>
          <w:szCs w:val="21"/>
          <w:highlight w:val="none"/>
        </w:rPr>
        <w:t>年没有使用</w:t>
      </w:r>
      <w:r>
        <w:rPr>
          <w:rFonts w:hint="eastAsia" w:ascii="仿宋" w:hAnsi="Times New Roman" w:eastAsia="仿宋" w:cs="Times New Roman"/>
          <w:b/>
          <w:color w:val="000000"/>
          <w:szCs w:val="21"/>
          <w:highlight w:val="none"/>
          <w:lang w:val="en-US" w:eastAsia="zh-CN"/>
        </w:rPr>
        <w:t>政府性基金</w:t>
      </w:r>
      <w:r>
        <w:rPr>
          <w:rFonts w:hint="eastAsia" w:ascii="仿宋" w:hAnsi="Times New Roman" w:eastAsia="仿宋" w:cs="Times New Roman"/>
          <w:b/>
          <w:color w:val="000000"/>
          <w:szCs w:val="21"/>
          <w:highlight w:val="none"/>
        </w:rPr>
        <w:t>预算拨款安排的支出，</w:t>
      </w:r>
      <w:r>
        <w:rPr>
          <w:rFonts w:hint="eastAsia" w:ascii="仿宋" w:hAnsi="Times New Roman" w:eastAsia="仿宋" w:cs="Times New Roman"/>
          <w:b/>
          <w:color w:val="000000"/>
          <w:szCs w:val="21"/>
          <w:highlight w:val="none"/>
          <w:lang w:val="en-US" w:eastAsia="zh-CN"/>
        </w:rPr>
        <w:t>政府性基金预算支出</w:t>
      </w:r>
      <w:r>
        <w:rPr>
          <w:rFonts w:hint="eastAsia" w:ascii="仿宋" w:hAnsi="Times New Roman" w:eastAsia="仿宋" w:cs="Times New Roman"/>
          <w:b/>
          <w:color w:val="000000"/>
          <w:szCs w:val="21"/>
          <w:highlight w:val="none"/>
        </w:rPr>
        <w:t>情况表为</w:t>
      </w:r>
      <w:r>
        <w:rPr>
          <w:rFonts w:hint="eastAsia" w:ascii="仿宋" w:eastAsia="仿宋"/>
          <w:b/>
          <w:color w:val="000000"/>
          <w:szCs w:val="21"/>
          <w:highlight w:val="none"/>
        </w:rPr>
        <w:t>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呼图壁县应急管理局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default" w:ascii="仿宋" w:eastAsia="仿宋"/>
          <w:b/>
          <w:color w:val="000000"/>
          <w:szCs w:val="21"/>
          <w:highlight w:val="none"/>
        </w:rPr>
      </w:pPr>
      <w:r>
        <w:rPr>
          <w:rFonts w:hint="eastAsia" w:ascii="仿宋" w:hAnsi="Times New Roman" w:eastAsia="仿宋" w:cs="Times New Roman"/>
          <w:b/>
          <w:color w:val="000000"/>
          <w:szCs w:val="21"/>
          <w:highlight w:val="none"/>
        </w:rPr>
        <w:t>呼图壁县应急管理局202</w:t>
      </w:r>
      <w:r>
        <w:rPr>
          <w:rFonts w:hint="eastAsia" w:ascii="仿宋" w:hAnsi="Times New Roman" w:eastAsia="仿宋" w:cs="Times New Roman"/>
          <w:b/>
          <w:color w:val="000000"/>
          <w:szCs w:val="21"/>
          <w:highlight w:val="none"/>
          <w:lang w:val="en-US" w:eastAsia="zh-CN"/>
        </w:rPr>
        <w:t>5</w:t>
      </w:r>
      <w:r>
        <w:rPr>
          <w:rFonts w:hint="eastAsia" w:ascii="仿宋" w:hAnsi="Times New Roman" w:eastAsia="仿宋" w:cs="Times New Roman"/>
          <w:b/>
          <w:color w:val="000000"/>
          <w:szCs w:val="21"/>
          <w:highlight w:val="none"/>
        </w:rPr>
        <w:t>年没有使用国有资本经营预算拨款安排的支出，国有资本经营</w:t>
      </w:r>
      <w:r>
        <w:rPr>
          <w:rFonts w:hint="eastAsia" w:ascii="仿宋" w:hAnsi="Times New Roman" w:eastAsia="仿宋" w:cs="Times New Roman"/>
          <w:b/>
          <w:color w:val="000000"/>
          <w:szCs w:val="21"/>
          <w:highlight w:val="none"/>
          <w:lang w:val="en-US" w:eastAsia="zh-CN"/>
        </w:rPr>
        <w:t>预算支出</w:t>
      </w:r>
      <w:r>
        <w:rPr>
          <w:rFonts w:hint="eastAsia" w:ascii="仿宋" w:hAnsi="Times New Roman" w:eastAsia="仿宋" w:cs="Times New Roman"/>
          <w:b/>
          <w:color w:val="000000"/>
          <w:szCs w:val="21"/>
          <w:highlight w:val="none"/>
        </w:rPr>
        <w:t>情况表为</w:t>
      </w:r>
      <w:r>
        <w:rPr>
          <w:rFonts w:hint="eastAsia" w:ascii="仿宋" w:eastAsia="仿宋"/>
          <w:b/>
          <w:color w:val="000000"/>
          <w:szCs w:val="21"/>
          <w:highlight w:val="none"/>
        </w:rPr>
        <w:t>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：呼图壁县应急管理局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3.60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val="en-US" w:eastAsia="zh-CN"/>
              </w:rPr>
              <w:t>3.60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：呼图壁县应急管理局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3"/>
        <w:gridCol w:w="900"/>
        <w:gridCol w:w="778"/>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1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0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593"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13"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51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13" w:type="dxa"/>
            <w:noWrap w:val="0"/>
            <w:vAlign w:val="center"/>
          </w:tcPr>
          <w:p>
            <w:pPr>
              <w:spacing w:line="600" w:lineRule="exact"/>
              <w:jc w:val="center"/>
              <w:rPr>
                <w:rFonts w:ascii="仿宋" w:hAnsi="仿宋" w:eastAsia="仿宋" w:cs="仿宋_GB2312"/>
                <w:bCs/>
                <w:color w:val="auto"/>
                <w:kern w:val="0"/>
                <w:sz w:val="16"/>
                <w:szCs w:val="16"/>
                <w:highlight w:val="none"/>
              </w:rPr>
            </w:pPr>
            <w:r>
              <w:rPr>
                <w:rFonts w:hint="eastAsia" w:ascii="仿宋" w:hAnsi="仿宋" w:eastAsia="仿宋" w:cs="仿宋_GB2312"/>
                <w:bCs/>
                <w:color w:val="auto"/>
                <w:kern w:val="0"/>
                <w:sz w:val="24"/>
                <w:szCs w:val="24"/>
                <w:highlight w:val="none"/>
                <w:lang w:val="en-US" w:eastAsia="zh-CN"/>
              </w:rPr>
              <w:t>2024年安全生产预防和应急救援能力建设补助资金</w:t>
            </w:r>
          </w:p>
        </w:tc>
        <w:tc>
          <w:tcPr>
            <w:tcW w:w="900"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16</w:t>
            </w:r>
          </w:p>
        </w:tc>
        <w:tc>
          <w:tcPr>
            <w:tcW w:w="778"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16</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16</w:t>
            </w: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1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900"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78"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51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900" w:type="dxa"/>
            <w:noWrap w:val="0"/>
            <w:vAlign w:val="center"/>
          </w:tcPr>
          <w:p>
            <w:pPr>
              <w:spacing w:line="600" w:lineRule="exact"/>
              <w:jc w:val="center"/>
              <w:rPr>
                <w:rFonts w:hint="eastAsia" w:ascii="仿宋" w:hAnsi="仿宋" w:eastAsia="仿宋" w:cs="仿宋_GB2312"/>
                <w:bCs/>
                <w:color w:val="auto"/>
                <w:kern w:val="0"/>
                <w:sz w:val="24"/>
                <w:szCs w:val="24"/>
                <w:highlight w:val="none"/>
                <w:lang w:val="en-US" w:eastAsia="zh-CN"/>
              </w:rPr>
            </w:pPr>
            <w:r>
              <w:rPr>
                <w:rFonts w:hint="eastAsia" w:ascii="仿宋_GB2312" w:hAnsi="宋体" w:eastAsia="仿宋_GB2312" w:cs="宋体"/>
                <w:b/>
                <w:bCs/>
                <w:color w:val="auto"/>
                <w:kern w:val="0"/>
                <w:sz w:val="18"/>
                <w:szCs w:val="18"/>
                <w:highlight w:val="none"/>
                <w:lang w:val="en-US" w:eastAsia="zh-CN"/>
              </w:rPr>
              <w:t>总计</w:t>
            </w:r>
          </w:p>
        </w:tc>
        <w:tc>
          <w:tcPr>
            <w:tcW w:w="778"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bidi="ar-SA"/>
              </w:rPr>
            </w:pPr>
            <w:r>
              <w:rPr>
                <w:rFonts w:hint="eastAsia" w:ascii="仿宋" w:hAnsi="仿宋" w:eastAsia="仿宋" w:cs="仿宋_GB2312"/>
                <w:bCs/>
                <w:color w:val="auto"/>
                <w:kern w:val="0"/>
                <w:sz w:val="24"/>
                <w:szCs w:val="24"/>
                <w:highlight w:val="none"/>
                <w:lang w:val="en-US" w:eastAsia="zh-CN"/>
              </w:rPr>
              <w:t>16</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bidi="ar-SA"/>
              </w:rPr>
            </w:pPr>
            <w:r>
              <w:rPr>
                <w:rFonts w:hint="eastAsia" w:ascii="仿宋" w:hAnsi="仿宋" w:eastAsia="仿宋" w:cs="仿宋_GB2312"/>
                <w:bCs/>
                <w:color w:val="auto"/>
                <w:kern w:val="0"/>
                <w:sz w:val="24"/>
                <w:szCs w:val="24"/>
                <w:highlight w:val="none"/>
                <w:lang w:val="en-US" w:eastAsia="zh-CN"/>
              </w:rPr>
              <w:t>16</w:t>
            </w:r>
          </w:p>
        </w:tc>
        <w:tc>
          <w:tcPr>
            <w:tcW w:w="797"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23"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881"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211" w:type="dxa"/>
            <w:noWrap w:val="0"/>
            <w:vAlign w:val="center"/>
          </w:tcPr>
          <w:p>
            <w:pPr>
              <w:spacing w:line="600" w:lineRule="exact"/>
              <w:jc w:val="center"/>
              <w:rPr>
                <w:rFonts w:ascii="仿宋" w:hAnsi="仿宋" w:eastAsia="仿宋" w:cs="仿宋_GB2312"/>
                <w:bCs/>
                <w:color w:val="auto"/>
                <w:kern w:val="0"/>
                <w:sz w:val="24"/>
                <w:szCs w:val="24"/>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第三部分  2025年部门预算情况说明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一、关于呼图壁县应急管理局2025年收支预算情况的总体说明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按照全口径预算的原则，呼图壁县应急管理局2025年所有收入和支出均纳入</w:t>
      </w:r>
      <w:r>
        <w:rPr>
          <w:rFonts w:hint="eastAsia" w:ascii="仿宋" w:hAnsi="微软雅黑" w:eastAsia="仿宋" w:cs="Times New Roman"/>
          <w:sz w:val="28"/>
          <w:szCs w:val="28"/>
          <w:lang w:eastAsia="zh-CN"/>
        </w:rPr>
        <w:t>部门</w:t>
      </w:r>
      <w:r>
        <w:rPr>
          <w:rFonts w:hint="eastAsia" w:ascii="仿宋" w:hAnsi="微软雅黑" w:eastAsia="仿宋" w:cs="Times New Roman"/>
          <w:sz w:val="28"/>
          <w:szCs w:val="28"/>
        </w:rPr>
        <w:t>预算管理。收支总预算4964.82万元。</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rPr>
        <w:t>收入预算包括：</w:t>
      </w:r>
      <w:r>
        <w:rPr>
          <w:rFonts w:hint="eastAsia" w:ascii="仿宋" w:hAnsi="微软雅黑" w:eastAsia="仿宋" w:cs="Times New Roman"/>
          <w:sz w:val="28"/>
          <w:szCs w:val="28"/>
          <w:highlight w:val="none"/>
        </w:rPr>
        <w:t>一般公共预算、</w:t>
      </w:r>
      <w:r>
        <w:rPr>
          <w:rFonts w:hint="eastAsia" w:ascii="仿宋" w:hAnsi="微软雅黑" w:eastAsia="仿宋" w:cs="Times New Roman"/>
          <w:sz w:val="28"/>
          <w:szCs w:val="28"/>
          <w:highlight w:val="none"/>
          <w:lang w:val="en-US" w:eastAsia="zh-Hans"/>
        </w:rPr>
        <w:t>单位资金、财政拨款结转结余</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rPr>
        <w:t>支出预算包括：社会保障和就业支出、卫生健康支出、住房保障支出、灾害防治及应急管理支出。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CN"/>
        </w:rPr>
      </w:pPr>
      <w:r>
        <w:rPr>
          <w:rFonts w:hint="eastAsia" w:ascii="仿宋" w:hAnsi="华文楷体" w:eastAsia="仿宋" w:cs="Times New Roman"/>
          <w:b/>
          <w:kern w:val="2"/>
          <w:sz w:val="28"/>
          <w:szCs w:val="28"/>
          <w:highlight w:val="none"/>
          <w:lang w:val="en-US" w:eastAsia="zh-CN"/>
        </w:rPr>
        <w:t>二、关于呼图壁县应急管理局2025年收入预算情况说明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呼图壁县应急管理局收入预算4964.82</w:t>
      </w:r>
      <w:r>
        <w:rPr>
          <w:rFonts w:hint="eastAsia" w:ascii="仿宋" w:hAnsi="微软雅黑" w:eastAsia="仿宋" w:cs="Times New Roman"/>
          <w:sz w:val="28"/>
          <w:szCs w:val="28"/>
          <w:highlight w:val="none"/>
          <w:lang w:eastAsia="zh-CN"/>
        </w:rPr>
        <w:t>万</w:t>
      </w:r>
      <w:r>
        <w:rPr>
          <w:rFonts w:hint="eastAsia" w:ascii="仿宋" w:hAnsi="微软雅黑" w:eastAsia="仿宋" w:cs="Times New Roman"/>
          <w:sz w:val="28"/>
          <w:szCs w:val="28"/>
          <w:highlight w:val="none"/>
        </w:rPr>
        <w:t>元，其中：</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一般公共预算2374.32万元，占</w:t>
      </w:r>
      <w:r>
        <w:rPr>
          <w:rFonts w:hint="eastAsia" w:ascii="仿宋" w:hAnsi="微软雅黑" w:eastAsia="仿宋" w:cs="Times New Roman"/>
          <w:sz w:val="28"/>
          <w:szCs w:val="28"/>
          <w:highlight w:val="none"/>
          <w:lang w:val="en-US" w:eastAsia="zh-CN"/>
        </w:rPr>
        <w:t>47.82</w:t>
      </w:r>
      <w:r>
        <w:rPr>
          <w:rFonts w:hint="eastAsia" w:ascii="仿宋" w:hAnsi="微软雅黑" w:eastAsia="仿宋" w:cs="Times New Roman"/>
          <w:sz w:val="28"/>
          <w:szCs w:val="28"/>
          <w:highlight w:val="none"/>
        </w:rPr>
        <w:t>%，比上年预算增加</w:t>
      </w:r>
      <w:r>
        <w:rPr>
          <w:rFonts w:hint="eastAsia" w:ascii="仿宋" w:hAnsi="微软雅黑" w:eastAsia="仿宋" w:cs="Times New Roman"/>
          <w:sz w:val="28"/>
          <w:szCs w:val="28"/>
          <w:highlight w:val="none"/>
          <w:lang w:val="en-US" w:eastAsia="zh-CN"/>
        </w:rPr>
        <w:t>11.29</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增长</w:t>
      </w:r>
      <w:r>
        <w:rPr>
          <w:rFonts w:hint="eastAsia" w:ascii="仿宋" w:hAnsi="微软雅黑" w:eastAsia="仿宋" w:cs="Times New Roman"/>
          <w:sz w:val="28"/>
          <w:szCs w:val="28"/>
          <w:highlight w:val="none"/>
          <w:lang w:val="en-US" w:eastAsia="zh-CN"/>
        </w:rPr>
        <w:t>0.48 %，</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2025年在职职工正常工资调整增加</w:t>
      </w:r>
      <w:r>
        <w:rPr>
          <w:rFonts w:hint="eastAsia" w:ascii="仿宋" w:hAnsi="微软雅黑" w:eastAsia="仿宋" w:cs="Times New Roman"/>
          <w:sz w:val="28"/>
          <w:szCs w:val="28"/>
          <w:highlight w:val="none"/>
        </w:rPr>
        <w:t xml:space="preserve">；    </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Hans"/>
        </w:rPr>
        <w:t>上级</w:t>
      </w:r>
      <w:r>
        <w:rPr>
          <w:rFonts w:hint="eastAsia" w:ascii="仿宋" w:hAnsi="微软雅黑" w:eastAsia="仿宋" w:cs="Times New Roman"/>
          <w:sz w:val="28"/>
          <w:szCs w:val="28"/>
          <w:highlight w:val="none"/>
        </w:rPr>
        <w:t>一般公共预算</w:t>
      </w:r>
      <w:r>
        <w:rPr>
          <w:rFonts w:hint="eastAsia" w:ascii="仿宋" w:hAnsi="微软雅黑" w:eastAsia="仿宋" w:cs="Times New Roman"/>
          <w:sz w:val="28"/>
          <w:szCs w:val="28"/>
          <w:highlight w:val="none"/>
          <w:lang w:val="en-US" w:eastAsia="zh-Hans"/>
        </w:rPr>
        <w:t>安排的转移支付资金2387</w:t>
      </w:r>
      <w:r>
        <w:rPr>
          <w:rFonts w:hint="eastAsia" w:ascii="仿宋" w:hAnsi="微软雅黑" w:eastAsia="仿宋" w:cs="Times New Roman"/>
          <w:sz w:val="28"/>
          <w:szCs w:val="28"/>
          <w:highlight w:val="none"/>
          <w:lang w:val="en-US" w:eastAsia="zh-CN"/>
        </w:rPr>
        <w:t>.00</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48.08</w:t>
      </w:r>
      <w:r>
        <w:rPr>
          <w:rFonts w:hint="eastAsia" w:ascii="仿宋" w:hAnsi="微软雅黑" w:eastAsia="仿宋" w:cs="Times New Roman"/>
          <w:sz w:val="28"/>
          <w:szCs w:val="28"/>
          <w:highlight w:val="none"/>
        </w:rPr>
        <w:t>%，比上年预算增加</w:t>
      </w:r>
      <w:r>
        <w:rPr>
          <w:rFonts w:hint="eastAsia" w:ascii="仿宋" w:hAnsi="微软雅黑" w:eastAsia="仿宋" w:cs="Times New Roman"/>
          <w:sz w:val="28"/>
          <w:szCs w:val="28"/>
          <w:highlight w:val="none"/>
          <w:lang w:val="en-US" w:eastAsia="zh-CN"/>
        </w:rPr>
        <w:t>2385.90</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增长</w:t>
      </w:r>
      <w:r>
        <w:rPr>
          <w:rFonts w:hint="eastAsia" w:ascii="仿宋" w:hAnsi="微软雅黑" w:eastAsia="仿宋" w:cs="Times New Roman"/>
          <w:sz w:val="28"/>
          <w:szCs w:val="28"/>
          <w:highlight w:val="none"/>
          <w:lang w:val="en-US" w:eastAsia="zh-CN"/>
        </w:rPr>
        <w:t>216900.00%，</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2024年末上级下达</w:t>
      </w:r>
      <w:r>
        <w:rPr>
          <w:rFonts w:hint="eastAsia" w:ascii="仿宋" w:hAnsi="微软雅黑" w:eastAsia="仿宋" w:cs="Times New Roman"/>
          <w:sz w:val="28"/>
          <w:szCs w:val="28"/>
          <w:highlight w:val="none"/>
          <w:lang w:eastAsia="zh-CN"/>
        </w:rPr>
        <w:t>安全生产预防和应急救援能力建设补助资金，</w:t>
      </w:r>
      <w:r>
        <w:rPr>
          <w:rFonts w:hint="eastAsia" w:ascii="仿宋" w:hAnsi="微软雅黑" w:eastAsia="仿宋" w:cs="Times New Roman"/>
          <w:sz w:val="28"/>
          <w:szCs w:val="28"/>
          <w:highlight w:val="none"/>
          <w:lang w:val="en-US" w:eastAsia="zh-CN"/>
        </w:rPr>
        <w:t>计划用于2025年相关事项的支付工作。</w:t>
      </w:r>
      <w:r>
        <w:rPr>
          <w:rFonts w:hint="eastAsia" w:ascii="仿宋" w:hAnsi="微软雅黑" w:eastAsia="仿宋" w:cs="Times New Roman"/>
          <w:sz w:val="28"/>
          <w:szCs w:val="28"/>
          <w:highlight w:val="none"/>
        </w:rPr>
        <w:t xml:space="preserve">    </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政府性基金预算未安排。</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上级政府性基金安排的转移支付资金</w:t>
      </w:r>
      <w:r>
        <w:rPr>
          <w:rFonts w:hint="eastAsia" w:ascii="仿宋" w:hAnsi="微软雅黑" w:eastAsia="仿宋" w:cs="Times New Roman"/>
          <w:sz w:val="28"/>
          <w:szCs w:val="28"/>
        </w:rPr>
        <w:t xml:space="preserve">未安排。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国有资本经营</w:t>
      </w:r>
      <w:r>
        <w:rPr>
          <w:rFonts w:hint="eastAsia" w:ascii="仿宋" w:hAnsi="微软雅黑" w:eastAsia="仿宋" w:cs="Times New Roman"/>
          <w:sz w:val="28"/>
          <w:szCs w:val="28"/>
        </w:rPr>
        <w:t>预算未安排。</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上级国有资本经营预算安排的转移支付资金</w:t>
      </w:r>
      <w:r>
        <w:rPr>
          <w:rFonts w:hint="eastAsia" w:ascii="仿宋" w:hAnsi="微软雅黑" w:eastAsia="仿宋" w:cs="Times New Roman"/>
          <w:sz w:val="28"/>
          <w:szCs w:val="28"/>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_GB2312" w:hAnsi="宋体" w:eastAsia="仿宋_GB2312" w:cs="宋体"/>
          <w:color w:val="auto"/>
          <w:kern w:val="0"/>
          <w:sz w:val="32"/>
          <w:szCs w:val="32"/>
          <w:highlight w:val="none"/>
        </w:rPr>
      </w:pPr>
      <w:r>
        <w:rPr>
          <w:rFonts w:hint="eastAsia" w:ascii="仿宋" w:hAnsi="微软雅黑" w:eastAsia="仿宋" w:cs="Times New Roman"/>
          <w:sz w:val="28"/>
          <w:szCs w:val="28"/>
          <w:lang w:val="en-US" w:eastAsia="zh-Hans"/>
        </w:rPr>
        <w:t>单位资金</w:t>
      </w:r>
      <w:r>
        <w:rPr>
          <w:rFonts w:hint="eastAsia" w:ascii="仿宋" w:hAnsi="微软雅黑" w:eastAsia="仿宋" w:cs="Times New Roman"/>
          <w:sz w:val="28"/>
          <w:szCs w:val="28"/>
          <w:lang w:val="en-US" w:eastAsia="zh-CN"/>
        </w:rPr>
        <w:t>187.50</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3.77</w:t>
      </w:r>
      <w:r>
        <w:rPr>
          <w:rFonts w:hint="eastAsia" w:ascii="仿宋" w:hAnsi="微软雅黑" w:eastAsia="仿宋" w:cs="Times New Roman"/>
          <w:sz w:val="28"/>
          <w:szCs w:val="28"/>
        </w:rPr>
        <w:t>%，比上年预</w:t>
      </w:r>
      <w:r>
        <w:rPr>
          <w:rFonts w:hint="eastAsia" w:ascii="仿宋" w:hAnsi="微软雅黑" w:eastAsia="仿宋" w:cs="Times New Roman"/>
          <w:sz w:val="28"/>
          <w:szCs w:val="28"/>
          <w:highlight w:val="none"/>
        </w:rPr>
        <w:t>算减</w:t>
      </w:r>
      <w:r>
        <w:rPr>
          <w:rFonts w:hint="eastAsia" w:ascii="仿宋" w:hAnsi="微软雅黑" w:eastAsia="仿宋" w:cs="Times New Roman"/>
          <w:sz w:val="28"/>
          <w:szCs w:val="28"/>
          <w:highlight w:val="none"/>
          <w:lang w:val="en-US" w:eastAsia="zh-CN"/>
        </w:rPr>
        <w:t>少87.5</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下降</w:t>
      </w:r>
      <w:r>
        <w:rPr>
          <w:rFonts w:hint="eastAsia" w:ascii="仿宋" w:hAnsi="微软雅黑" w:eastAsia="仿宋" w:cs="Times New Roman"/>
          <w:sz w:val="28"/>
          <w:szCs w:val="28"/>
          <w:highlight w:val="none"/>
          <w:lang w:val="en-US" w:eastAsia="zh-CN"/>
        </w:rPr>
        <w:t>31.82%，</w:t>
      </w:r>
      <w:r>
        <w:rPr>
          <w:rFonts w:hint="eastAsia" w:ascii="仿宋" w:hAnsi="微软雅黑" w:eastAsia="仿宋" w:cs="Times New Roman"/>
          <w:sz w:val="28"/>
          <w:szCs w:val="28"/>
          <w:highlight w:val="none"/>
        </w:rPr>
        <w:t>主要原因是</w:t>
      </w:r>
      <w:r>
        <w:rPr>
          <w:rFonts w:hint="eastAsia" w:ascii="仿宋_GB2312" w:hAnsi="宋体" w:eastAsia="仿宋_GB2312" w:cs="宋体"/>
          <w:color w:val="auto"/>
          <w:kern w:val="0"/>
          <w:sz w:val="32"/>
          <w:szCs w:val="32"/>
          <w:highlight w:val="none"/>
          <w:lang w:eastAsia="zh-CN"/>
        </w:rPr>
        <w:t>本年度援疆资金等单位资金收入减少；</w:t>
      </w:r>
    </w:p>
    <w:p>
      <w:pPr>
        <w:widowControl/>
        <w:spacing w:line="560" w:lineRule="exact"/>
        <w:ind w:firstLine="560" w:firstLineChars="200"/>
        <w:rPr>
          <w:rFonts w:hint="eastAsia"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val="en-US" w:eastAsia="zh-Hans"/>
        </w:rPr>
        <w:t>财政拨款结转</w:t>
      </w:r>
      <w:r>
        <w:rPr>
          <w:rFonts w:hint="eastAsia" w:ascii="仿宋" w:hAnsi="微软雅黑" w:eastAsia="仿宋" w:cs="Times New Roman"/>
          <w:sz w:val="28"/>
          <w:szCs w:val="28"/>
          <w:highlight w:val="none"/>
          <w:lang w:val="en-US" w:eastAsia="zh-CN"/>
        </w:rPr>
        <w:t>16</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0.32</w:t>
      </w:r>
      <w:r>
        <w:rPr>
          <w:rFonts w:hint="eastAsia" w:ascii="仿宋" w:hAnsi="微软雅黑" w:eastAsia="仿宋" w:cs="Times New Roman"/>
          <w:sz w:val="28"/>
          <w:szCs w:val="28"/>
          <w:highlight w:val="none"/>
        </w:rPr>
        <w:t>%，比上年预算</w:t>
      </w:r>
      <w:r>
        <w:rPr>
          <w:rFonts w:hint="eastAsia" w:ascii="仿宋" w:hAnsi="微软雅黑" w:eastAsia="仿宋" w:cs="Times New Roman"/>
          <w:sz w:val="28"/>
          <w:szCs w:val="28"/>
          <w:highlight w:val="none"/>
          <w:lang w:val="en-US" w:eastAsia="zh-CN"/>
        </w:rPr>
        <w:t>减少34</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val="en-US" w:eastAsia="zh-CN"/>
        </w:rPr>
        <w:t>下降68.00%，</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2024安全生产预防和应急救援能力建设补助项目资金未使用完结转至2025年继续使用。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CN"/>
        </w:rPr>
      </w:pPr>
      <w:r>
        <w:rPr>
          <w:rFonts w:hint="eastAsia" w:ascii="仿宋" w:hAnsi="华文楷体" w:eastAsia="仿宋" w:cs="Times New Roman"/>
          <w:b/>
          <w:kern w:val="2"/>
          <w:sz w:val="28"/>
          <w:szCs w:val="28"/>
          <w:highlight w:val="none"/>
          <w:lang w:val="en-US" w:eastAsia="zh-CN"/>
        </w:rPr>
        <w:t>三、关于呼图壁县应急管理局2025年支出预算情况说明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eastAsia="zh-CN"/>
        </w:rPr>
        <w:t>呼图壁县应急管理局202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w:t>
      </w:r>
      <w:r>
        <w:rPr>
          <w:rFonts w:hint="eastAsia" w:ascii="仿宋" w:hAnsi="微软雅黑" w:eastAsia="仿宋" w:cs="Times New Roman"/>
          <w:sz w:val="28"/>
          <w:szCs w:val="28"/>
          <w:highlight w:val="none"/>
        </w:rPr>
        <w:t>支出预算4964.82</w:t>
      </w:r>
      <w:r>
        <w:rPr>
          <w:rFonts w:hint="eastAsia" w:ascii="仿宋" w:hAnsi="微软雅黑" w:eastAsia="仿宋" w:cs="Times New Roman"/>
          <w:sz w:val="28"/>
          <w:szCs w:val="28"/>
          <w:highlight w:val="none"/>
          <w:lang w:eastAsia="zh-CN"/>
        </w:rPr>
        <w:t>万</w:t>
      </w:r>
      <w:r>
        <w:rPr>
          <w:rFonts w:hint="eastAsia" w:ascii="仿宋" w:hAnsi="微软雅黑" w:eastAsia="仿宋" w:cs="Times New Roman"/>
          <w:sz w:val="28"/>
          <w:szCs w:val="28"/>
          <w:highlight w:val="none"/>
        </w:rPr>
        <w:t>元，其中：</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highlight w:val="none"/>
        </w:rPr>
        <w:t>基本支出</w:t>
      </w:r>
      <w:r>
        <w:rPr>
          <w:rFonts w:hint="eastAsia" w:ascii="仿宋" w:hAnsi="微软雅黑" w:eastAsia="仿宋" w:cs="Times New Roman"/>
          <w:sz w:val="28"/>
          <w:szCs w:val="28"/>
          <w:highlight w:val="none"/>
          <w:lang w:val="en-US" w:eastAsia="zh-CN"/>
        </w:rPr>
        <w:t>1461.82</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29.44</w:t>
      </w:r>
      <w:r>
        <w:rPr>
          <w:rFonts w:hint="eastAsia" w:ascii="仿宋" w:hAnsi="微软雅黑" w:eastAsia="仿宋" w:cs="Times New Roman"/>
          <w:sz w:val="28"/>
          <w:szCs w:val="28"/>
          <w:highlight w:val="none"/>
        </w:rPr>
        <w:t>%，比上年预算</w:t>
      </w:r>
      <w:r>
        <w:rPr>
          <w:rFonts w:hint="eastAsia" w:ascii="仿宋" w:hAnsi="微软雅黑" w:eastAsia="仿宋" w:cs="Times New Roman"/>
          <w:sz w:val="28"/>
          <w:szCs w:val="28"/>
          <w:highlight w:val="none"/>
          <w:lang w:val="en-US" w:eastAsia="zh-CN"/>
        </w:rPr>
        <w:t>减少176.79</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val="en-US" w:eastAsia="zh-CN"/>
        </w:rPr>
        <w:t>下降10.79%，</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较上年度在职人员数减少3名在职人员，相关预算减少。</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项目支出</w:t>
      </w:r>
      <w:r>
        <w:rPr>
          <w:rFonts w:hint="eastAsia" w:ascii="仿宋" w:hAnsi="微软雅黑" w:eastAsia="仿宋" w:cs="Times New Roman"/>
          <w:sz w:val="28"/>
          <w:szCs w:val="28"/>
          <w:lang w:val="en-US" w:eastAsia="zh-CN"/>
        </w:rPr>
        <w:t>3503</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70.59</w:t>
      </w:r>
      <w:r>
        <w:rPr>
          <w:rFonts w:hint="eastAsia" w:ascii="仿宋" w:hAnsi="微软雅黑" w:eastAsia="仿宋" w:cs="Times New Roman"/>
          <w:sz w:val="28"/>
          <w:szCs w:val="28"/>
        </w:rPr>
        <w:t>%，比上年预算</w:t>
      </w:r>
      <w:r>
        <w:rPr>
          <w:rFonts w:hint="eastAsia" w:ascii="仿宋" w:hAnsi="微软雅黑" w:eastAsia="仿宋" w:cs="Times New Roman"/>
          <w:sz w:val="28"/>
          <w:szCs w:val="28"/>
          <w:lang w:val="en-US" w:eastAsia="zh-CN"/>
        </w:rPr>
        <w:t>增加2451.99</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增加233.30%，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2024年末上级下达</w:t>
      </w:r>
      <w:r>
        <w:rPr>
          <w:rFonts w:hint="eastAsia" w:ascii="仿宋" w:hAnsi="微软雅黑" w:eastAsia="仿宋" w:cs="Times New Roman"/>
          <w:sz w:val="28"/>
          <w:szCs w:val="28"/>
          <w:lang w:eastAsia="zh-CN"/>
        </w:rPr>
        <w:t>安全生产预防和应急救援能力建设补助资金，</w:t>
      </w:r>
      <w:r>
        <w:rPr>
          <w:rFonts w:hint="eastAsia" w:ascii="仿宋" w:hAnsi="微软雅黑" w:eastAsia="仿宋" w:cs="Times New Roman"/>
          <w:sz w:val="28"/>
          <w:szCs w:val="28"/>
          <w:lang w:val="en-US" w:eastAsia="zh-CN"/>
        </w:rPr>
        <w:t>计划用于2025年相关事项的支付工作</w:t>
      </w:r>
      <w:r>
        <w:rPr>
          <w:rFonts w:hint="eastAsia" w:ascii="仿宋" w:hAnsi="微软雅黑" w:eastAsia="仿宋" w:cs="Times New Roman"/>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四、关于呼图壁县应急管理局2025年财政拨款收支预算情况的总体说明</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年财政拨款收支总预算</w:t>
      </w:r>
      <w:r>
        <w:rPr>
          <w:rFonts w:hint="eastAsia" w:ascii="仿宋" w:hAnsi="微软雅黑" w:eastAsia="仿宋" w:cs="Times New Roman"/>
          <w:sz w:val="28"/>
          <w:szCs w:val="28"/>
          <w:lang w:val="en-US" w:eastAsia="zh-CN"/>
        </w:rPr>
        <w:t>4761.32</w:t>
      </w:r>
      <w:r>
        <w:rPr>
          <w:rFonts w:hint="eastAsia" w:ascii="仿宋" w:hAnsi="微软雅黑" w:eastAsia="仿宋" w:cs="Times New Roman"/>
          <w:sz w:val="28"/>
          <w:szCs w:val="28"/>
          <w:lang w:eastAsia="zh-CN"/>
        </w:rPr>
        <w:t>万元。</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收入预算包括：一般公共预算拨款</w:t>
      </w:r>
      <w:r>
        <w:rPr>
          <w:rFonts w:hint="eastAsia" w:ascii="仿宋" w:hAnsi="微软雅黑" w:eastAsia="仿宋" w:cs="Times New Roman"/>
          <w:sz w:val="28"/>
          <w:szCs w:val="28"/>
          <w:lang w:val="en-US" w:eastAsia="zh-CN"/>
        </w:rPr>
        <w:t>4761.32</w:t>
      </w:r>
      <w:r>
        <w:rPr>
          <w:rFonts w:hint="eastAsia" w:ascii="仿宋" w:hAnsi="微软雅黑" w:eastAsia="仿宋" w:cs="Times New Roman"/>
          <w:sz w:val="28"/>
          <w:szCs w:val="28"/>
          <w:lang w:eastAsia="zh-CN"/>
        </w:rPr>
        <w:t>万元。</w:t>
      </w:r>
    </w:p>
    <w:p>
      <w:pPr>
        <w:widowControl/>
        <w:spacing w:line="560" w:lineRule="exact"/>
        <w:ind w:firstLine="560" w:firstLineChars="200"/>
        <w:rPr>
          <w:rFonts w:hint="default" w:ascii="仿宋" w:hAnsi="微软雅黑" w:eastAsia="仿宋" w:cs="Times New Roman"/>
          <w:sz w:val="28"/>
          <w:szCs w:val="28"/>
          <w:highlight w:val="cyan"/>
          <w:lang w:val="en-US" w:eastAsia="zh-CN"/>
        </w:rPr>
      </w:pPr>
      <w:r>
        <w:rPr>
          <w:rFonts w:hint="eastAsia" w:ascii="仿宋" w:hAnsi="微软雅黑" w:eastAsia="仿宋" w:cs="Times New Roman"/>
          <w:sz w:val="28"/>
          <w:szCs w:val="28"/>
          <w:lang w:eastAsia="zh-CN"/>
        </w:rPr>
        <w:t>一般公共预算支出包括：</w:t>
      </w:r>
      <w:r>
        <w:rPr>
          <w:rFonts w:hint="eastAsia" w:ascii="仿宋" w:hAnsi="微软雅黑" w:eastAsia="仿宋"/>
          <w:sz w:val="28"/>
          <w:szCs w:val="28"/>
        </w:rPr>
        <w:t>社会保障和就业支出</w:t>
      </w:r>
      <w:r>
        <w:rPr>
          <w:rFonts w:hint="eastAsia" w:ascii="仿宋" w:hAnsi="微软雅黑" w:eastAsia="仿宋"/>
          <w:sz w:val="28"/>
          <w:szCs w:val="28"/>
          <w:lang w:val="en-US" w:eastAsia="zh-CN"/>
        </w:rPr>
        <w:t>93.52</w:t>
      </w:r>
      <w:r>
        <w:rPr>
          <w:rFonts w:hint="eastAsia" w:ascii="仿宋" w:hAnsi="微软雅黑" w:eastAsia="仿宋"/>
          <w:sz w:val="28"/>
          <w:szCs w:val="28"/>
        </w:rPr>
        <w:t>万元，主要用于机关事业单位基本养老保险缴费支出；卫生健康支出</w:t>
      </w:r>
      <w:r>
        <w:rPr>
          <w:rFonts w:hint="eastAsia" w:ascii="仿宋" w:hAnsi="微软雅黑" w:eastAsia="仿宋"/>
          <w:sz w:val="28"/>
          <w:szCs w:val="28"/>
          <w:lang w:val="en-US" w:eastAsia="zh-CN"/>
        </w:rPr>
        <w:t>63.57</w:t>
      </w:r>
      <w:r>
        <w:rPr>
          <w:rFonts w:hint="eastAsia" w:ascii="仿宋" w:hAnsi="微软雅黑" w:eastAsia="仿宋"/>
          <w:sz w:val="28"/>
          <w:szCs w:val="28"/>
        </w:rPr>
        <w:t>万元，主要用于行政事业单位医疗和公务员医疗补助支出；住房保障支出</w:t>
      </w:r>
      <w:r>
        <w:rPr>
          <w:rFonts w:hint="eastAsia" w:ascii="仿宋" w:hAnsi="微软雅黑" w:eastAsia="仿宋"/>
          <w:sz w:val="28"/>
          <w:szCs w:val="28"/>
          <w:lang w:val="en-US" w:eastAsia="zh-CN"/>
        </w:rPr>
        <w:t>69.99</w:t>
      </w:r>
      <w:r>
        <w:rPr>
          <w:rFonts w:hint="eastAsia" w:ascii="仿宋" w:hAnsi="微软雅黑" w:eastAsia="仿宋"/>
          <w:sz w:val="28"/>
          <w:szCs w:val="28"/>
        </w:rPr>
        <w:t>万元，主要用于机单位职工住房公积金支出</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灾害防治及应急管理支出4534.24万元</w:t>
      </w:r>
      <w:r>
        <w:rPr>
          <w:rFonts w:hint="eastAsia" w:ascii="仿宋" w:hAnsi="微软雅黑" w:eastAsia="仿宋"/>
          <w:sz w:val="28"/>
          <w:szCs w:val="28"/>
        </w:rPr>
        <w:t>，主要用于单位人员工资基本支出</w:t>
      </w:r>
      <w:r>
        <w:rPr>
          <w:rFonts w:hint="eastAsia" w:ascii="仿宋" w:hAnsi="微软雅黑" w:eastAsia="仿宋"/>
          <w:sz w:val="28"/>
          <w:szCs w:val="28"/>
          <w:lang w:eastAsia="zh-CN"/>
        </w:rPr>
        <w:t>、</w:t>
      </w:r>
      <w:r>
        <w:rPr>
          <w:rFonts w:hint="eastAsia" w:ascii="仿宋" w:hAnsi="微软雅黑" w:eastAsia="仿宋"/>
          <w:sz w:val="28"/>
          <w:szCs w:val="28"/>
        </w:rPr>
        <w:t>公用经费支出</w:t>
      </w:r>
      <w:r>
        <w:rPr>
          <w:rFonts w:hint="eastAsia" w:ascii="仿宋" w:hAnsi="微软雅黑" w:eastAsia="仿宋"/>
          <w:sz w:val="28"/>
          <w:szCs w:val="28"/>
          <w:lang w:val="en-US" w:eastAsia="zh-CN"/>
        </w:rPr>
        <w:t>及安全监管项目支出。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五、关于呼图壁县应急管理局2025年一般公共预算当年拨款情况说明</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呼图壁县应急管理局202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年一般公共预算拨款合计</w:t>
      </w:r>
      <w:r>
        <w:rPr>
          <w:rFonts w:hint="eastAsia" w:ascii="仿宋" w:hAnsi="微软雅黑" w:eastAsia="仿宋" w:cs="Times New Roman"/>
          <w:sz w:val="28"/>
          <w:szCs w:val="28"/>
          <w:lang w:val="en-US" w:eastAsia="zh-CN"/>
        </w:rPr>
        <w:t>4761.32</w:t>
      </w:r>
      <w:r>
        <w:rPr>
          <w:rFonts w:hint="eastAsia" w:ascii="仿宋" w:hAnsi="微软雅黑" w:eastAsia="仿宋" w:cs="Times New Roman"/>
          <w:sz w:val="28"/>
          <w:szCs w:val="28"/>
          <w:lang w:eastAsia="zh-CN"/>
        </w:rPr>
        <w:t>万元，其中：基本支出</w:t>
      </w:r>
      <w:r>
        <w:rPr>
          <w:rFonts w:hint="eastAsia" w:ascii="仿宋" w:hAnsi="微软雅黑" w:eastAsia="仿宋" w:cs="Times New Roman"/>
          <w:sz w:val="28"/>
          <w:szCs w:val="28"/>
          <w:lang w:val="en-US" w:eastAsia="zh-CN"/>
        </w:rPr>
        <w:t>1374.32</w:t>
      </w:r>
      <w:r>
        <w:rPr>
          <w:rFonts w:hint="eastAsia" w:ascii="仿宋" w:hAnsi="微软雅黑" w:eastAsia="仿宋" w:cs="Times New Roman"/>
          <w:sz w:val="28"/>
          <w:szCs w:val="28"/>
          <w:lang w:eastAsia="zh-CN"/>
        </w:rPr>
        <w:t>万元，比上年预算</w:t>
      </w:r>
      <w:r>
        <w:rPr>
          <w:rFonts w:hint="eastAsia" w:ascii="仿宋" w:hAnsi="微软雅黑" w:eastAsia="仿宋" w:cs="Times New Roman"/>
          <w:sz w:val="28"/>
          <w:szCs w:val="28"/>
          <w:lang w:val="en-US" w:eastAsia="zh-CN"/>
        </w:rPr>
        <w:t>增加11.29</w:t>
      </w:r>
      <w:r>
        <w:rPr>
          <w:rFonts w:hint="eastAsia" w:ascii="仿宋" w:hAnsi="微软雅黑" w:eastAsia="仿宋" w:cs="Times New Roman"/>
          <w:sz w:val="28"/>
          <w:szCs w:val="28"/>
          <w:lang w:eastAsia="zh-CN"/>
        </w:rPr>
        <w:t>万元，增长</w:t>
      </w:r>
      <w:r>
        <w:rPr>
          <w:rFonts w:hint="eastAsia" w:ascii="仿宋" w:hAnsi="微软雅黑" w:eastAsia="仿宋" w:cs="Times New Roman"/>
          <w:sz w:val="28"/>
          <w:szCs w:val="28"/>
          <w:lang w:val="en-US" w:eastAsia="zh-CN"/>
        </w:rPr>
        <w:t>0.83</w:t>
      </w:r>
      <w:r>
        <w:rPr>
          <w:rFonts w:hint="eastAsia" w:ascii="仿宋" w:hAnsi="微软雅黑" w:eastAsia="仿宋" w:cs="Times New Roman"/>
          <w:sz w:val="28"/>
          <w:szCs w:val="28"/>
          <w:lang w:eastAsia="zh-CN"/>
        </w:rPr>
        <w:t>%。主要原因是：</w:t>
      </w:r>
      <w:r>
        <w:rPr>
          <w:rFonts w:hint="eastAsia" w:ascii="仿宋" w:hAnsi="微软雅黑" w:eastAsia="仿宋" w:cs="Times New Roman"/>
          <w:sz w:val="28"/>
          <w:szCs w:val="28"/>
          <w:lang w:val="en-US" w:eastAsia="zh-CN"/>
        </w:rPr>
        <w:t>单位人员正常薪资调整增加</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项目支出</w:t>
      </w:r>
      <w:r>
        <w:rPr>
          <w:rFonts w:hint="eastAsia" w:ascii="仿宋" w:hAnsi="微软雅黑" w:eastAsia="仿宋" w:cs="Times New Roman"/>
          <w:sz w:val="28"/>
          <w:szCs w:val="28"/>
          <w:lang w:val="en-US" w:eastAsia="zh-CN"/>
        </w:rPr>
        <w:t>3387</w:t>
      </w:r>
      <w:r>
        <w:rPr>
          <w:rFonts w:hint="eastAsia" w:ascii="仿宋" w:hAnsi="微软雅黑" w:eastAsia="仿宋" w:cs="Times New Roman"/>
          <w:sz w:val="28"/>
          <w:szCs w:val="28"/>
          <w:lang w:eastAsia="zh-CN"/>
        </w:rPr>
        <w:t>万元，比上年预算</w:t>
      </w:r>
      <w:r>
        <w:rPr>
          <w:rFonts w:hint="eastAsia" w:ascii="仿宋" w:hAnsi="微软雅黑" w:eastAsia="仿宋" w:cs="Times New Roman"/>
          <w:sz w:val="28"/>
          <w:szCs w:val="28"/>
          <w:lang w:val="en-US" w:eastAsia="zh-CN"/>
        </w:rPr>
        <w:t>增加2335.99</w:t>
      </w:r>
      <w:r>
        <w:rPr>
          <w:rFonts w:hint="eastAsia" w:ascii="仿宋" w:hAnsi="微软雅黑" w:eastAsia="仿宋" w:cs="Times New Roman"/>
          <w:sz w:val="28"/>
          <w:szCs w:val="28"/>
          <w:lang w:eastAsia="zh-CN"/>
        </w:rPr>
        <w:t>万元，</w:t>
      </w:r>
      <w:r>
        <w:rPr>
          <w:rFonts w:hint="eastAsia" w:ascii="仿宋" w:hAnsi="微软雅黑" w:eastAsia="仿宋" w:cs="Times New Roman"/>
          <w:sz w:val="28"/>
          <w:szCs w:val="28"/>
          <w:lang w:val="en-US" w:eastAsia="zh-CN"/>
        </w:rPr>
        <w:t>增加222.26%，</w:t>
      </w:r>
      <w:r>
        <w:rPr>
          <w:rFonts w:hint="eastAsia" w:ascii="仿宋" w:hAnsi="微软雅黑" w:eastAsia="仿宋" w:cs="Times New Roman"/>
          <w:sz w:val="28"/>
          <w:szCs w:val="28"/>
          <w:lang w:eastAsia="zh-CN"/>
        </w:rPr>
        <w:t>主要原因是</w:t>
      </w:r>
      <w:r>
        <w:rPr>
          <w:rFonts w:hint="eastAsia" w:ascii="仿宋" w:hAnsi="微软雅黑" w:eastAsia="仿宋" w:cs="Times New Roman"/>
          <w:sz w:val="28"/>
          <w:szCs w:val="28"/>
          <w:lang w:val="en-US" w:eastAsia="zh-CN"/>
        </w:rPr>
        <w:t>2024年末上级下达</w:t>
      </w:r>
      <w:r>
        <w:rPr>
          <w:rFonts w:hint="eastAsia" w:ascii="仿宋" w:hAnsi="微软雅黑" w:eastAsia="仿宋" w:cs="Times New Roman"/>
          <w:sz w:val="28"/>
          <w:szCs w:val="28"/>
          <w:lang w:eastAsia="zh-CN"/>
        </w:rPr>
        <w:t>安全生产预防和应急救援能力建设补助资金，</w:t>
      </w:r>
      <w:r>
        <w:rPr>
          <w:rFonts w:hint="eastAsia" w:ascii="仿宋" w:hAnsi="微软雅黑" w:eastAsia="仿宋" w:cs="Times New Roman"/>
          <w:sz w:val="28"/>
          <w:szCs w:val="28"/>
          <w:lang w:val="en-US" w:eastAsia="zh-CN"/>
        </w:rPr>
        <w:t>计划用于2025年相关事项的支付工作</w:t>
      </w:r>
      <w:r>
        <w:rPr>
          <w:rFonts w:hint="eastAsia" w:ascii="仿宋" w:hAnsi="微软雅黑" w:eastAsia="仿宋" w:cs="Times New Roman"/>
          <w:sz w:val="28"/>
          <w:szCs w:val="28"/>
          <w:lang w:eastAsia="zh-CN"/>
        </w:rPr>
        <w:t>。</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（二）一般公共预算当年拨款结构情况</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1.社会保障和就业支出</w:t>
      </w:r>
      <w:r>
        <w:rPr>
          <w:rFonts w:hint="eastAsia" w:ascii="仿宋" w:hAnsi="微软雅黑" w:eastAsia="仿宋" w:cs="Times New Roman"/>
          <w:sz w:val="28"/>
          <w:szCs w:val="28"/>
          <w:lang w:val="en-US" w:eastAsia="zh-CN"/>
        </w:rPr>
        <w:t>(类)93.52</w:t>
      </w:r>
      <w:r>
        <w:rPr>
          <w:rFonts w:hint="eastAsia" w:ascii="仿宋" w:hAnsi="微软雅黑" w:eastAsia="仿宋" w:cs="Times New Roman"/>
          <w:sz w:val="28"/>
          <w:szCs w:val="28"/>
          <w:lang w:eastAsia="zh-CN"/>
        </w:rPr>
        <w:t>万元，占</w:t>
      </w:r>
      <w:r>
        <w:rPr>
          <w:rFonts w:hint="eastAsia" w:ascii="仿宋" w:hAnsi="微软雅黑" w:eastAsia="仿宋" w:cs="Times New Roman"/>
          <w:sz w:val="28"/>
          <w:szCs w:val="28"/>
          <w:lang w:val="en-US" w:eastAsia="zh-CN"/>
        </w:rPr>
        <w:t>1.96</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3.卫生健康支出</w:t>
      </w:r>
      <w:r>
        <w:rPr>
          <w:rFonts w:hint="eastAsia" w:ascii="仿宋" w:hAnsi="微软雅黑" w:eastAsia="仿宋" w:cs="Times New Roman"/>
          <w:sz w:val="28"/>
          <w:szCs w:val="28"/>
          <w:lang w:eastAsia="zh-CN"/>
        </w:rPr>
        <w:t>（类）</w:t>
      </w:r>
      <w:r>
        <w:rPr>
          <w:rFonts w:hint="eastAsia" w:ascii="仿宋" w:hAnsi="微软雅黑" w:eastAsia="仿宋" w:cs="Times New Roman"/>
          <w:sz w:val="28"/>
          <w:szCs w:val="28"/>
          <w:lang w:val="en-US" w:eastAsia="zh-CN"/>
        </w:rPr>
        <w:t>63.57万元，占1.34%。</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CN"/>
        </w:rPr>
        <w:t>4.住房保障支出</w:t>
      </w:r>
      <w:r>
        <w:rPr>
          <w:rFonts w:hint="eastAsia" w:ascii="仿宋" w:hAnsi="微软雅黑" w:eastAsia="仿宋" w:cs="Times New Roman"/>
          <w:sz w:val="28"/>
          <w:szCs w:val="28"/>
          <w:lang w:eastAsia="zh-CN"/>
        </w:rPr>
        <w:t>（类）</w:t>
      </w:r>
      <w:r>
        <w:rPr>
          <w:rFonts w:hint="eastAsia" w:ascii="仿宋" w:hAnsi="微软雅黑" w:eastAsia="仿宋" w:cs="Times New Roman"/>
          <w:sz w:val="28"/>
          <w:szCs w:val="28"/>
          <w:lang w:val="en-US" w:eastAsia="zh-CN"/>
        </w:rPr>
        <w:t>69.99万元，占1.47%。</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val="en-US" w:eastAsia="zh-CN"/>
        </w:rPr>
        <w:t>5.灾害防治及应急管理支出</w:t>
      </w:r>
      <w:r>
        <w:rPr>
          <w:rFonts w:hint="eastAsia" w:ascii="仿宋" w:hAnsi="微软雅黑" w:eastAsia="仿宋" w:cs="Times New Roman"/>
          <w:sz w:val="28"/>
          <w:szCs w:val="28"/>
          <w:lang w:eastAsia="zh-CN"/>
        </w:rPr>
        <w:t>（类）</w:t>
      </w:r>
      <w:r>
        <w:rPr>
          <w:rFonts w:hint="eastAsia" w:ascii="仿宋" w:hAnsi="微软雅黑" w:eastAsia="仿宋" w:cs="Times New Roman"/>
          <w:sz w:val="28"/>
          <w:szCs w:val="28"/>
          <w:lang w:val="en-US" w:eastAsia="zh-CN"/>
        </w:rPr>
        <w:t>4534.23万元，占95.23%。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lang w:eastAsia="zh-CN"/>
        </w:rPr>
        <w:t>1.</w:t>
      </w:r>
      <w:r>
        <w:rPr>
          <w:rFonts w:hint="eastAsia" w:ascii="仿宋" w:hAnsi="微软雅黑" w:eastAsia="仿宋" w:cs="Times New Roman"/>
          <w:sz w:val="28"/>
          <w:szCs w:val="28"/>
          <w:lang w:val="en-US" w:eastAsia="zh-CN"/>
        </w:rPr>
        <w:t>社会保障和就业支出（类）行政事业单位养老支出（款）事业单位离退休（项）：2025年预算数为9.46万元，比上年预算数增加6.11万元</w:t>
      </w:r>
      <w:r>
        <w:rPr>
          <w:rFonts w:hint="eastAsia" w:ascii="仿宋" w:hAnsi="微软雅黑" w:eastAsia="仿宋" w:cs="Times New Roman"/>
          <w:sz w:val="28"/>
          <w:szCs w:val="28"/>
          <w:highlight w:val="none"/>
          <w:lang w:val="en-US" w:eastAsia="zh-CN"/>
        </w:rPr>
        <w:t>，增长182.39%，主要原因是：将原行政单位退休人员年终绩效重新划转功能分类。</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highlight w:val="none"/>
          <w:lang w:val="en-US" w:eastAsia="zh-CN"/>
        </w:rPr>
        <w:t>2</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社会保障和就业支出（类）</w:t>
      </w:r>
      <w:r>
        <w:rPr>
          <w:rFonts w:hint="eastAsia" w:ascii="仿宋" w:hAnsi="微软雅黑" w:eastAsia="仿宋" w:cs="Times New Roman"/>
          <w:sz w:val="28"/>
          <w:szCs w:val="28"/>
          <w:lang w:val="en-US" w:eastAsia="zh-CN"/>
        </w:rPr>
        <w:t>行政事业单位养老支</w:t>
      </w:r>
      <w:r>
        <w:rPr>
          <w:rFonts w:hint="eastAsia" w:ascii="仿宋" w:hAnsi="微软雅黑" w:eastAsia="仿宋" w:cs="Times New Roman"/>
          <w:sz w:val="28"/>
          <w:szCs w:val="28"/>
          <w:highlight w:val="none"/>
          <w:lang w:val="en-US" w:eastAsia="zh-CN"/>
        </w:rPr>
        <w:t>出（款）机关事业单位基本养老保险缴费支出（项）：2025年预算数为84.06万元，比上年预算数减少0.15万元，下降0.18%，主要原因</w:t>
      </w:r>
      <w:r>
        <w:rPr>
          <w:rFonts w:hint="eastAsia" w:ascii="仿宋" w:hAnsi="微软雅黑" w:eastAsia="仿宋" w:cs="Times New Roman"/>
          <w:sz w:val="28"/>
          <w:szCs w:val="28"/>
          <w:lang w:val="en-US" w:eastAsia="zh-CN"/>
        </w:rPr>
        <w:t>是：单位在职人员减少3人，相应人员经费减少。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lang w:val="en-US" w:eastAsia="zh-CN"/>
        </w:rPr>
        <w:t>3.卫生健康支出（类）行政事业单位医疗（款）行政单位医疗（项）：2025年预算数为13.66万元,比上年预算数减少0.01万元，</w:t>
      </w:r>
      <w:r>
        <w:rPr>
          <w:rFonts w:hint="eastAsia" w:ascii="仿宋" w:hAnsi="微软雅黑" w:eastAsia="仿宋" w:cs="Times New Roman"/>
          <w:sz w:val="28"/>
          <w:szCs w:val="28"/>
          <w:highlight w:val="none"/>
          <w:lang w:val="en-US" w:eastAsia="zh-CN"/>
        </w:rPr>
        <w:t>下降0.07%，主要原因是：单位在职人员减少3人，相应人员经费减少。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4.卫生健康支出（类）行政事业单位医疗（款）事业单位医疗（项）：2025年预算数为28.37万元,比上年预算数减少0.006万元，下降0.21%，主要原因是：单位在职人员减少3人，相应人员经费减少。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5.卫生健康支出（类）行政事业单位医疗（款）公务员医疗补助（项）：2025年预算数为21.02万元,比上年预算数增加9.44万元，增长81.52%，主要原因是：2025年单位职工公务员医疗补助基数增加，单位医保部分比例上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6.卫生健康支出（类）行政事业单位医疗（款）其他行政事业单位医疗支出（项）：2025年预算数为0.53万元,比上年预算数增加0.19万元，增长55.88%，主要原因是：2025年其他行政事业单位医疗支出基数调增。</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7.住房保障支出（类）住房改革支出（款）住房公积金（项）：2025年预算数为69.99万元,比上年预算数减少0.5万元，下降0.71%，主要原因是：单位在职人员减少3人，相应人员经费减少。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8.</w:t>
      </w:r>
      <w:r>
        <w:rPr>
          <w:rFonts w:hint="eastAsia" w:ascii="仿宋" w:hAnsi="微软雅黑" w:eastAsia="仿宋" w:cs="Times New Roman"/>
          <w:sz w:val="28"/>
          <w:szCs w:val="28"/>
          <w:highlight w:val="none"/>
          <w:lang w:eastAsia="zh-CN"/>
        </w:rPr>
        <w:t>灾害防治及应急管理支出</w:t>
      </w:r>
      <w:r>
        <w:rPr>
          <w:rFonts w:hint="eastAsia" w:ascii="仿宋" w:hAnsi="微软雅黑" w:eastAsia="仿宋" w:cs="Times New Roman"/>
          <w:sz w:val="28"/>
          <w:szCs w:val="28"/>
          <w:highlight w:val="none"/>
          <w:lang w:val="en-US" w:eastAsia="zh-CN"/>
        </w:rPr>
        <w:t>（类）应急管理事务（款）行政运行（项）：2025年预算数为311.69万元,比上年预算数减少414.46万元，下降57.08%，主要原因是：将消防大队合同制消防员28人工资相关经费经费、在职消防员26人基础绩效奖等支出核算至单位事业运行内。</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9.</w:t>
      </w:r>
      <w:r>
        <w:rPr>
          <w:rFonts w:hint="eastAsia" w:ascii="仿宋" w:hAnsi="微软雅黑" w:eastAsia="仿宋" w:cs="Times New Roman"/>
          <w:sz w:val="28"/>
          <w:szCs w:val="28"/>
          <w:lang w:eastAsia="zh-CN"/>
        </w:rPr>
        <w:t>灾害防治及应急管理支出</w:t>
      </w:r>
      <w:r>
        <w:rPr>
          <w:rFonts w:hint="eastAsia" w:ascii="仿宋" w:hAnsi="微软雅黑" w:eastAsia="仿宋" w:cs="Times New Roman"/>
          <w:sz w:val="28"/>
          <w:szCs w:val="28"/>
          <w:lang w:val="en-US" w:eastAsia="zh-CN"/>
        </w:rPr>
        <w:t>（类）应急管理事务（款）安全监管（项）：2024年预算数为1000万元,比上年预算数增加0万元，增长0%</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主要原因是：经县财经会议决议与去年预算保持不变。</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lang w:val="en-US" w:eastAsia="zh-CN"/>
        </w:rPr>
        <w:t>10.</w:t>
      </w:r>
      <w:r>
        <w:rPr>
          <w:rFonts w:hint="eastAsia" w:ascii="仿宋" w:hAnsi="微软雅黑" w:eastAsia="仿宋" w:cs="Times New Roman"/>
          <w:sz w:val="28"/>
          <w:szCs w:val="28"/>
          <w:lang w:eastAsia="zh-CN"/>
        </w:rPr>
        <w:t>灾害防治及应急管理支出</w:t>
      </w:r>
      <w:r>
        <w:rPr>
          <w:rFonts w:hint="eastAsia" w:ascii="仿宋" w:hAnsi="微软雅黑" w:eastAsia="仿宋" w:cs="Times New Roman"/>
          <w:sz w:val="28"/>
          <w:szCs w:val="28"/>
          <w:lang w:val="en-US" w:eastAsia="zh-CN"/>
        </w:rPr>
        <w:t>（类）应急管理事务（款）事业运行（项）：2024年预算数为835.54万元,比上年执行数增加420.37万元</w:t>
      </w:r>
      <w:r>
        <w:rPr>
          <w:rFonts w:hint="eastAsia" w:ascii="仿宋" w:hAnsi="微软雅黑" w:eastAsia="仿宋" w:cs="Times New Roman"/>
          <w:sz w:val="28"/>
          <w:szCs w:val="28"/>
          <w:highlight w:val="none"/>
          <w:lang w:val="en-US" w:eastAsia="zh-CN"/>
        </w:rPr>
        <w:t>，增长101.25%</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主要原因是：将原属行政运行内核算的消防大队合同制消防员28人工资相关经费经费、在职消防员26人基础绩效奖等支出核算至单位事业运行内。</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highlight w:val="none"/>
          <w:lang w:val="en-US" w:eastAsia="zh-CN"/>
        </w:rPr>
        <w:t>11.</w:t>
      </w:r>
      <w:r>
        <w:rPr>
          <w:rFonts w:hint="eastAsia" w:ascii="仿宋" w:hAnsi="微软雅黑" w:eastAsia="仿宋" w:cs="Times New Roman"/>
          <w:sz w:val="28"/>
          <w:szCs w:val="28"/>
          <w:highlight w:val="none"/>
          <w:lang w:eastAsia="zh-CN"/>
        </w:rPr>
        <w:t>灾害防治及应急管理支出</w:t>
      </w:r>
      <w:r>
        <w:rPr>
          <w:rFonts w:hint="eastAsia" w:ascii="仿宋" w:hAnsi="微软雅黑" w:eastAsia="仿宋" w:cs="Times New Roman"/>
          <w:sz w:val="28"/>
          <w:szCs w:val="28"/>
          <w:highlight w:val="none"/>
          <w:lang w:val="en-US" w:eastAsia="zh-CN"/>
        </w:rPr>
        <w:t>（类）矿山安全（款）矿山安全监察事务（项）：2025年预算数为2387万元,比上年执行数增加2387.00万元，增长100%</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主要原因是：2024年末上级下达</w:t>
      </w:r>
      <w:r>
        <w:rPr>
          <w:rFonts w:hint="eastAsia" w:ascii="仿宋" w:hAnsi="微软雅黑" w:eastAsia="仿宋" w:cs="Times New Roman"/>
          <w:sz w:val="28"/>
          <w:szCs w:val="28"/>
          <w:highlight w:val="none"/>
          <w:lang w:eastAsia="zh-CN"/>
        </w:rPr>
        <w:t>安全生产预防和应急救援能力建设补助</w:t>
      </w:r>
      <w:r>
        <w:rPr>
          <w:rFonts w:hint="eastAsia" w:ascii="仿宋" w:hAnsi="微软雅黑" w:eastAsia="仿宋" w:cs="Times New Roman"/>
          <w:sz w:val="28"/>
          <w:szCs w:val="28"/>
          <w:lang w:eastAsia="zh-CN"/>
        </w:rPr>
        <w:t>资金，</w:t>
      </w:r>
      <w:r>
        <w:rPr>
          <w:rFonts w:hint="eastAsia" w:ascii="仿宋" w:hAnsi="微软雅黑" w:eastAsia="仿宋" w:cs="Times New Roman"/>
          <w:sz w:val="28"/>
          <w:szCs w:val="28"/>
          <w:lang w:val="en-US" w:eastAsia="zh-CN"/>
        </w:rPr>
        <w:t>计划用于2025年相关事项的支付工作</w:t>
      </w:r>
      <w:r>
        <w:rPr>
          <w:rFonts w:hint="eastAsia" w:ascii="仿宋" w:hAnsi="微软雅黑" w:eastAsia="仿宋" w:cs="Times New Roman"/>
          <w:sz w:val="28"/>
          <w:szCs w:val="28"/>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六、关于呼图壁县应急管理局2025年一般公共预算基本支出情况说明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呼图壁县应急管理局202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 xml:space="preserve">年一般公共预算基本支出    </w:t>
      </w:r>
      <w:r>
        <w:rPr>
          <w:rFonts w:hint="eastAsia" w:ascii="仿宋" w:hAnsi="微软雅黑" w:eastAsia="仿宋" w:cs="Times New Roman"/>
          <w:sz w:val="28"/>
          <w:szCs w:val="28"/>
          <w:lang w:val="en-US" w:eastAsia="zh-CN"/>
        </w:rPr>
        <w:t>1374.32</w:t>
      </w:r>
      <w:r>
        <w:rPr>
          <w:rFonts w:hint="eastAsia" w:ascii="仿宋" w:hAnsi="微软雅黑" w:eastAsia="仿宋" w:cs="Times New Roman"/>
          <w:sz w:val="28"/>
          <w:szCs w:val="28"/>
          <w:lang w:eastAsia="zh-CN"/>
        </w:rPr>
        <w:t>万元， 其中：</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lang w:eastAsia="zh-CN"/>
        </w:rPr>
        <w:t>人员经费</w:t>
      </w:r>
      <w:r>
        <w:rPr>
          <w:rFonts w:hint="eastAsia" w:ascii="仿宋" w:hAnsi="微软雅黑" w:eastAsia="仿宋" w:cs="Times New Roman"/>
          <w:sz w:val="28"/>
          <w:szCs w:val="28"/>
          <w:lang w:val="en-US" w:eastAsia="zh-CN"/>
        </w:rPr>
        <w:t>1251.58</w:t>
      </w:r>
      <w:r>
        <w:rPr>
          <w:rFonts w:hint="eastAsia" w:ascii="仿宋" w:hAnsi="微软雅黑" w:eastAsia="仿宋" w:cs="Times New Roman"/>
          <w:sz w:val="28"/>
          <w:szCs w:val="28"/>
          <w:lang w:eastAsia="zh-CN"/>
        </w:rPr>
        <w:t>万元，主要包括：基本工资、津贴补贴、奖金</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lang w:eastAsia="zh-CN"/>
        </w:rPr>
        <w:t>绩效工资、机关事业单位基本养老保险缴费、</w:t>
      </w:r>
      <w:r>
        <w:rPr>
          <w:rFonts w:hint="eastAsia" w:ascii="仿宋" w:hAnsi="微软雅黑" w:eastAsia="仿宋" w:cs="Times New Roman"/>
          <w:sz w:val="28"/>
          <w:szCs w:val="28"/>
          <w:lang w:val="en-US" w:eastAsia="zh-CN"/>
        </w:rPr>
        <w:t>城镇</w:t>
      </w:r>
      <w:r>
        <w:rPr>
          <w:rFonts w:hint="eastAsia" w:ascii="仿宋" w:hAnsi="微软雅黑" w:eastAsia="仿宋" w:cs="Times New Roman"/>
          <w:sz w:val="28"/>
          <w:szCs w:val="28"/>
          <w:lang w:eastAsia="zh-CN"/>
        </w:rPr>
        <w:t>职工基本医疗保险缴费、公务员医疗补助缴费、其他社会保障缴费、住房公积金、其他工资福利支出、退休费、</w:t>
      </w:r>
      <w:r>
        <w:rPr>
          <w:rFonts w:hint="eastAsia" w:ascii="仿宋" w:hAnsi="微软雅黑" w:eastAsia="仿宋" w:cs="Times New Roman"/>
          <w:sz w:val="28"/>
          <w:szCs w:val="28"/>
          <w:lang w:val="en-US" w:eastAsia="zh-CN"/>
        </w:rPr>
        <w:t>生活</w:t>
      </w:r>
      <w:r>
        <w:rPr>
          <w:rFonts w:hint="eastAsia" w:ascii="仿宋" w:hAnsi="微软雅黑" w:eastAsia="仿宋" w:cs="Times New Roman"/>
          <w:sz w:val="28"/>
          <w:szCs w:val="28"/>
          <w:lang w:eastAsia="zh-CN"/>
        </w:rPr>
        <w:t>补助、奖励金。</w:t>
      </w:r>
    </w:p>
    <w:p>
      <w:pPr>
        <w:widowControl/>
        <w:spacing w:line="560" w:lineRule="exact"/>
        <w:ind w:firstLine="560" w:firstLineChars="200"/>
        <w:rPr>
          <w:rFonts w:ascii="仿宋_GB2312" w:hAnsi="宋体" w:eastAsia="仿宋_GB2312" w:cs="宋体"/>
          <w:color w:val="FF0000"/>
          <w:kern w:val="0"/>
          <w:sz w:val="32"/>
          <w:szCs w:val="32"/>
          <w:highlight w:val="none"/>
        </w:rPr>
      </w:pPr>
      <w:r>
        <w:rPr>
          <w:rFonts w:hint="eastAsia" w:ascii="仿宋" w:hAnsi="微软雅黑" w:eastAsia="仿宋" w:cs="Times New Roman"/>
          <w:sz w:val="28"/>
          <w:szCs w:val="28"/>
          <w:lang w:eastAsia="zh-CN"/>
        </w:rPr>
        <w:t>公用经费</w:t>
      </w:r>
      <w:r>
        <w:rPr>
          <w:rFonts w:hint="eastAsia" w:ascii="仿宋" w:hAnsi="微软雅黑" w:eastAsia="仿宋" w:cs="Times New Roman"/>
          <w:sz w:val="28"/>
          <w:szCs w:val="28"/>
          <w:lang w:val="en-US" w:eastAsia="zh-CN"/>
        </w:rPr>
        <w:t>122.74</w:t>
      </w:r>
      <w:r>
        <w:rPr>
          <w:rFonts w:hint="eastAsia" w:ascii="仿宋" w:hAnsi="微软雅黑" w:eastAsia="仿宋" w:cs="Times New Roman"/>
          <w:sz w:val="28"/>
          <w:szCs w:val="28"/>
          <w:lang w:eastAsia="zh-CN"/>
        </w:rPr>
        <w:t>万元，主要包括：办公费</w:t>
      </w:r>
      <w:r>
        <w:rPr>
          <w:rFonts w:hint="eastAsia" w:ascii="仿宋" w:hAnsi="微软雅黑" w:eastAsia="仿宋" w:cs="Times New Roman"/>
          <w:sz w:val="28"/>
          <w:szCs w:val="28"/>
          <w:lang w:val="en-US" w:eastAsia="zh-CN"/>
        </w:rPr>
        <w:t>、</w:t>
      </w:r>
      <w:r>
        <w:rPr>
          <w:rFonts w:hint="eastAsia" w:ascii="仿宋" w:hAnsi="微软雅黑" w:eastAsia="仿宋" w:cs="Times New Roman"/>
          <w:sz w:val="28"/>
          <w:szCs w:val="28"/>
          <w:lang w:eastAsia="zh-CN"/>
        </w:rPr>
        <w:t>水费、电费、邮电费、取暖费、差旅费、</w:t>
      </w:r>
      <w:r>
        <w:rPr>
          <w:rFonts w:hint="eastAsia" w:ascii="仿宋" w:hAnsi="微软雅黑" w:eastAsia="仿宋" w:cs="Times New Roman"/>
          <w:sz w:val="28"/>
          <w:szCs w:val="28"/>
          <w:lang w:val="en-US" w:eastAsia="zh-CN"/>
        </w:rPr>
        <w:t>劳务费</w:t>
      </w:r>
      <w:r>
        <w:rPr>
          <w:rFonts w:hint="eastAsia" w:ascii="仿宋" w:hAnsi="微软雅黑" w:eastAsia="仿宋" w:cs="Times New Roman"/>
          <w:sz w:val="28"/>
          <w:szCs w:val="28"/>
          <w:lang w:eastAsia="zh-CN"/>
        </w:rPr>
        <w:t>、工会经费、公务用车运行维护费、其他交通费用。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七、关于呼图壁县应急管理局2025年一般公共预算项目支出情况说明</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lang w:val="en-US" w:eastAsia="zh-Hans"/>
        </w:rPr>
        <w:t>项目名称：县级安全生产专项资金（非定额）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设立的政策依据：</w:t>
      </w:r>
      <w:r>
        <w:rPr>
          <w:rFonts w:hint="eastAsia" w:ascii="仿宋" w:hAnsi="微软雅黑" w:eastAsia="仿宋" w:cs="Times New Roman"/>
          <w:sz w:val="28"/>
          <w:szCs w:val="28"/>
          <w:lang w:val="en-US" w:eastAsia="zh-CN"/>
        </w:rPr>
        <w:t>呼财预字【2025】8号《2025年呼图壁县财经委员会第一次会议纪要》</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预算安排规模：1000万元</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项目承担单位：呼图壁县应急管理局</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资金分配情况：</w:t>
      </w:r>
      <w:r>
        <w:rPr>
          <w:rFonts w:hint="eastAsia" w:ascii="仿宋" w:hAnsi="微软雅黑" w:eastAsia="仿宋" w:cs="Times New Roman"/>
          <w:sz w:val="28"/>
          <w:szCs w:val="28"/>
          <w:lang w:val="en-US" w:eastAsia="zh-CN"/>
        </w:rPr>
        <w:t>1000万元用于</w:t>
      </w:r>
      <w:r>
        <w:rPr>
          <w:rFonts w:hint="eastAsia" w:ascii="仿宋" w:hAnsi="微软雅黑" w:eastAsia="仿宋" w:cs="Times New Roman"/>
          <w:sz w:val="28"/>
          <w:szCs w:val="28"/>
          <w:lang w:val="en-US" w:eastAsia="zh-Hans"/>
        </w:rPr>
        <w:t>呼图壁县安全生产委员会所有成员单位就安全生产活动投入</w:t>
      </w:r>
      <w:r>
        <w:rPr>
          <w:rFonts w:hint="eastAsia" w:ascii="仿宋" w:hAnsi="微软雅黑" w:eastAsia="仿宋" w:cs="Times New Roman"/>
          <w:sz w:val="28"/>
          <w:szCs w:val="28"/>
          <w:lang w:val="en-US" w:eastAsia="zh-CN"/>
        </w:rPr>
        <w:t>支出</w:t>
      </w:r>
      <w:r>
        <w:rPr>
          <w:rFonts w:hint="eastAsia" w:ascii="仿宋" w:hAnsi="微软雅黑" w:eastAsia="仿宋" w:cs="Times New Roman"/>
          <w:sz w:val="28"/>
          <w:szCs w:val="28"/>
          <w:lang w:val="en-US" w:eastAsia="zh-Hans"/>
        </w:rPr>
        <w:t>。</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资金执行时间：202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val="en-US" w:eastAsia="zh-Hans"/>
        </w:rPr>
        <w:t>年1月1日至202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val="en-US" w:eastAsia="zh-Hans"/>
        </w:rPr>
        <w:t>年12月31日</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2.</w:t>
      </w:r>
      <w:r>
        <w:rPr>
          <w:rFonts w:hint="eastAsia" w:ascii="仿宋" w:hAnsi="微软雅黑" w:eastAsia="仿宋" w:cs="Times New Roman"/>
          <w:sz w:val="28"/>
          <w:szCs w:val="28"/>
          <w:lang w:val="en-US" w:eastAsia="zh-Hans"/>
        </w:rPr>
        <w:t>项目名称：安全生产预防和应急救援能力建设补助资金</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设立的政策依据：</w:t>
      </w:r>
      <w:r>
        <w:rPr>
          <w:rFonts w:hint="eastAsia" w:ascii="仿宋" w:hAnsi="微软雅黑" w:eastAsia="仿宋" w:cs="Times New Roman"/>
          <w:sz w:val="28"/>
          <w:szCs w:val="28"/>
          <w:lang w:val="en-US" w:eastAsia="zh-CN"/>
        </w:rPr>
        <w:t>昌州财建【2024】158号-关于提前下达2025年安全生产预防和应急救援能力建设补助资金（危险化学品重大安全生产防控、煤矿及重点非煤矿山重大灾害风险防控、尾矿库风险隐患治理支出）预算的通知</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预算安排规模：</w:t>
      </w:r>
      <w:r>
        <w:rPr>
          <w:rFonts w:hint="eastAsia" w:ascii="仿宋" w:hAnsi="微软雅黑" w:eastAsia="仿宋" w:cs="Times New Roman"/>
          <w:sz w:val="28"/>
          <w:szCs w:val="28"/>
          <w:lang w:val="en-US" w:eastAsia="zh-CN"/>
        </w:rPr>
        <w:t>2387</w:t>
      </w:r>
      <w:r>
        <w:rPr>
          <w:rFonts w:hint="eastAsia" w:ascii="仿宋" w:hAnsi="微软雅黑" w:eastAsia="仿宋" w:cs="Times New Roman"/>
          <w:sz w:val="28"/>
          <w:szCs w:val="28"/>
          <w:lang w:val="en-US" w:eastAsia="zh-Hans"/>
        </w:rPr>
        <w:t>万元</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项目承担单位：呼图壁县应急管理局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资金分配情况：呼图壁县</w:t>
      </w:r>
      <w:r>
        <w:rPr>
          <w:rFonts w:hint="eastAsia" w:ascii="仿宋" w:hAnsi="微软雅黑" w:eastAsia="仿宋" w:cs="Times New Roman"/>
          <w:sz w:val="28"/>
          <w:szCs w:val="28"/>
          <w:lang w:val="en-US" w:eastAsia="zh-CN"/>
        </w:rPr>
        <w:t>石梯子煤田火区治理中央补助金额1777万元，呼图壁县煤矿空白区隐蔽致灾因素普查中央补助资金610万元</w:t>
      </w:r>
      <w:r>
        <w:rPr>
          <w:rFonts w:hint="eastAsia" w:ascii="仿宋" w:hAnsi="微软雅黑" w:eastAsia="仿宋" w:cs="Times New Roman"/>
          <w:sz w:val="28"/>
          <w:szCs w:val="28"/>
          <w:lang w:val="en-US" w:eastAsia="zh-Hans"/>
        </w:rPr>
        <w:t>。</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资金执行时间：202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val="en-US" w:eastAsia="zh-Hans"/>
        </w:rPr>
        <w:t>年1月1日至202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val="en-US" w:eastAsia="zh-Hans"/>
        </w:rPr>
        <w:t>年12月31日</w:t>
      </w:r>
    </w:p>
    <w:p>
      <w:pPr>
        <w:widowControl/>
        <w:spacing w:line="560" w:lineRule="exact"/>
        <w:ind w:firstLine="562" w:firstLineChars="200"/>
        <w:rPr>
          <w:rFonts w:hint="eastAsia" w:ascii="仿宋" w:hAnsi="华文楷体" w:eastAsia="仿宋" w:cs="Times New Roman"/>
          <w:b/>
          <w:bCs/>
          <w:kern w:val="2"/>
          <w:sz w:val="28"/>
          <w:szCs w:val="28"/>
          <w:lang w:val="en-US" w:eastAsia="zh-CN"/>
        </w:rPr>
      </w:pPr>
      <w:r>
        <w:rPr>
          <w:rFonts w:hint="eastAsia" w:ascii="仿宋" w:hAnsi="微软雅黑" w:eastAsia="仿宋" w:cs="Times New Roman"/>
          <w:b/>
          <w:bCs/>
          <w:sz w:val="28"/>
          <w:szCs w:val="28"/>
          <w:lang w:val="en-US" w:eastAsia="zh-Hans"/>
        </w:rPr>
        <w:t>八</w:t>
      </w:r>
      <w:r>
        <w:rPr>
          <w:rFonts w:hint="eastAsia" w:ascii="仿宋" w:hAnsi="微软雅黑" w:eastAsia="仿宋" w:cs="Times New Roman"/>
          <w:b/>
          <w:bCs/>
          <w:sz w:val="28"/>
          <w:szCs w:val="28"/>
          <w:lang w:val="en-US" w:eastAsia="zh-CN"/>
        </w:rPr>
        <w:t>、关于呼图壁县应急管理局2025年政府性基金预算拨款情况</w:t>
      </w:r>
      <w:r>
        <w:rPr>
          <w:rFonts w:hint="eastAsia" w:ascii="仿宋" w:hAnsi="华文楷体" w:eastAsia="仿宋" w:cs="Times New Roman"/>
          <w:b/>
          <w:bCs/>
          <w:kern w:val="2"/>
          <w:sz w:val="28"/>
          <w:szCs w:val="28"/>
          <w:lang w:val="en-US" w:eastAsia="zh-CN"/>
        </w:rPr>
        <w:t>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呼图壁县应急管理局2025年没有使用政府性基金预算拨款安排的支出，政府性基金预算支出情况表为空表。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rPr>
      </w:pPr>
      <w:r>
        <w:rPr>
          <w:rFonts w:hint="eastAsia" w:ascii="仿宋" w:hAnsi="华文楷体" w:eastAsia="仿宋" w:cs="Times New Roman"/>
          <w:b/>
          <w:kern w:val="2"/>
          <w:sz w:val="28"/>
          <w:szCs w:val="28"/>
          <w:lang w:val="en-US" w:eastAsia="zh-Hans"/>
        </w:rPr>
        <w:t>九、关于呼图壁县应急管理局</w:t>
      </w:r>
      <w:r>
        <w:rPr>
          <w:rFonts w:hint="eastAsia" w:ascii="仿宋" w:hAnsi="华文楷体" w:eastAsia="仿宋" w:cs="Times New Roman"/>
          <w:b/>
          <w:kern w:val="2"/>
          <w:sz w:val="28"/>
          <w:szCs w:val="28"/>
          <w:lang w:val="en-US" w:eastAsia="zh-CN"/>
        </w:rPr>
        <w:t>2025年</w:t>
      </w:r>
      <w:r>
        <w:rPr>
          <w:rFonts w:hint="eastAsia" w:ascii="仿宋" w:hAnsi="华文楷体" w:eastAsia="仿宋" w:cs="Times New Roman"/>
          <w:b/>
          <w:kern w:val="2"/>
          <w:sz w:val="28"/>
          <w:szCs w:val="28"/>
          <w:lang w:val="en-US" w:eastAsia="zh-Hans"/>
        </w:rPr>
        <w:t>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呼图壁县应急管理局2025年</w:t>
      </w:r>
      <w:r>
        <w:rPr>
          <w:rFonts w:hint="eastAsia" w:ascii="仿宋" w:hAnsi="微软雅黑" w:eastAsia="仿宋" w:cs="Times New Roman"/>
          <w:sz w:val="28"/>
          <w:szCs w:val="28"/>
          <w:lang w:val="en-US" w:eastAsia="zh-Hans"/>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rPr>
      </w:pPr>
      <w:r>
        <w:rPr>
          <w:rFonts w:hint="eastAsia" w:ascii="仿宋" w:hAnsi="华文楷体" w:eastAsia="仿宋" w:cs="Times New Roman"/>
          <w:b/>
          <w:kern w:val="2"/>
          <w:sz w:val="28"/>
          <w:szCs w:val="28"/>
          <w:lang w:val="en-US" w:eastAsia="zh-Hans"/>
        </w:rPr>
        <w:t>十、关于呼图壁县应急管理局</w:t>
      </w:r>
      <w:r>
        <w:rPr>
          <w:rFonts w:hint="eastAsia" w:ascii="仿宋" w:hAnsi="华文楷体" w:eastAsia="仿宋" w:cs="Times New Roman"/>
          <w:b/>
          <w:kern w:val="2"/>
          <w:sz w:val="28"/>
          <w:szCs w:val="28"/>
          <w:lang w:val="en-US" w:eastAsia="zh-CN"/>
        </w:rPr>
        <w:t>2025年</w:t>
      </w:r>
      <w:r>
        <w:rPr>
          <w:rFonts w:hint="eastAsia" w:ascii="仿宋" w:hAnsi="华文楷体" w:eastAsia="仿宋" w:cs="Times New Roman"/>
          <w:b/>
          <w:kern w:val="2"/>
          <w:sz w:val="28"/>
          <w:szCs w:val="28"/>
          <w:lang w:val="en-US" w:eastAsia="zh-Hans"/>
        </w:rPr>
        <w:t>财政拨款“三公”经费预算情况说明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呼图壁县应急管理局2025年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 3.60万元，其中：因公出国（境）费0 万元，公务用车购置费0万元，公务用车运行费3.60万元，公务接待费0万元。</w:t>
      </w:r>
    </w:p>
    <w:p>
      <w:pPr>
        <w:pStyle w:val="2"/>
        <w:rPr>
          <w:rFonts w:hint="eastAsia" w:ascii="仿宋" w:hAnsi="仿宋" w:eastAsia="仿宋" w:cs="仿宋"/>
          <w:sz w:val="28"/>
          <w:szCs w:val="28"/>
          <w:highlight w:val="none"/>
          <w:lang w:val="en-US" w:eastAsia="zh-CN"/>
        </w:rPr>
      </w:pPr>
      <w:r>
        <w:rPr>
          <w:rFonts w:hint="eastAsia" w:ascii="仿宋" w:hAnsi="微软雅黑" w:eastAsia="仿宋" w:cs="Times New Roman"/>
          <w:sz w:val="28"/>
          <w:szCs w:val="28"/>
          <w:lang w:val="en-US" w:eastAsia="zh-CN"/>
        </w:rPr>
        <w:t>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“三公”经费比上年</w:t>
      </w:r>
      <w:r>
        <w:rPr>
          <w:rFonts w:hint="eastAsia" w:ascii="仿宋" w:hAnsi="微软雅黑" w:eastAsia="仿宋" w:cs="Times New Roman"/>
          <w:sz w:val="28"/>
          <w:szCs w:val="28"/>
          <w:lang w:val="en-US" w:eastAsia="zh-Hans"/>
        </w:rPr>
        <w:t>预算</w:t>
      </w:r>
      <w:r>
        <w:rPr>
          <w:rFonts w:hint="eastAsia" w:ascii="仿宋" w:hAnsi="微软雅黑" w:eastAsia="仿宋" w:cs="Times New Roman"/>
          <w:sz w:val="28"/>
          <w:szCs w:val="28"/>
          <w:lang w:val="en-US" w:eastAsia="zh-CN"/>
        </w:rPr>
        <w:t>增加0万元，</w:t>
      </w:r>
      <w:r>
        <w:rPr>
          <w:rFonts w:hint="eastAsia" w:ascii="仿宋" w:hAnsi="微软雅黑" w:eastAsia="仿宋" w:cs="Times New Roman"/>
          <w:sz w:val="28"/>
          <w:szCs w:val="28"/>
          <w:highlight w:val="none"/>
          <w:lang w:val="en-US" w:eastAsia="zh-CN"/>
        </w:rPr>
        <w:t>增长0%，其中：因公出国（境）费增长0万元，</w:t>
      </w:r>
      <w:r>
        <w:rPr>
          <w:rFonts w:hint="eastAsia" w:ascii="仿宋_GB2312" w:hAnsi="宋体" w:eastAsia="仿宋_GB2312" w:cs="宋体"/>
          <w:color w:val="auto"/>
          <w:kern w:val="0"/>
          <w:sz w:val="28"/>
          <w:szCs w:val="28"/>
          <w:highlight w:val="none"/>
          <w:lang w:eastAsia="zh-CN"/>
        </w:rPr>
        <w:t>增长</w:t>
      </w:r>
      <w:r>
        <w:rPr>
          <w:rFonts w:hint="eastAsia" w:ascii="仿宋_GB2312" w:hAnsi="宋体" w:eastAsia="仿宋_GB2312" w:cs="宋体"/>
          <w:color w:val="auto"/>
          <w:kern w:val="0"/>
          <w:sz w:val="28"/>
          <w:szCs w:val="28"/>
          <w:highlight w:val="none"/>
          <w:lang w:val="en-US" w:eastAsia="zh-CN"/>
        </w:rPr>
        <w:t>0%，</w:t>
      </w:r>
      <w:r>
        <w:rPr>
          <w:rFonts w:hint="eastAsia" w:ascii="仿宋_GB2312" w:hAnsi="宋体" w:eastAsia="仿宋_GB2312" w:cs="宋体"/>
          <w:color w:val="auto"/>
          <w:kern w:val="0"/>
          <w:sz w:val="28"/>
          <w:szCs w:val="28"/>
          <w:highlight w:val="none"/>
        </w:rPr>
        <w:t>主要原因是</w:t>
      </w:r>
      <w:r>
        <w:rPr>
          <w:rFonts w:hint="eastAsia" w:ascii="仿宋_GB2312" w:hAnsi="宋体" w:eastAsia="仿宋_GB2312" w:cs="宋体"/>
          <w:color w:val="auto"/>
          <w:kern w:val="0"/>
          <w:sz w:val="28"/>
          <w:szCs w:val="28"/>
          <w:highlight w:val="none"/>
          <w:lang w:val="en-US" w:eastAsia="zh-CN"/>
        </w:rPr>
        <w:t>2024年、2025年均未安排因公出国（境）费；</w:t>
      </w:r>
      <w:r>
        <w:rPr>
          <w:rFonts w:hint="eastAsia" w:ascii="仿宋" w:hAnsi="仿宋" w:eastAsia="仿宋" w:cs="仿宋"/>
          <w:color w:val="auto"/>
          <w:kern w:val="0"/>
          <w:sz w:val="28"/>
          <w:szCs w:val="28"/>
          <w:highlight w:val="none"/>
        </w:rPr>
        <w:t>公务用车购置费增加</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万元</w:t>
      </w:r>
      <w:r>
        <w:rPr>
          <w:rFonts w:hint="eastAsia" w:ascii="仿宋" w:hAnsi="仿宋" w:eastAsia="仿宋" w:cs="仿宋"/>
          <w:color w:val="auto"/>
          <w:kern w:val="0"/>
          <w:sz w:val="28"/>
          <w:szCs w:val="28"/>
          <w:highlight w:val="none"/>
          <w:lang w:eastAsia="zh-CN"/>
        </w:rPr>
        <w:t>，增长</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主要原因是</w:t>
      </w:r>
      <w:r>
        <w:rPr>
          <w:rFonts w:hint="eastAsia" w:ascii="仿宋" w:hAnsi="仿宋" w:eastAsia="仿宋" w:cs="仿宋"/>
          <w:color w:val="auto"/>
          <w:kern w:val="0"/>
          <w:sz w:val="28"/>
          <w:szCs w:val="28"/>
          <w:highlight w:val="none"/>
          <w:lang w:val="en-US" w:eastAsia="zh-CN"/>
        </w:rPr>
        <w:t>2024年、2025年均未安排</w:t>
      </w:r>
      <w:r>
        <w:rPr>
          <w:rFonts w:hint="eastAsia" w:ascii="仿宋" w:hAnsi="仿宋" w:eastAsia="仿宋" w:cs="仿宋"/>
          <w:color w:val="auto"/>
          <w:kern w:val="0"/>
          <w:sz w:val="28"/>
          <w:szCs w:val="28"/>
          <w:highlight w:val="none"/>
        </w:rPr>
        <w:t>公务用车购置费</w:t>
      </w:r>
      <w:r>
        <w:rPr>
          <w:rFonts w:hint="eastAsia"/>
          <w:lang w:eastAsia="zh-CN"/>
        </w:rPr>
        <w:t>；</w:t>
      </w:r>
      <w:r>
        <w:rPr>
          <w:rFonts w:hint="eastAsia" w:ascii="仿宋" w:hAnsi="仿宋" w:eastAsia="仿宋" w:cs="仿宋"/>
          <w:color w:val="auto"/>
          <w:kern w:val="0"/>
          <w:sz w:val="28"/>
          <w:szCs w:val="28"/>
          <w:highlight w:val="none"/>
        </w:rPr>
        <w:t>公务用车运行费增加</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万元</w:t>
      </w:r>
      <w:r>
        <w:rPr>
          <w:rFonts w:hint="eastAsia" w:ascii="仿宋" w:hAnsi="微软雅黑" w:eastAsia="仿宋" w:cs="Times New Roman"/>
          <w:sz w:val="28"/>
          <w:szCs w:val="28"/>
          <w:lang w:val="en-US" w:eastAsia="zh-Hans"/>
        </w:rPr>
        <w:t>，</w:t>
      </w:r>
      <w:r>
        <w:rPr>
          <w:rFonts w:hint="eastAsia" w:ascii="仿宋" w:hAnsi="微软雅黑" w:eastAsia="仿宋" w:cs="Times New Roman"/>
          <w:sz w:val="28"/>
          <w:szCs w:val="28"/>
          <w:lang w:val="en-US" w:eastAsia="zh-CN"/>
        </w:rPr>
        <w:t>增长0%，</w:t>
      </w:r>
      <w:r>
        <w:rPr>
          <w:rFonts w:hint="eastAsia" w:ascii="仿宋" w:hAnsi="微软雅黑" w:eastAsia="仿宋" w:cs="Times New Roman"/>
          <w:sz w:val="28"/>
          <w:szCs w:val="28"/>
          <w:lang w:val="en-US" w:eastAsia="zh-Hans"/>
        </w:rPr>
        <w:t>主要原因是严格执行中央八项规定，三公经费只减不增</w:t>
      </w:r>
      <w:r>
        <w:rPr>
          <w:rFonts w:hint="eastAsia" w:ascii="仿宋" w:hAnsi="微软雅黑" w:eastAsia="仿宋" w:cs="Times New Roman"/>
          <w:sz w:val="28"/>
          <w:szCs w:val="28"/>
          <w:lang w:val="en-US" w:eastAsia="zh-CN"/>
        </w:rPr>
        <w:t>；公务接待费</w:t>
      </w:r>
      <w:r>
        <w:rPr>
          <w:rFonts w:hint="eastAsia" w:ascii="仿宋" w:hAnsi="微软雅黑" w:eastAsia="仿宋" w:cs="Times New Roman"/>
          <w:sz w:val="28"/>
          <w:szCs w:val="28"/>
          <w:lang w:val="en-US" w:eastAsia="zh-Hans"/>
        </w:rPr>
        <w:t>增加</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lang w:val="en-US" w:eastAsia="zh-Hans"/>
        </w:rPr>
        <w:t>万元，</w:t>
      </w:r>
      <w:r>
        <w:rPr>
          <w:rFonts w:hint="eastAsia" w:ascii="仿宋" w:hAnsi="微软雅黑" w:eastAsia="仿宋" w:cs="Times New Roman"/>
          <w:sz w:val="28"/>
          <w:szCs w:val="28"/>
          <w:lang w:val="en-US" w:eastAsia="zh-CN"/>
        </w:rPr>
        <w:t>增长0%，主要原因是2024年、2025年均未安排公务接待费。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rPr>
      </w:pPr>
      <w:r>
        <w:rPr>
          <w:rFonts w:hint="eastAsia" w:ascii="仿宋" w:hAnsi="华文楷体" w:eastAsia="仿宋" w:cs="Times New Roman"/>
          <w:b/>
          <w:kern w:val="2"/>
          <w:sz w:val="28"/>
          <w:szCs w:val="28"/>
          <w:lang w:val="en-US" w:eastAsia="zh-Hans"/>
        </w:rPr>
        <w:t>十</w:t>
      </w:r>
      <w:r>
        <w:rPr>
          <w:rFonts w:hint="eastAsia" w:ascii="仿宋" w:hAnsi="华文楷体" w:eastAsia="仿宋" w:cs="Times New Roman"/>
          <w:b/>
          <w:kern w:val="2"/>
          <w:sz w:val="28"/>
          <w:szCs w:val="28"/>
          <w:lang w:val="en-US" w:eastAsia="zh-CN"/>
        </w:rPr>
        <w:t>一</w:t>
      </w:r>
      <w:r>
        <w:rPr>
          <w:rFonts w:hint="eastAsia" w:ascii="仿宋" w:hAnsi="华文楷体" w:eastAsia="仿宋" w:cs="Times New Roman"/>
          <w:b/>
          <w:kern w:val="2"/>
          <w:sz w:val="28"/>
          <w:szCs w:val="28"/>
          <w:lang w:val="en-US" w:eastAsia="zh-Hans"/>
        </w:rPr>
        <w:t>、关于呼图壁县应急管理局</w:t>
      </w:r>
      <w:r>
        <w:rPr>
          <w:rFonts w:hint="eastAsia" w:ascii="仿宋" w:hAnsi="华文楷体" w:eastAsia="仿宋" w:cs="Times New Roman"/>
          <w:b/>
          <w:kern w:val="2"/>
          <w:sz w:val="28"/>
          <w:szCs w:val="28"/>
          <w:lang w:val="en-US" w:eastAsia="zh-CN"/>
        </w:rPr>
        <w:t>2025年上年结转结余</w:t>
      </w:r>
      <w:r>
        <w:rPr>
          <w:rFonts w:hint="eastAsia" w:ascii="仿宋" w:hAnsi="华文楷体" w:eastAsia="仿宋" w:cs="Times New Roman"/>
          <w:b/>
          <w:kern w:val="2"/>
          <w:sz w:val="28"/>
          <w:szCs w:val="28"/>
          <w:lang w:val="en-US" w:eastAsia="zh-Hans"/>
        </w:rPr>
        <w:t>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呼图壁县应急管理局2025年上年结转结余16万元，包括：财政拨款16万元，非财政拨款0万元，其中：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关于下达2024年安全生产预防和应急救援能力建设补助资金预算煤矿及重点非煤矿山重大灾害抚恤防控支出的通知-2024年安全生产预防和应急救援能力建设补助资金16万元，主要用于：煤矿及重点非煤矿山重大灾害抚恤防控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rPr>
      </w:pPr>
      <w:r>
        <w:rPr>
          <w:rFonts w:hint="eastAsia" w:ascii="仿宋" w:hAnsi="华文楷体" w:eastAsia="仿宋" w:cs="Times New Roman"/>
          <w:b/>
          <w:kern w:val="2"/>
          <w:sz w:val="28"/>
          <w:szCs w:val="28"/>
          <w:lang w:val="en-US" w:eastAsia="zh-Hans"/>
        </w:rPr>
        <w:t>十</w:t>
      </w:r>
      <w:r>
        <w:rPr>
          <w:rFonts w:hint="eastAsia" w:ascii="仿宋" w:hAnsi="华文楷体" w:eastAsia="仿宋" w:cs="Times New Roman"/>
          <w:b/>
          <w:kern w:val="2"/>
          <w:sz w:val="28"/>
          <w:szCs w:val="28"/>
          <w:lang w:val="en-US" w:eastAsia="zh-CN"/>
        </w:rPr>
        <w:t>二</w:t>
      </w:r>
      <w:r>
        <w:rPr>
          <w:rFonts w:hint="eastAsia" w:ascii="仿宋" w:hAnsi="华文楷体" w:eastAsia="仿宋" w:cs="Times New Roman"/>
          <w:b/>
          <w:kern w:val="2"/>
          <w:sz w:val="28"/>
          <w:szCs w:val="28"/>
          <w:lang w:val="en-US" w:eastAsia="zh-Hans"/>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b/>
          <w:color w:val="auto"/>
          <w:kern w:val="0"/>
          <w:sz w:val="28"/>
          <w:szCs w:val="28"/>
          <w:highlight w:val="none"/>
        </w:rPr>
        <w:t>（一）</w:t>
      </w:r>
      <w:r>
        <w:rPr>
          <w:rFonts w:hint="eastAsia" w:ascii="仿宋_GB2312" w:hAnsi="仿宋_GB2312" w:eastAsia="仿宋_GB2312" w:cs="仿宋_GB2312"/>
          <w:b/>
          <w:color w:val="auto"/>
          <w:kern w:val="0"/>
          <w:sz w:val="28"/>
          <w:szCs w:val="28"/>
          <w:highlight w:val="none"/>
          <w:lang w:val="en-US" w:eastAsia="zh-CN"/>
        </w:rPr>
        <w:t>单位</w:t>
      </w:r>
      <w:r>
        <w:rPr>
          <w:rFonts w:hint="eastAsia" w:ascii="仿宋_GB2312" w:hAnsi="仿宋_GB2312" w:eastAsia="仿宋_GB2312" w:cs="仿宋_GB2312"/>
          <w:b/>
          <w:color w:val="auto"/>
          <w:kern w:val="0"/>
          <w:sz w:val="28"/>
          <w:szCs w:val="28"/>
          <w:highlight w:val="none"/>
        </w:rPr>
        <w:t>运行经费情况</w:t>
      </w:r>
    </w:p>
    <w:p>
      <w:pPr>
        <w:widowControl/>
        <w:spacing w:line="560" w:lineRule="exact"/>
        <w:ind w:firstLine="560" w:firstLineChars="200"/>
        <w:rPr>
          <w:rFonts w:hint="eastAsia" w:ascii="仿宋" w:hAnsi="微软雅黑" w:eastAsia="仿宋" w:cs="Times New Roman"/>
          <w:sz w:val="28"/>
          <w:szCs w:val="28"/>
          <w:lang w:val="en-US" w:eastAsia="zh-CN"/>
        </w:rPr>
      </w:pPr>
      <w:bookmarkStart w:id="1" w:name="OLE_LINK1"/>
      <w:r>
        <w:rPr>
          <w:rFonts w:hint="eastAsia" w:ascii="仿宋" w:hAnsi="微软雅黑" w:eastAsia="仿宋" w:cs="Times New Roman"/>
          <w:sz w:val="28"/>
          <w:szCs w:val="28"/>
          <w:lang w:val="en-US" w:eastAsia="zh-CN"/>
        </w:rPr>
        <w:t>呼图壁县应急管理局2025年的机关运行经费财政拨款预算122.74万元，比上年预算增加81.88万元，增加200.39%。主要原因是将单位同工同酬工资计算至劳务费内，导致机关机关运行经费大幅度增加。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_GB2312" w:hAnsi="仿宋_GB2312" w:eastAsia="仿宋_GB2312" w:cs="仿宋_GB2312"/>
          <w:b/>
          <w:color w:val="auto"/>
          <w:kern w:val="0"/>
          <w:sz w:val="28"/>
          <w:szCs w:val="28"/>
          <w:highlight w:val="none"/>
        </w:rPr>
      </w:pPr>
      <w:r>
        <w:rPr>
          <w:rFonts w:hint="eastAsia" w:ascii="仿宋_GB2312" w:hAnsi="仿宋_GB2312" w:eastAsia="仿宋_GB2312" w:cs="仿宋_GB2312"/>
          <w:b/>
          <w:color w:val="auto"/>
          <w:kern w:val="0"/>
          <w:sz w:val="28"/>
          <w:szCs w:val="28"/>
          <w:highlight w:val="none"/>
        </w:rPr>
        <w:t>（二）政府采购情况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2025年，呼图壁县应急管理局政府采购预算3069.60万元，其中：政府采购货物预算318.10万元，政府采购工程预算0万元，政府采购服务预算2751.50万元。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2025年，呼图壁县应急管理局面向中小企业预留政府采购项目预算金额682.60万元，小微企业预留政府采购项目预算金额682.60万元。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_GB2312" w:hAnsi="仿宋_GB2312" w:eastAsia="仿宋_GB2312" w:cs="仿宋_GB2312"/>
          <w:b/>
          <w:color w:val="auto"/>
          <w:kern w:val="0"/>
          <w:sz w:val="28"/>
          <w:szCs w:val="28"/>
          <w:highlight w:val="none"/>
        </w:rPr>
      </w:pPr>
      <w:r>
        <w:rPr>
          <w:rFonts w:hint="eastAsia" w:ascii="仿宋_GB2312" w:hAnsi="仿宋_GB2312" w:eastAsia="仿宋_GB2312" w:cs="仿宋_GB2312"/>
          <w:b/>
          <w:color w:val="auto"/>
          <w:kern w:val="0"/>
          <w:sz w:val="28"/>
          <w:szCs w:val="28"/>
          <w:highlight w:val="none"/>
        </w:rPr>
        <w:t>（三）国有资产占用使用情况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截至2024年底，呼图壁县应急管理局占用使用国有资产总体情况为：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1.房屋200 平方米，价值20万元。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2.车辆4辆，价值31.1万元；其中：一般公务用车2辆，价值5.7万元；执法执勤用车2辆，价值25.4万元；其他车辆0辆，价值0万元。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3.办公家具价值12.9113万元。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4.其他资产价值353.562495万元。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呼图壁县应急管理局价值50万元以上大型设备1套，呼图壁县应急管理局价值100万元以上大型设备1台。</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2025年部门预算未安排购置车辆经费，安排购置50万元以上大型设备0台，单位价值100万元以上大型设备</w:t>
      </w:r>
      <w:r>
        <w:rPr>
          <w:rFonts w:hint="eastAsia" w:ascii="仿宋" w:hAnsi="微软雅黑" w:eastAsia="仿宋" w:cs="Times New Roman"/>
          <w:sz w:val="28"/>
          <w:szCs w:val="28"/>
          <w:highlight w:val="none"/>
          <w:lang w:val="en-US" w:eastAsia="zh-CN"/>
        </w:rPr>
        <w:t>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default"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b/>
          <w:color w:val="auto"/>
          <w:kern w:val="0"/>
          <w:sz w:val="28"/>
          <w:szCs w:val="28"/>
          <w:highlight w:val="none"/>
          <w:lang w:val="en-US" w:eastAsia="zh-Hans"/>
        </w:rPr>
        <w:t>（四）</w:t>
      </w:r>
      <w:r>
        <w:rPr>
          <w:rFonts w:hint="eastAsia" w:ascii="仿宋_GB2312" w:hAnsi="仿宋_GB2312" w:eastAsia="仿宋_GB2312" w:cs="仿宋_GB2312"/>
          <w:b/>
          <w:color w:val="auto"/>
          <w:kern w:val="0"/>
          <w:sz w:val="28"/>
          <w:szCs w:val="28"/>
          <w:highlight w:val="none"/>
        </w:rPr>
        <w:t>预算绩效情况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2025年，本部门预算绩效管理整体预算绩效目标1个，涉及金额4964.82万元；当年预算安排项目共3个，其中:财</w:t>
      </w:r>
      <w:r>
        <w:rPr>
          <w:rFonts w:hint="eastAsia" w:ascii="仿宋" w:hAnsi="微软雅黑" w:eastAsia="仿宋" w:cs="Times New Roman"/>
          <w:sz w:val="28"/>
          <w:szCs w:val="28"/>
          <w:lang w:val="en-US" w:eastAsia="zh-Hans"/>
        </w:rPr>
        <w:t>政拨款</w:t>
      </w:r>
      <w:r>
        <w:rPr>
          <w:rFonts w:hint="eastAsia" w:ascii="仿宋" w:hAnsi="微软雅黑" w:eastAsia="仿宋" w:cs="Times New Roman"/>
          <w:sz w:val="28"/>
          <w:szCs w:val="28"/>
          <w:lang w:val="en-US" w:eastAsia="zh-CN"/>
        </w:rPr>
        <w:t>项目</w:t>
      </w:r>
      <w:bookmarkStart w:id="2" w:name="_GoBack"/>
      <w:bookmarkEnd w:id="2"/>
      <w:r>
        <w:rPr>
          <w:rFonts w:hint="eastAsia" w:ascii="仿宋" w:hAnsi="微软雅黑" w:eastAsia="仿宋" w:cs="Times New Roman"/>
          <w:sz w:val="28"/>
          <w:szCs w:val="28"/>
          <w:lang w:val="en-US" w:eastAsia="zh-CN"/>
        </w:rPr>
        <w:t>涉及预算金额3387万元；</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val="en-US" w:eastAsia="zh-CN"/>
        </w:rPr>
        <w:t xml:space="preserve">涉及预算金额100万元。具体情况见下表：  </w:t>
      </w:r>
    </w:p>
    <w:bookmarkEnd w:id="1"/>
    <w:tbl>
      <w:tblPr>
        <w:tblStyle w:val="9"/>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呼图壁县应急管理局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曹恒杰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18082845632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rPr>
              <w:t>加大企业“关键少数”履职培训和考核力度，聘请行业专家采取集中授课方式，对企业车间主任、安全管理人员、班组长等重点岗位人员培训考核，进一步夯实安全生产基础；加快推进煤矿智能化建设，督促石梯子西沟煤矿持续提升智能化水平；东沟煤矿通过智能化验收，各建设矿井完成3-4项智能化子系统建设；强化重大灾害防理。加快推进白杨河矿区区域性隐蔽致灾因素普查及水害区域综合治理工作，摸清查明白杨河矿区煤矿、空白区、关闭小窑等区域的隐蔽致灾因素，完成区域性隐蔽致灾因素普查；并组织开展隐蔽致灾因素治理工作，实现灾害治理由过程治理向源头预防、局部治理向区域治理、井下治理向井上下综合治理、措施防范向工程治理转变，进一步防范化解矿山重大风险；法加强地震监测设施和地震观测环境的保护。强化数字技术在地震预报、地震灾害风险防治方面的应用，加快监测设备更新换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上级</w:t>
            </w:r>
            <w:r>
              <w:rPr>
                <w:rFonts w:hint="eastAsia" w:ascii="宋体" w:hAnsi="宋体" w:eastAsia="宋体" w:cs="宋体"/>
                <w:i w:val="0"/>
                <w:iCs w:val="0"/>
                <w:color w:val="000000"/>
                <w:kern w:val="0"/>
                <w:sz w:val="15"/>
                <w:szCs w:val="15"/>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2,387.00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cs="宋体"/>
                <w:i w:val="0"/>
                <w:iCs w:val="0"/>
                <w:color w:val="000000"/>
                <w:kern w:val="0"/>
                <w:sz w:val="15"/>
                <w:szCs w:val="15"/>
                <w:u w:val="none"/>
                <w:lang w:val="en-US" w:eastAsia="zh-CN" w:bidi="ar"/>
              </w:rPr>
              <w:t>本级</w:t>
            </w:r>
            <w:r>
              <w:rPr>
                <w:rFonts w:hint="eastAsia" w:ascii="宋体" w:hAnsi="宋体" w:eastAsia="宋体" w:cs="宋体"/>
                <w:i w:val="0"/>
                <w:iCs w:val="0"/>
                <w:color w:val="000000"/>
                <w:kern w:val="0"/>
                <w:sz w:val="15"/>
                <w:szCs w:val="15"/>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2,390.32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rPr>
              <w:t>187.50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履职效能</w:t>
            </w:r>
          </w:p>
        </w:tc>
        <w:tc>
          <w:tcPr>
            <w:tcW w:w="136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安全生产专项整治覆盖领域数量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&gt;=2次</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安全生产重点检查企业数量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&gt;=30家</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安全隐患督查次数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&gt;=50次</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企业全覆盖安全培训次数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&gt;=2次</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执法检查企业数量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&gt;=30次</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时效指标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业务能力培训及时率</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&gt;=80%</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安全生产事故发生率</w:t>
            </w:r>
          </w:p>
        </w:tc>
        <w:tc>
          <w:tcPr>
            <w:tcW w:w="12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&lt;=0%</w:t>
            </w:r>
          </w:p>
        </w:tc>
        <w:tc>
          <w:tcPr>
            <w:tcW w:w="21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呼图壁县应急管理局2024年工作总结及2025年工作计划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20</w:t>
            </w:r>
          </w:p>
        </w:tc>
      </w:tr>
    </w:tbl>
    <w:tbl>
      <w:tblPr>
        <w:tblStyle w:val="9"/>
        <w:tblpPr w:leftFromText="180" w:rightFromText="180" w:vertAnchor="text" w:horzAnchor="page" w:tblpX="1196" w:tblpY="192"/>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
        <w:gridCol w:w="1140"/>
        <w:gridCol w:w="1494"/>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预算单位</w:t>
            </w:r>
          </w:p>
        </w:tc>
        <w:tc>
          <w:tcPr>
            <w:tcW w:w="743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呼图壁县应急管理局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项目名称</w:t>
            </w:r>
          </w:p>
        </w:tc>
        <w:tc>
          <w:tcPr>
            <w:tcW w:w="381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2024年县级安全生产经费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cs="宋体"/>
                <w:b/>
                <w:bCs/>
                <w:color w:val="000000"/>
                <w:kern w:val="0"/>
                <w:sz w:val="15"/>
                <w:szCs w:val="15"/>
                <w:lang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胡金宝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项目资金（万元）</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项目总体目标</w:t>
            </w:r>
          </w:p>
        </w:tc>
        <w:tc>
          <w:tcPr>
            <w:tcW w:w="7436"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rPr>
              <w:t>认真贯彻落实自治州党委“将安全生产纳入维护社会稳定和长治久安总体布局”总基调，以安全生产整治提升（2023年-2025年）为主线，以有效防范和遏制重特大事故为重点，明晰职责、建强队伍、严格监管、强化预防、深化治理、夯实基础，全面提升安全生产水平，健全应急救援管理体制，实现安全生产控制指标不超区州下达范围，为全县经济发展营造良好的安全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一级指标</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二级指标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8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产出指标</w:t>
            </w:r>
          </w:p>
        </w:tc>
        <w:tc>
          <w:tcPr>
            <w:tcW w:w="114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r>
              <w:rPr>
                <w:rFonts w:hint="eastAsia" w:ascii="宋体" w:hAnsi="宋体" w:eastAsia="宋体" w:cs="宋体"/>
                <w:i w:val="0"/>
                <w:iCs w:val="0"/>
                <w:color w:val="000000"/>
                <w:kern w:val="0"/>
                <w:sz w:val="15"/>
                <w:szCs w:val="15"/>
                <w:highlight w:val="none"/>
                <w:u w:val="none"/>
                <w:lang w:val="en-US" w:eastAsia="zh-CN" w:bidi="ar"/>
              </w:rPr>
              <w:t>数量指标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聘请专家人数(人)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r>
              <w:rPr>
                <w:rFonts w:hint="eastAsia" w:ascii="宋体" w:hAnsi="宋体" w:eastAsia="宋体" w:cs="宋体"/>
                <w:i w:val="0"/>
                <w:iCs w:val="0"/>
                <w:color w:val="000000"/>
                <w:sz w:val="15"/>
                <w:szCs w:val="15"/>
                <w:highlight w:val="none"/>
                <w:u w:val="none"/>
              </w:rPr>
              <w:t>180次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298人次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业务科室检查档案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68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保障矿山及企业检查次数(每家企业)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r>
              <w:rPr>
                <w:rFonts w:hint="eastAsia" w:ascii="宋体" w:hAnsi="宋体" w:eastAsia="宋体" w:cs="宋体"/>
                <w:i w:val="0"/>
                <w:iCs w:val="0"/>
                <w:color w:val="000000"/>
                <w:sz w:val="15"/>
                <w:szCs w:val="15"/>
                <w:highlight w:val="none"/>
                <w:u w:val="none"/>
                <w:lang w:val="en-US" w:eastAsia="zh-CN"/>
              </w:rPr>
              <w:t>5</w:t>
            </w:r>
            <w:r>
              <w:rPr>
                <w:rFonts w:hint="eastAsia" w:ascii="宋体" w:hAnsi="宋体" w:eastAsia="宋体" w:cs="宋体"/>
                <w:i w:val="0"/>
                <w:iCs w:val="0"/>
                <w:color w:val="000000"/>
                <w:sz w:val="15"/>
                <w:szCs w:val="15"/>
                <w:highlight w:val="none"/>
                <w:u w:val="none"/>
              </w:rPr>
              <w:t>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7次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业务科室检查档案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68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举办安全管理培训班次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r>
              <w:rPr>
                <w:rFonts w:hint="eastAsia" w:ascii="宋体" w:hAnsi="宋体" w:eastAsia="宋体" w:cs="宋体"/>
                <w:i w:val="0"/>
                <w:iCs w:val="0"/>
                <w:color w:val="000000"/>
                <w:sz w:val="15"/>
                <w:szCs w:val="15"/>
                <w:highlight w:val="none"/>
                <w:u w:val="none"/>
                <w:lang w:val="en-US" w:eastAsia="zh-CN"/>
              </w:rPr>
              <w:t>2</w:t>
            </w:r>
            <w:r>
              <w:rPr>
                <w:rFonts w:hint="eastAsia" w:ascii="宋体" w:hAnsi="宋体" w:eastAsia="宋体" w:cs="宋体"/>
                <w:i w:val="0"/>
                <w:iCs w:val="0"/>
                <w:color w:val="000000"/>
                <w:sz w:val="15"/>
                <w:szCs w:val="15"/>
                <w:highlight w:val="none"/>
                <w:u w:val="none"/>
              </w:rPr>
              <w:t>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安全培训档案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68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培训叁与人数 (人)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eastAsia="zh-CN"/>
              </w:rPr>
            </w:pPr>
            <w:r>
              <w:rPr>
                <w:rFonts w:hint="eastAsia" w:ascii="宋体" w:hAnsi="宋体" w:cs="宋体"/>
                <w:i w:val="0"/>
                <w:iCs w:val="0"/>
                <w:color w:val="000000"/>
                <w:sz w:val="15"/>
                <w:szCs w:val="15"/>
                <w:highlight w:val="none"/>
                <w:u w:val="none"/>
                <w:lang w:val="en-US" w:eastAsia="zh-CN"/>
              </w:rPr>
              <w:t>≥</w:t>
            </w:r>
            <w:r>
              <w:rPr>
                <w:rFonts w:hint="eastAsia" w:ascii="宋体" w:hAnsi="宋体" w:eastAsia="宋体" w:cs="宋体"/>
                <w:i w:val="0"/>
                <w:iCs w:val="0"/>
                <w:color w:val="000000"/>
                <w:sz w:val="15"/>
                <w:szCs w:val="15"/>
                <w:highlight w:val="none"/>
                <w:u w:val="none"/>
                <w:lang w:val="en-US" w:eastAsia="zh-CN"/>
              </w:rPr>
              <w:t>800人次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530余人次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安全培训档案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安全宣传知识活动开展次数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≥2</w:t>
            </w:r>
            <w:r>
              <w:rPr>
                <w:rFonts w:hint="eastAsia" w:ascii="宋体" w:hAnsi="宋体" w:eastAsia="宋体" w:cs="宋体"/>
                <w:i w:val="0"/>
                <w:iCs w:val="0"/>
                <w:color w:val="000000"/>
                <w:sz w:val="15"/>
                <w:szCs w:val="15"/>
                <w:highlight w:val="none"/>
                <w:u w:val="none"/>
                <w:lang w:val="en-US" w:eastAsia="zh-CN"/>
              </w:rPr>
              <w:t>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2</w:t>
            </w:r>
            <w:r>
              <w:rPr>
                <w:rFonts w:hint="eastAsia" w:ascii="宋体" w:hAnsi="宋体" w:eastAsia="宋体" w:cs="宋体"/>
                <w:i w:val="0"/>
                <w:iCs w:val="0"/>
                <w:color w:val="000000"/>
                <w:sz w:val="15"/>
                <w:szCs w:val="15"/>
                <w:highlight w:val="none"/>
                <w:u w:val="none"/>
                <w:lang w:val="en-US" w:eastAsia="zh-CN"/>
              </w:rPr>
              <w:t>场次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安委会办公室资料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r>
              <w:rPr>
                <w:rFonts w:hint="eastAsia" w:ascii="宋体" w:hAnsi="宋体" w:eastAsia="宋体" w:cs="宋体"/>
                <w:i w:val="0"/>
                <w:iCs w:val="0"/>
                <w:color w:val="000000"/>
                <w:kern w:val="0"/>
                <w:sz w:val="15"/>
                <w:szCs w:val="15"/>
                <w:highlight w:val="none"/>
                <w:u w:val="none"/>
                <w:lang w:val="en-US" w:eastAsia="zh-CN" w:bidi="ar"/>
              </w:rPr>
              <w:t>质量指标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确保全县不发生安全生产一般事故案件率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安委会办公室资料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68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eastAsia="宋体" w:cs="宋体"/>
                <w:i w:val="0"/>
                <w:iCs w:val="0"/>
                <w:color w:val="000000"/>
                <w:kern w:val="0"/>
                <w:sz w:val="15"/>
                <w:szCs w:val="15"/>
                <w:highlight w:val="none"/>
                <w:u w:val="none"/>
                <w:lang w:val="en-US" w:eastAsia="zh-CN" w:bidi="ar"/>
              </w:rPr>
              <w:t>时效指标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聘请安全专家经费支付及时率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财务凭证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684"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140"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安全项目资金投入支付及时率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财务凭证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成本指标</w:t>
            </w:r>
          </w:p>
        </w:tc>
        <w:tc>
          <w:tcPr>
            <w:tcW w:w="1140"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eastAsia="宋体" w:cs="宋体"/>
                <w:i w:val="0"/>
                <w:iCs w:val="0"/>
                <w:color w:val="000000"/>
                <w:kern w:val="0"/>
                <w:sz w:val="15"/>
                <w:szCs w:val="15"/>
                <w:highlight w:val="none"/>
                <w:u w:val="none"/>
                <w:lang w:val="en-US" w:eastAsia="zh-CN" w:bidi="ar"/>
              </w:rPr>
              <w:t>经济成本指标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聘请专家及投入安全生产防治经费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≤1000万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227.95034万元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决算数据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项</w:t>
            </w:r>
            <w:r>
              <w:rPr>
                <w:rFonts w:hint="eastAsia" w:ascii="宋体" w:hAnsi="宋体" w:cs="宋体"/>
                <w:i w:val="0"/>
                <w:iCs w:val="0"/>
                <w:color w:val="000000"/>
                <w:sz w:val="15"/>
                <w:szCs w:val="15"/>
                <w:highlight w:val="none"/>
                <w:u w:val="none"/>
                <w:lang w:val="en-US" w:eastAsia="zh-CN"/>
              </w:rPr>
              <w:t>目</w:t>
            </w:r>
            <w:r>
              <w:rPr>
                <w:rFonts w:hint="eastAsia" w:ascii="宋体" w:hAnsi="宋体" w:eastAsia="宋体" w:cs="宋体"/>
                <w:i w:val="0"/>
                <w:iCs w:val="0"/>
                <w:color w:val="000000"/>
                <w:sz w:val="15"/>
                <w:szCs w:val="15"/>
                <w:highlight w:val="none"/>
                <w:u w:val="none"/>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财务凭证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社会效益指标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安全生产事故阵低率(%)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较上一年度减少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完成</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按照完成比例</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安委会办公室资料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满意度指标</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服务企业满意度(%)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91%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default" w:ascii="宋体" w:hAnsi="宋体" w:eastAsia="宋体" w:cs="宋体"/>
                <w:i w:val="0"/>
                <w:iCs w:val="0"/>
                <w:color w:val="000000"/>
                <w:sz w:val="15"/>
                <w:szCs w:val="15"/>
                <w:highlight w:val="none"/>
                <w:u w:val="none"/>
                <w:lang w:val="en-US"/>
              </w:rPr>
            </w:pPr>
            <w:r>
              <w:rPr>
                <w:rFonts w:hint="eastAsia" w:ascii="宋体" w:hAnsi="宋体" w:cs="宋体"/>
                <w:i w:val="0"/>
                <w:iCs w:val="0"/>
                <w:color w:val="000000"/>
                <w:sz w:val="15"/>
                <w:szCs w:val="15"/>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业务科室评比档案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预算单位</w:t>
            </w:r>
          </w:p>
        </w:tc>
        <w:tc>
          <w:tcPr>
            <w:tcW w:w="743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r>
              <w:rPr>
                <w:rFonts w:hint="eastAsia" w:ascii="宋体" w:hAnsi="宋体" w:cs="宋体"/>
                <w:color w:val="000000"/>
                <w:sz w:val="15"/>
                <w:szCs w:val="15"/>
                <w:lang w:val="en-US" w:eastAsia="zh-CN"/>
              </w:rPr>
              <w:t>呼图壁县应急管理局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项目名称</w:t>
            </w:r>
          </w:p>
        </w:tc>
        <w:tc>
          <w:tcPr>
            <w:tcW w:w="381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eastAsia="zh-CN"/>
              </w:rPr>
              <w:t>安全生产预防和应急救援能力建设补助资金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孟杰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项目资金（万元）</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2387.00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2387.00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5"/>
                <w:szCs w:val="15"/>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项目总体目标</w:t>
            </w:r>
          </w:p>
        </w:tc>
        <w:tc>
          <w:tcPr>
            <w:tcW w:w="7436" w:type="dxa"/>
            <w:gridSpan w:val="7"/>
            <w:tcBorders>
              <w:top w:val="single" w:color="000000" w:sz="4" w:space="0"/>
              <w:left w:val="nil"/>
              <w:bottom w:val="single" w:color="000000" w:sz="4" w:space="0"/>
              <w:right w:val="single" w:color="000000" w:sz="4" w:space="0"/>
            </w:tcBorders>
            <w:noWrap w:val="0"/>
            <w:vAlign w:val="top"/>
          </w:tcPr>
          <w:p>
            <w:pPr>
              <w:jc w:val="left"/>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通过支持区域性矿山隐蔽致灾因素普查、矿山煤田火区灾害排查整治工作，进一步提升矿山安全生产的信息化水平，减少煤炭资源损失，促进经济可持续发展。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一级指标</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二级指标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产出指标</w:t>
            </w:r>
          </w:p>
        </w:tc>
        <w:tc>
          <w:tcPr>
            <w:tcW w:w="114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数量指标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区域性矿山重大安全风险隐患排查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矿山煤田火区灾害排查整治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质量指标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eastAsia="zh-CN"/>
              </w:rPr>
            </w:pPr>
            <w:r>
              <w:rPr>
                <w:rFonts w:hint="eastAsia" w:ascii="宋体" w:hAnsi="宋体" w:cs="宋体"/>
                <w:i w:val="0"/>
                <w:iCs w:val="0"/>
                <w:color w:val="000000"/>
                <w:sz w:val="15"/>
                <w:szCs w:val="15"/>
                <w:highlight w:val="none"/>
                <w:u w:val="none"/>
                <w:lang w:val="en-US" w:eastAsia="zh-CN"/>
              </w:rPr>
              <w:t>验收通过率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highlight w:val="none"/>
                <w:u w:val="none"/>
                <w:lang w:val="en-US" w:eastAsia="zh-CN" w:bidi="ar"/>
              </w:rPr>
            </w:pP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联网在线率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kern w:val="2"/>
                <w:sz w:val="15"/>
                <w:szCs w:val="15"/>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时效指标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进度完成率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按照完成比</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社会效益指标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矿山安全风险防控水平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vMerge w:val="continue"/>
            <w:tcBorders>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5"/>
                <w:szCs w:val="15"/>
                <w:highlight w:val="none"/>
                <w:u w:val="none"/>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highlight w:val="none"/>
                <w:u w:val="none"/>
                <w:lang w:val="en-US"/>
              </w:rPr>
            </w:pPr>
            <w:r>
              <w:rPr>
                <w:rFonts w:hint="eastAsia" w:ascii="宋体" w:hAnsi="宋体" w:cs="宋体"/>
                <w:i w:val="0"/>
                <w:iCs w:val="0"/>
                <w:color w:val="000000"/>
                <w:kern w:val="0"/>
                <w:sz w:val="15"/>
                <w:szCs w:val="15"/>
                <w:highlight w:val="none"/>
                <w:u w:val="none"/>
                <w:lang w:val="en-US" w:eastAsia="zh-CN" w:bidi="ar"/>
              </w:rPr>
              <w:t>可持续影响指标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矿山安全监管监察效能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kern w:val="2"/>
                <w:sz w:val="15"/>
                <w:szCs w:val="15"/>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5"/>
                <w:szCs w:val="15"/>
                <w:highlight w:val="none"/>
                <w:u w:val="none"/>
                <w:lang w:val="en-US" w:eastAsia="zh-CN" w:bidi="ar-SA"/>
              </w:rPr>
            </w:pPr>
            <w:r>
              <w:rPr>
                <w:rFonts w:hint="eastAsia" w:ascii="宋体" w:hAnsi="宋体" w:cs="宋体"/>
                <w:i w:val="0"/>
                <w:iCs w:val="0"/>
                <w:color w:val="000000"/>
                <w:sz w:val="15"/>
                <w:szCs w:val="15"/>
                <w:highlight w:val="none"/>
                <w:u w:val="none"/>
                <w:lang w:val="en-US" w:eastAsia="zh-CN"/>
              </w:rPr>
              <w:t>矿山安全服务保障中心档案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8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满意度指标</w:t>
            </w:r>
          </w:p>
        </w:tc>
        <w:tc>
          <w:tcPr>
            <w:tcW w:w="114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5"/>
                <w:szCs w:val="15"/>
                <w:highlight w:val="none"/>
                <w:u w:val="none"/>
                <w:lang w:val="en-US"/>
              </w:rPr>
            </w:pPr>
            <w:r>
              <w:rPr>
                <w:rFonts w:hint="eastAsia" w:ascii="宋体" w:hAnsi="宋体" w:cs="宋体"/>
                <w:i w:val="0"/>
                <w:iCs w:val="0"/>
                <w:color w:val="000000"/>
                <w:kern w:val="0"/>
                <w:sz w:val="15"/>
                <w:szCs w:val="15"/>
                <w:highlight w:val="none"/>
                <w:u w:val="none"/>
                <w:lang w:val="en-US" w:eastAsia="zh-CN" w:bidi="ar"/>
              </w:rPr>
              <w:t>服务对象满意度指标</w:t>
            </w:r>
          </w:p>
        </w:tc>
        <w:tc>
          <w:tcPr>
            <w:tcW w:w="14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kern w:val="0"/>
                <w:sz w:val="15"/>
                <w:szCs w:val="15"/>
                <w:highlight w:val="none"/>
                <w:u w:val="none"/>
                <w:lang w:val="en-US" w:eastAsia="zh-CN" w:bidi="ar"/>
              </w:rPr>
              <w:t>服务对象满意度指标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随资金文件</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i w:val="0"/>
                <w:iCs w:val="0"/>
                <w:color w:val="000000"/>
                <w:sz w:val="15"/>
                <w:szCs w:val="15"/>
                <w:highlight w:val="none"/>
                <w:u w:val="none"/>
                <w:lang w:val="en-US" w:eastAsia="zh-CN"/>
              </w:rPr>
            </w:pPr>
            <w:r>
              <w:rPr>
                <w:rFonts w:hint="eastAsia" w:ascii="宋体" w:hAnsi="宋体" w:cs="宋体"/>
                <w:i w:val="0"/>
                <w:iCs w:val="0"/>
                <w:color w:val="000000"/>
                <w:sz w:val="15"/>
                <w:szCs w:val="15"/>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5"/>
                <w:szCs w:val="15"/>
                <w:highlight w:val="none"/>
                <w:u w:val="none"/>
              </w:rPr>
            </w:pPr>
            <w:r>
              <w:rPr>
                <w:rFonts w:hint="eastAsia" w:ascii="宋体" w:hAnsi="宋体" w:cs="宋体"/>
                <w:i w:val="0"/>
                <w:iCs w:val="0"/>
                <w:color w:val="000000"/>
                <w:sz w:val="15"/>
                <w:szCs w:val="15"/>
                <w:highlight w:val="none"/>
                <w:u w:val="none"/>
                <w:lang w:val="en-US" w:eastAsia="zh-CN"/>
              </w:rPr>
              <w:t>矿山安全服务保障中心档案</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60" w:firstLineChars="200"/>
        <w:jc w:val="left"/>
        <w:textAlignment w:val="auto"/>
        <w:outlineLvl w:val="9"/>
        <w:rPr>
          <w:rFonts w:hint="eastAsia" w:ascii="黑体" w:hAnsi="黑体" w:eastAsia="黑体"/>
          <w:kern w:val="0"/>
          <w:sz w:val="28"/>
          <w:szCs w:val="28"/>
          <w:highlight w:val="none"/>
        </w:rPr>
      </w:pPr>
      <w:r>
        <w:rPr>
          <w:rFonts w:hint="eastAsia" w:ascii="仿宋" w:hAnsi="仿宋" w:eastAsia="仿宋" w:cs="仿宋"/>
          <w:sz w:val="28"/>
          <w:szCs w:val="28"/>
          <w:highlight w:val="none"/>
        </w:rPr>
        <w:t>本部门</w:t>
      </w:r>
      <w:r>
        <w:rPr>
          <w:rFonts w:hint="eastAsia" w:ascii="仿宋" w:hAnsi="仿宋" w:eastAsia="仿宋" w:cs="仿宋"/>
          <w:sz w:val="28"/>
          <w:szCs w:val="28"/>
          <w:highlight w:val="none"/>
          <w:lang w:eastAsia="zh-CN"/>
        </w:rPr>
        <w:t>涉及</w:t>
      </w:r>
      <w:r>
        <w:rPr>
          <w:rFonts w:hint="eastAsia" w:ascii="仿宋" w:hAnsi="仿宋" w:eastAsia="仿宋" w:cs="仿宋"/>
          <w:sz w:val="28"/>
          <w:szCs w:val="28"/>
          <w:highlight w:val="none"/>
        </w:rPr>
        <w:t>非财政拨款项目</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个，涉及预算金额</w:t>
      </w:r>
      <w:r>
        <w:rPr>
          <w:rFonts w:hint="eastAsia" w:ascii="仿宋" w:hAnsi="仿宋" w:eastAsia="仿宋" w:cs="仿宋"/>
          <w:sz w:val="28"/>
          <w:szCs w:val="28"/>
          <w:highlight w:val="none"/>
          <w:lang w:val="en-US" w:eastAsia="zh-CN"/>
        </w:rPr>
        <w:t>100.00</w:t>
      </w:r>
      <w:r>
        <w:rPr>
          <w:rFonts w:hint="eastAsia" w:ascii="仿宋" w:hAnsi="仿宋" w:eastAsia="仿宋" w:cs="仿宋"/>
          <w:sz w:val="28"/>
          <w:szCs w:val="28"/>
          <w:highlight w:val="none"/>
        </w:rPr>
        <w:t>万元</w:t>
      </w:r>
      <w:r>
        <w:rPr>
          <w:rFonts w:hint="eastAsia" w:ascii="仿宋" w:hAnsi="仿宋" w:eastAsia="仿宋" w:cs="仿宋"/>
          <w:sz w:val="28"/>
          <w:szCs w:val="28"/>
          <w:highlight w:val="none"/>
          <w:lang w:eastAsia="zh-CN"/>
        </w:rPr>
        <w:t>，主要原因是用于</w:t>
      </w:r>
      <w:r>
        <w:rPr>
          <w:rFonts w:hint="eastAsia" w:ascii="仿宋" w:hAnsi="仿宋" w:eastAsia="仿宋" w:cs="仿宋"/>
          <w:sz w:val="28"/>
          <w:szCs w:val="28"/>
          <w:highlight w:val="none"/>
          <w:lang w:val="en-US" w:eastAsia="zh-CN"/>
        </w:rPr>
        <w:t>消防救援培训基地建设</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不公开绩效目标表</w:t>
      </w:r>
      <w:r>
        <w:rPr>
          <w:rFonts w:hint="eastAsia" w:ascii="仿宋" w:hAnsi="仿宋" w:eastAsia="仿宋" w:cs="仿宋"/>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pStyle w:val="2"/>
        <w:ind w:firstLine="643" w:firstLineChars="200"/>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呼图壁县应急管理局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17B2F92"/>
    <w:rsid w:val="01D62D15"/>
    <w:rsid w:val="020E507E"/>
    <w:rsid w:val="02732F8E"/>
    <w:rsid w:val="02CB7F49"/>
    <w:rsid w:val="037800D1"/>
    <w:rsid w:val="04267087"/>
    <w:rsid w:val="04267B2D"/>
    <w:rsid w:val="044C330C"/>
    <w:rsid w:val="05397FD9"/>
    <w:rsid w:val="057A5F58"/>
    <w:rsid w:val="05CA273A"/>
    <w:rsid w:val="070E6657"/>
    <w:rsid w:val="080E3E4F"/>
    <w:rsid w:val="084451C2"/>
    <w:rsid w:val="08450B28"/>
    <w:rsid w:val="08762705"/>
    <w:rsid w:val="088F5575"/>
    <w:rsid w:val="08E81855"/>
    <w:rsid w:val="0A4168EC"/>
    <w:rsid w:val="0AD672A7"/>
    <w:rsid w:val="0B247F12"/>
    <w:rsid w:val="0B7C3034"/>
    <w:rsid w:val="0B841FFD"/>
    <w:rsid w:val="0BD56A2F"/>
    <w:rsid w:val="0C0A3890"/>
    <w:rsid w:val="0CD20198"/>
    <w:rsid w:val="0CEC568C"/>
    <w:rsid w:val="0D616FB8"/>
    <w:rsid w:val="0D6E5FD0"/>
    <w:rsid w:val="0E320E7D"/>
    <w:rsid w:val="0E9208E7"/>
    <w:rsid w:val="0EB82E5C"/>
    <w:rsid w:val="0EC45D91"/>
    <w:rsid w:val="0F182E43"/>
    <w:rsid w:val="10587512"/>
    <w:rsid w:val="105D0E37"/>
    <w:rsid w:val="10916BDA"/>
    <w:rsid w:val="11036B00"/>
    <w:rsid w:val="112934B3"/>
    <w:rsid w:val="11301FEB"/>
    <w:rsid w:val="11B6451D"/>
    <w:rsid w:val="121E62E8"/>
    <w:rsid w:val="148F3E48"/>
    <w:rsid w:val="161A0B74"/>
    <w:rsid w:val="1697741D"/>
    <w:rsid w:val="19A215AC"/>
    <w:rsid w:val="1A132B78"/>
    <w:rsid w:val="1AC437A4"/>
    <w:rsid w:val="1B153D26"/>
    <w:rsid w:val="1BEB54C3"/>
    <w:rsid w:val="1C3C6084"/>
    <w:rsid w:val="1C8C02F2"/>
    <w:rsid w:val="1D3E1AFE"/>
    <w:rsid w:val="1E6432D4"/>
    <w:rsid w:val="1E89232D"/>
    <w:rsid w:val="1EB61656"/>
    <w:rsid w:val="1EC55A4F"/>
    <w:rsid w:val="1F9B54C4"/>
    <w:rsid w:val="20407429"/>
    <w:rsid w:val="20CF3CE4"/>
    <w:rsid w:val="20DD55C0"/>
    <w:rsid w:val="221A2850"/>
    <w:rsid w:val="22922CB8"/>
    <w:rsid w:val="22DB78DD"/>
    <w:rsid w:val="2378337E"/>
    <w:rsid w:val="23E16978"/>
    <w:rsid w:val="244D65B8"/>
    <w:rsid w:val="2492221D"/>
    <w:rsid w:val="24B42D8E"/>
    <w:rsid w:val="250855AF"/>
    <w:rsid w:val="258B383C"/>
    <w:rsid w:val="25F4360C"/>
    <w:rsid w:val="263B7010"/>
    <w:rsid w:val="268A387B"/>
    <w:rsid w:val="26B4291F"/>
    <w:rsid w:val="26BD282A"/>
    <w:rsid w:val="26E769FA"/>
    <w:rsid w:val="286D65BC"/>
    <w:rsid w:val="28A044AC"/>
    <w:rsid w:val="28D9041B"/>
    <w:rsid w:val="293B2E83"/>
    <w:rsid w:val="2A6D7144"/>
    <w:rsid w:val="2AFC4894"/>
    <w:rsid w:val="2B3A05DE"/>
    <w:rsid w:val="2B424353"/>
    <w:rsid w:val="2B6901C6"/>
    <w:rsid w:val="2C8348E5"/>
    <w:rsid w:val="2D480265"/>
    <w:rsid w:val="2D977453"/>
    <w:rsid w:val="2E2943BA"/>
    <w:rsid w:val="2E515117"/>
    <w:rsid w:val="2E9848D4"/>
    <w:rsid w:val="2E99168F"/>
    <w:rsid w:val="2EF22236"/>
    <w:rsid w:val="2FED29FE"/>
    <w:rsid w:val="300E1D4A"/>
    <w:rsid w:val="303C58B5"/>
    <w:rsid w:val="30B05F05"/>
    <w:rsid w:val="310F3573"/>
    <w:rsid w:val="32D560F7"/>
    <w:rsid w:val="33A76F60"/>
    <w:rsid w:val="341E7629"/>
    <w:rsid w:val="35F117C8"/>
    <w:rsid w:val="368C745F"/>
    <w:rsid w:val="38284F1B"/>
    <w:rsid w:val="39B0409D"/>
    <w:rsid w:val="39DE4932"/>
    <w:rsid w:val="3B1C60AB"/>
    <w:rsid w:val="3BE45FB7"/>
    <w:rsid w:val="3BF21AC7"/>
    <w:rsid w:val="3C013037"/>
    <w:rsid w:val="3EB8650C"/>
    <w:rsid w:val="3F175720"/>
    <w:rsid w:val="3FDF4D23"/>
    <w:rsid w:val="41083B3B"/>
    <w:rsid w:val="41270465"/>
    <w:rsid w:val="41DB2FFE"/>
    <w:rsid w:val="42826C4C"/>
    <w:rsid w:val="42F779C3"/>
    <w:rsid w:val="43502DA9"/>
    <w:rsid w:val="43C26223"/>
    <w:rsid w:val="43D8307E"/>
    <w:rsid w:val="43E41903"/>
    <w:rsid w:val="44507CD3"/>
    <w:rsid w:val="44AF5181"/>
    <w:rsid w:val="455A018C"/>
    <w:rsid w:val="46B02CAB"/>
    <w:rsid w:val="46CE3131"/>
    <w:rsid w:val="47075418"/>
    <w:rsid w:val="48741C61"/>
    <w:rsid w:val="493059DD"/>
    <w:rsid w:val="494F7907"/>
    <w:rsid w:val="4ADF73DC"/>
    <w:rsid w:val="4B07230E"/>
    <w:rsid w:val="4B1B26BD"/>
    <w:rsid w:val="4B301FFB"/>
    <w:rsid w:val="4B315A3D"/>
    <w:rsid w:val="4C0055E5"/>
    <w:rsid w:val="4C3677AE"/>
    <w:rsid w:val="4C706B3A"/>
    <w:rsid w:val="4E9F7156"/>
    <w:rsid w:val="4EEA2AD2"/>
    <w:rsid w:val="4F3B332E"/>
    <w:rsid w:val="515F6D71"/>
    <w:rsid w:val="51C15CED"/>
    <w:rsid w:val="52285DEB"/>
    <w:rsid w:val="52742DDF"/>
    <w:rsid w:val="52AD62F0"/>
    <w:rsid w:val="52D11F6A"/>
    <w:rsid w:val="53A94D0A"/>
    <w:rsid w:val="54604F8D"/>
    <w:rsid w:val="546308FE"/>
    <w:rsid w:val="56FE59C9"/>
    <w:rsid w:val="570D735E"/>
    <w:rsid w:val="571B2674"/>
    <w:rsid w:val="579E6758"/>
    <w:rsid w:val="589917F1"/>
    <w:rsid w:val="59B241EC"/>
    <w:rsid w:val="59BE1CC5"/>
    <w:rsid w:val="5A5E27F6"/>
    <w:rsid w:val="5A704801"/>
    <w:rsid w:val="5A8C5E4D"/>
    <w:rsid w:val="5AB75F5E"/>
    <w:rsid w:val="5AED2A9A"/>
    <w:rsid w:val="5BB71AEC"/>
    <w:rsid w:val="5C5D2BF1"/>
    <w:rsid w:val="5D9E1657"/>
    <w:rsid w:val="5E225DE5"/>
    <w:rsid w:val="5E257683"/>
    <w:rsid w:val="5E7802BC"/>
    <w:rsid w:val="5EE078B0"/>
    <w:rsid w:val="5F0D5523"/>
    <w:rsid w:val="5F2346ED"/>
    <w:rsid w:val="61086613"/>
    <w:rsid w:val="61686204"/>
    <w:rsid w:val="62917095"/>
    <w:rsid w:val="630E06E5"/>
    <w:rsid w:val="638D58F3"/>
    <w:rsid w:val="6408782B"/>
    <w:rsid w:val="64FF0C2E"/>
    <w:rsid w:val="65322CBF"/>
    <w:rsid w:val="65B35574"/>
    <w:rsid w:val="65C658ED"/>
    <w:rsid w:val="68437083"/>
    <w:rsid w:val="68CC52CB"/>
    <w:rsid w:val="68DE4FFE"/>
    <w:rsid w:val="691B0000"/>
    <w:rsid w:val="694B58D7"/>
    <w:rsid w:val="69CE4E15"/>
    <w:rsid w:val="6AA61E16"/>
    <w:rsid w:val="6B3E7E06"/>
    <w:rsid w:val="6B7F3246"/>
    <w:rsid w:val="6BF349E2"/>
    <w:rsid w:val="6BF904A6"/>
    <w:rsid w:val="6CB5251A"/>
    <w:rsid w:val="6CD429A0"/>
    <w:rsid w:val="6EF07839"/>
    <w:rsid w:val="6F63000B"/>
    <w:rsid w:val="6F655B31"/>
    <w:rsid w:val="6FBF7BE8"/>
    <w:rsid w:val="6FCF0C72"/>
    <w:rsid w:val="71500A63"/>
    <w:rsid w:val="717C1858"/>
    <w:rsid w:val="72B0085D"/>
    <w:rsid w:val="72B56DCF"/>
    <w:rsid w:val="72E964BC"/>
    <w:rsid w:val="735C7C42"/>
    <w:rsid w:val="739A3EAE"/>
    <w:rsid w:val="74D07EF1"/>
    <w:rsid w:val="75B570E6"/>
    <w:rsid w:val="75BF3AC1"/>
    <w:rsid w:val="76AD6DFD"/>
    <w:rsid w:val="7706409E"/>
    <w:rsid w:val="773B58A1"/>
    <w:rsid w:val="7797777E"/>
    <w:rsid w:val="780A1873"/>
    <w:rsid w:val="787D11B8"/>
    <w:rsid w:val="78A637E3"/>
    <w:rsid w:val="78A771BA"/>
    <w:rsid w:val="78AC6820"/>
    <w:rsid w:val="792C5912"/>
    <w:rsid w:val="79D63B05"/>
    <w:rsid w:val="7AB83901"/>
    <w:rsid w:val="7C472B99"/>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Default"/>
    <w:qFormat/>
    <w:uiPriority w:val="0"/>
    <w:pPr>
      <w:widowControl w:val="0"/>
      <w:autoSpaceDE w:val="0"/>
      <w:autoSpaceDN w:val="0"/>
      <w:adjustRightInd w:val="0"/>
    </w:pPr>
    <w:rPr>
      <w:rFonts w:ascii="华文中宋" w:hAnsi="华文中宋" w:eastAsia="华文中宋" w:cs="Times New Roman"/>
      <w:color w:val="000000"/>
      <w:sz w:val="24"/>
      <w:szCs w:val="22"/>
      <w:lang w:val="en-US" w:eastAsia="zh-CN" w:bidi="ar-SA"/>
    </w:rPr>
  </w:style>
  <w:style w:type="character" w:customStyle="1" w:styleId="13">
    <w:name w:val="font11"/>
    <w:basedOn w:val="11"/>
    <w:qFormat/>
    <w:uiPriority w:val="0"/>
    <w:rPr>
      <w:rFonts w:hint="eastAsia" w:ascii="宋体" w:hAnsi="宋体" w:eastAsia="宋体" w:cs="宋体"/>
      <w:color w:val="000000"/>
      <w:sz w:val="24"/>
      <w:szCs w:val="24"/>
      <w:u w:val="none"/>
    </w:rPr>
  </w:style>
  <w:style w:type="character" w:customStyle="1" w:styleId="14">
    <w:name w:val="font51"/>
    <w:basedOn w:val="11"/>
    <w:qFormat/>
    <w:uiPriority w:val="0"/>
    <w:rPr>
      <w:rFonts w:hint="default" w:ascii="Times New Roman" w:hAnsi="Times New Roman" w:cs="Times New Roman"/>
      <w:color w:val="000000"/>
      <w:sz w:val="24"/>
      <w:szCs w:val="24"/>
      <w:u w:val="none"/>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1919</Words>
  <Characters>2590</Characters>
  <Lines>0</Lines>
  <Paragraphs>0</Paragraphs>
  <TotalTime>3</TotalTime>
  <ScaleCrop>false</ScaleCrop>
  <LinksUpToDate>false</LinksUpToDate>
  <CharactersWithSpaces>2920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2025-07-21T10:30:14Z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C1BC54EA770241CDB542D258F3FD0D87_13</vt:lpwstr>
  </property>
  <property fmtid="{D5CDD505-2E9C-101B-9397-08002B2CF9AE}" pid="4" name="KSOTemplateDocerSaveRecord">
    <vt:lpwstr>eyJoZGlkIjoiMDljYzUzMWQ4OWI0YzBkYjYzMDRhZTY5ZjZkYmFmYTgiLCJ1c2VySWQiOiI1ODMzMjMyMTIifQ==</vt:lpwstr>
  </property>
</Properties>
</file>