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8"/>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jc w:val="center"/>
        <w:rPr>
          <w:rFonts w:hint="eastAsia" w:ascii="黑体" w:hAnsi="ArialUnicodeMS" w:eastAsia="黑体" w:cs="Times New Roman"/>
          <w:color w:val="000000"/>
          <w:sz w:val="44"/>
          <w:szCs w:val="44"/>
          <w:lang w:val="en-US" w:eastAsia="zh-CN"/>
        </w:rPr>
      </w:pPr>
      <w:r>
        <w:rPr>
          <w:rFonts w:hint="eastAsia" w:ascii="黑体" w:hAnsi="ArialUnicodeMS" w:eastAsia="黑体" w:cs="Times New Roman"/>
          <w:color w:val="000000"/>
          <w:sz w:val="44"/>
          <w:szCs w:val="44"/>
          <w:lang w:val="en-US" w:eastAsia="zh-CN"/>
        </w:rPr>
        <w:t>呼图壁县干河子国有林管护站</w:t>
      </w:r>
    </w:p>
    <w:p>
      <w:pPr>
        <w:jc w:val="center"/>
        <w:rPr>
          <w:rFonts w:hint="default" w:ascii="黑体" w:hAnsi="ArialUnicodeMS" w:eastAsia="黑体" w:cs="Times New Roman"/>
          <w:color w:val="000000"/>
          <w:sz w:val="44"/>
          <w:szCs w:val="44"/>
        </w:rPr>
      </w:pPr>
      <w:r>
        <w:rPr>
          <w:rFonts w:hint="eastAsia" w:ascii="黑体" w:hAnsi="ArialUnicodeMS" w:eastAsia="黑体" w:cs="Times New Roman"/>
          <w:color w:val="000000"/>
          <w:sz w:val="44"/>
          <w:szCs w:val="44"/>
          <w:lang w:val="en-US" w:eastAsia="zh-CN"/>
        </w:rPr>
        <w:t>2025年部门</w:t>
      </w:r>
      <w:r>
        <w:rPr>
          <w:rFonts w:hint="eastAsia" w:ascii="黑体" w:hAnsi="ArialUnicodeMS" w:eastAsia="黑体" w:cs="Times New Roman"/>
          <w:color w:val="00000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 xml:space="preserve">第一部分  </w:t>
      </w:r>
      <w:r>
        <w:rPr>
          <w:rFonts w:hint="eastAsia" w:ascii="仿宋" w:hAnsi="仿宋" w:eastAsia="仿宋" w:cs="Times New Roman"/>
          <w:b/>
          <w:color w:val="000000"/>
          <w:sz w:val="28"/>
          <w:szCs w:val="28"/>
          <w:lang w:val="en-US" w:eastAsia="zh-CN"/>
        </w:rPr>
        <w:t>2025年呼图壁县干河子国有林管护站部门</w:t>
      </w:r>
      <w:r>
        <w:rPr>
          <w:rFonts w:hint="eastAsia" w:ascii="仿宋" w:hAnsi="仿宋" w:eastAsia="仿宋" w:cs="Times New Roman"/>
          <w:b/>
          <w:color w:val="000000"/>
          <w:sz w:val="28"/>
          <w:szCs w:val="28"/>
        </w:rPr>
        <w:t>概况</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一、主要职能</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二、机构设置及人员情况</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 xml:space="preserve">第二部分 </w:t>
      </w:r>
      <w:r>
        <w:rPr>
          <w:rFonts w:hint="eastAsia" w:ascii="仿宋" w:hAnsi="仿宋" w:eastAsia="仿宋"/>
          <w:b/>
          <w:color w:val="000000"/>
          <w:sz w:val="28"/>
          <w:szCs w:val="28"/>
          <w:lang w:eastAsia="zh-CN"/>
        </w:rPr>
        <w:t>2025</w:t>
      </w:r>
      <w:r>
        <w:rPr>
          <w:rFonts w:hint="eastAsia" w:ascii="仿宋" w:hAnsi="仿宋" w:eastAsia="仿宋"/>
          <w:b/>
          <w:color w:val="000000"/>
          <w:sz w:val="28"/>
          <w:szCs w:val="28"/>
        </w:rPr>
        <w:t>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w:t>
      </w:r>
      <w:r>
        <w:rPr>
          <w:rFonts w:hint="eastAsia" w:ascii="仿宋" w:hAnsi="仿宋" w:eastAsia="仿宋"/>
          <w:b/>
          <w:color w:val="000000"/>
          <w:sz w:val="28"/>
          <w:szCs w:val="28"/>
          <w:lang w:val="en-US" w:eastAsia="zh-CN"/>
        </w:rPr>
        <w:t>5</w:t>
      </w:r>
      <w:r>
        <w:rPr>
          <w:rFonts w:hint="eastAsia" w:ascii="仿宋" w:hAnsi="仿宋" w:eastAsia="仿宋"/>
          <w:b/>
          <w:color w:val="000000"/>
          <w:sz w:val="28"/>
          <w:szCs w:val="28"/>
        </w:rPr>
        <w:t>年部门预算情况说明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年收支预算情况的总体说明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年收入预算情况说明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三、关于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年支出预算情况说明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四、关于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年财政拨款收支预算情况的总体说明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五、关于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年一般公共预算当年拨款情况说明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六、关于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年一般公共预算基本支出情况说明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七、关于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年一般公共预算项目支出情况说明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八</w:t>
      </w:r>
      <w:r>
        <w:rPr>
          <w:rFonts w:hint="eastAsia" w:ascii="仿宋" w:hAnsi="仿宋" w:eastAsia="仿宋" w:cs="Times New Roman"/>
          <w:color w:val="000000"/>
          <w:sz w:val="28"/>
          <w:szCs w:val="28"/>
        </w:rPr>
        <w:t>、关于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年政府性基金预算拨款情况说明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九、</w:t>
      </w:r>
      <w:r>
        <w:rPr>
          <w:rFonts w:hint="eastAsia" w:ascii="仿宋" w:hAnsi="仿宋" w:eastAsia="仿宋" w:cs="Times New Roman"/>
          <w:color w:val="000000"/>
          <w:sz w:val="28"/>
          <w:szCs w:val="28"/>
        </w:rPr>
        <w:t>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年国有资本经营预算拨款情况说明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w:t>
      </w:r>
      <w:r>
        <w:rPr>
          <w:rFonts w:hint="eastAsia" w:ascii="仿宋" w:hAnsi="仿宋" w:eastAsia="仿宋" w:cs="Times New Roman"/>
          <w:color w:val="000000"/>
          <w:sz w:val="28"/>
          <w:szCs w:val="28"/>
        </w:rPr>
        <w:t>、关于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w:t>
      </w:r>
      <w:r>
        <w:rPr>
          <w:rFonts w:hint="eastAsia" w:ascii="仿宋" w:hAnsi="仿宋" w:eastAsia="仿宋" w:cs="Times New Roman"/>
          <w:color w:val="000000"/>
          <w:sz w:val="28"/>
          <w:szCs w:val="28"/>
          <w:lang w:val="en-US" w:eastAsia="zh-Hans"/>
        </w:rPr>
        <w:t>财政拨款</w:t>
      </w:r>
      <w:r>
        <w:rPr>
          <w:rFonts w:hint="eastAsia" w:ascii="仿宋" w:hAnsi="仿宋" w:eastAsia="仿宋" w:cs="Times New Roman"/>
          <w:color w:val="000000"/>
          <w:sz w:val="28"/>
          <w:szCs w:val="28"/>
        </w:rPr>
        <w:t>“三公”经费预算情况说明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十</w:t>
      </w:r>
      <w:r>
        <w:rPr>
          <w:rFonts w:hint="eastAsia" w:ascii="仿宋" w:hAnsi="仿宋" w:eastAsia="仿宋" w:cs="Times New Roman"/>
          <w:color w:val="000000"/>
          <w:sz w:val="28"/>
          <w:szCs w:val="28"/>
          <w:lang w:val="en-US" w:eastAsia="zh-Hans"/>
        </w:rPr>
        <w:t>一</w:t>
      </w:r>
      <w:r>
        <w:rPr>
          <w:rFonts w:hint="eastAsia" w:ascii="仿宋" w:hAnsi="仿宋" w:eastAsia="仿宋" w:cs="Times New Roman"/>
          <w:color w:val="000000"/>
          <w:sz w:val="28"/>
          <w:szCs w:val="28"/>
        </w:rPr>
        <w:t>、关于</w:t>
      </w:r>
      <w:r>
        <w:rPr>
          <w:rFonts w:hint="eastAsia" w:ascii="仿宋" w:hAnsi="仿宋" w:eastAsia="仿宋" w:cs="Times New Roman"/>
          <w:color w:val="000000"/>
          <w:sz w:val="28"/>
          <w:szCs w:val="28"/>
          <w:lang w:val="en-US" w:eastAsia="zh-CN"/>
        </w:rPr>
        <w:t>呼图壁县干河子国有林管护站2025</w:t>
      </w:r>
      <w:r>
        <w:rPr>
          <w:rFonts w:hint="eastAsia" w:ascii="仿宋" w:hAnsi="仿宋" w:eastAsia="仿宋" w:cs="Times New Roman"/>
          <w:color w:val="000000"/>
          <w:sz w:val="28"/>
          <w:szCs w:val="28"/>
        </w:rPr>
        <w:t>年</w:t>
      </w:r>
      <w:r>
        <w:rPr>
          <w:rFonts w:hint="eastAsia" w:ascii="仿宋" w:hAnsi="仿宋" w:eastAsia="仿宋" w:cs="Times New Roman"/>
          <w:color w:val="000000"/>
          <w:sz w:val="28"/>
          <w:szCs w:val="28"/>
          <w:lang w:val="en-US" w:eastAsia="zh-CN"/>
        </w:rPr>
        <w:t>上年结转结余</w:t>
      </w:r>
      <w:r>
        <w:rPr>
          <w:rFonts w:hint="eastAsia" w:ascii="仿宋" w:hAnsi="仿宋" w:eastAsia="仿宋" w:cs="Times New Roman"/>
          <w:color w:val="000000"/>
          <w:sz w:val="28"/>
          <w:szCs w:val="28"/>
        </w:rPr>
        <w:t>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CN"/>
        </w:rPr>
        <w:t>十二、</w:t>
      </w:r>
      <w:r>
        <w:rPr>
          <w:rFonts w:hint="eastAsia" w:ascii="仿宋" w:hAnsi="仿宋" w:eastAsia="仿宋" w:cs="Times New Roman"/>
          <w:color w:val="000000"/>
          <w:sz w:val="28"/>
          <w:szCs w:val="28"/>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第一部分  2025年呼图壁县干河子国有林管护站部门概况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napToGrid w:val="0"/>
        <w:spacing w:line="520" w:lineRule="exact"/>
        <w:ind w:firstLine="640" w:firstLineChars="200"/>
        <w:rPr>
          <w:rFonts w:ascii="仿宋_GB2312" w:hAnsi="宋体" w:eastAsia="仿宋_GB2312" w:cs="宋体"/>
          <w:bCs/>
          <w:color w:val="auto"/>
          <w:kern w:val="0"/>
          <w:sz w:val="32"/>
          <w:szCs w:val="32"/>
          <w:highlight w:val="none"/>
        </w:rPr>
      </w:pPr>
      <w:r>
        <w:rPr>
          <w:rFonts w:hint="eastAsia" w:ascii="仿宋_GB2312" w:hAnsi="宋体" w:eastAsia="仿宋_GB2312"/>
          <w:sz w:val="32"/>
          <w:szCs w:val="32"/>
        </w:rPr>
        <w:t>负责</w:t>
      </w:r>
      <w:r>
        <w:rPr>
          <w:rFonts w:hint="eastAsia" w:ascii="仿宋_GB2312" w:hAnsi="宋体" w:eastAsia="仿宋_GB2312"/>
          <w:sz w:val="32"/>
          <w:szCs w:val="32"/>
          <w:lang w:eastAsia="zh-CN"/>
        </w:rPr>
        <w:t>国林场规划，计划，编制，林木种苗生产供应，林木良种选育，林木种苗调剂，林业信息服务。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pacing w:after="0" w:line="560" w:lineRule="exact"/>
        <w:ind w:left="0" w:firstLine="640" w:firstLineChars="200"/>
        <w:rPr>
          <w:rFonts w:hint="eastAsia" w:ascii="宋体" w:hAnsi="宋体" w:eastAsia="宋体" w:cs="宋体"/>
          <w:sz w:val="32"/>
          <w:szCs w:val="32"/>
          <w:lang w:val="en-US" w:eastAsia="zh-CN"/>
        </w:rPr>
      </w:pPr>
      <w:r>
        <w:rPr>
          <w:rFonts w:hint="eastAsia" w:ascii="仿宋_GB2312" w:hAnsi="仿宋_GB2312" w:eastAsia="仿宋_GB2312" w:cs="仿宋_GB2312"/>
          <w:sz w:val="32"/>
          <w:szCs w:val="32"/>
          <w:highlight w:val="none"/>
          <w:lang w:eastAsia="zh-CN"/>
        </w:rPr>
        <w:t>呼图壁县</w:t>
      </w:r>
      <w:r>
        <w:rPr>
          <w:rFonts w:hint="eastAsia" w:ascii="仿宋_GB2312" w:hAnsi="仿宋_GB2312" w:eastAsia="仿宋_GB2312" w:cs="仿宋_GB2312"/>
          <w:sz w:val="32"/>
          <w:szCs w:val="32"/>
          <w:highlight w:val="none"/>
          <w:lang w:val="en-US" w:eastAsia="zh-CN"/>
        </w:rPr>
        <w:t>干河子国有林管护站</w:t>
      </w:r>
      <w:r>
        <w:rPr>
          <w:rFonts w:hint="eastAsia" w:ascii="仿宋_GB2312" w:hAnsi="仿宋_GB2312" w:eastAsia="仿宋_GB2312" w:cs="仿宋_GB2312"/>
          <w:sz w:val="32"/>
          <w:szCs w:val="32"/>
          <w:highlight w:val="none"/>
          <w:lang w:eastAsia="zh-CN"/>
        </w:rPr>
        <w:t>无下属预算单位。</w:t>
      </w:r>
      <w:r>
        <w:rPr>
          <w:rFonts w:hint="eastAsia" w:ascii="仿宋_GB2312" w:hAnsi="仿宋_GB2312" w:eastAsia="仿宋_GB2312" w:cs="仿宋_GB2312"/>
          <w:sz w:val="32"/>
          <w:szCs w:val="32"/>
          <w:lang w:val="en-US" w:eastAsia="zh-CN"/>
        </w:rPr>
        <w:t>下设7个处室，分别是：</w:t>
      </w:r>
      <w:r>
        <w:rPr>
          <w:rFonts w:hint="eastAsia" w:ascii="仿宋" w:hAnsi="仿宋" w:eastAsia="仿宋" w:cs="仿宋"/>
          <w:b w:val="0"/>
          <w:bCs w:val="0"/>
          <w:sz w:val="32"/>
          <w:szCs w:val="32"/>
          <w:lang w:val="en-US" w:eastAsia="zh-CN"/>
        </w:rPr>
        <w:t>财务室、生产办，信访办，民政办，</w:t>
      </w:r>
      <w:r>
        <w:rPr>
          <w:rFonts w:hint="eastAsia" w:ascii="仿宋" w:hAnsi="仿宋" w:eastAsia="仿宋" w:cs="仿宋"/>
          <w:sz w:val="32"/>
          <w:szCs w:val="32"/>
          <w:lang w:val="en-US" w:eastAsia="zh-CN"/>
        </w:rPr>
        <w:t>计生办、综治办，关联办</w:t>
      </w:r>
      <w:r>
        <w:rPr>
          <w:rFonts w:hint="eastAsia" w:ascii="宋体" w:hAnsi="宋体" w:eastAsia="宋体" w:cs="宋体"/>
          <w:sz w:val="32"/>
          <w:szCs w:val="32"/>
          <w:lang w:val="en-US" w:eastAsia="zh-CN"/>
        </w:rPr>
        <w:t>。</w:t>
      </w:r>
    </w:p>
    <w:p>
      <w:pPr>
        <w:spacing w:after="0" w:line="560" w:lineRule="exact"/>
        <w:ind w:left="0" w:firstLine="640" w:firstLineChars="200"/>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highlight w:val="none"/>
          <w:lang w:eastAsia="zh-CN"/>
        </w:rPr>
        <w:t>呼图壁县</w:t>
      </w:r>
      <w:r>
        <w:rPr>
          <w:rFonts w:hint="eastAsia" w:ascii="仿宋_GB2312" w:hAnsi="仿宋_GB2312" w:eastAsia="仿宋_GB2312" w:cs="仿宋_GB2312"/>
          <w:sz w:val="32"/>
          <w:szCs w:val="32"/>
          <w:highlight w:val="none"/>
          <w:lang w:val="en-US" w:eastAsia="zh-CN"/>
        </w:rPr>
        <w:t>干河子国有林管护站</w:t>
      </w:r>
      <w:r>
        <w:rPr>
          <w:rFonts w:hint="eastAsia" w:ascii="仿宋_GB2312" w:hAnsi="仿宋_GB2312" w:eastAsia="仿宋_GB2312" w:cs="仿宋_GB2312"/>
          <w:sz w:val="32"/>
          <w:szCs w:val="32"/>
          <w:lang w:eastAsia="zh-CN"/>
        </w:rPr>
        <w:t>单位编制数</w:t>
      </w:r>
      <w:r>
        <w:rPr>
          <w:rFonts w:hint="eastAsia" w:ascii="仿宋_GB2312" w:hAnsi="仿宋_GB2312" w:eastAsia="仿宋_GB2312" w:cs="仿宋_GB2312"/>
          <w:sz w:val="32"/>
          <w:szCs w:val="32"/>
          <w:lang w:val="en-US" w:eastAsia="zh-CN"/>
        </w:rPr>
        <w:t>55</w:t>
      </w:r>
      <w:r>
        <w:rPr>
          <w:rFonts w:hint="eastAsia" w:ascii="仿宋_GB2312" w:hAnsi="仿宋_GB2312" w:eastAsia="仿宋_GB2312" w:cs="仿宋_GB2312"/>
          <w:sz w:val="32"/>
          <w:szCs w:val="32"/>
          <w:lang w:eastAsia="zh-CN"/>
        </w:rPr>
        <w:t>人，实有人数</w:t>
      </w:r>
      <w:r>
        <w:rPr>
          <w:rFonts w:hint="eastAsia" w:ascii="仿宋_GB2312" w:hAnsi="仿宋_GB2312" w:eastAsia="仿宋_GB2312" w:cs="仿宋_GB2312"/>
          <w:sz w:val="32"/>
          <w:szCs w:val="32"/>
          <w:lang w:val="en-US" w:eastAsia="zh-CN"/>
        </w:rPr>
        <w:t>54</w:t>
      </w:r>
      <w:r>
        <w:rPr>
          <w:rFonts w:hint="eastAsia" w:ascii="仿宋_GB2312" w:hAnsi="仿宋_GB2312" w:eastAsia="仿宋_GB2312" w:cs="仿宋_GB2312"/>
          <w:sz w:val="32"/>
          <w:szCs w:val="32"/>
          <w:lang w:eastAsia="zh-CN"/>
        </w:rPr>
        <w:t>人，其中：在职人数</w:t>
      </w:r>
      <w:r>
        <w:rPr>
          <w:rFonts w:hint="eastAsia" w:ascii="仿宋_GB2312" w:hAnsi="仿宋_GB2312" w:eastAsia="仿宋_GB2312" w:cs="仿宋_GB2312"/>
          <w:sz w:val="32"/>
          <w:szCs w:val="32"/>
          <w:lang w:val="en-US" w:eastAsia="zh-CN"/>
        </w:rPr>
        <w:t>47</w:t>
      </w:r>
      <w:r>
        <w:rPr>
          <w:rFonts w:hint="eastAsia" w:ascii="仿宋_GB2312" w:hAnsi="仿宋_GB2312" w:eastAsia="仿宋_GB2312" w:cs="仿宋_GB2312"/>
          <w:sz w:val="32"/>
          <w:szCs w:val="32"/>
          <w:lang w:eastAsia="zh-CN"/>
        </w:rPr>
        <w:t>人，减少</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人；退休</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人，离休0人，增加0人。</w:t>
      </w:r>
    </w:p>
    <w:p>
      <w:pPr>
        <w:pStyle w:val="4"/>
        <w:ind w:firstLine="640"/>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 xml:space="preserve">第二部分 </w:t>
      </w:r>
      <w:r>
        <w:rPr>
          <w:rFonts w:hint="eastAsia" w:ascii="黑体" w:eastAsia="黑体" w:cs="Times New Roman"/>
          <w:b/>
          <w:kern w:val="44"/>
          <w:sz w:val="30"/>
          <w:szCs w:val="30"/>
          <w:lang w:val="en-US" w:eastAsia="zh-CN"/>
        </w:rPr>
        <w:t>2025</w:t>
      </w:r>
      <w:r>
        <w:rPr>
          <w:rFonts w:hint="eastAsia" w:ascii="黑体" w:hAnsi="Times New Roman" w:eastAsia="黑体" w:cs="Times New Roman"/>
          <w:b/>
          <w:kern w:val="44"/>
          <w:sz w:val="30"/>
          <w:szCs w:val="30"/>
          <w:lang w:val="en-US" w:eastAsia="zh-CN"/>
        </w:rPr>
        <w:t>年部门预算公开表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40" w:lineRule="auto"/>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呼图壁县干河子国有林管护站</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bl>
      <w:tblPr>
        <w:tblStyle w:val="10"/>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11.73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7.52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7.52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1.81</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0.90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4.21</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7.6</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4.21</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1.43</w:t>
            </w:r>
          </w:p>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11.73</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11.73</w:t>
            </w:r>
            <w:r>
              <w:rPr>
                <w:rFonts w:hint="eastAsia" w:ascii="仿宋_GB2312" w:hAnsi="宋体" w:eastAsia="仿宋_GB2312" w:cs="宋体"/>
                <w:b/>
                <w:bCs/>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黑体" w:hAnsi="黑体" w:eastAsia="黑体"/>
          <w:color w:val="auto"/>
          <w:kern w:val="0"/>
          <w:sz w:val="32"/>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黑体" w:hAnsi="黑体" w:eastAsia="黑体"/>
          <w:color w:val="auto"/>
          <w:kern w:val="0"/>
          <w:sz w:val="32"/>
          <w:szCs w:val="32"/>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2</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lang w:val="en-US" w:eastAsia="zh-CN"/>
        </w:rPr>
        <w:t>部门</w:t>
      </w:r>
      <w:r>
        <w:rPr>
          <w:rFonts w:hint="eastAsia" w:ascii="仿宋" w:hAnsi="宋体" w:eastAsia="仿宋" w:cs="Times New Roman"/>
          <w:b/>
          <w:color w:val="000000"/>
          <w:sz w:val="28"/>
          <w:szCs w:val="28"/>
        </w:rPr>
        <w:t>收入总体情况表</w:t>
      </w:r>
    </w:p>
    <w:p>
      <w:pPr>
        <w:widowControl/>
        <w:jc w:val="center"/>
        <w:outlineLvl w:val="1"/>
        <w:rPr>
          <w:rFonts w:hint="eastAsia" w:ascii="Times New Roman" w:hAnsi="Times New Roman" w:eastAsia="宋体" w:cs="Times New Roman"/>
          <w:kern w:val="2"/>
          <w:sz w:val="21"/>
          <w:szCs w:val="24"/>
          <w:lang w:val="en-US" w:eastAsia="zh-CN" w:bidi="ar-SA"/>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：呼图壁县干河子国有林管护站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1022" w:tblpY="254"/>
        <w:tblOverlap w:val="never"/>
        <w:tblW w:w="9778" w:type="dxa"/>
        <w:tblInd w:w="0" w:type="dxa"/>
        <w:tblLayout w:type="fixed"/>
        <w:tblCellMar>
          <w:top w:w="0" w:type="dxa"/>
          <w:left w:w="108" w:type="dxa"/>
          <w:bottom w:w="0" w:type="dxa"/>
          <w:right w:w="108" w:type="dxa"/>
        </w:tblCellMar>
      </w:tblPr>
      <w:tblGrid>
        <w:gridCol w:w="435"/>
        <w:gridCol w:w="435"/>
        <w:gridCol w:w="390"/>
        <w:gridCol w:w="1155"/>
        <w:gridCol w:w="585"/>
        <w:gridCol w:w="555"/>
        <w:gridCol w:w="660"/>
        <w:gridCol w:w="795"/>
        <w:gridCol w:w="494"/>
        <w:gridCol w:w="643"/>
        <w:gridCol w:w="631"/>
        <w:gridCol w:w="977"/>
        <w:gridCol w:w="450"/>
        <w:gridCol w:w="630"/>
        <w:gridCol w:w="436"/>
        <w:gridCol w:w="507"/>
      </w:tblGrid>
      <w:tr>
        <w:tblPrEx>
          <w:tblCellMar>
            <w:top w:w="0" w:type="dxa"/>
            <w:left w:w="108" w:type="dxa"/>
            <w:bottom w:w="0" w:type="dxa"/>
            <w:right w:w="108" w:type="dxa"/>
          </w:tblCellMar>
        </w:tblPrEx>
        <w:trPr>
          <w:trHeight w:val="697" w:hRule="atLeast"/>
        </w:trPr>
        <w:tc>
          <w:tcPr>
            <w:tcW w:w="1260"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15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58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5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3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35" w:type="dxa"/>
            <w:tcBorders>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35"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390"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155"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85"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6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9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97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50"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36"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社会保障和就业支出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1.81</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1.81</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行政事业单位养老支出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1.81</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1.81</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05</w:t>
            </w: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机关事业单位基本养老保险缴费支出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1.20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1.20</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eastAsia="仿宋_GB2312"/>
                <w:color w:val="auto"/>
                <w:sz w:val="13"/>
                <w:szCs w:val="13"/>
                <w:highlight w:val="none"/>
                <w:lang w:val="en-US" w:eastAsia="zh-CN"/>
              </w:rPr>
              <w:t>208</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05</w:t>
            </w:r>
          </w:p>
        </w:tc>
        <w:tc>
          <w:tcPr>
            <w:tcW w:w="39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06</w:t>
            </w: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机关事业单位职业年金缴费支出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0.60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0.6</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卫生健康支出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0.90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0.9</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行政事业单位医疗</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0.90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0.9</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13"/>
                <w:szCs w:val="13"/>
                <w:highlight w:val="none"/>
                <w:lang w:val="en-US" w:eastAsia="zh-CN"/>
              </w:rPr>
            </w:pPr>
            <w:r>
              <w:rPr>
                <w:rFonts w:hint="eastAsia" w:ascii="仿宋_GB2312" w:eastAsia="仿宋_GB2312"/>
                <w:color w:val="auto"/>
                <w:sz w:val="13"/>
                <w:szCs w:val="13"/>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02</w:t>
            </w: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事业单位医疗</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0.60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0.6</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210</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11</w:t>
            </w:r>
          </w:p>
        </w:tc>
        <w:tc>
          <w:tcPr>
            <w:tcW w:w="39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03</w:t>
            </w: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公务员医疗补助</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0.30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0.3</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农林水支出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7.60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0.08</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02</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林业和草原</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7.60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0.08</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213</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02</w:t>
            </w:r>
          </w:p>
        </w:tc>
        <w:tc>
          <w:tcPr>
            <w:tcW w:w="39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04</w:t>
            </w:r>
          </w:p>
        </w:tc>
        <w:tc>
          <w:tcPr>
            <w:tcW w:w="115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13"/>
                <w:szCs w:val="13"/>
                <w:highlight w:val="none"/>
                <w:lang w:val="en-US" w:eastAsia="zh-CN"/>
              </w:rPr>
            </w:pPr>
            <w:r>
              <w:rPr>
                <w:rFonts w:hint="eastAsia" w:ascii="仿宋_GB2312" w:eastAsia="仿宋_GB2312"/>
                <w:color w:val="auto"/>
                <w:sz w:val="13"/>
                <w:szCs w:val="13"/>
                <w:highlight w:val="none"/>
                <w:lang w:val="en-US" w:eastAsia="zh-CN"/>
              </w:rPr>
              <w:t>事业机构</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7.60</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7.52</w:t>
            </w: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0.08</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住房保障支出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1.43</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1.43</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221</w:t>
            </w:r>
          </w:p>
        </w:tc>
        <w:tc>
          <w:tcPr>
            <w:tcW w:w="43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02</w:t>
            </w:r>
          </w:p>
        </w:tc>
        <w:tc>
          <w:tcPr>
            <w:tcW w:w="3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1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住房改革支出</w:t>
            </w:r>
          </w:p>
        </w:tc>
        <w:tc>
          <w:tcPr>
            <w:tcW w:w="58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1.43</w:t>
            </w:r>
          </w:p>
        </w:tc>
        <w:tc>
          <w:tcPr>
            <w:tcW w:w="55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1.43</w:t>
            </w:r>
          </w:p>
        </w:tc>
        <w:tc>
          <w:tcPr>
            <w:tcW w:w="43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221</w:t>
            </w:r>
          </w:p>
        </w:tc>
        <w:tc>
          <w:tcPr>
            <w:tcW w:w="435" w:type="dxa"/>
            <w:tcBorders>
              <w:top w:val="single" w:color="auto" w:sz="4" w:space="0"/>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02</w:t>
            </w: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01</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住房公积金</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lang w:val="en-US" w:eastAsia="zh-CN"/>
              </w:rPr>
              <w:t>1.43</w:t>
            </w:r>
          </w:p>
        </w:tc>
        <w:tc>
          <w:tcPr>
            <w:tcW w:w="55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977"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13"/>
                <w:szCs w:val="13"/>
                <w:highlight w:val="none"/>
                <w:lang w:val="en-US" w:eastAsia="zh-CN"/>
              </w:rPr>
            </w:pPr>
            <w:r>
              <w:rPr>
                <w:rFonts w:hint="eastAsia" w:ascii="仿宋_GB2312" w:eastAsia="仿宋_GB2312"/>
                <w:color w:val="auto"/>
                <w:sz w:val="13"/>
                <w:szCs w:val="13"/>
                <w:highlight w:val="none"/>
                <w:lang w:val="en-US" w:eastAsia="zh-CN"/>
              </w:rPr>
              <w:t>1.43</w:t>
            </w:r>
          </w:p>
        </w:tc>
        <w:tc>
          <w:tcPr>
            <w:tcW w:w="4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65" w:hRule="atLeast"/>
        </w:trPr>
        <w:tc>
          <w:tcPr>
            <w:tcW w:w="4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43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39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lang w:val="en-US" w:eastAsia="zh-CN"/>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r>
              <w:rPr>
                <w:rFonts w:hint="eastAsia" w:ascii="仿宋_GB2312" w:eastAsia="仿宋_GB2312"/>
                <w:b/>
                <w:bCs/>
                <w:color w:val="auto"/>
                <w:sz w:val="13"/>
                <w:szCs w:val="13"/>
                <w:highlight w:val="none"/>
                <w:lang w:val="en-US" w:eastAsia="zh-CN"/>
              </w:rPr>
              <w:t>合计</w:t>
            </w:r>
          </w:p>
        </w:tc>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3"/>
                <w:szCs w:val="13"/>
                <w:highlight w:val="none"/>
                <w:lang w:val="en-US" w:eastAsia="zh-CN"/>
              </w:rPr>
            </w:pPr>
            <w:r>
              <w:rPr>
                <w:rFonts w:hint="eastAsia" w:ascii="仿宋_GB2312" w:eastAsia="仿宋_GB2312"/>
                <w:b/>
                <w:bCs/>
                <w:color w:val="auto"/>
                <w:sz w:val="13"/>
                <w:szCs w:val="13"/>
                <w:highlight w:val="none"/>
                <w:lang w:val="en-US" w:eastAsia="zh-CN"/>
              </w:rPr>
              <w:t>11.73</w:t>
            </w:r>
          </w:p>
        </w:tc>
        <w:tc>
          <w:tcPr>
            <w:tcW w:w="555"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3"/>
                <w:szCs w:val="13"/>
                <w:highlight w:val="none"/>
                <w:lang w:val="en-US" w:eastAsia="zh-CN"/>
              </w:rPr>
            </w:pPr>
            <w:r>
              <w:rPr>
                <w:rFonts w:hint="eastAsia" w:ascii="仿宋_GB2312" w:eastAsia="仿宋_GB2312"/>
                <w:b/>
                <w:bCs/>
                <w:color w:val="auto"/>
                <w:sz w:val="13"/>
                <w:szCs w:val="13"/>
                <w:highlight w:val="none"/>
                <w:lang w:val="en-US" w:eastAsia="zh-CN"/>
              </w:rPr>
              <w:t>7.52</w:t>
            </w:r>
          </w:p>
        </w:tc>
        <w:tc>
          <w:tcPr>
            <w:tcW w:w="6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3"/>
                <w:szCs w:val="13"/>
                <w:highlight w:val="none"/>
                <w:lang w:val="en-US" w:eastAsia="zh-CN"/>
              </w:rPr>
            </w:pPr>
            <w:r>
              <w:rPr>
                <w:rFonts w:hint="eastAsia" w:ascii="仿宋_GB2312" w:eastAsia="仿宋_GB2312"/>
                <w:b/>
                <w:bCs/>
                <w:color w:val="auto"/>
                <w:sz w:val="13"/>
                <w:szCs w:val="13"/>
                <w:highlight w:val="none"/>
                <w:lang w:val="en-US" w:eastAsia="zh-CN"/>
              </w:rPr>
              <w:t>7.52</w:t>
            </w:r>
          </w:p>
        </w:tc>
        <w:tc>
          <w:tcPr>
            <w:tcW w:w="79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13"/>
                <w:szCs w:val="13"/>
                <w:highlight w:val="none"/>
              </w:rPr>
            </w:pPr>
          </w:p>
        </w:tc>
        <w:tc>
          <w:tcPr>
            <w:tcW w:w="49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p>
        </w:tc>
        <w:tc>
          <w:tcPr>
            <w:tcW w:w="63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p>
        </w:tc>
        <w:tc>
          <w:tcPr>
            <w:tcW w:w="97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13"/>
                <w:szCs w:val="13"/>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13"/>
                <w:szCs w:val="13"/>
                <w:highlight w:val="none"/>
                <w:lang w:val="en-US" w:eastAsia="zh-CN"/>
              </w:rPr>
            </w:pPr>
            <w:r>
              <w:rPr>
                <w:rFonts w:hint="eastAsia" w:ascii="仿宋_GB2312" w:eastAsia="仿宋_GB2312"/>
                <w:b/>
                <w:bCs/>
                <w:color w:val="auto"/>
                <w:sz w:val="13"/>
                <w:szCs w:val="13"/>
                <w:highlight w:val="none"/>
                <w:lang w:val="en-US" w:eastAsia="zh-CN"/>
              </w:rPr>
              <w:t>4.21</w:t>
            </w:r>
          </w:p>
        </w:tc>
        <w:tc>
          <w:tcPr>
            <w:tcW w:w="4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bl>
    <w:p>
      <w:pPr>
        <w:jc w:val="center"/>
        <w:rPr>
          <w:rFonts w:hint="eastAsia" w:ascii="仿宋" w:hAnsi="宋体" w:eastAsia="仿宋"/>
          <w:b/>
          <w:color w:val="000000"/>
          <w:sz w:val="28"/>
          <w:szCs w:val="28"/>
        </w:rPr>
      </w:pPr>
    </w:p>
    <w:p>
      <w:pPr>
        <w:jc w:val="center"/>
        <w:rPr>
          <w:rFonts w:hint="eastAsia" w:ascii="仿宋" w:hAnsi="宋体" w:eastAsia="仿宋"/>
          <w:b/>
          <w:color w:val="000000"/>
          <w:sz w:val="28"/>
          <w:szCs w:val="28"/>
        </w:rPr>
      </w:pPr>
    </w:p>
    <w:p>
      <w:pPr>
        <w:jc w:val="center"/>
        <w:rPr>
          <w:rFonts w:hint="eastAsia" w:ascii="仿宋" w:hAnsi="宋体" w:eastAsia="仿宋"/>
          <w:b/>
          <w:color w:val="000000"/>
          <w:sz w:val="28"/>
          <w:szCs w:val="28"/>
        </w:rPr>
      </w:pPr>
    </w:p>
    <w:p>
      <w:pPr>
        <w:keepNext w:val="0"/>
        <w:keepLines w:val="0"/>
        <w:widowControl/>
        <w:suppressLineNumbers w:val="0"/>
        <w:jc w:val="left"/>
        <w:textAlignment w:val="bottom"/>
        <w:rPr>
          <w:rFonts w:hint="eastAsia" w:ascii="仿宋" w:hAnsi="宋体" w:eastAsia="仿宋"/>
          <w:b/>
          <w:color w:val="000000"/>
          <w:sz w:val="28"/>
          <w:szCs w:val="28"/>
        </w:rPr>
      </w:pPr>
      <w:r>
        <w:rPr>
          <w:rFonts w:hint="eastAsia" w:ascii="宋体" w:hAnsi="宋体" w:eastAsia="宋体" w:cs="宋体"/>
          <w:i w:val="0"/>
          <w:color w:val="auto"/>
          <w:kern w:val="0"/>
          <w:sz w:val="20"/>
          <w:szCs w:val="20"/>
          <w:highlight w:val="none"/>
          <w:u w:val="none"/>
          <w:lang w:val="en-US" w:eastAsia="zh-CN" w:bidi="ar"/>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w:t>
      </w:r>
      <w:r>
        <w:rPr>
          <w:rFonts w:hint="eastAsia" w:ascii="仿宋_GB2312" w:hAnsi="宋体" w:eastAsia="仿宋_GB2312"/>
          <w:color w:val="auto"/>
          <w:kern w:val="0"/>
          <w:sz w:val="24"/>
          <w:highlight w:val="none"/>
          <w:lang w:val="en-US" w:eastAsia="zh-CN"/>
        </w:rPr>
        <w:t>干河子国有林管护站</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bl>
      <w:tblPr>
        <w:tblStyle w:val="10"/>
        <w:tblW w:w="9420" w:type="dxa"/>
        <w:tblInd w:w="-240" w:type="dxa"/>
        <w:tblLayout w:type="autofit"/>
        <w:tblCellMar>
          <w:top w:w="0" w:type="dxa"/>
          <w:left w:w="108" w:type="dxa"/>
          <w:bottom w:w="0" w:type="dxa"/>
          <w:right w:w="108" w:type="dxa"/>
        </w:tblCellMar>
      </w:tblPr>
      <w:tblGrid>
        <w:gridCol w:w="486"/>
        <w:gridCol w:w="539"/>
        <w:gridCol w:w="668"/>
        <w:gridCol w:w="2427"/>
        <w:gridCol w:w="1768"/>
        <w:gridCol w:w="1746"/>
        <w:gridCol w:w="1786"/>
      </w:tblGrid>
      <w:tr>
        <w:tblPrEx>
          <w:tblCellMar>
            <w:top w:w="0" w:type="dxa"/>
            <w:left w:w="108" w:type="dxa"/>
            <w:bottom w:w="0" w:type="dxa"/>
            <w:right w:w="108" w:type="dxa"/>
          </w:tblCellMar>
        </w:tblPrEx>
        <w:trPr>
          <w:trHeight w:val="328" w:hRule="atLeast"/>
        </w:trPr>
        <w:tc>
          <w:tcPr>
            <w:tcW w:w="4081"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339"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629"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5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78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5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0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5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8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5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0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208</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xml:space="preserve"> 社会保障和就业支出　</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1.81</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1.81</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208</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05</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行政事业单位养老支出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1.81</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1.81</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208</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05</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05</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机关事业单位基本养老保险缴费支出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1.20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1.20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208</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05</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06</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机关事业单位职业年金缴费支出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0.60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0.60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210</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xml:space="preserve"> 卫生健康支出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0.90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0.90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210</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11</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行政事业单位医疗</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0.90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0.90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210</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11</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02</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事业单位医疗</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0.60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0.60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210</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11</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03</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xml:space="preserve"> 公务员医疗补助　</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0.30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0.30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213</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农林水支出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213</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02</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林业和草原</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390"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213</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02</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04</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hint="eastAsia"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r>
              <w:rPr>
                <w:rFonts w:hint="eastAsia" w:ascii="仿宋_GB2312" w:eastAsia="仿宋_GB2312"/>
                <w:b w:val="0"/>
                <w:bCs w:val="0"/>
                <w:color w:val="auto"/>
                <w:sz w:val="18"/>
                <w:szCs w:val="18"/>
                <w:highlight w:val="none"/>
                <w:lang w:val="en-US" w:eastAsia="zh-CN"/>
              </w:rPr>
              <w:t>事业机构</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7.60</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221</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住房保障支出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221</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02</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　住房改革支出</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221</w:t>
            </w:r>
            <w:r>
              <w:rPr>
                <w:rFonts w:hint="eastAsia" w:ascii="仿宋_GB2312" w:eastAsia="仿宋_GB2312"/>
                <w:b w:val="0"/>
                <w:bCs w:val="0"/>
                <w:color w:val="auto"/>
                <w:sz w:val="18"/>
                <w:szCs w:val="18"/>
                <w:highlight w:val="none"/>
              </w:rPr>
              <w:t>　</w:t>
            </w:r>
          </w:p>
        </w:tc>
        <w:tc>
          <w:tcPr>
            <w:tcW w:w="54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02</w:t>
            </w:r>
            <w:r>
              <w:rPr>
                <w:rFonts w:hint="eastAsia" w:ascii="仿宋_GB2312" w:eastAsia="仿宋_GB2312"/>
                <w:b w:val="0"/>
                <w:bCs w:val="0"/>
                <w:color w:val="auto"/>
                <w:sz w:val="18"/>
                <w:szCs w:val="18"/>
                <w:highlight w:val="none"/>
              </w:rPr>
              <w:t>　</w:t>
            </w:r>
          </w:p>
        </w:tc>
        <w:tc>
          <w:tcPr>
            <w:tcW w:w="671"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lang w:val="en-US" w:eastAsia="zh-CN"/>
              </w:rPr>
              <w:t>01</w:t>
            </w:r>
            <w:r>
              <w:rPr>
                <w:rFonts w:hint="eastAsia" w:ascii="仿宋_GB2312" w:eastAsia="仿宋_GB2312"/>
                <w:b w:val="0"/>
                <w:bCs w:val="0"/>
                <w:color w:val="auto"/>
                <w:sz w:val="18"/>
                <w:szCs w:val="18"/>
                <w:highlight w:val="none"/>
              </w:rPr>
              <w:t>　</w:t>
            </w:r>
          </w:p>
        </w:tc>
        <w:tc>
          <w:tcPr>
            <w:tcW w:w="2452"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b w:val="0"/>
                <w:bCs w:val="0"/>
                <w:color w:val="auto"/>
                <w:kern w:val="2"/>
                <w:sz w:val="18"/>
                <w:szCs w:val="18"/>
                <w:highlight w:val="none"/>
                <w:lang w:val="en-US" w:eastAsia="zh-CN" w:bidi="ar-SA"/>
              </w:rPr>
            </w:pPr>
            <w:r>
              <w:rPr>
                <w:rFonts w:hint="eastAsia" w:ascii="仿宋_GB2312" w:eastAsia="仿宋_GB2312"/>
                <w:b w:val="0"/>
                <w:bCs w:val="0"/>
                <w:color w:val="auto"/>
                <w:sz w:val="18"/>
                <w:szCs w:val="18"/>
                <w:highlight w:val="none"/>
              </w:rPr>
              <w:t>住房公积金　</w:t>
            </w: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75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6"/>
                <w:szCs w:val="16"/>
                <w:highlight w:val="none"/>
                <w:lang w:val="en-US" w:eastAsia="zh-CN" w:bidi="ar-SA"/>
              </w:rPr>
            </w:pPr>
            <w:r>
              <w:rPr>
                <w:rFonts w:hint="eastAsia" w:ascii="仿宋_GB2312" w:eastAsia="仿宋_GB2312"/>
                <w:color w:val="auto"/>
                <w:sz w:val="16"/>
                <w:szCs w:val="16"/>
                <w:highlight w:val="none"/>
                <w:lang w:val="en-US" w:eastAsia="zh-CN"/>
              </w:rPr>
              <w:t>1.43</w:t>
            </w:r>
            <w:r>
              <w:rPr>
                <w:rFonts w:hint="eastAsia" w:ascii="仿宋_GB2312" w:eastAsia="仿宋_GB2312"/>
                <w:color w:val="auto"/>
                <w:sz w:val="16"/>
                <w:szCs w:val="16"/>
                <w:highlight w:val="none"/>
              </w:rPr>
              <w:t>　</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80" w:type="dxa"/>
            <w:tcBorders>
              <w:top w:val="nil"/>
              <w:left w:val="nil"/>
              <w:bottom w:val="single" w:color="auto" w:sz="4" w:space="0"/>
              <w:right w:val="single" w:color="auto" w:sz="4" w:space="0"/>
            </w:tcBorders>
            <w:shd w:val="clear" w:color="auto" w:fill="auto"/>
            <w:noWrap w:val="0"/>
            <w:vAlign w:val="center"/>
          </w:tcPr>
          <w:p>
            <w:pPr>
              <w:jc w:val="right"/>
              <w:rPr>
                <w:rFonts w:hint="default" w:ascii="仿宋_GB2312" w:hAnsi="Times New Roman" w:eastAsia="仿宋_GB2312" w:cs="Times New Roman"/>
                <w:color w:val="auto"/>
                <w:kern w:val="2"/>
                <w:sz w:val="16"/>
                <w:szCs w:val="16"/>
                <w:highlight w:val="none"/>
                <w:lang w:val="en-US" w:eastAsia="zh-CN" w:bidi="ar-SA"/>
              </w:rPr>
            </w:pPr>
          </w:p>
        </w:tc>
        <w:tc>
          <w:tcPr>
            <w:tcW w:w="17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8"/>
                <w:szCs w:val="28"/>
                <w:highlight w:val="none"/>
              </w:rPr>
            </w:pP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8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8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8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54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671"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8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75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54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67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45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7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11.73</w:t>
            </w:r>
          </w:p>
        </w:tc>
        <w:tc>
          <w:tcPr>
            <w:tcW w:w="175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ascii="宋体" w:hAnsi="宋体" w:cs="宋体"/>
                <w:b/>
                <w:bCs/>
                <w:color w:val="auto"/>
                <w:kern w:val="0"/>
                <w:sz w:val="24"/>
                <w:highlight w:val="none"/>
                <w:lang w:val="en-US" w:eastAsia="zh-CN"/>
              </w:rPr>
              <w:t>11.73</w:t>
            </w:r>
          </w:p>
        </w:tc>
        <w:tc>
          <w:tcPr>
            <w:tcW w:w="1802"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4"/>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jc w:val="left"/>
        <w:rPr>
          <w:rFonts w:hint="eastAsia" w:ascii="宋体" w:hAnsi="宋体" w:eastAsia="宋体" w:cs="宋体"/>
          <w:i w:val="0"/>
          <w:color w:val="auto"/>
          <w:kern w:val="0"/>
          <w:sz w:val="20"/>
          <w:szCs w:val="20"/>
          <w:highlight w:val="none"/>
          <w:u w:val="none"/>
          <w:lang w:val="en-US" w:eastAsia="zh-CN" w:bidi="ar"/>
        </w:rPr>
      </w:pPr>
    </w:p>
    <w:p>
      <w:pPr>
        <w:jc w:val="left"/>
        <w:rPr>
          <w:rFonts w:hint="eastAsia" w:ascii="宋体" w:hAnsi="宋体" w:eastAsia="宋体" w:cs="宋体"/>
          <w:i w:val="0"/>
          <w:color w:val="auto"/>
          <w:kern w:val="0"/>
          <w:sz w:val="20"/>
          <w:szCs w:val="20"/>
          <w:highlight w:val="none"/>
          <w:u w:val="none"/>
          <w:lang w:val="en-US" w:eastAsia="zh-CN" w:bidi="ar"/>
        </w:rPr>
      </w:pPr>
    </w:p>
    <w:p>
      <w:pPr>
        <w:jc w:val="left"/>
        <w:rPr>
          <w:rFonts w:hint="eastAsia" w:ascii="仿宋" w:hAnsi="宋体" w:eastAsia="仿宋" w:cs="Times New Roman"/>
          <w:b/>
          <w:color w:val="000000"/>
          <w:sz w:val="28"/>
          <w:szCs w:val="28"/>
          <w:lang w:val="en-US" w:eastAsia="zh-CN"/>
        </w:rPr>
      </w:pPr>
      <w:r>
        <w:rPr>
          <w:rFonts w:hint="eastAsia" w:ascii="宋体" w:hAnsi="宋体" w:eastAsia="宋体" w:cs="宋体"/>
          <w:i w:val="0"/>
          <w:color w:val="auto"/>
          <w:kern w:val="0"/>
          <w:sz w:val="20"/>
          <w:szCs w:val="20"/>
          <w:highlight w:val="none"/>
          <w:u w:val="none"/>
          <w:lang w:val="en-US" w:eastAsia="zh-CN" w:bidi="ar"/>
        </w:rPr>
        <w:t>表4</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rPr>
        <w:t>财政拨款收支预算总体情况表</w:t>
      </w:r>
    </w:p>
    <w:p>
      <w:pPr>
        <w:widowControl/>
        <w:spacing w:line="240" w:lineRule="auto"/>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 xml:space="preserve">：呼图壁县干河子国有林管护站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单位：万元                                     </w:t>
      </w:r>
    </w:p>
    <w:tbl>
      <w:tblPr>
        <w:tblStyle w:val="10"/>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7.52</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7.52</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7.52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7.52</w:t>
            </w:r>
          </w:p>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宋体" w:hAnsi="宋体" w:eastAsia="宋体" w:cs="宋体"/>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7.52</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7.52</w:t>
            </w:r>
            <w:r>
              <w:rPr>
                <w:rFonts w:hint="eastAsia" w:ascii="仿宋_GB2312" w:hAnsi="宋体" w:eastAsia="仿宋_GB2312" w:cs="宋体"/>
                <w:b/>
                <w:bCs/>
                <w:color w:val="auto"/>
                <w:kern w:val="0"/>
                <w:sz w:val="20"/>
                <w:szCs w:val="20"/>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7.52</w:t>
            </w:r>
            <w:r>
              <w:rPr>
                <w:rFonts w:hint="eastAsia" w:ascii="仿宋_GB2312" w:hAnsi="宋体" w:eastAsia="仿宋_GB2312" w:cs="宋体"/>
                <w:b/>
                <w:bCs/>
                <w:color w:val="auto"/>
                <w:kern w:val="0"/>
                <w:sz w:val="20"/>
                <w:szCs w:val="20"/>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0"/>
        <w:tblW w:w="9214" w:type="dxa"/>
        <w:tblInd w:w="-34" w:type="dxa"/>
        <w:tblLayout w:type="autofit"/>
        <w:tblCellMar>
          <w:top w:w="0" w:type="dxa"/>
          <w:left w:w="108" w:type="dxa"/>
          <w:bottom w:w="0" w:type="dxa"/>
          <w:right w:w="108" w:type="dxa"/>
        </w:tblCellMar>
      </w:tblPr>
      <w:tblGrid>
        <w:gridCol w:w="486"/>
        <w:gridCol w:w="666"/>
        <w:gridCol w:w="846"/>
        <w:gridCol w:w="2695"/>
        <w:gridCol w:w="1213"/>
        <w:gridCol w:w="1727"/>
        <w:gridCol w:w="1581"/>
      </w:tblGrid>
      <w:tr>
        <w:tblPrEx>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noWrap w:val="0"/>
            <w:vAlign w:val="center"/>
          </w:tcPr>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rPr>
              <w:t>一般公共预算支出情况表</w:t>
            </w:r>
          </w:p>
          <w:p>
            <w:pPr>
              <w:jc w:val="left"/>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 xml:space="preserve">：呼图壁县干河子国有林管护站         </w:t>
            </w:r>
            <w:r>
              <w:rPr>
                <w:rFonts w:hint="eastAsia" w:ascii="Calibri" w:hAnsi="Calibri" w:eastAsia="宋体" w:cs="Times New Roman"/>
                <w:color w:val="000000"/>
                <w:sz w:val="18"/>
                <w:szCs w:val="18"/>
                <w:lang w:val="en-US" w:eastAsia="zh-CN"/>
              </w:rPr>
              <w:t xml:space="preserve">             </w:t>
            </w:r>
            <w:r>
              <w:rPr>
                <w:rFonts w:hint="eastAsia" w:ascii="Calibri" w:hAnsi="Calibri" w:eastAsia="宋体" w:cs="Times New Roman"/>
                <w:color w:val="000000"/>
                <w:sz w:val="18"/>
                <w:szCs w:val="18"/>
              </w:rPr>
              <w:t xml:space="preserve">单位：万元  </w:t>
            </w:r>
          </w:p>
        </w:tc>
      </w:tr>
      <w:tr>
        <w:tblPrEx>
          <w:tblCellMar>
            <w:top w:w="0" w:type="dxa"/>
            <w:left w:w="108" w:type="dxa"/>
            <w:bottom w:w="0" w:type="dxa"/>
            <w:right w:w="108" w:type="dxa"/>
          </w:tblCellMar>
        </w:tblPrEx>
        <w:trPr>
          <w:trHeight w:val="405" w:hRule="atLeast"/>
        </w:trPr>
        <w:tc>
          <w:tcPr>
            <w:tcW w:w="4693"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521"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99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69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21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2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58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66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84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69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21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2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58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农林水支出</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林业和草原</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213</w:t>
            </w: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both"/>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04</w:t>
            </w: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jc w:val="left"/>
              <w:rPr>
                <w:rFonts w:hint="eastAsia"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事业机构</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7.52</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65"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8"/>
                <w:szCs w:val="18"/>
                <w:highlight w:val="none"/>
                <w:lang w:val="en-US" w:eastAsia="zh-CN" w:bidi="ar-SA"/>
              </w:rPr>
            </w:pP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xml:space="preserve">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default"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xml:space="preserve">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tabs>
                <w:tab w:val="center" w:pos="755"/>
                <w:tab w:val="right" w:pos="1811"/>
              </w:tabs>
              <w:jc w:val="lef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ab/>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xml:space="preserve">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xml:space="preserve">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hint="eastAsia" w:ascii="仿宋_GB2312" w:hAnsi="宋体" w:eastAsia="仿宋_GB2312" w:cs="宋体"/>
                <w:color w:val="auto"/>
                <w:kern w:val="2"/>
                <w:sz w:val="18"/>
                <w:szCs w:val="18"/>
                <w:highlight w:val="none"/>
                <w:lang w:val="en-US" w:eastAsia="zh-CN" w:bidi="ar-SA"/>
              </w:rPr>
            </w:pP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66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846"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2695"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1213"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72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6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4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6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1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2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6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84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6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21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2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66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84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21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2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66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84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69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213"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仿宋_GB2312" w:eastAsia="仿宋_GB2312"/>
                <w:b/>
                <w:bCs/>
                <w:color w:val="auto"/>
                <w:sz w:val="18"/>
                <w:szCs w:val="18"/>
                <w:highlight w:val="none"/>
                <w:lang w:val="en-US" w:eastAsia="zh-CN"/>
              </w:rPr>
              <w:t>7.52</w:t>
            </w:r>
          </w:p>
        </w:tc>
        <w:tc>
          <w:tcPr>
            <w:tcW w:w="172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仿宋_GB2312" w:eastAsia="仿宋_GB2312"/>
                <w:b/>
                <w:bCs/>
                <w:color w:val="auto"/>
                <w:sz w:val="18"/>
                <w:szCs w:val="18"/>
                <w:highlight w:val="none"/>
                <w:lang w:val="en-US" w:eastAsia="zh-CN"/>
              </w:rPr>
              <w:t>7.52</w:t>
            </w:r>
          </w:p>
        </w:tc>
        <w:tc>
          <w:tcPr>
            <w:tcW w:w="15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bl>
    <w:p>
      <w:pPr>
        <w:pStyle w:val="4"/>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0"/>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 w:hAnsi="宋体" w:eastAsia="仿宋"/>
                <w:b/>
                <w:color w:val="000000"/>
                <w:sz w:val="28"/>
                <w:szCs w:val="28"/>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Calibri" w:hAnsi="Calibri" w:eastAsia="宋体" w:cs="Times New Roman"/>
                <w:color w:val="000000"/>
                <w:sz w:val="18"/>
                <w:szCs w:val="18"/>
              </w:rPr>
              <w:t>呼图壁县干河子国有林管护站</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54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7.52</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7.52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r>
              <w:rPr>
                <w:rFonts w:hint="eastAsia" w:ascii="仿宋_GB2312" w:hAnsi="宋体" w:eastAsia="仿宋_GB2312"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绩效工资</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7.52</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7.52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lang w:val="en-US" w:eastAsia="zh-CN"/>
              </w:rPr>
            </w:pP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jc w:val="left"/>
              <w:rPr>
                <w:rFonts w:hint="default" w:ascii="Times New Roman" w:hAnsi="Times New Roman" w:eastAsia="宋体" w:cs="Times New Roman"/>
                <w:kern w:val="2"/>
                <w:sz w:val="21"/>
                <w:szCs w:val="24"/>
                <w:lang w:val="en-US" w:eastAsia="zh-CN" w:bidi="ar-SA"/>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7.52</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7.52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4"/>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4"/>
        <w:spacing w:before="0" w:after="0" w:line="240" w:lineRule="auto"/>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0"/>
        <w:tblW w:w="9540" w:type="dxa"/>
        <w:tblInd w:w="-360" w:type="dxa"/>
        <w:tblLayout w:type="autofit"/>
        <w:tblCellMar>
          <w:top w:w="0" w:type="dxa"/>
          <w:left w:w="108" w:type="dxa"/>
          <w:bottom w:w="0" w:type="dxa"/>
          <w:right w:w="108" w:type="dxa"/>
        </w:tblCellMar>
      </w:tblPr>
      <w:tblGrid>
        <w:gridCol w:w="8"/>
        <w:gridCol w:w="409"/>
        <w:gridCol w:w="417"/>
        <w:gridCol w:w="417"/>
        <w:gridCol w:w="828"/>
        <w:gridCol w:w="1400"/>
        <w:gridCol w:w="732"/>
        <w:gridCol w:w="372"/>
        <w:gridCol w:w="189"/>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575" w:type="dxa"/>
            <w:gridSpan w:val="7"/>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呼图壁县干河子国有林管护站</w:t>
            </w:r>
          </w:p>
        </w:tc>
        <w:tc>
          <w:tcPr>
            <w:tcW w:w="71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noWrap w:val="0"/>
            <w:vAlign w:val="center"/>
          </w:tcPr>
          <w:p>
            <w:pPr>
              <w:widowControl/>
              <w:jc w:val="center"/>
              <w:outlineLvl w:val="1"/>
              <w:rPr>
                <w:rFonts w:ascii="仿宋_GB2312" w:hAnsi="宋体" w:eastAsia="仿宋_GB2312"/>
                <w:color w:val="auto"/>
                <w:kern w:val="0"/>
                <w:szCs w:val="21"/>
                <w:highlight w:val="none"/>
              </w:rPr>
            </w:pPr>
          </w:p>
        </w:tc>
        <w:tc>
          <w:tcPr>
            <w:tcW w:w="56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仿宋_GB2312" w:hAnsi="宋体" w:eastAsia="仿宋"/>
          <w:b/>
          <w:color w:val="auto"/>
          <w:kern w:val="0"/>
          <w:sz w:val="28"/>
          <w:szCs w:val="28"/>
          <w:highlight w:val="none"/>
          <w:lang w:val="en-US" w:eastAsia="zh-CN"/>
        </w:rPr>
      </w:pPr>
      <w:r>
        <w:rPr>
          <w:rFonts w:hint="eastAsia" w:ascii="仿宋" w:hAnsi="Times New Roman" w:eastAsia="仿宋" w:cs="Times New Roman"/>
          <w:b/>
          <w:color w:val="000000"/>
          <w:szCs w:val="21"/>
        </w:rPr>
        <w:t>备注：呼图壁县干河子国有林管护站20</w:t>
      </w:r>
      <w:r>
        <w:rPr>
          <w:rFonts w:hint="eastAsia" w:ascii="仿宋" w:hAnsi="Times New Roman" w:eastAsia="仿宋" w:cs="Times New Roman"/>
          <w:b/>
          <w:color w:val="000000"/>
          <w:szCs w:val="21"/>
          <w:lang w:val="en-US" w:eastAsia="zh-CN"/>
        </w:rPr>
        <w:t>25</w:t>
      </w:r>
      <w:r>
        <w:rPr>
          <w:rFonts w:hint="eastAsia" w:ascii="仿宋" w:hAnsi="Times New Roman" w:eastAsia="仿宋" w:cs="Times New Roman"/>
          <w:b/>
          <w:color w:val="000000"/>
          <w:szCs w:val="21"/>
        </w:rPr>
        <w:t>年</w:t>
      </w:r>
      <w:r>
        <w:rPr>
          <w:rFonts w:hint="eastAsia" w:ascii="仿宋" w:eastAsia="仿宋"/>
          <w:b/>
          <w:color w:val="000000"/>
          <w:szCs w:val="21"/>
        </w:rPr>
        <w:t>没有使用一般公共预算安排项目支出，一般公共预算项目支出情况表为空表。</w:t>
      </w:r>
    </w:p>
    <w:p>
      <w:pPr>
        <w:widowControl/>
        <w:outlineLvl w:val="1"/>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：呼图壁县干河子国有林管护站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10"/>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outlineLvl w:val="1"/>
        <w:rPr>
          <w:rFonts w:hint="eastAsia" w:ascii="仿宋_GB2312" w:hAnsi="宋体" w:eastAsia="仿宋"/>
          <w:b/>
          <w:color w:val="auto"/>
          <w:kern w:val="0"/>
          <w:sz w:val="28"/>
          <w:szCs w:val="32"/>
          <w:highlight w:val="none"/>
          <w:lang w:val="en-US" w:eastAsia="zh-CN"/>
        </w:rPr>
      </w:pPr>
      <w:r>
        <w:rPr>
          <w:rFonts w:hint="eastAsia" w:ascii="仿宋" w:hAnsi="Times New Roman" w:eastAsia="仿宋" w:cs="Times New Roman"/>
          <w:b/>
          <w:color w:val="000000"/>
          <w:szCs w:val="21"/>
          <w:lang w:val="en-US" w:eastAsia="zh-CN"/>
        </w:rPr>
        <w:t>备注：</w:t>
      </w:r>
      <w:r>
        <w:rPr>
          <w:rFonts w:hint="eastAsia" w:ascii="仿宋" w:hAnsi="Times New Roman" w:eastAsia="仿宋" w:cs="Times New Roman"/>
          <w:b/>
          <w:color w:val="000000"/>
          <w:szCs w:val="21"/>
        </w:rPr>
        <w:t>呼图壁县干河子国有林管护站20</w:t>
      </w:r>
      <w:r>
        <w:rPr>
          <w:rFonts w:hint="eastAsia" w:ascii="仿宋" w:hAnsi="Times New Roman" w:eastAsia="仿宋" w:cs="Times New Roman"/>
          <w:b/>
          <w:color w:val="000000"/>
          <w:szCs w:val="21"/>
          <w:lang w:val="en-US" w:eastAsia="zh-CN"/>
        </w:rPr>
        <w:t>25</w:t>
      </w:r>
      <w:r>
        <w:rPr>
          <w:rFonts w:hint="eastAsia" w:ascii="仿宋" w:hAnsi="Times New Roman" w:eastAsia="仿宋" w:cs="Times New Roman"/>
          <w:b/>
          <w:color w:val="000000"/>
          <w:szCs w:val="21"/>
        </w:rPr>
        <w:t>年</w:t>
      </w:r>
      <w:r>
        <w:rPr>
          <w:rFonts w:hint="eastAsia" w:ascii="仿宋" w:eastAsia="仿宋"/>
          <w:b/>
          <w:color w:val="000000"/>
          <w:szCs w:val="21"/>
        </w:rPr>
        <w:t>没有使用政府性基金预算拨款安排的支出，政府性基金预算支出情况表为空表。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lang w:val="en-US" w:eastAsia="zh-CN"/>
        </w:rPr>
        <w:t>国有资本经营预算支出</w:t>
      </w:r>
      <w:r>
        <w:rPr>
          <w:rFonts w:hint="eastAsia" w:ascii="仿宋" w:hAnsi="宋体" w:eastAsia="仿宋" w:cs="Times New Roman"/>
          <w:b/>
          <w:color w:val="000000"/>
          <w:sz w:val="28"/>
          <w:szCs w:val="28"/>
        </w:rPr>
        <w:t>情况表</w:t>
      </w:r>
    </w:p>
    <w:p>
      <w:pPr>
        <w:widowControl/>
        <w:spacing w:line="240" w:lineRule="auto"/>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呼图壁县干河子国有林管护站</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0"/>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jc w:val="left"/>
        <w:rPr>
          <w:rFonts w:hint="eastAsia" w:ascii="仿宋" w:eastAsia="仿宋"/>
          <w:b/>
          <w:color w:val="000000"/>
          <w:szCs w:val="21"/>
          <w:lang w:eastAsia="zh-CN"/>
        </w:rPr>
        <w:sectPr>
          <w:pgSz w:w="11906" w:h="16838"/>
          <w:pgMar w:top="1134" w:right="1134" w:bottom="1134" w:left="1134" w:header="851" w:footer="992" w:gutter="0"/>
          <w:cols w:space="425" w:num="1"/>
          <w:docGrid w:type="lines" w:linePitch="312" w:charSpace="0"/>
        </w:sectPr>
      </w:pPr>
      <w:r>
        <w:rPr>
          <w:rFonts w:hint="eastAsia" w:ascii="仿宋" w:hAnsi="Times New Roman" w:eastAsia="仿宋" w:cs="Times New Roman"/>
          <w:b/>
          <w:color w:val="000000"/>
          <w:szCs w:val="21"/>
        </w:rPr>
        <w:t>备注：呼图壁县干河子国有林管护站20</w:t>
      </w:r>
      <w:r>
        <w:rPr>
          <w:rFonts w:hint="eastAsia" w:ascii="仿宋" w:hAnsi="Times New Roman" w:eastAsia="仿宋" w:cs="Times New Roman"/>
          <w:b/>
          <w:color w:val="000000"/>
          <w:szCs w:val="21"/>
          <w:lang w:val="en-US" w:eastAsia="zh-CN"/>
        </w:rPr>
        <w:t>25</w:t>
      </w:r>
      <w:r>
        <w:rPr>
          <w:rFonts w:hint="eastAsia" w:ascii="仿宋" w:hAnsi="Times New Roman" w:eastAsia="仿宋" w:cs="Times New Roman"/>
          <w:b/>
          <w:color w:val="000000"/>
          <w:szCs w:val="21"/>
        </w:rPr>
        <w:t>年没有使用国有资本经营预算拨款安排的支出，国有资本经营预算支出情况表为空表</w:t>
      </w:r>
      <w:r>
        <w:rPr>
          <w:rFonts w:hint="eastAsia" w:ascii="仿宋" w:hAnsi="Times New Roman" w:eastAsia="仿宋" w:cs="Times New Roman"/>
          <w:b/>
          <w:color w:val="000000"/>
          <w:szCs w:val="21"/>
          <w:lang w:eastAsia="zh-CN"/>
        </w:rPr>
        <w:t>。</w:t>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lang w:val="en-US" w:eastAsia="zh-Hans"/>
        </w:rPr>
        <w:t>财政拨款</w:t>
      </w:r>
      <w:r>
        <w:rPr>
          <w:rFonts w:hint="eastAsia" w:ascii="仿宋" w:hAnsi="宋体" w:eastAsia="仿宋" w:cs="Times New Roman"/>
          <w:b/>
          <w:color w:val="000000"/>
          <w:sz w:val="28"/>
          <w:szCs w:val="28"/>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呼图壁县干河子国有林管护站</w:t>
      </w:r>
      <w:r>
        <w:rPr>
          <w:rFonts w:hint="eastAsia" w:ascii="仿宋_GB2312" w:hAnsi="宋体" w:eastAsia="仿宋_GB2312"/>
          <w:color w:val="auto"/>
          <w:kern w:val="0"/>
          <w:sz w:val="24"/>
          <w:highlight w:val="none"/>
        </w:rPr>
        <w:t xml:space="preserve">                   单位：万元</w:t>
      </w:r>
    </w:p>
    <w:tbl>
      <w:tblPr>
        <w:tblStyle w:val="11"/>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 w:hAnsi="Times New Roman" w:eastAsia="仿宋" w:cs="Times New Roman"/>
          <w:b/>
          <w:color w:val="000000"/>
          <w:sz w:val="22"/>
          <w:szCs w:val="22"/>
          <w:lang w:eastAsia="zh-CN"/>
        </w:rPr>
      </w:pPr>
      <w:r>
        <w:rPr>
          <w:rFonts w:hint="eastAsia" w:ascii="仿宋" w:hAnsi="Times New Roman" w:eastAsia="仿宋" w:cs="Times New Roman"/>
          <w:b/>
          <w:color w:val="000000"/>
          <w:sz w:val="22"/>
          <w:szCs w:val="22"/>
        </w:rPr>
        <w:t>备注：呼图壁县干河子国有林管护站20</w:t>
      </w:r>
      <w:r>
        <w:rPr>
          <w:rFonts w:hint="eastAsia" w:ascii="仿宋" w:hAnsi="Times New Roman" w:eastAsia="仿宋" w:cs="Times New Roman"/>
          <w:b/>
          <w:color w:val="000000"/>
          <w:sz w:val="22"/>
          <w:szCs w:val="22"/>
          <w:lang w:val="en-US" w:eastAsia="zh-CN"/>
        </w:rPr>
        <w:t>25</w:t>
      </w:r>
      <w:r>
        <w:rPr>
          <w:rFonts w:hint="eastAsia" w:ascii="仿宋" w:hAnsi="Times New Roman" w:eastAsia="仿宋" w:cs="Times New Roman"/>
          <w:b/>
          <w:color w:val="000000"/>
          <w:sz w:val="22"/>
          <w:szCs w:val="22"/>
        </w:rPr>
        <w:t>年没有“三公”经费支出，此表</w:t>
      </w:r>
      <w:r>
        <w:rPr>
          <w:rFonts w:hint="eastAsia" w:ascii="仿宋" w:eastAsia="仿宋" w:cs="Times New Roman"/>
          <w:b/>
          <w:color w:val="000000"/>
          <w:sz w:val="22"/>
          <w:szCs w:val="22"/>
          <w:lang w:val="en-US" w:eastAsia="zh-CN"/>
        </w:rPr>
        <w:t>为空表</w:t>
      </w:r>
      <w:r>
        <w:rPr>
          <w:rFonts w:hint="eastAsia" w:ascii="仿宋" w:hAnsi="Times New Roman" w:eastAsia="仿宋" w:cs="Times New Roman"/>
          <w:b/>
          <w:color w:val="000000"/>
          <w:sz w:val="22"/>
          <w:szCs w:val="22"/>
          <w:lang w:eastAsia="zh-CN"/>
        </w:rPr>
        <w:t>。</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jc w:val="center"/>
        <w:rPr>
          <w:rFonts w:hint="eastAsia" w:ascii="仿宋" w:hAnsi="宋体" w:eastAsia="仿宋" w:cs="Times New Roman"/>
          <w:b/>
          <w:color w:val="000000"/>
          <w:sz w:val="28"/>
          <w:szCs w:val="28"/>
          <w:lang w:val="en-US" w:eastAsia="zh-Hans"/>
        </w:rPr>
      </w:pPr>
      <w:r>
        <w:rPr>
          <w:rFonts w:hint="eastAsia" w:ascii="仿宋" w:hAnsi="宋体" w:eastAsia="仿宋" w:cs="Times New Roman"/>
          <w:b/>
          <w:color w:val="000000"/>
          <w:sz w:val="28"/>
          <w:szCs w:val="28"/>
          <w:lang w:val="en-US" w:eastAsia="zh-Hans"/>
        </w:rPr>
        <w:t>上年结转</w:t>
      </w:r>
      <w:r>
        <w:rPr>
          <w:rFonts w:hint="eastAsia" w:ascii="仿宋" w:hAnsi="宋体" w:eastAsia="仿宋" w:cs="Times New Roman"/>
          <w:b/>
          <w:color w:val="000000"/>
          <w:sz w:val="28"/>
          <w:szCs w:val="28"/>
          <w:lang w:val="en-US" w:eastAsia="zh-CN"/>
        </w:rPr>
        <w:t>结余</w:t>
      </w:r>
      <w:r>
        <w:rPr>
          <w:rFonts w:hint="eastAsia" w:ascii="仿宋" w:hAnsi="宋体" w:eastAsia="仿宋" w:cs="Times New Roman"/>
          <w:b/>
          <w:color w:val="000000"/>
          <w:sz w:val="28"/>
          <w:szCs w:val="28"/>
          <w:lang w:val="en-US" w:eastAsia="zh-Hans"/>
        </w:rPr>
        <w:t>情况明细表</w:t>
      </w:r>
    </w:p>
    <w:p>
      <w:pPr>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：呼图壁县干河子国有林管护站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p>
    <w:tbl>
      <w:tblPr>
        <w:tblStyle w:val="11"/>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jc w:val="both"/>
        <w:outlineLvl w:val="1"/>
        <w:rPr>
          <w:rFonts w:hint="eastAsia" w:ascii="仿宋" w:hAnsi="Times New Roman" w:eastAsia="仿宋" w:cs="Times New Roman"/>
          <w:b/>
          <w:color w:val="000000"/>
          <w:sz w:val="24"/>
          <w:szCs w:val="24"/>
        </w:rPr>
      </w:pPr>
      <w:r>
        <w:rPr>
          <w:rFonts w:hint="eastAsia" w:ascii="仿宋" w:hAnsi="Times New Roman" w:eastAsia="仿宋" w:cs="Times New Roman"/>
          <w:b/>
          <w:color w:val="000000"/>
          <w:sz w:val="24"/>
          <w:szCs w:val="24"/>
        </w:rPr>
        <w:t>备注：呼图壁县干河子国有林管护站</w:t>
      </w:r>
      <w:r>
        <w:rPr>
          <w:rFonts w:hint="eastAsia" w:ascii="仿宋" w:hAnsi="Times New Roman" w:eastAsia="仿宋" w:cs="Times New Roman"/>
          <w:b/>
          <w:color w:val="000000"/>
          <w:sz w:val="24"/>
          <w:szCs w:val="24"/>
          <w:lang w:eastAsia="zh-CN"/>
        </w:rPr>
        <w:t>202</w:t>
      </w:r>
      <w:r>
        <w:rPr>
          <w:rFonts w:hint="eastAsia" w:ascii="仿宋" w:hAnsi="Times New Roman" w:eastAsia="仿宋" w:cs="Times New Roman"/>
          <w:b/>
          <w:color w:val="000000"/>
          <w:sz w:val="24"/>
          <w:szCs w:val="24"/>
          <w:lang w:val="en-US" w:eastAsia="zh-CN"/>
        </w:rPr>
        <w:t>5</w:t>
      </w:r>
      <w:r>
        <w:rPr>
          <w:rFonts w:hint="eastAsia" w:ascii="仿宋" w:hAnsi="Times New Roman" w:eastAsia="仿宋" w:cs="Times New Roman"/>
          <w:b/>
          <w:color w:val="000000"/>
          <w:sz w:val="24"/>
          <w:szCs w:val="24"/>
          <w:lang w:eastAsia="zh-CN"/>
        </w:rPr>
        <w:t>年</w:t>
      </w:r>
      <w:r>
        <w:rPr>
          <w:rFonts w:hint="eastAsia" w:ascii="仿宋" w:hAnsi="Times New Roman" w:eastAsia="仿宋" w:cs="Times New Roman"/>
          <w:b/>
          <w:color w:val="000000"/>
          <w:sz w:val="24"/>
          <w:szCs w:val="24"/>
        </w:rPr>
        <w:t>没有上年结转结余预算安排的支出，上年结转结余情况明细表为空表。</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2"/>
        <w:spacing w:before="156" w:beforeLines="50" w:after="156" w:afterLines="50" w:line="240" w:lineRule="atLeast"/>
        <w:jc w:val="center"/>
        <w:rPr>
          <w:rFonts w:ascii="黑体" w:hAnsi="黑体" w:eastAsia="黑体"/>
          <w:color w:val="auto"/>
          <w:kern w:val="0"/>
          <w:sz w:val="32"/>
          <w:szCs w:val="32"/>
          <w:highlight w:val="none"/>
        </w:rPr>
      </w:pPr>
      <w:r>
        <w:rPr>
          <w:rFonts w:hint="eastAsia" w:ascii="黑体" w:eastAsia="黑体"/>
          <w:sz w:val="30"/>
          <w:szCs w:val="30"/>
        </w:rPr>
        <w:t xml:space="preserve">第三部分 </w:t>
      </w:r>
      <w:r>
        <w:rPr>
          <w:rFonts w:hint="eastAsia" w:ascii="黑体" w:eastAsia="黑体"/>
          <w:sz w:val="30"/>
          <w:szCs w:val="30"/>
          <w:lang w:eastAsia="zh-CN"/>
        </w:rPr>
        <w:t>2025</w:t>
      </w:r>
      <w:r>
        <w:rPr>
          <w:rFonts w:hint="eastAsia" w:ascii="黑体" w:eastAsia="黑体"/>
          <w:sz w:val="30"/>
          <w:szCs w:val="30"/>
        </w:rPr>
        <w:t>年部门预算情况说明</w:t>
      </w:r>
    </w:p>
    <w:p>
      <w:pPr>
        <w:pStyle w:val="3"/>
        <w:numPr>
          <w:ilvl w:val="0"/>
          <w:numId w:val="1"/>
        </w:numPr>
        <w:spacing w:before="0" w:after="0" w:line="560" w:lineRule="exact"/>
        <w:ind w:left="0" w:firstLine="565" w:firstLineChars="201"/>
        <w:rPr>
          <w:rFonts w:hint="eastAsia" w:ascii="仿宋" w:hAnsi="华文楷体" w:eastAsia="仿宋" w:cs="Times New Roman"/>
          <w:sz w:val="28"/>
          <w:szCs w:val="28"/>
        </w:rPr>
      </w:pPr>
      <w:r>
        <w:rPr>
          <w:rFonts w:hint="eastAsia" w:ascii="仿宋" w:hAnsi="华文楷体" w:eastAsia="仿宋" w:cs="Times New Roman"/>
          <w:sz w:val="28"/>
          <w:szCs w:val="28"/>
        </w:rPr>
        <w:t>关于呼图壁县干河子国有林管护站</w:t>
      </w:r>
      <w:r>
        <w:rPr>
          <w:rFonts w:hint="eastAsia" w:ascii="仿宋" w:hAnsi="华文楷体" w:eastAsia="仿宋" w:cs="Times New Roman"/>
          <w:sz w:val="28"/>
          <w:szCs w:val="28"/>
          <w:lang w:val="en-US" w:eastAsia="zh-CN"/>
        </w:rPr>
        <w:t>2025</w:t>
      </w:r>
      <w:r>
        <w:rPr>
          <w:rFonts w:hint="eastAsia" w:ascii="仿宋" w:hAnsi="华文楷体" w:eastAsia="仿宋" w:cs="Times New Roman"/>
          <w:sz w:val="28"/>
          <w:szCs w:val="28"/>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按照全口径预算的原则，呼图壁县干河子国有林管护站2025年所有收入和支出均纳入部门预算管理。收支总预算11.73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b/>
          <w:bCs/>
          <w:color w:val="auto"/>
          <w:kern w:val="0"/>
          <w:sz w:val="32"/>
          <w:szCs w:val="32"/>
          <w:highlight w:val="none"/>
          <w:lang w:eastAsia="zh-CN"/>
        </w:rPr>
        <w:t>收入预算包括：</w:t>
      </w:r>
      <w:r>
        <w:rPr>
          <w:rFonts w:hint="eastAsia" w:ascii="仿宋_GB2312" w:hAnsi="宋体" w:eastAsia="仿宋_GB2312" w:cs="宋体"/>
          <w:color w:val="auto"/>
          <w:kern w:val="0"/>
          <w:sz w:val="32"/>
          <w:szCs w:val="32"/>
          <w:highlight w:val="none"/>
          <w:lang w:eastAsia="zh-CN"/>
        </w:rPr>
        <w:t>一般公共预算、</w:t>
      </w:r>
      <w:r>
        <w:rPr>
          <w:rFonts w:hint="eastAsia" w:ascii="仿宋_GB2312" w:hAnsi="宋体" w:eastAsia="仿宋_GB2312" w:cs="宋体"/>
          <w:color w:val="auto"/>
          <w:kern w:val="0"/>
          <w:sz w:val="32"/>
          <w:szCs w:val="32"/>
          <w:highlight w:val="none"/>
          <w:lang w:val="en-US" w:eastAsia="zh-CN"/>
        </w:rPr>
        <w:t>单位资金。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drawing>
          <wp:inline distT="0" distB="0" distL="114300" distR="114300">
            <wp:extent cx="3175" cy="3175"/>
            <wp:effectExtent l="0" t="0" r="0" b="0"/>
            <wp:docPr id="125"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13"/>
                    <pic:cNvPicPr>
                      <a:picLocks noChangeAspect="1"/>
                    </pic:cNvPicPr>
                  </pic:nvPicPr>
                  <pic:blipFill>
                    <a:blip r:embed="rId7"/>
                    <a:stretch>
                      <a:fillRect/>
                    </a:stretch>
                  </pic:blipFill>
                  <pic:spPr>
                    <a:xfrm>
                      <a:off x="0" y="0"/>
                      <a:ext cx="3175" cy="3175"/>
                    </a:xfrm>
                    <a:prstGeom prst="rect">
                      <a:avLst/>
                    </a:prstGeom>
                    <a:noFill/>
                    <a:ln>
                      <a:noFill/>
                    </a:ln>
                  </pic:spPr>
                </pic:pic>
              </a:graphicData>
            </a:graphic>
          </wp:inline>
        </w:drawing>
      </w:r>
      <w:r>
        <w:rPr>
          <w:rFonts w:hint="eastAsia" w:ascii="仿宋_GB2312" w:hAnsi="宋体" w:eastAsia="仿宋_GB2312" w:cs="宋体"/>
          <w:b/>
          <w:bCs/>
          <w:color w:val="auto"/>
          <w:kern w:val="0"/>
          <w:sz w:val="32"/>
          <w:szCs w:val="32"/>
          <w:highlight w:val="none"/>
          <w:lang w:eastAsia="zh-CN"/>
        </w:rPr>
        <w:t>支出预算包括：</w:t>
      </w:r>
      <w:r>
        <w:rPr>
          <w:rFonts w:hint="eastAsia" w:ascii="仿宋" w:hAnsi="微软雅黑" w:eastAsia="仿宋" w:cs="Times New Roman"/>
          <w:sz w:val="28"/>
          <w:szCs w:val="28"/>
          <w:lang w:val="en-US" w:eastAsia="zh-CN"/>
        </w:rPr>
        <w:t>社会保障和就业支出、卫生健康支出、农林水支出、住房保障支出。</w:t>
      </w:r>
    </w:p>
    <w:p>
      <w:pPr>
        <w:pStyle w:val="3"/>
        <w:numPr>
          <w:ilvl w:val="0"/>
          <w:numId w:val="1"/>
        </w:numPr>
        <w:spacing w:before="0" w:after="0" w:line="560" w:lineRule="exact"/>
        <w:ind w:left="0" w:firstLine="565" w:firstLineChars="201"/>
        <w:rPr>
          <w:rFonts w:hint="eastAsia" w:ascii="仿宋" w:hAnsi="华文楷体" w:eastAsia="仿宋" w:cs="Times New Roman"/>
          <w:sz w:val="28"/>
          <w:szCs w:val="28"/>
        </w:rPr>
      </w:pPr>
      <w:r>
        <w:rPr>
          <w:rFonts w:hint="eastAsia" w:ascii="仿宋" w:hAnsi="华文楷体" w:eastAsia="仿宋" w:cs="Times New Roman"/>
          <w:sz w:val="28"/>
          <w:szCs w:val="28"/>
        </w:rPr>
        <w:t>关于呼图壁县干河子国有林管护站</w:t>
      </w:r>
      <w:r>
        <w:rPr>
          <w:rFonts w:hint="eastAsia" w:ascii="仿宋" w:hAnsi="华文楷体" w:eastAsia="仿宋" w:cs="Times New Roman"/>
          <w:sz w:val="28"/>
          <w:szCs w:val="28"/>
          <w:lang w:val="en-US" w:eastAsia="zh-CN"/>
        </w:rPr>
        <w:t>2025年</w:t>
      </w:r>
      <w:r>
        <w:rPr>
          <w:rFonts w:hint="eastAsia" w:ascii="仿宋" w:hAnsi="华文楷体" w:eastAsia="仿宋" w:cs="Times New Roman"/>
          <w:sz w:val="28"/>
          <w:szCs w:val="28"/>
        </w:rPr>
        <w:t>收入预算情况说明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呼图壁县干河子国有林管护站收入预算11.73万元，其中：</w:t>
      </w:r>
    </w:p>
    <w:p>
      <w:pPr>
        <w:pStyle w:val="5"/>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一般公共预算7.52万元，占64.11%，比上年预算减少23.81万元，下降76.00%，主要原因是2025年较2024年人员减少，相关预算一并减少。</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上级</w:t>
      </w:r>
      <w:r>
        <w:rPr>
          <w:rFonts w:hint="eastAsia" w:ascii="仿宋" w:hAnsi="微软雅黑" w:eastAsia="仿宋" w:cs="Times New Roman"/>
          <w:sz w:val="28"/>
          <w:szCs w:val="28"/>
          <w:lang w:val="en-US" w:eastAsia="zh-CN"/>
        </w:rPr>
        <w:t>一般公共预算</w:t>
      </w:r>
      <w:r>
        <w:rPr>
          <w:rFonts w:hint="eastAsia" w:ascii="仿宋" w:hAnsi="微软雅黑" w:eastAsia="仿宋" w:cs="Times New Roman"/>
          <w:sz w:val="28"/>
          <w:szCs w:val="28"/>
          <w:lang w:val="en-US" w:eastAsia="zh-Hans"/>
        </w:rPr>
        <w:t>安排的转移支付资金</w:t>
      </w:r>
      <w:r>
        <w:rPr>
          <w:rFonts w:hint="eastAsia" w:ascii="仿宋" w:hAnsi="微软雅黑" w:eastAsia="仿宋" w:cs="Times New Roman"/>
          <w:sz w:val="28"/>
          <w:szCs w:val="28"/>
          <w:lang w:val="en-US" w:eastAsia="zh-CN"/>
        </w:rPr>
        <w:t>未安排。</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政府性基金预算未安排。</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上级政府性基金安排的转移支付资金</w:t>
      </w:r>
      <w:r>
        <w:rPr>
          <w:rFonts w:hint="eastAsia" w:ascii="仿宋" w:hAnsi="微软雅黑" w:eastAsia="仿宋" w:cs="Times New Roman"/>
          <w:sz w:val="28"/>
          <w:szCs w:val="28"/>
          <w:lang w:val="en-US" w:eastAsia="zh-CN"/>
        </w:rPr>
        <w:t>未安排。</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国有资本经营预算未安排。</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上级国有资本经营预算安排的转移支付资金</w:t>
      </w:r>
      <w:r>
        <w:rPr>
          <w:rFonts w:hint="eastAsia" w:ascii="仿宋" w:hAnsi="微软雅黑" w:eastAsia="仿宋" w:cs="Times New Roman"/>
          <w:sz w:val="28"/>
          <w:szCs w:val="28"/>
          <w:lang w:val="en-US" w:eastAsia="zh-CN"/>
        </w:rPr>
        <w:t>未安排。</w:t>
      </w:r>
      <w:r>
        <w:rPr>
          <w:rFonts w:hint="default" w:ascii="仿宋" w:hAnsi="微软雅黑" w:eastAsia="仿宋" w:cs="Times New Roman"/>
          <w:sz w:val="28"/>
          <w:szCs w:val="28"/>
          <w:lang w:val="en-US" w:eastAsia="zh-Hans"/>
        </w:rPr>
        <w:t xml:space="preserve"> </w:t>
      </w:r>
      <w:r>
        <w:rPr>
          <w:rFonts w:hint="eastAsia" w:ascii="仿宋" w:hAnsi="微软雅黑" w:eastAsia="仿宋" w:cs="Times New Roman"/>
          <w:sz w:val="28"/>
          <w:szCs w:val="28"/>
          <w:lang w:val="en-US" w:eastAsia="zh-CN"/>
        </w:rPr>
        <w:t xml:space="preserve">     </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财政拨款结转</w:t>
      </w:r>
      <w:r>
        <w:rPr>
          <w:rFonts w:hint="eastAsia" w:ascii="仿宋" w:hAnsi="微软雅黑" w:eastAsia="仿宋" w:cs="Times New Roman"/>
          <w:sz w:val="28"/>
          <w:szCs w:val="28"/>
          <w:lang w:val="en-US" w:eastAsia="zh-CN"/>
        </w:rPr>
        <w:t>0万元。</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单位资金</w:t>
      </w:r>
      <w:r>
        <w:rPr>
          <w:rFonts w:hint="eastAsia" w:ascii="仿宋" w:hAnsi="微软雅黑" w:eastAsia="仿宋" w:cs="Times New Roman"/>
          <w:sz w:val="28"/>
          <w:szCs w:val="28"/>
          <w:lang w:val="en-US" w:eastAsia="zh-CN"/>
        </w:rPr>
        <w:t>4.21万元，占35.89 %，比上年预算增加4.21万元，增长100%， 主要原因是为保障机构正常运转和完成工作任务，公用支出增加。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rPr>
      </w:pPr>
      <w:r>
        <w:rPr>
          <w:rFonts w:hint="eastAsia" w:ascii="仿宋" w:hAnsi="华文楷体" w:eastAsia="仿宋" w:cs="Times New Roman"/>
          <w:b/>
          <w:kern w:val="2"/>
          <w:sz w:val="28"/>
          <w:szCs w:val="28"/>
          <w:lang w:val="en-US" w:eastAsia="zh-CN"/>
        </w:rPr>
        <w:t>三、关于呼图壁县干河子国有林管护站2025年支出预算情况说明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呼图壁县干河子国有林管护站2025年支出预算11.73万元，其中：</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基本支出11.73万元，占100%，比上年预算减少19.6万元，下降62.56%，主要原因是2025年较2024年人员减少，相关预算一并减少。</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项目支出0万元，占0%，2025年没有使用一般公共预算安排项目支出，与上年持平，主要原因是2025年没有使用一般公共预算安排项目支出。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rPr>
        <w:t>呼图壁县干河子国有林管护站</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kern w:val="0"/>
          <w:sz w:val="32"/>
          <w:szCs w:val="32"/>
          <w:highlight w:val="none"/>
        </w:rPr>
        <w:t>财政拨款收支预算情况的总体说明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2025</w:t>
      </w:r>
      <w:r>
        <w:rPr>
          <w:rFonts w:hint="eastAsia" w:ascii="仿宋" w:hAnsi="微软雅黑" w:eastAsia="仿宋" w:cs="Times New Roman"/>
          <w:sz w:val="28"/>
          <w:szCs w:val="28"/>
        </w:rPr>
        <w:t>年财政拨款收支总预算</w:t>
      </w:r>
      <w:r>
        <w:rPr>
          <w:rFonts w:hint="eastAsia" w:ascii="仿宋" w:hAnsi="微软雅黑" w:eastAsia="仿宋" w:cs="Times New Roman"/>
          <w:sz w:val="28"/>
          <w:szCs w:val="28"/>
          <w:lang w:val="en-US" w:eastAsia="zh-CN"/>
        </w:rPr>
        <w:t>7.52</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收入全部为一般公共预算拨款，无政府性基金预算拨款和国有资本经营预算。</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收入预算包括：一般公共预算拨款</w:t>
      </w:r>
      <w:r>
        <w:rPr>
          <w:rFonts w:hint="eastAsia" w:ascii="仿宋" w:hAnsi="微软雅黑" w:eastAsia="仿宋" w:cs="Times New Roman"/>
          <w:sz w:val="28"/>
          <w:szCs w:val="28"/>
          <w:lang w:val="en-US" w:eastAsia="zh-CN"/>
        </w:rPr>
        <w:t>7.52</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一般公共预算支出包括：农林水支出</w:t>
      </w:r>
      <w:r>
        <w:rPr>
          <w:rFonts w:hint="eastAsia" w:ascii="仿宋" w:hAnsi="微软雅黑" w:eastAsia="仿宋" w:cs="Times New Roman"/>
          <w:sz w:val="28"/>
          <w:szCs w:val="28"/>
          <w:lang w:val="en-US" w:eastAsia="zh-CN"/>
        </w:rPr>
        <w:t>7.52万元，</w:t>
      </w:r>
      <w:r>
        <w:rPr>
          <w:rFonts w:hint="eastAsia" w:ascii="仿宋" w:hAnsi="微软雅黑" w:eastAsia="仿宋" w:cs="Times New Roman"/>
          <w:sz w:val="28"/>
          <w:szCs w:val="28"/>
        </w:rPr>
        <w:t>主要用于</w:t>
      </w:r>
      <w:r>
        <w:rPr>
          <w:rFonts w:hint="eastAsia" w:ascii="仿宋" w:hAnsi="微软雅黑" w:eastAsia="仿宋" w:cs="Times New Roman"/>
          <w:sz w:val="28"/>
          <w:szCs w:val="28"/>
          <w:lang w:val="en-US" w:eastAsia="zh-CN"/>
        </w:rPr>
        <w:t>人员工资</w:t>
      </w:r>
      <w:r>
        <w:rPr>
          <w:rFonts w:hint="eastAsia" w:ascii="仿宋" w:hAnsi="微软雅黑" w:eastAsia="仿宋" w:cs="Times New Roman"/>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呼图壁县干河子国有林管护站</w:t>
      </w:r>
      <w:r>
        <w:rPr>
          <w:rFonts w:hint="eastAsia" w:ascii="楷体_GB2312" w:hAnsi="楷体_GB2312" w:eastAsia="楷体_GB2312" w:cs="楷体_GB2312"/>
          <w:b/>
          <w:bCs w:val="0"/>
          <w:color w:val="auto"/>
          <w:kern w:val="0"/>
          <w:sz w:val="32"/>
          <w:szCs w:val="32"/>
          <w:highlight w:val="none"/>
          <w:lang w:val="en-US" w:eastAsia="zh-CN"/>
        </w:rPr>
        <w:t>2025年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rPr>
        <w:t>呼图壁县干河子国有林管护站</w:t>
      </w:r>
      <w:r>
        <w:rPr>
          <w:rFonts w:hint="eastAsia" w:ascii="仿宋" w:hAnsi="微软雅黑" w:eastAsia="仿宋" w:cs="Times New Roman"/>
          <w:sz w:val="28"/>
          <w:szCs w:val="28"/>
          <w:lang w:val="en-US" w:eastAsia="zh-CN"/>
        </w:rPr>
        <w:t>2025年</w:t>
      </w:r>
      <w:r>
        <w:rPr>
          <w:rFonts w:hint="eastAsia" w:ascii="仿宋" w:hAnsi="微软雅黑" w:eastAsia="仿宋" w:cs="Times New Roman"/>
          <w:sz w:val="28"/>
          <w:szCs w:val="28"/>
        </w:rPr>
        <w:t>一般公共预算拨款合计</w:t>
      </w:r>
      <w:r>
        <w:rPr>
          <w:rFonts w:hint="eastAsia" w:ascii="仿宋" w:hAnsi="微软雅黑" w:eastAsia="仿宋" w:cs="Times New Roman"/>
          <w:sz w:val="28"/>
          <w:szCs w:val="28"/>
          <w:lang w:val="en-US" w:eastAsia="zh-CN"/>
        </w:rPr>
        <w:t>7.52</w:t>
      </w:r>
      <w:r>
        <w:rPr>
          <w:rFonts w:hint="eastAsia" w:ascii="仿宋" w:hAnsi="微软雅黑" w:eastAsia="仿宋" w:cs="Times New Roman"/>
          <w:sz w:val="28"/>
          <w:szCs w:val="28"/>
        </w:rPr>
        <w:t>万元，</w:t>
      </w:r>
      <w:r>
        <w:rPr>
          <w:rFonts w:hint="eastAsia" w:ascii="仿宋" w:hAnsi="微软雅黑" w:eastAsia="仿宋" w:cs="Times New Roman"/>
          <w:sz w:val="28"/>
          <w:szCs w:val="28"/>
          <w:lang w:val="en-US" w:eastAsia="zh-CN"/>
        </w:rPr>
        <w:t>其中:</w:t>
      </w:r>
    </w:p>
    <w:p>
      <w:pPr>
        <w:pStyle w:val="5"/>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基</w:t>
      </w:r>
      <w:r>
        <w:rPr>
          <w:rFonts w:hint="eastAsia" w:ascii="仿宋" w:hAnsi="微软雅黑" w:eastAsia="仿宋" w:cs="Times New Roman"/>
          <w:kern w:val="2"/>
          <w:sz w:val="28"/>
          <w:szCs w:val="28"/>
          <w:lang w:val="en-US" w:eastAsia="zh-CN" w:bidi="ar-SA"/>
        </w:rPr>
        <w:t>本支出7.52万元，占100%，比上年预算减少19.6万元，下降62.56%，主要原因是2025年较2024年人员减少，相关预算一并减少。</w:t>
      </w:r>
    </w:p>
    <w:p>
      <w:pPr>
        <w:pStyle w:val="5"/>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eastAsia="zh-CN"/>
        </w:rPr>
        <w:t>项目支出0</w:t>
      </w:r>
      <w:r>
        <w:rPr>
          <w:rFonts w:hint="eastAsia" w:ascii="仿宋" w:hAnsi="微软雅黑" w:eastAsia="仿宋" w:cs="Times New Roman"/>
          <w:sz w:val="28"/>
          <w:szCs w:val="28"/>
          <w:lang w:val="en-US" w:eastAsia="zh-CN"/>
        </w:rPr>
        <w:t>.00</w:t>
      </w:r>
      <w:r>
        <w:rPr>
          <w:rFonts w:hint="eastAsia" w:ascii="仿宋" w:hAnsi="微软雅黑" w:eastAsia="仿宋" w:cs="Times New Roman"/>
          <w:sz w:val="28"/>
          <w:szCs w:val="28"/>
          <w:lang w:eastAsia="zh-CN"/>
        </w:rPr>
        <w:t>万元，</w:t>
      </w:r>
      <w:r>
        <w:rPr>
          <w:rFonts w:hint="eastAsia" w:ascii="仿宋" w:hAnsi="微软雅黑" w:eastAsia="仿宋" w:cs="Times New Roman"/>
          <w:kern w:val="2"/>
          <w:sz w:val="28"/>
          <w:szCs w:val="28"/>
          <w:lang w:val="en-US" w:eastAsia="zh-CN" w:bidi="ar-SA"/>
        </w:rPr>
        <w:t>占0.00%，2024年-2025年均未安排此项经费。</w:t>
      </w:r>
    </w:p>
    <w:p>
      <w:pPr>
        <w:widowControl/>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1</w:t>
      </w:r>
      <w:r>
        <w:rPr>
          <w:rFonts w:hint="eastAsia" w:ascii="仿宋" w:hAnsi="微软雅黑" w:eastAsia="仿宋" w:cs="Times New Roman"/>
          <w:sz w:val="28"/>
          <w:szCs w:val="28"/>
        </w:rPr>
        <w:t>.</w:t>
      </w:r>
      <w:r>
        <w:rPr>
          <w:rFonts w:hint="eastAsia" w:ascii="仿宋" w:hAnsi="微软雅黑" w:eastAsia="仿宋" w:cs="Times New Roman"/>
          <w:sz w:val="28"/>
          <w:szCs w:val="28"/>
          <w:lang w:val="en-US" w:eastAsia="zh-CN"/>
        </w:rPr>
        <w:t>农林水支出</w:t>
      </w:r>
      <w:r>
        <w:rPr>
          <w:rFonts w:hint="eastAsia" w:ascii="仿宋" w:hAnsi="微软雅黑" w:eastAsia="仿宋" w:cs="Times New Roman"/>
          <w:sz w:val="28"/>
          <w:szCs w:val="28"/>
        </w:rPr>
        <w:t>（类）</w:t>
      </w:r>
      <w:r>
        <w:rPr>
          <w:rFonts w:hint="eastAsia" w:ascii="仿宋" w:hAnsi="微软雅黑" w:eastAsia="仿宋" w:cs="Times New Roman"/>
          <w:sz w:val="28"/>
          <w:szCs w:val="28"/>
          <w:lang w:val="en-US" w:eastAsia="zh-CN"/>
        </w:rPr>
        <w:t>7.52</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100</w:t>
      </w:r>
      <w:r>
        <w:rPr>
          <w:rFonts w:hint="eastAsia" w:ascii="仿宋" w:hAnsi="微软雅黑" w:eastAsia="仿宋" w:cs="Times New Roman"/>
          <w:sz w:val="28"/>
          <w:szCs w:val="28"/>
        </w:rPr>
        <w:t>%。</w:t>
      </w:r>
    </w:p>
    <w:p>
      <w:pPr>
        <w:widowControl/>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spacing w:line="560" w:lineRule="exact"/>
        <w:ind w:firstLine="560" w:firstLineChars="200"/>
        <w:rPr>
          <w:rFonts w:hint="eastAsia" w:ascii="仿宋" w:hAnsi="微软雅黑" w:eastAsia="仿宋" w:cs="Times New Roman"/>
          <w:color w:val="0000FF"/>
          <w:sz w:val="28"/>
          <w:szCs w:val="28"/>
        </w:rPr>
      </w:pPr>
      <w:r>
        <w:rPr>
          <w:rFonts w:hint="eastAsia" w:ascii="仿宋" w:hAnsi="微软雅黑" w:eastAsia="仿宋" w:cs="Times New Roman"/>
          <w:sz w:val="28"/>
          <w:szCs w:val="28"/>
          <w:lang w:val="en-US" w:eastAsia="zh-CN"/>
        </w:rPr>
        <w:t>1.农林水支出</w:t>
      </w:r>
      <w:r>
        <w:rPr>
          <w:rFonts w:hint="eastAsia" w:ascii="仿宋" w:hAnsi="微软雅黑" w:eastAsia="仿宋" w:cs="Times New Roman"/>
          <w:sz w:val="28"/>
          <w:szCs w:val="28"/>
        </w:rPr>
        <w:t>（类）</w:t>
      </w:r>
      <w:r>
        <w:rPr>
          <w:rFonts w:hint="eastAsia" w:ascii="仿宋" w:hAnsi="微软雅黑" w:eastAsia="仿宋" w:cs="Times New Roman"/>
          <w:sz w:val="28"/>
          <w:szCs w:val="28"/>
          <w:lang w:val="en-US" w:eastAsia="zh-CN"/>
        </w:rPr>
        <w:t>林业和草原</w:t>
      </w:r>
      <w:r>
        <w:rPr>
          <w:rFonts w:hint="eastAsia" w:ascii="仿宋" w:hAnsi="微软雅黑" w:eastAsia="仿宋" w:cs="Times New Roman"/>
          <w:sz w:val="28"/>
          <w:szCs w:val="28"/>
        </w:rPr>
        <w:t>（款）</w:t>
      </w:r>
      <w:r>
        <w:rPr>
          <w:rFonts w:hint="eastAsia" w:ascii="仿宋" w:hAnsi="微软雅黑" w:eastAsia="仿宋" w:cs="Times New Roman"/>
          <w:sz w:val="28"/>
          <w:szCs w:val="28"/>
          <w:lang w:val="en-US" w:eastAsia="zh-CN"/>
        </w:rPr>
        <w:t>事业机构</w:t>
      </w:r>
      <w:r>
        <w:rPr>
          <w:rFonts w:hint="eastAsia" w:ascii="仿宋" w:hAnsi="微软雅黑" w:eastAsia="仿宋" w:cs="Times New Roman"/>
          <w:sz w:val="28"/>
          <w:szCs w:val="28"/>
        </w:rPr>
        <w:t>（项）:</w:t>
      </w:r>
      <w:r>
        <w:rPr>
          <w:rFonts w:hint="eastAsia" w:ascii="仿宋" w:hAnsi="微软雅黑" w:eastAsia="仿宋" w:cs="Times New Roman"/>
          <w:sz w:val="28"/>
          <w:szCs w:val="28"/>
          <w:lang w:eastAsia="zh-CN"/>
        </w:rPr>
        <w:t>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年</w:t>
      </w:r>
      <w:r>
        <w:rPr>
          <w:rFonts w:hint="eastAsia" w:ascii="仿宋" w:hAnsi="微软雅黑" w:eastAsia="仿宋" w:cs="Times New Roman"/>
          <w:sz w:val="28"/>
          <w:szCs w:val="28"/>
        </w:rPr>
        <w:t>预算数为</w:t>
      </w:r>
      <w:r>
        <w:rPr>
          <w:rFonts w:hint="eastAsia" w:ascii="仿宋" w:hAnsi="微软雅黑" w:eastAsia="仿宋" w:cs="Times New Roman"/>
          <w:sz w:val="28"/>
          <w:szCs w:val="28"/>
          <w:lang w:val="en-US" w:eastAsia="zh-CN"/>
        </w:rPr>
        <w:t>7.52</w:t>
      </w:r>
      <w:r>
        <w:rPr>
          <w:rFonts w:hint="eastAsia" w:ascii="仿宋" w:hAnsi="微软雅黑" w:eastAsia="仿宋" w:cs="Times New Roman"/>
          <w:sz w:val="28"/>
          <w:szCs w:val="28"/>
        </w:rPr>
        <w:t>万元，比上年预算减少</w:t>
      </w:r>
      <w:r>
        <w:rPr>
          <w:rFonts w:hint="eastAsia" w:ascii="仿宋" w:hAnsi="微软雅黑" w:eastAsia="仿宋" w:cs="Times New Roman"/>
          <w:sz w:val="28"/>
          <w:szCs w:val="28"/>
          <w:lang w:val="en-US" w:eastAsia="zh-CN"/>
        </w:rPr>
        <w:t>2.18</w:t>
      </w:r>
      <w:r>
        <w:rPr>
          <w:rFonts w:hint="eastAsia" w:ascii="仿宋" w:hAnsi="微软雅黑" w:eastAsia="仿宋" w:cs="Times New Roman"/>
          <w:sz w:val="28"/>
          <w:szCs w:val="28"/>
        </w:rPr>
        <w:t>万元，下降</w:t>
      </w:r>
      <w:r>
        <w:rPr>
          <w:rFonts w:hint="eastAsia" w:ascii="仿宋" w:hAnsi="微软雅黑" w:eastAsia="仿宋" w:cs="Times New Roman"/>
          <w:sz w:val="28"/>
          <w:szCs w:val="28"/>
          <w:lang w:val="en-US" w:eastAsia="zh-CN"/>
        </w:rPr>
        <w:t>22.47</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工作人员减少，人员工资减少。</w:t>
      </w:r>
      <w:r>
        <w:rPr>
          <w:rFonts w:hint="eastAsia" w:ascii="仿宋" w:hAnsi="微软雅黑" w:eastAsia="仿宋" w:cs="Times New Roman"/>
          <w:sz w:val="28"/>
          <w:szCs w:val="28"/>
        </w:rPr>
        <w:t xml:space="preserve"> </w:t>
      </w:r>
    </w:p>
    <w:p>
      <w:pPr>
        <w:pStyle w:val="3"/>
        <w:numPr>
          <w:ilvl w:val="0"/>
          <w:numId w:val="0"/>
        </w:numPr>
        <w:spacing w:before="0" w:after="0" w:line="560" w:lineRule="exact"/>
        <w:ind w:firstLine="562" w:firstLineChars="200"/>
        <w:rPr>
          <w:rFonts w:hint="eastAsia" w:ascii="仿宋" w:hAnsi="华文楷体" w:eastAsia="仿宋" w:cs="Times New Roman"/>
          <w:sz w:val="28"/>
          <w:szCs w:val="28"/>
          <w:lang w:val="en-US" w:eastAsia="zh-CN"/>
        </w:rPr>
      </w:pPr>
      <w:r>
        <w:rPr>
          <w:rFonts w:hint="eastAsia" w:ascii="仿宋" w:hAnsi="华文楷体" w:eastAsia="仿宋" w:cs="Times New Roman"/>
          <w:sz w:val="28"/>
          <w:szCs w:val="28"/>
        </w:rPr>
        <w:t>六、关于呼图壁县干河子国有林管护站</w:t>
      </w:r>
      <w:r>
        <w:rPr>
          <w:rFonts w:hint="eastAsia" w:ascii="仿宋" w:hAnsi="华文楷体" w:eastAsia="仿宋" w:cs="Times New Roman"/>
          <w:sz w:val="28"/>
          <w:szCs w:val="28"/>
          <w:lang w:val="en-US" w:eastAsia="zh-CN"/>
        </w:rPr>
        <w:t>2025年</w:t>
      </w:r>
      <w:r>
        <w:rPr>
          <w:rFonts w:hint="eastAsia" w:ascii="仿宋" w:hAnsi="华文楷体" w:eastAsia="仿宋" w:cs="Times New Roman"/>
          <w:sz w:val="28"/>
          <w:szCs w:val="28"/>
        </w:rPr>
        <w:t>一般公共预算基</w:t>
      </w:r>
      <w:r>
        <w:rPr>
          <w:rFonts w:hint="eastAsia" w:ascii="仿宋" w:hAnsi="华文楷体" w:eastAsia="仿宋" w:cs="Times New Roman"/>
          <w:sz w:val="28"/>
          <w:szCs w:val="28"/>
          <w:lang w:val="en-US" w:eastAsia="zh-CN"/>
        </w:rPr>
        <w:t>本支出情况说明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呼图壁县干河子国有林管护站2025年一般公共预算基本支出7.52万元，其中：</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人员经费7.52万元，主要包括：绩效工资。</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七、关于呼图壁县干河子国有林管护站2025年一般公共预算项目支出情况说明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呼图壁县干河子国有林管护站2025年没有使用一般公共预算项目支出，一般公共预算项目支出情况表为空表。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Hans" w:bidi="ar-SA"/>
        </w:rPr>
        <w:t>八</w:t>
      </w:r>
      <w:r>
        <w:rPr>
          <w:rFonts w:hint="eastAsia" w:ascii="仿宋" w:hAnsi="华文楷体" w:eastAsia="仿宋" w:cs="Times New Roman"/>
          <w:b/>
          <w:kern w:val="2"/>
          <w:sz w:val="28"/>
          <w:szCs w:val="28"/>
          <w:lang w:val="en-US" w:eastAsia="zh-CN" w:bidi="ar-SA"/>
        </w:rPr>
        <w:t>、关于呼图壁县干河子国有林管护站2025年政府性基金预算拨款情况说明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呼图壁县干河子国有林管护站2025年没有使用政府性基金预算拨款安排的支出，政府性基金预算支出情况表为空表。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Hans" w:bidi="ar-SA"/>
        </w:rPr>
        <w:t>九、</w:t>
      </w:r>
      <w:r>
        <w:rPr>
          <w:rFonts w:hint="eastAsia" w:ascii="仿宋" w:hAnsi="华文楷体" w:eastAsia="仿宋" w:cs="Times New Roman"/>
          <w:b/>
          <w:kern w:val="2"/>
          <w:sz w:val="28"/>
          <w:szCs w:val="28"/>
          <w:lang w:val="en-US" w:eastAsia="zh-CN" w:bidi="ar-SA"/>
        </w:rPr>
        <w:t>关于呼图壁县干河子国有林管护站2025年国有资本经营预算拨款情况说明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呼图壁县干河子国有林管护站2025年没有使用国有资本经营预算拨款安排的支出，国有资本经营预算支出情况表为空表。</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bidi="ar-SA"/>
        </w:rPr>
      </w:pPr>
      <w:r>
        <w:rPr>
          <w:rFonts w:hint="eastAsia" w:ascii="仿宋" w:hAnsi="华文楷体" w:eastAsia="仿宋" w:cs="Times New Roman"/>
          <w:b/>
          <w:kern w:val="2"/>
          <w:sz w:val="28"/>
          <w:szCs w:val="28"/>
          <w:lang w:val="en-US" w:eastAsia="zh-Hans" w:bidi="ar-SA"/>
        </w:rPr>
        <w:t>关于呼图壁县干河子国有林管护站</w:t>
      </w:r>
      <w:r>
        <w:rPr>
          <w:rFonts w:hint="eastAsia" w:ascii="仿宋" w:hAnsi="华文楷体" w:eastAsia="仿宋" w:cs="Times New Roman"/>
          <w:b/>
          <w:kern w:val="2"/>
          <w:sz w:val="28"/>
          <w:szCs w:val="28"/>
          <w:lang w:val="en-US" w:eastAsia="zh-CN" w:bidi="ar-SA"/>
        </w:rPr>
        <w:t>2025年</w:t>
      </w:r>
      <w:r>
        <w:rPr>
          <w:rFonts w:hint="eastAsia" w:ascii="仿宋" w:hAnsi="华文楷体" w:eastAsia="仿宋" w:cs="Times New Roman"/>
          <w:b/>
          <w:kern w:val="2"/>
          <w:sz w:val="28"/>
          <w:szCs w:val="28"/>
          <w:lang w:val="en-US" w:eastAsia="zh-Hans" w:bidi="ar-SA"/>
        </w:rPr>
        <w:t>财政拨款“三公”经费预算情况说明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both"/>
        <w:textAlignment w:val="auto"/>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呼图壁县干河子国有林管护站2025年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“三公”经费数为0万元，其中：因公出国（境）费 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微软雅黑" w:eastAsia="仿宋" w:cs="Times New Roman"/>
          <w:sz w:val="28"/>
          <w:szCs w:val="28"/>
          <w:lang w:val="en-US" w:eastAsia="zh-CN"/>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w:t>
      </w:r>
      <w:r>
        <w:rPr>
          <w:rFonts w:hint="eastAsia" w:ascii="仿宋_GB2312" w:hAnsi="宋体" w:eastAsia="仿宋_GB2312" w:cs="宋体"/>
          <w:color w:val="auto"/>
          <w:kern w:val="0"/>
          <w:sz w:val="32"/>
          <w:szCs w:val="32"/>
          <w:highlight w:val="none"/>
          <w:lang w:val="en-US" w:eastAsia="zh-CN"/>
        </w:rPr>
        <w:t>因公出国（境）费0万元，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2024年、2025年均未安排因公出国（境）费；</w:t>
      </w:r>
      <w:r>
        <w:rPr>
          <w:rFonts w:hint="eastAsia" w:ascii="仿宋_GB2312" w:hAnsi="宋体" w:eastAsia="仿宋_GB2312" w:cs="宋体"/>
          <w:color w:val="auto"/>
          <w:kern w:val="0"/>
          <w:sz w:val="32"/>
          <w:szCs w:val="32"/>
          <w:highlight w:val="none"/>
          <w:lang w:eastAsia="zh-CN"/>
        </w:rPr>
        <w:t>公务用车购置费</w:t>
      </w:r>
      <w:r>
        <w:rPr>
          <w:rFonts w:hint="eastAsia" w:ascii="仿宋_GB2312" w:hAnsi="宋体" w:eastAsia="仿宋_GB2312" w:cs="宋体"/>
          <w:color w:val="auto"/>
          <w:kern w:val="0"/>
          <w:sz w:val="32"/>
          <w:szCs w:val="32"/>
          <w:highlight w:val="none"/>
          <w:lang w:val="en-US" w:eastAsia="zh-CN"/>
        </w:rPr>
        <w:t>0万元，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 w:hAnsi="微软雅黑" w:eastAsia="仿宋"/>
          <w:sz w:val="32"/>
          <w:szCs w:val="32"/>
          <w:highlight w:val="none"/>
        </w:rPr>
        <w:t>严格执行中央八项规定，三公经费只减不增</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未安排</w:t>
      </w:r>
      <w:r>
        <w:rPr>
          <w:rFonts w:hint="eastAsia" w:ascii="仿宋_GB2312" w:hAnsi="宋体" w:eastAsia="仿宋_GB2312" w:cs="宋体"/>
          <w:color w:val="auto"/>
          <w:kern w:val="0"/>
          <w:sz w:val="32"/>
          <w:szCs w:val="32"/>
          <w:highlight w:val="none"/>
          <w:lang w:eastAsia="zh-CN"/>
        </w:rPr>
        <w:t>公务接待费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bidi="ar-SA"/>
        </w:rPr>
      </w:pPr>
      <w:r>
        <w:rPr>
          <w:rFonts w:hint="eastAsia" w:ascii="仿宋" w:hAnsi="华文楷体" w:eastAsia="仿宋" w:cs="Times New Roman"/>
          <w:b/>
          <w:kern w:val="2"/>
          <w:sz w:val="28"/>
          <w:szCs w:val="28"/>
          <w:lang w:val="en-US" w:eastAsia="zh-Hans" w:bidi="ar-SA"/>
        </w:rPr>
        <w:t>十</w:t>
      </w:r>
      <w:r>
        <w:rPr>
          <w:rFonts w:hint="eastAsia" w:ascii="仿宋" w:hAnsi="华文楷体" w:eastAsia="仿宋" w:cs="Times New Roman"/>
          <w:b/>
          <w:kern w:val="2"/>
          <w:sz w:val="28"/>
          <w:szCs w:val="28"/>
          <w:lang w:val="en-US" w:eastAsia="zh-CN" w:bidi="ar-SA"/>
        </w:rPr>
        <w:t>一</w:t>
      </w:r>
      <w:r>
        <w:rPr>
          <w:rFonts w:hint="eastAsia" w:ascii="仿宋" w:hAnsi="华文楷体" w:eastAsia="仿宋" w:cs="Times New Roman"/>
          <w:b/>
          <w:kern w:val="2"/>
          <w:sz w:val="28"/>
          <w:szCs w:val="28"/>
          <w:lang w:val="en-US" w:eastAsia="zh-Hans" w:bidi="ar-SA"/>
        </w:rPr>
        <w:t>、关于呼图壁县干河子国有林管护站</w:t>
      </w:r>
      <w:r>
        <w:rPr>
          <w:rFonts w:hint="eastAsia" w:ascii="仿宋" w:hAnsi="华文楷体" w:eastAsia="仿宋" w:cs="Times New Roman"/>
          <w:b/>
          <w:kern w:val="2"/>
          <w:sz w:val="28"/>
          <w:szCs w:val="28"/>
          <w:lang w:val="en-US" w:eastAsia="zh-CN" w:bidi="ar-SA"/>
        </w:rPr>
        <w:t>2025年上年结转结余</w:t>
      </w:r>
      <w:r>
        <w:rPr>
          <w:rFonts w:hint="eastAsia" w:ascii="仿宋" w:hAnsi="华文楷体" w:eastAsia="仿宋" w:cs="Times New Roman"/>
          <w:b/>
          <w:kern w:val="2"/>
          <w:sz w:val="28"/>
          <w:szCs w:val="28"/>
          <w:lang w:val="en-US" w:eastAsia="zh-Hans" w:bidi="ar-SA"/>
        </w:rPr>
        <w:t>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呼图壁县干河子国有林管护站2025年无上年结转结余预算的支出，结转结余预算支出情况表为空表。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 w:hAnsi="微软雅黑" w:eastAsia="仿宋" w:cs="Times New Roman"/>
          <w:sz w:val="28"/>
          <w:szCs w:val="28"/>
          <w:lang w:val="en-US" w:eastAsia="zh-CN"/>
        </w:rPr>
        <w:t>呼图壁县干河子国有林管护站2025年的事业单位运行经费财政拨款预算0万元，</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val="en-US" w:eastAsia="zh-CN"/>
        </w:rPr>
        <w:t>减少0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无</w:t>
      </w:r>
      <w:r>
        <w:rPr>
          <w:rFonts w:hint="eastAsia" w:ascii="仿宋_GB2312" w:hAnsi="宋体" w:eastAsia="仿宋_GB2312" w:cs="宋体"/>
          <w:color w:val="auto"/>
          <w:kern w:val="0"/>
          <w:sz w:val="32"/>
          <w:szCs w:val="32"/>
          <w:highlight w:val="none"/>
          <w:lang w:eastAsia="zh-CN"/>
        </w:rPr>
        <w:t>公用经费</w:t>
      </w:r>
      <w:r>
        <w:rPr>
          <w:rFonts w:hint="eastAsia" w:ascii="仿宋_GB2312" w:hAnsi="宋体" w:eastAsia="仿宋_GB2312" w:cs="宋体"/>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2025年，呼图壁县干河子国有林管护站政府采购预算0万元，其中：政府采购货物预算0万元，政府采购工程预算0万元，政府采购服务预算0万元。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2025年，呼图壁县干河子国有林管护站面向中小企业预留政府采购项目预算金额0万元，小微企业预留政府采购项目预算金额0万元。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截至2025年底，呼图壁县干河子国有林管护站占用使用国有资产总体情况为：</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1.房屋5250平方米，价值172.43万元。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2.车辆2辆，价值26.36万元；其中：一般公务用车2辆，价值26.36万元；执法执勤用车0辆，价值0万元；其他车辆0辆，价值0万元。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3.办公家具价值6.06万元。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4.其他资产价值0万元。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部门价值50万元以上大型设备0台，部门价值100万元以上大型设备</w:t>
      </w:r>
      <w:r>
        <w:rPr>
          <w:rFonts w:hint="eastAsia" w:ascii="仿宋" w:hAnsi="微软雅黑" w:eastAsia="仿宋" w:cs="Times New Roman"/>
          <w:color w:val="auto"/>
          <w:sz w:val="28"/>
          <w:szCs w:val="28"/>
          <w:highlight w:val="none"/>
          <w:lang w:val="en-US" w:eastAsia="zh-CN"/>
        </w:rPr>
        <w:t>0台。</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2025年部门预算未安排购置车辆经费，安排购置50万元以上大型设备0</w:t>
      </w:r>
      <w:bookmarkStart w:id="0" w:name="_GoBack"/>
      <w:bookmarkEnd w:id="0"/>
      <w:r>
        <w:rPr>
          <w:rFonts w:hint="eastAsia" w:ascii="仿宋" w:hAnsi="微软雅黑" w:eastAsia="仿宋" w:cs="Times New Roman"/>
          <w:sz w:val="28"/>
          <w:szCs w:val="28"/>
          <w:highlight w:val="none"/>
          <w:lang w:val="en-US" w:eastAsia="zh-CN"/>
        </w:rPr>
        <w:t>台，</w:t>
      </w:r>
      <w:r>
        <w:rPr>
          <w:rFonts w:hint="eastAsia" w:ascii="仿宋" w:hAnsi="微软雅黑" w:eastAsia="仿宋" w:cs="Times New Roman"/>
          <w:sz w:val="28"/>
          <w:szCs w:val="28"/>
          <w:lang w:val="en-US" w:eastAsia="zh-CN"/>
        </w:rPr>
        <w:t>单位价值100万元以上大型设备</w:t>
      </w:r>
      <w:r>
        <w:rPr>
          <w:rFonts w:hint="eastAsia" w:ascii="仿宋" w:hAnsi="微软雅黑" w:eastAsia="仿宋" w:cs="Times New Roman"/>
          <w:sz w:val="28"/>
          <w:szCs w:val="28"/>
          <w:highlight w:val="none"/>
          <w:lang w:val="en-US" w:eastAsia="zh-CN"/>
        </w:rPr>
        <w:t xml:space="preserve"> 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2025年，本部门预算绩效管理整体预算绩效目标1个，涉及金额11.73万元；当年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项目0个，涉及预算金额0万元；当年</w:t>
      </w:r>
      <w:r>
        <w:rPr>
          <w:rFonts w:hint="eastAsia" w:ascii="仿宋" w:hAnsi="微软雅黑" w:eastAsia="仿宋" w:cs="Times New Roman"/>
          <w:sz w:val="28"/>
          <w:szCs w:val="28"/>
          <w:lang w:val="en-US" w:eastAsia="zh-Hans"/>
        </w:rPr>
        <w:t>非财政拨款项目</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lang w:val="en-US" w:eastAsia="zh-Hans"/>
        </w:rPr>
        <w:t>个，</w:t>
      </w:r>
      <w:r>
        <w:rPr>
          <w:rFonts w:hint="eastAsia" w:ascii="仿宋" w:hAnsi="微软雅黑" w:eastAsia="仿宋" w:cs="Times New Roman"/>
          <w:sz w:val="28"/>
          <w:szCs w:val="28"/>
          <w:lang w:val="en-US" w:eastAsia="zh-CN"/>
        </w:rPr>
        <w:t>涉及预算金额0万元。具体情况见下表：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10"/>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楷体_GB2312" w:hAnsi="楷体_GB2312" w:eastAsia="楷体_GB2312" w:cs="楷体_GB2312"/>
                <w:b w:val="0"/>
                <w:bCs/>
                <w:color w:val="auto"/>
                <w:kern w:val="0"/>
                <w:sz w:val="20"/>
                <w:szCs w:val="20"/>
                <w:highlight w:val="none"/>
              </w:rPr>
              <w:t>呼图壁县干河子国有林管护站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刘洁</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13669985795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u w:val="none"/>
              </w:rPr>
              <w:t>提升林业人员专业素养</w:t>
            </w:r>
            <w:r>
              <w:rPr>
                <w:rFonts w:hint="eastAsia" w:ascii="宋体" w:hAnsi="宋体" w:cs="宋体"/>
                <w:i w:val="0"/>
                <w:iCs w:val="0"/>
                <w:color w:val="000000"/>
                <w:sz w:val="20"/>
                <w:szCs w:val="20"/>
                <w:u w:val="none"/>
                <w:lang w:eastAsia="zh-CN"/>
              </w:rPr>
              <w:t>，</w:t>
            </w:r>
            <w:r>
              <w:rPr>
                <w:rFonts w:hint="eastAsia" w:ascii="宋体" w:hAnsi="宋体" w:cs="宋体"/>
                <w:i w:val="0"/>
                <w:iCs w:val="0"/>
                <w:color w:val="000000"/>
                <w:sz w:val="20"/>
                <w:szCs w:val="20"/>
                <w:u w:val="none"/>
                <w:lang w:val="en-US" w:eastAsia="zh-CN"/>
              </w:rPr>
              <w:t>在已有林地面积基础上扩植新林地面积，提高林地种植成活率。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lang w:val="en-US" w:eastAsia="zh-CN"/>
              </w:rPr>
            </w:pPr>
            <w:r>
              <w:rPr>
                <w:rFonts w:hint="eastAsia" w:ascii="宋体" w:hAnsi="宋体" w:cs="宋体"/>
                <w:i w:val="0"/>
                <w:iCs w:val="0"/>
                <w:color w:val="000000"/>
                <w:sz w:val="20"/>
                <w:szCs w:val="20"/>
                <w:highlight w:val="none"/>
                <w:u w:val="none"/>
                <w:lang w:val="en-US" w:eastAsia="zh-CN"/>
              </w:rPr>
              <w:t>11.73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kern w:val="2"/>
                <w:sz w:val="20"/>
                <w:szCs w:val="20"/>
                <w:u w:val="none"/>
                <w:lang w:val="en-US" w:eastAsia="zh-CN" w:bidi="ar-SA"/>
              </w:rPr>
              <w:t>数量指标</w:t>
            </w: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在职人数</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0"/>
                <w:szCs w:val="20"/>
                <w:u w:val="none"/>
                <w:lang w:val="en-US" w:eastAsia="zh-CN"/>
              </w:rPr>
              <w:t>=4</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u w:val="none"/>
                <w:lang w:val="en-US" w:eastAsia="zh-CN"/>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p>
        </w:tc>
        <w:tc>
          <w:tcPr>
            <w:tcW w:w="165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林业面积</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0"/>
                <w:szCs w:val="20"/>
                <w:u w:val="none"/>
                <w:lang w:val="en-US" w:eastAsia="zh-CN"/>
              </w:rPr>
              <w:t>≤383公顷</w:t>
            </w:r>
          </w:p>
        </w:tc>
        <w:tc>
          <w:tcPr>
            <w:tcW w:w="21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u w:val="none"/>
                <w:lang w:val="en-US" w:eastAsia="zh-CN"/>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u w:val="none"/>
                <w:lang w:val="en-US" w:eastAsia="zh-CN"/>
              </w:rPr>
              <w:t>30</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rPr>
        <w:t>五）其他需说明的事项</w:t>
      </w:r>
    </w:p>
    <w:p>
      <w:pPr>
        <w:pStyle w:val="5"/>
        <w:ind w:firstLine="560" w:firstLineChars="200"/>
        <w:rPr>
          <w:rFonts w:hint="default" w:ascii="仿宋" w:hAnsi="微软雅黑" w:eastAsia="仿宋" w:cs="Times New Roman"/>
          <w:kern w:val="2"/>
          <w:sz w:val="28"/>
          <w:szCs w:val="28"/>
          <w:lang w:val="en-US" w:eastAsia="zh-Hans" w:bidi="ar-SA"/>
        </w:rPr>
      </w:pPr>
      <w:r>
        <w:rPr>
          <w:rFonts w:hint="eastAsia" w:ascii="仿宋" w:hAnsi="微软雅黑" w:eastAsia="仿宋" w:cs="Times New Roman"/>
          <w:kern w:val="2"/>
          <w:sz w:val="28"/>
          <w:szCs w:val="28"/>
          <w:lang w:val="en-US" w:eastAsia="zh-CN" w:bidi="ar-SA"/>
        </w:rPr>
        <w:t>本部门2025年政府采购预算未安排，面向中小企业预留政府采购项目预算、小微企业预留政府采购项目预算未安排，原因是无政府采购需要。</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呼图壁县干河子国有林管护站</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2025年2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_GBK">
    <w:panose1 w:val="02000000000000000000"/>
    <w:charset w:val="86"/>
    <w:family w:val="auto"/>
    <w:pitch w:val="default"/>
    <w:sig w:usb0="A00002BF" w:usb1="38CF7CFA" w:usb2="00082016" w:usb3="00000000" w:csb0="00040001" w:csb1="00000000"/>
  </w:font>
  <w:font w:name="ArialUnicodeMS">
    <w:altName w:val="Times New Roman"/>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6"/>
                    </w:pPr>
                  </w:p>
                  <w:p>
                    <w:pPr>
                      <w:pStyle w:val="6"/>
                    </w:pPr>
                    <w:r>
                      <w:fldChar w:fldCharType="begin"/>
                    </w:r>
                    <w:r>
                      <w:instrText xml:space="preserve"> PAGE  \* MERGEFORMAT </w:instrText>
                    </w:r>
                    <w:r>
                      <w:fldChar w:fldCharType="separate"/>
                    </w:r>
                    <w:r>
                      <w:t>4</w:t>
                    </w:r>
                    <w:r>
                      <w:fldChar w:fldCharType="end"/>
                    </w:r>
                  </w:p>
                </w:txbxContent>
              </v:textbox>
            </v:shape>
          </w:pict>
        </mc:Fallback>
      </mc:AlternateContent>
    </w:r>
  </w:p>
  <w:p>
    <w:pPr>
      <w:pStyle w:val="6"/>
      <w:jc w:val="right"/>
      <w:rPr>
        <w:rFonts w:ascii="宋体" w:hAnsi="宋体" w:eastAsia="宋体"/>
        <w:sz w:val="28"/>
        <w:szCs w:val="28"/>
      </w:rPr>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0787E9"/>
    <w:multiLevelType w:val="singleLevel"/>
    <w:tmpl w:val="E90787E9"/>
    <w:lvl w:ilvl="0" w:tentative="0">
      <w:start w:val="10"/>
      <w:numFmt w:val="chineseCounting"/>
      <w:suff w:val="nothing"/>
      <w:lvlText w:val="%1、"/>
      <w:lvlJc w:val="left"/>
      <w:rPr>
        <w:rFonts w:hint="eastAsia"/>
      </w:rPr>
    </w:lvl>
  </w:abstractNum>
  <w:abstractNum w:abstractNumId="1">
    <w:nsid w:val="0F88DDE7"/>
    <w:multiLevelType w:val="multilevel"/>
    <w:tmpl w:val="0F88DDE7"/>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ZDEwYzQ1M2U1ZDYxOTExOWYzMzI2ZTFjZDU3Y2MifQ=="/>
  </w:docVars>
  <w:rsids>
    <w:rsidRoot w:val="10587512"/>
    <w:rsid w:val="00E41A1F"/>
    <w:rsid w:val="017B2F92"/>
    <w:rsid w:val="020E507E"/>
    <w:rsid w:val="02587777"/>
    <w:rsid w:val="02732F8E"/>
    <w:rsid w:val="02CB7F49"/>
    <w:rsid w:val="037800D1"/>
    <w:rsid w:val="04173112"/>
    <w:rsid w:val="04267087"/>
    <w:rsid w:val="04267B2D"/>
    <w:rsid w:val="0439348A"/>
    <w:rsid w:val="044C330C"/>
    <w:rsid w:val="05397FD9"/>
    <w:rsid w:val="057A5F58"/>
    <w:rsid w:val="05CA273A"/>
    <w:rsid w:val="070E6657"/>
    <w:rsid w:val="078359ED"/>
    <w:rsid w:val="080E3E4F"/>
    <w:rsid w:val="084451C2"/>
    <w:rsid w:val="08450B28"/>
    <w:rsid w:val="08762705"/>
    <w:rsid w:val="088F5575"/>
    <w:rsid w:val="08E81855"/>
    <w:rsid w:val="0A1F61D2"/>
    <w:rsid w:val="0A2651FD"/>
    <w:rsid w:val="0A4168EC"/>
    <w:rsid w:val="0A482EEB"/>
    <w:rsid w:val="0AD672A7"/>
    <w:rsid w:val="0B127FF5"/>
    <w:rsid w:val="0B247F12"/>
    <w:rsid w:val="0B7C3034"/>
    <w:rsid w:val="0B841FFD"/>
    <w:rsid w:val="0B845A26"/>
    <w:rsid w:val="0BD56A2F"/>
    <w:rsid w:val="0C0A3890"/>
    <w:rsid w:val="0CD20198"/>
    <w:rsid w:val="0CEC568C"/>
    <w:rsid w:val="0D1F4F51"/>
    <w:rsid w:val="0D6E5FD0"/>
    <w:rsid w:val="0E320E7D"/>
    <w:rsid w:val="0E9208E7"/>
    <w:rsid w:val="10587512"/>
    <w:rsid w:val="105D0E37"/>
    <w:rsid w:val="10916BDA"/>
    <w:rsid w:val="10DD77C5"/>
    <w:rsid w:val="11036B00"/>
    <w:rsid w:val="11301FEB"/>
    <w:rsid w:val="11524F03"/>
    <w:rsid w:val="11B6451D"/>
    <w:rsid w:val="121E62E8"/>
    <w:rsid w:val="16280267"/>
    <w:rsid w:val="16855B36"/>
    <w:rsid w:val="1697741D"/>
    <w:rsid w:val="18E117DC"/>
    <w:rsid w:val="191C4B10"/>
    <w:rsid w:val="19A215AC"/>
    <w:rsid w:val="1A132B78"/>
    <w:rsid w:val="1AC437A4"/>
    <w:rsid w:val="1B153D26"/>
    <w:rsid w:val="1BC44D83"/>
    <w:rsid w:val="1BEB54C3"/>
    <w:rsid w:val="1C3C6084"/>
    <w:rsid w:val="1C8C02F2"/>
    <w:rsid w:val="1D216F87"/>
    <w:rsid w:val="1D3E1AFE"/>
    <w:rsid w:val="1DC840DB"/>
    <w:rsid w:val="1E6341ED"/>
    <w:rsid w:val="1E6432D4"/>
    <w:rsid w:val="1E89232D"/>
    <w:rsid w:val="1EB61656"/>
    <w:rsid w:val="20407429"/>
    <w:rsid w:val="20CF3CE4"/>
    <w:rsid w:val="20DD55C0"/>
    <w:rsid w:val="21211623"/>
    <w:rsid w:val="22922CB8"/>
    <w:rsid w:val="22DB78DD"/>
    <w:rsid w:val="23626D2A"/>
    <w:rsid w:val="23C57BEE"/>
    <w:rsid w:val="244D65B8"/>
    <w:rsid w:val="2492221D"/>
    <w:rsid w:val="24B42D8E"/>
    <w:rsid w:val="250855AF"/>
    <w:rsid w:val="25722CB4"/>
    <w:rsid w:val="258B383C"/>
    <w:rsid w:val="259152B8"/>
    <w:rsid w:val="25957F88"/>
    <w:rsid w:val="263B7010"/>
    <w:rsid w:val="26B4291F"/>
    <w:rsid w:val="26BD282A"/>
    <w:rsid w:val="26E769FA"/>
    <w:rsid w:val="286D65BC"/>
    <w:rsid w:val="28D9041B"/>
    <w:rsid w:val="293B2E83"/>
    <w:rsid w:val="2AA567FF"/>
    <w:rsid w:val="2AFC4894"/>
    <w:rsid w:val="2B1E2A5D"/>
    <w:rsid w:val="2B3A05DE"/>
    <w:rsid w:val="2B3B0B29"/>
    <w:rsid w:val="2B6901C6"/>
    <w:rsid w:val="2B763164"/>
    <w:rsid w:val="2C755D0D"/>
    <w:rsid w:val="2D480265"/>
    <w:rsid w:val="2D977453"/>
    <w:rsid w:val="2E137206"/>
    <w:rsid w:val="2E2943BA"/>
    <w:rsid w:val="2E95133D"/>
    <w:rsid w:val="2EEA6748"/>
    <w:rsid w:val="2EF22236"/>
    <w:rsid w:val="2FED29FE"/>
    <w:rsid w:val="300E1D4A"/>
    <w:rsid w:val="30B05F05"/>
    <w:rsid w:val="310F3573"/>
    <w:rsid w:val="32D560F7"/>
    <w:rsid w:val="33A76F60"/>
    <w:rsid w:val="341E7629"/>
    <w:rsid w:val="35F117C8"/>
    <w:rsid w:val="366B2858"/>
    <w:rsid w:val="38284F1B"/>
    <w:rsid w:val="39B0409D"/>
    <w:rsid w:val="39BD4E9C"/>
    <w:rsid w:val="3A2F6683"/>
    <w:rsid w:val="3AA05104"/>
    <w:rsid w:val="3BE45FB7"/>
    <w:rsid w:val="3BF21AC7"/>
    <w:rsid w:val="3C013037"/>
    <w:rsid w:val="3D8676F8"/>
    <w:rsid w:val="3F077E26"/>
    <w:rsid w:val="3F9F1F66"/>
    <w:rsid w:val="3FDF4D23"/>
    <w:rsid w:val="41083B3B"/>
    <w:rsid w:val="41270465"/>
    <w:rsid w:val="41DB2FFE"/>
    <w:rsid w:val="42F779C3"/>
    <w:rsid w:val="43502DA9"/>
    <w:rsid w:val="43C26223"/>
    <w:rsid w:val="43D8307E"/>
    <w:rsid w:val="44507CD3"/>
    <w:rsid w:val="44573033"/>
    <w:rsid w:val="44AF5181"/>
    <w:rsid w:val="455A018C"/>
    <w:rsid w:val="46B02CAB"/>
    <w:rsid w:val="46CE3131"/>
    <w:rsid w:val="493059DD"/>
    <w:rsid w:val="494F7907"/>
    <w:rsid w:val="49986E91"/>
    <w:rsid w:val="4AB353D1"/>
    <w:rsid w:val="4ADF73DC"/>
    <w:rsid w:val="4B1B26BD"/>
    <w:rsid w:val="4B315A3D"/>
    <w:rsid w:val="4C0055E5"/>
    <w:rsid w:val="4C3677AE"/>
    <w:rsid w:val="4C706B3A"/>
    <w:rsid w:val="4F1D1EFC"/>
    <w:rsid w:val="4F3B332E"/>
    <w:rsid w:val="510A745E"/>
    <w:rsid w:val="51C15CED"/>
    <w:rsid w:val="52285DEB"/>
    <w:rsid w:val="52740F1E"/>
    <w:rsid w:val="52AD62F0"/>
    <w:rsid w:val="53A94D0A"/>
    <w:rsid w:val="546308FE"/>
    <w:rsid w:val="56FE59C9"/>
    <w:rsid w:val="570D735E"/>
    <w:rsid w:val="571310AD"/>
    <w:rsid w:val="571B2674"/>
    <w:rsid w:val="589917F1"/>
    <w:rsid w:val="59B241EC"/>
    <w:rsid w:val="5A5E27F6"/>
    <w:rsid w:val="5A704801"/>
    <w:rsid w:val="5A8C5E4D"/>
    <w:rsid w:val="5AD734DD"/>
    <w:rsid w:val="5AED2A9A"/>
    <w:rsid w:val="5BCB54CB"/>
    <w:rsid w:val="5D9E1657"/>
    <w:rsid w:val="5E225DE5"/>
    <w:rsid w:val="5E257683"/>
    <w:rsid w:val="5E7802BC"/>
    <w:rsid w:val="5EE078B0"/>
    <w:rsid w:val="5F0D5523"/>
    <w:rsid w:val="5F2346ED"/>
    <w:rsid w:val="5F8C54C8"/>
    <w:rsid w:val="5FC532A5"/>
    <w:rsid w:val="61086613"/>
    <w:rsid w:val="61093E00"/>
    <w:rsid w:val="61451319"/>
    <w:rsid w:val="61686204"/>
    <w:rsid w:val="61BA27D8"/>
    <w:rsid w:val="62917095"/>
    <w:rsid w:val="630E06E5"/>
    <w:rsid w:val="6408782B"/>
    <w:rsid w:val="65322CBF"/>
    <w:rsid w:val="656B0206"/>
    <w:rsid w:val="65B35574"/>
    <w:rsid w:val="65C658ED"/>
    <w:rsid w:val="66F44831"/>
    <w:rsid w:val="6767127A"/>
    <w:rsid w:val="68823BA3"/>
    <w:rsid w:val="68CC52CB"/>
    <w:rsid w:val="68DE4FFE"/>
    <w:rsid w:val="691B0000"/>
    <w:rsid w:val="691E4ABC"/>
    <w:rsid w:val="694B58D7"/>
    <w:rsid w:val="69CE4E15"/>
    <w:rsid w:val="6B3E7E06"/>
    <w:rsid w:val="6B7F3246"/>
    <w:rsid w:val="6BF904A6"/>
    <w:rsid w:val="6CB5251A"/>
    <w:rsid w:val="6CD429A0"/>
    <w:rsid w:val="6D1A20CA"/>
    <w:rsid w:val="6D604C3A"/>
    <w:rsid w:val="6EF07839"/>
    <w:rsid w:val="6F63000B"/>
    <w:rsid w:val="6F6321EB"/>
    <w:rsid w:val="6FCF0C72"/>
    <w:rsid w:val="71500A63"/>
    <w:rsid w:val="717C1858"/>
    <w:rsid w:val="72B56DCF"/>
    <w:rsid w:val="72E964BC"/>
    <w:rsid w:val="735C7C42"/>
    <w:rsid w:val="74D07EF1"/>
    <w:rsid w:val="751604A5"/>
    <w:rsid w:val="75B570E6"/>
    <w:rsid w:val="75BF3AC1"/>
    <w:rsid w:val="766E5C13"/>
    <w:rsid w:val="7706409E"/>
    <w:rsid w:val="7797777E"/>
    <w:rsid w:val="780A1873"/>
    <w:rsid w:val="78315259"/>
    <w:rsid w:val="787D11B8"/>
    <w:rsid w:val="78A771BA"/>
    <w:rsid w:val="78AC6820"/>
    <w:rsid w:val="792C5912"/>
    <w:rsid w:val="7CBA4FE2"/>
    <w:rsid w:val="7D06612B"/>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font11"/>
    <w:basedOn w:val="12"/>
    <w:qFormat/>
    <w:uiPriority w:val="0"/>
    <w:rPr>
      <w:rFonts w:hint="eastAsia" w:ascii="宋体" w:hAnsi="宋体" w:eastAsia="宋体" w:cs="宋体"/>
      <w:color w:val="000000"/>
      <w:sz w:val="24"/>
      <w:szCs w:val="24"/>
      <w:u w:val="none"/>
    </w:rPr>
  </w:style>
  <w:style w:type="character" w:customStyle="1" w:styleId="14">
    <w:name w:val="font51"/>
    <w:basedOn w:val="12"/>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24</Pages>
  <Words>1751</Words>
  <Characters>2119</Characters>
  <Lines>0</Lines>
  <Paragraphs>0</Paragraphs>
  <TotalTime>12</TotalTime>
  <ScaleCrop>false</ScaleCrop>
  <LinksUpToDate>false</LinksUpToDate>
  <CharactersWithSpaces>2433</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2025-07-21T08:28:48Z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B9C2E284B0FC42D692E2283DBE8D81D8_13</vt:lpwstr>
  </property>
  <property fmtid="{D5CDD505-2E9C-101B-9397-08002B2CF9AE}" pid="4" name="KSOTemplateDocerSaveRecord">
    <vt:lpwstr>eyJoZGlkIjoiMDljYzUzMWQ4OWI0YzBkYjYzMDRhZTY5ZjZkYmFmYTgiLCJ1c2VySWQiOiI1ODMzMjMyMTIifQ==</vt:lpwstr>
  </property>
</Properties>
</file>