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呼图壁县工业园区管理委员会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2025年</w:t>
      </w:r>
      <w:r>
        <w:rPr>
          <w:rFonts w:hint="eastAsia" w:ascii="仿宋_GB2312" w:hAnsi="仿宋_GB2312" w:eastAsia="仿宋_GB2312" w:cs="仿宋_GB2312"/>
          <w:b/>
          <w:bCs/>
          <w:color w:val="auto"/>
          <w:kern w:val="0"/>
          <w:sz w:val="32"/>
          <w:szCs w:val="32"/>
          <w:highlight w:val="none"/>
          <w:lang w:eastAsia="zh-CN"/>
        </w:rPr>
        <w:t>呼图壁县工业园区管理委员会</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2025年部门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呼图壁县工业园区管理委员会2025年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呼图壁县工业园区管理委员会2025年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呼图壁县工业园区管理委员会2025年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呼图壁县工业园区管理委员会2025年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2025年</w:t>
      </w:r>
      <w:r>
        <w:rPr>
          <w:rFonts w:hint="eastAsia" w:ascii="黑体" w:hAnsi="黑体" w:eastAsia="黑体" w:cs="黑体"/>
          <w:b w:val="0"/>
          <w:bCs w:val="0"/>
          <w:color w:val="auto"/>
          <w:kern w:val="0"/>
          <w:sz w:val="32"/>
          <w:szCs w:val="32"/>
          <w:highlight w:val="none"/>
          <w:lang w:eastAsia="zh-CN"/>
        </w:rPr>
        <w:t>呼图壁县工业园区管理委员会</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1、贯彻执行党中央、国务院及区、州、县党委、政府有关工业园区开发建设的方针、政策，并结合实际制定具体的管理制度和管理办法。</w:t>
      </w:r>
    </w:p>
    <w:p>
      <w:pPr>
        <w:widowControl/>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2、负责编制园区国土空间规划、控制性详细规划和产业发展规划，健全完善规划体系。</w:t>
      </w:r>
    </w:p>
    <w:p>
      <w:pPr>
        <w:widowControl/>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负责园区经济运行和发展、招商引资、对外经济技术合作工作，制定招商引资优惠政策并负责监督实施；按照权限、程序审批和审核投资项目；负责协调相关部门为入园企业提供金融、法律、公证、产权交易、劳动用工管理等中介服务工作。</w:t>
      </w:r>
    </w:p>
    <w:p>
      <w:pPr>
        <w:widowControl/>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4、对园区固定资产投资项目进行管理，负责园区内在建工程、基础设施、公用设施、</w:t>
      </w:r>
      <w:r>
        <w:rPr>
          <w:rFonts w:hint="eastAsia" w:ascii="仿宋_GB2312" w:hAnsi="仿宋_GB2312" w:eastAsia="仿宋_GB2312" w:cs="仿宋_GB2312"/>
          <w:sz w:val="32"/>
          <w:szCs w:val="32"/>
          <w:highlight w:val="none"/>
        </w:rPr>
        <w:t>绿化美化</w:t>
      </w:r>
      <w:r>
        <w:rPr>
          <w:rFonts w:hint="eastAsia" w:ascii="仿宋_GB2312" w:hAnsi="仿宋_GB2312" w:eastAsia="仿宋_GB2312" w:cs="仿宋_GB2312"/>
          <w:sz w:val="32"/>
          <w:szCs w:val="32"/>
          <w:highlight w:val="none"/>
          <w:lang w:val="en-US" w:eastAsia="zh-CN"/>
        </w:rPr>
        <w:t>的建设和管理。</w:t>
      </w:r>
    </w:p>
    <w:p>
      <w:pPr>
        <w:widowControl/>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5、负责协调园区内有关部门派驻机构的工作；负责对企业进行宏观指导、管理和协调推动园区产业转型升级，提高发展质量，负责优化营商环境，处理企业投诉等工作。</w:t>
      </w:r>
    </w:p>
    <w:p>
      <w:pPr>
        <w:widowControl/>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6、负责园区环境保护中长期规划，依法履行园区内生态环境保护工作职责，监督管理园区固体危险废物工作，</w:t>
      </w:r>
    </w:p>
    <w:p>
      <w:pPr>
        <w:widowControl/>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负责综合管理园区安全生产工作，制定相应的生产安全事故应急救援预案，协助县人民政府有关部门按照授权依法履行安全生产事故应急救援工作职责，指导园区各部门应对安全生产类、自然灾害类等突发事件和综合防灾减灾救灾工作。</w:t>
      </w:r>
    </w:p>
    <w:p>
      <w:pPr>
        <w:widowControl/>
        <w:spacing w:line="560" w:lineRule="exact"/>
        <w:ind w:firstLine="640" w:firstLineChars="200"/>
        <w:rPr>
          <w:rFonts w:ascii="仿宋_GB2312" w:hAnsi="宋体" w:eastAsia="仿宋_GB2312" w:cs="宋体"/>
          <w:bCs/>
          <w:color w:val="auto"/>
          <w:kern w:val="0"/>
          <w:sz w:val="32"/>
          <w:szCs w:val="32"/>
          <w:highlight w:val="none"/>
        </w:rPr>
      </w:pPr>
      <w:r>
        <w:rPr>
          <w:rFonts w:hint="eastAsia" w:ascii="仿宋_GB2312" w:hAnsi="仿宋_GB2312" w:eastAsia="仿宋_GB2312" w:cs="仿宋_GB2312"/>
          <w:sz w:val="32"/>
          <w:szCs w:val="32"/>
          <w:highlight w:val="none"/>
          <w:lang w:val="en-US" w:eastAsia="zh-CN"/>
        </w:rPr>
        <w:t>8、负责园区工业经济统计和经济运行分析等工作。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呼图壁县工业园区管理委员会</w:t>
      </w:r>
      <w:r>
        <w:rPr>
          <w:rFonts w:hint="eastAsia" w:ascii="仿宋_GB2312" w:hAnsi="黑体" w:eastAsia="仿宋_GB2312" w:cs="宋体"/>
          <w:bCs/>
          <w:kern w:val="0"/>
          <w:sz w:val="32"/>
          <w:szCs w:val="32"/>
          <w:highlight w:val="none"/>
        </w:rPr>
        <w:t>无下属预算单位，下设5个处室，分别是：</w:t>
      </w:r>
      <w:r>
        <w:rPr>
          <w:rFonts w:hint="eastAsia" w:ascii="仿宋_GB2312" w:hAnsi="仿宋_GB2312" w:eastAsia="仿宋_GB2312" w:cs="仿宋_GB2312"/>
          <w:sz w:val="32"/>
          <w:szCs w:val="32"/>
          <w:highlight w:val="none"/>
        </w:rPr>
        <w:t>产业发展局、规划建设环保局、社会事务局、综合业务室、财务室</w:t>
      </w:r>
      <w:r>
        <w:rPr>
          <w:rFonts w:hint="eastAsia" w:ascii="仿宋_GB2312" w:hAnsi="宋体" w:eastAsia="仿宋_GB2312" w:cs="宋体"/>
          <w:kern w:val="0"/>
          <w:sz w:val="32"/>
          <w:szCs w:val="32"/>
          <w:highlight w:val="none"/>
        </w:rPr>
        <w:t>。</w:t>
      </w:r>
    </w:p>
    <w:p>
      <w:pPr>
        <w:widowControl/>
        <w:spacing w:line="560" w:lineRule="exact"/>
        <w:ind w:firstLine="640"/>
        <w:jc w:val="left"/>
        <w:rPr>
          <w:rFonts w:hint="eastAsia" w:ascii="仿宋_GB2312" w:hAnsi="宋体" w:eastAsia="仿宋_GB2312" w:cs="宋体"/>
          <w:kern w:val="0"/>
          <w:sz w:val="32"/>
          <w:szCs w:val="32"/>
          <w:highlight w:val="none"/>
        </w:rPr>
      </w:pPr>
      <w:r>
        <w:rPr>
          <w:rFonts w:hint="eastAsia" w:ascii="仿宋_GB2312" w:hAnsi="仿宋_GB2312" w:eastAsia="仿宋_GB2312" w:cs="仿宋_GB2312"/>
          <w:sz w:val="32"/>
          <w:szCs w:val="32"/>
          <w:highlight w:val="none"/>
        </w:rPr>
        <w:t>呼图壁县工业园区管理委员会</w:t>
      </w:r>
      <w:r>
        <w:rPr>
          <w:rFonts w:hint="eastAsia" w:ascii="仿宋_GB2312" w:hAnsi="宋体" w:eastAsia="仿宋_GB2312" w:cs="宋体"/>
          <w:kern w:val="0"/>
          <w:sz w:val="32"/>
          <w:szCs w:val="32"/>
          <w:highlight w:val="none"/>
        </w:rPr>
        <w:t>编制数</w:t>
      </w:r>
      <w:r>
        <w:rPr>
          <w:rFonts w:hint="eastAsia" w:ascii="仿宋_GB2312" w:hAnsi="仿宋_GB2312" w:eastAsia="仿宋_GB2312" w:cs="仿宋_GB2312"/>
          <w:sz w:val="32"/>
          <w:szCs w:val="32"/>
          <w:highlight w:val="none"/>
        </w:rPr>
        <w:t>23</w:t>
      </w:r>
      <w:r>
        <w:rPr>
          <w:rFonts w:hint="eastAsia" w:ascii="仿宋_GB2312" w:hAnsi="宋体" w:eastAsia="仿宋_GB2312" w:cs="宋体"/>
          <w:kern w:val="0"/>
          <w:sz w:val="32"/>
          <w:szCs w:val="32"/>
          <w:highlight w:val="none"/>
        </w:rPr>
        <w:t>，实有人数22人，其中：在职22人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退休0人，增加0人；离休0人，增加0人。</w:t>
      </w:r>
    </w:p>
    <w:p>
      <w:pPr>
        <w:pStyle w:val="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rPr>
          <w:rFonts w:hint="eastAsia" w:ascii="仿宋_GB2312" w:hAnsi="宋体" w:eastAsia="仿宋_GB2312" w:cs="宋体"/>
          <w:color w:val="auto"/>
          <w:kern w:val="0"/>
          <w:sz w:val="32"/>
          <w:szCs w:val="32"/>
          <w:highlight w:val="none"/>
        </w:rPr>
      </w:pPr>
    </w:p>
    <w:p>
      <w:pPr>
        <w:pStyle w:val="2"/>
        <w:rPr>
          <w:rFonts w:hint="eastAsia"/>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rPr>
        <w:t xml:space="preserve">                        单位：万元</w:t>
      </w:r>
    </w:p>
    <w:tbl>
      <w:tblPr>
        <w:tblStyle w:val="8"/>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tabs>
                <w:tab w:val="center" w:pos="443"/>
                <w:tab w:val="right" w:pos="1187"/>
              </w:tabs>
              <w:spacing w:line="280" w:lineRule="exact"/>
              <w:jc w:val="righ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1485.03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tabs>
                <w:tab w:val="center" w:pos="443"/>
                <w:tab w:val="right" w:pos="1187"/>
              </w:tabs>
              <w:spacing w:line="280" w:lineRule="exact"/>
              <w:jc w:val="righ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748.67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tabs>
                <w:tab w:val="center" w:pos="443"/>
                <w:tab w:val="right" w:pos="1187"/>
              </w:tabs>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748.67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55.83</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34.81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tabs>
                <w:tab w:val="center" w:pos="742"/>
                <w:tab w:val="right" w:pos="1785"/>
              </w:tabs>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149.45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736.36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1178.67</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736.36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14258.13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14258.13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66.26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14253.13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14253.13</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bidi="ar-SA"/>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bidi="ar-SA"/>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b/>
                <w:bCs/>
                <w:color w:val="auto"/>
                <w:kern w:val="0"/>
                <w:sz w:val="20"/>
                <w:szCs w:val="20"/>
                <w:highlight w:val="none"/>
              </w:rPr>
              <w:t>15743.16</w:t>
            </w:r>
          </w:p>
        </w:tc>
        <w:tc>
          <w:tcPr>
            <w:tcW w:w="2693" w:type="dxa"/>
            <w:tcBorders>
              <w:top w:val="nil"/>
              <w:left w:val="nil"/>
              <w:bottom w:val="single" w:color="auto" w:sz="4" w:space="0"/>
              <w:right w:val="nil"/>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bidi="ar-SA"/>
              </w:rPr>
            </w:pPr>
            <w:r>
              <w:rPr>
                <w:rFonts w:hint="eastAsia"/>
                <w:highlight w:val="none"/>
              </w:rPr>
              <w:t>15743.16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14800" w:type="dxa"/>
        <w:tblInd w:w="-666" w:type="dxa"/>
        <w:tblLayout w:type="fixed"/>
        <w:tblCellMar>
          <w:top w:w="0" w:type="dxa"/>
          <w:left w:w="108" w:type="dxa"/>
          <w:bottom w:w="0" w:type="dxa"/>
          <w:right w:w="108" w:type="dxa"/>
        </w:tblCellMar>
      </w:tblPr>
      <w:tblGrid>
        <w:gridCol w:w="620"/>
        <w:gridCol w:w="460"/>
        <w:gridCol w:w="460"/>
        <w:gridCol w:w="1920"/>
        <w:gridCol w:w="990"/>
        <w:gridCol w:w="990"/>
        <w:gridCol w:w="960"/>
        <w:gridCol w:w="900"/>
        <w:gridCol w:w="1070"/>
        <w:gridCol w:w="860"/>
        <w:gridCol w:w="930"/>
        <w:gridCol w:w="1050"/>
        <w:gridCol w:w="900"/>
        <w:gridCol w:w="920"/>
        <w:gridCol w:w="1020"/>
        <w:gridCol w:w="750"/>
      </w:tblGrid>
      <w:tr>
        <w:tblPrEx>
          <w:tblCellMar>
            <w:top w:w="0" w:type="dxa"/>
            <w:left w:w="108" w:type="dxa"/>
            <w:bottom w:w="0" w:type="dxa"/>
            <w:right w:w="108" w:type="dxa"/>
          </w:tblCellMar>
        </w:tblPrEx>
        <w:trPr>
          <w:trHeight w:val="697" w:hRule="atLeast"/>
        </w:trPr>
        <w:tc>
          <w:tcPr>
            <w:tcW w:w="154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9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76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9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584" w:hRule="atLeast"/>
        </w:trPr>
        <w:tc>
          <w:tcPr>
            <w:tcW w:w="620"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6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6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92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9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10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90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2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2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5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60" w:type="dxa"/>
            <w:tcBorders>
              <w:top w:val="nil"/>
              <w:left w:val="nil"/>
              <w:bottom w:val="single" w:color="auto" w:sz="4" w:space="0"/>
              <w:right w:val="single" w:color="auto" w:sz="4" w:space="0"/>
            </w:tcBorders>
            <w:shd w:val="clear" w:color="auto" w:fill="auto"/>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460" w:type="dxa"/>
            <w:tcBorders>
              <w:top w:val="nil"/>
              <w:left w:val="nil"/>
              <w:bottom w:val="single" w:color="auto" w:sz="4" w:space="0"/>
              <w:right w:val="single" w:color="auto" w:sz="4" w:space="0"/>
            </w:tcBorders>
            <w:shd w:val="clear" w:color="auto" w:fill="auto"/>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19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bCs/>
                <w:kern w:val="2"/>
                <w:sz w:val="16"/>
                <w:szCs w:val="16"/>
                <w:highlight w:val="none"/>
                <w:lang w:val="en-US" w:eastAsia="zh-CN" w:bidi="ar-SA"/>
              </w:rPr>
            </w:pPr>
            <w:r>
              <w:rPr>
                <w:rFonts w:hint="eastAsia" w:ascii="仿宋_GB2312" w:hAnsi="宋体" w:eastAsia="仿宋_GB2312" w:cs="宋体"/>
                <w:b/>
                <w:bCs/>
                <w:sz w:val="16"/>
                <w:szCs w:val="16"/>
                <w:highlight w:val="none"/>
              </w:rPr>
              <w:t>社会保障和就业支出</w:t>
            </w:r>
          </w:p>
        </w:tc>
        <w:tc>
          <w:tcPr>
            <w:tcW w:w="99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55.83</w:t>
            </w:r>
          </w:p>
        </w:tc>
        <w:tc>
          <w:tcPr>
            <w:tcW w:w="99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37.83</w:t>
            </w:r>
          </w:p>
        </w:tc>
        <w:tc>
          <w:tcPr>
            <w:tcW w:w="96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37.83</w:t>
            </w:r>
          </w:p>
        </w:tc>
        <w:tc>
          <w:tcPr>
            <w:tcW w:w="90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86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9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10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90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18.00</w:t>
            </w:r>
          </w:p>
        </w:tc>
        <w:tc>
          <w:tcPr>
            <w:tcW w:w="10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460"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19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行政事业单位养老支出</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55.83</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37.83</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37.83</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18.00</w:t>
            </w: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19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机关事业单位基本养老保险缴费支出</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55.83</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37.83</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37.83</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18.00</w:t>
            </w: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60"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460"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1920" w:type="dxa"/>
            <w:tcBorders>
              <w:top w:val="nil"/>
              <w:left w:val="nil"/>
              <w:bottom w:val="single" w:color="auto" w:sz="4" w:space="0"/>
              <w:right w:val="single" w:color="auto" w:sz="4" w:space="0"/>
            </w:tcBorders>
            <w:noWrap w:val="0"/>
            <w:vAlign w:val="center"/>
          </w:tcPr>
          <w:p>
            <w:pPr>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卫生健康支出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34.81</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28.61</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28.61</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6.2</w:t>
            </w:r>
            <w:r>
              <w:rPr>
                <w:rFonts w:hint="eastAsia" w:ascii="仿宋_GB2312" w:eastAsia="仿宋_GB2312"/>
                <w:color w:val="auto"/>
                <w:sz w:val="20"/>
                <w:szCs w:val="20"/>
                <w:highlight w:val="none"/>
                <w:lang w:val="en-US" w:eastAsia="zh-CN"/>
              </w:rPr>
              <w:t>0</w:t>
            </w: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460"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1920" w:type="dxa"/>
            <w:tcBorders>
              <w:top w:val="nil"/>
              <w:left w:val="nil"/>
              <w:bottom w:val="single" w:color="auto" w:sz="4" w:space="0"/>
              <w:right w:val="single" w:color="auto" w:sz="4" w:space="0"/>
            </w:tcBorders>
            <w:noWrap w:val="0"/>
            <w:vAlign w:val="center"/>
          </w:tcPr>
          <w:p>
            <w:pPr>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行政事业单位医疗</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34.81</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28.61</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28.61</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6.2</w:t>
            </w:r>
            <w:r>
              <w:rPr>
                <w:rFonts w:hint="eastAsia" w:ascii="仿宋_GB2312" w:eastAsia="仿宋_GB2312"/>
                <w:color w:val="auto"/>
                <w:sz w:val="20"/>
                <w:szCs w:val="20"/>
                <w:highlight w:val="none"/>
                <w:lang w:val="en-US" w:eastAsia="zh-CN"/>
              </w:rPr>
              <w:t>0</w:t>
            </w: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02</w:t>
            </w:r>
          </w:p>
        </w:tc>
        <w:tc>
          <w:tcPr>
            <w:tcW w:w="1920"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事业单位医疗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23.92</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18.92</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18.92</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03</w:t>
            </w:r>
          </w:p>
        </w:tc>
        <w:tc>
          <w:tcPr>
            <w:tcW w:w="1920"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公务员医疗补助</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10.66</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9.46</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9.46</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1.20</w:t>
            </w: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11</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99</w:t>
            </w:r>
          </w:p>
        </w:tc>
        <w:tc>
          <w:tcPr>
            <w:tcW w:w="1920"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其他行政事业单位医疗支出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0.24</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0.24</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0.24</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211</w:t>
            </w:r>
            <w:r>
              <w:rPr>
                <w:rFonts w:hint="eastAsia" w:ascii="仿宋_GB2312" w:eastAsia="仿宋_GB2312"/>
                <w:color w:val="auto"/>
                <w:sz w:val="20"/>
                <w:szCs w:val="20"/>
                <w:highlight w:val="none"/>
              </w:rPr>
              <w:t>　</w:t>
            </w:r>
          </w:p>
        </w:tc>
        <w:tc>
          <w:tcPr>
            <w:tcW w:w="4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节能环保支出</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　</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　</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211</w:t>
            </w:r>
            <w:r>
              <w:rPr>
                <w:rFonts w:hint="eastAsia" w:ascii="仿宋_GB2312" w:eastAsia="仿宋_GB2312"/>
                <w:color w:val="auto"/>
                <w:sz w:val="20"/>
                <w:szCs w:val="20"/>
                <w:highlight w:val="none"/>
              </w:rPr>
              <w:t>　</w:t>
            </w:r>
          </w:p>
        </w:tc>
        <w:tc>
          <w:tcPr>
            <w:tcW w:w="4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污染防治</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　</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　</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211</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sz w:val="16"/>
                <w:szCs w:val="16"/>
                <w:highlight w:val="none"/>
              </w:rPr>
            </w:pPr>
            <w:r>
              <w:rPr>
                <w:rFonts w:hint="eastAsia" w:ascii="仿宋_GB2312" w:eastAsia="仿宋_GB2312"/>
                <w:sz w:val="16"/>
                <w:szCs w:val="16"/>
                <w:highlight w:val="none"/>
              </w:rPr>
              <w:t>水体</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　</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　</w:t>
            </w:r>
          </w:p>
        </w:tc>
        <w:tc>
          <w:tcPr>
            <w:tcW w:w="9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149.45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212</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城乡社区支出</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5.00</w:t>
            </w: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212</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城乡社区管理事务</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5.00</w:t>
            </w: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212</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sz w:val="16"/>
                <w:szCs w:val="16"/>
                <w:highlight w:val="none"/>
              </w:rPr>
            </w:pPr>
            <w:r>
              <w:rPr>
                <w:rFonts w:hint="eastAsia" w:ascii="仿宋_GB2312" w:eastAsia="仿宋_GB2312"/>
                <w:sz w:val="16"/>
                <w:szCs w:val="16"/>
                <w:highlight w:val="none"/>
              </w:rPr>
              <w:t>一般行政管理事务</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highlight w:val="none"/>
              </w:rPr>
              <w:t>5.00</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5.00</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5.00</w:t>
            </w: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资源勘探工业信息等支出</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1178.67</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501.51</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501.51</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677.16</w:t>
            </w: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215</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工业和信息产业</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1178.67</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501.51</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501.51</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677.16</w:t>
            </w: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215</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sz w:val="16"/>
                <w:szCs w:val="16"/>
                <w:highlight w:val="none"/>
              </w:rPr>
            </w:pPr>
            <w:r>
              <w:rPr>
                <w:rFonts w:hint="eastAsia" w:ascii="仿宋_GB2312" w:eastAsia="仿宋_GB2312"/>
                <w:sz w:val="16"/>
                <w:szCs w:val="16"/>
                <w:highlight w:val="none"/>
              </w:rPr>
              <w:t>工程建设及运行维护</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556.06</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556.06</w:t>
            </w: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215</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sz w:val="16"/>
                <w:szCs w:val="16"/>
                <w:highlight w:val="none"/>
              </w:rPr>
            </w:pPr>
            <w:r>
              <w:rPr>
                <w:rFonts w:hint="eastAsia" w:ascii="仿宋_GB2312" w:eastAsia="仿宋_GB2312"/>
                <w:sz w:val="16"/>
                <w:szCs w:val="16"/>
                <w:highlight w:val="none"/>
              </w:rPr>
              <w:t>产业发展</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203.27</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203.27</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203.27</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215</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sz w:val="16"/>
                <w:szCs w:val="16"/>
                <w:highlight w:val="none"/>
              </w:rPr>
            </w:pPr>
            <w:r>
              <w:rPr>
                <w:rFonts w:hint="eastAsia" w:ascii="仿宋_GB2312" w:eastAsia="仿宋_GB2312"/>
                <w:sz w:val="16"/>
                <w:szCs w:val="16"/>
                <w:highlight w:val="none"/>
              </w:rPr>
              <w:t>事业运行</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419.34</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419.34</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419.34</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121.10</w:t>
            </w: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住房保障支出</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66.26</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31.26</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31.26</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35.00</w:t>
            </w: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5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221</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住房改革支出</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66.26</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31.26</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31.26</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35.00</w:t>
            </w: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221</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02</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sz w:val="16"/>
                <w:szCs w:val="16"/>
                <w:highlight w:val="none"/>
              </w:rPr>
            </w:pPr>
            <w:r>
              <w:rPr>
                <w:rFonts w:hint="eastAsia" w:ascii="仿宋_GB2312" w:eastAsia="仿宋_GB2312"/>
                <w:sz w:val="16"/>
                <w:szCs w:val="16"/>
                <w:highlight w:val="none"/>
              </w:rPr>
              <w:t>住房公积金</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66.26</w:t>
            </w:r>
          </w:p>
        </w:tc>
        <w:tc>
          <w:tcPr>
            <w:tcW w:w="9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31.26</w:t>
            </w:r>
          </w:p>
        </w:tc>
        <w:tc>
          <w:tcPr>
            <w:tcW w:w="9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31.26</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35.00</w:t>
            </w: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229</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lang w:val="en-US" w:eastAsia="zh-CN"/>
              </w:rPr>
            </w:pPr>
            <w:r>
              <w:rPr>
                <w:rFonts w:hint="eastAsia" w:ascii="仿宋_GB2312" w:eastAsia="仿宋_GB2312"/>
                <w:b/>
                <w:bCs/>
                <w:sz w:val="16"/>
                <w:szCs w:val="16"/>
                <w:highlight w:val="none"/>
              </w:rPr>
              <w:t>其他支出</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14253.13</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14253.13</w:t>
            </w: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229</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p>
        </w:tc>
        <w:tc>
          <w:tcPr>
            <w:tcW w:w="4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b/>
                <w:bCs/>
                <w:sz w:val="16"/>
                <w:szCs w:val="16"/>
                <w:highlight w:val="none"/>
                <w:lang w:val="en-US" w:eastAsia="zh-CN"/>
              </w:rPr>
            </w:pPr>
            <w:r>
              <w:rPr>
                <w:rFonts w:hint="eastAsia" w:ascii="仿宋_GB2312" w:eastAsia="仿宋_GB2312"/>
                <w:b/>
                <w:bCs/>
                <w:sz w:val="16"/>
                <w:szCs w:val="16"/>
                <w:highlight w:val="none"/>
              </w:rPr>
              <w:t>其他政府性基金及对应专项债务收入安排的支出</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14253.13</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8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0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14253.13</w:t>
            </w: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229</w:t>
            </w:r>
          </w:p>
        </w:tc>
        <w:tc>
          <w:tcPr>
            <w:tcW w:w="4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p>
        </w:tc>
        <w:tc>
          <w:tcPr>
            <w:tcW w:w="460"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02</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sz w:val="16"/>
                <w:szCs w:val="16"/>
                <w:highlight w:val="none"/>
                <w:lang w:val="en-US" w:eastAsia="zh-CN"/>
              </w:rPr>
            </w:pPr>
            <w:r>
              <w:rPr>
                <w:rFonts w:hint="eastAsia" w:ascii="仿宋_GB2312" w:eastAsia="仿宋_GB2312"/>
                <w:sz w:val="16"/>
                <w:szCs w:val="16"/>
                <w:highlight w:val="none"/>
                <w:lang w:val="en-US" w:eastAsia="zh-CN"/>
              </w:rPr>
              <w:t>其他地方自行试点项目收益专项债券收入安排的支出</w:t>
            </w:r>
          </w:p>
        </w:tc>
        <w:tc>
          <w:tcPr>
            <w:tcW w:w="9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kern w:val="2"/>
                <w:sz w:val="18"/>
                <w:szCs w:val="18"/>
                <w:highlight w:val="none"/>
                <w:lang w:val="en-US" w:eastAsia="zh-CN" w:bidi="ar-SA"/>
              </w:rPr>
              <w:t>14253.13</w:t>
            </w:r>
          </w:p>
        </w:tc>
        <w:tc>
          <w:tcPr>
            <w:tcW w:w="9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8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93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105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9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10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14253.13</w:t>
            </w: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920" w:type="dxa"/>
            <w:tcBorders>
              <w:top w:val="nil"/>
              <w:left w:val="nil"/>
              <w:bottom w:val="single" w:color="auto" w:sz="4" w:space="0"/>
              <w:right w:val="single" w:color="auto" w:sz="4" w:space="0"/>
            </w:tcBorders>
            <w:noWrap w:val="0"/>
            <w:vAlign w:val="center"/>
          </w:tcPr>
          <w:p>
            <w:pPr>
              <w:rPr>
                <w:rFonts w:hint="eastAsia" w:ascii="仿宋_GB2312" w:eastAsia="仿宋_GB2312"/>
                <w:sz w:val="16"/>
                <w:szCs w:val="16"/>
                <w:highlight w:val="none"/>
                <w:lang w:val="en-US" w:eastAsia="zh-CN"/>
              </w:rPr>
            </w:pPr>
            <w:r>
              <w:rPr>
                <w:rFonts w:hint="eastAsia" w:ascii="仿宋_GB2312" w:eastAsia="仿宋_GB2312"/>
                <w:sz w:val="16"/>
                <w:szCs w:val="16"/>
                <w:highlight w:val="none"/>
              </w:rPr>
              <w:t>　</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9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10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8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0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62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9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kern w:val="2"/>
                <w:sz w:val="18"/>
                <w:szCs w:val="18"/>
                <w:highlight w:val="none"/>
                <w:lang w:val="en-US" w:eastAsia="zh-CN" w:bidi="ar-SA"/>
              </w:rPr>
              <w:t>15743.16</w:t>
            </w:r>
            <w:r>
              <w:rPr>
                <w:rFonts w:hint="eastAsia" w:ascii="仿宋_GB2312" w:eastAsia="仿宋_GB2312"/>
                <w:color w:val="auto"/>
                <w:sz w:val="20"/>
                <w:szCs w:val="20"/>
                <w:highlight w:val="none"/>
              </w:rPr>
              <w:t>　</w:t>
            </w:r>
          </w:p>
        </w:tc>
        <w:tc>
          <w:tcPr>
            <w:tcW w:w="9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748.67　</w:t>
            </w:r>
          </w:p>
        </w:tc>
        <w:tc>
          <w:tcPr>
            <w:tcW w:w="9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748.67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10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736.36</w:t>
            </w: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8"/>
                <w:szCs w:val="18"/>
                <w:highlight w:val="none"/>
              </w:rPr>
              <w:t>1425</w:t>
            </w:r>
            <w:r>
              <w:rPr>
                <w:rFonts w:hint="eastAsia" w:ascii="仿宋_GB2312" w:eastAsia="仿宋_GB2312"/>
                <w:color w:val="auto"/>
                <w:sz w:val="18"/>
                <w:szCs w:val="18"/>
                <w:highlight w:val="none"/>
                <w:lang w:val="en-US" w:eastAsia="zh-CN"/>
              </w:rPr>
              <w:t>8</w:t>
            </w:r>
            <w:r>
              <w:rPr>
                <w:rFonts w:hint="eastAsia" w:ascii="仿宋_GB2312" w:eastAsia="仿宋_GB2312"/>
                <w:color w:val="auto"/>
                <w:sz w:val="18"/>
                <w:szCs w:val="18"/>
                <w:highlight w:val="none"/>
              </w:rPr>
              <w:t>.13</w:t>
            </w:r>
          </w:p>
        </w:tc>
        <w:tc>
          <w:tcPr>
            <w:tcW w:w="7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pStyle w:val="2"/>
        <w:rPr>
          <w:rFonts w:hint="eastAsia"/>
          <w:highlight w:val="none"/>
          <w:lang w:val="en-US" w:eastAsia="zh-CN"/>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685" w:type="dxa"/>
        <w:tblInd w:w="-344" w:type="dxa"/>
        <w:tblLayout w:type="autofit"/>
        <w:tblCellMar>
          <w:top w:w="0" w:type="dxa"/>
          <w:left w:w="108" w:type="dxa"/>
          <w:bottom w:w="0" w:type="dxa"/>
          <w:right w:w="108" w:type="dxa"/>
        </w:tblCellMar>
      </w:tblPr>
      <w:tblGrid>
        <w:gridCol w:w="620"/>
        <w:gridCol w:w="417"/>
        <w:gridCol w:w="859"/>
        <w:gridCol w:w="2389"/>
        <w:gridCol w:w="1779"/>
        <w:gridCol w:w="1789"/>
        <w:gridCol w:w="1832"/>
      </w:tblGrid>
      <w:tr>
        <w:tblPrEx>
          <w:tblCellMar>
            <w:top w:w="0" w:type="dxa"/>
            <w:left w:w="108" w:type="dxa"/>
            <w:bottom w:w="0" w:type="dxa"/>
            <w:right w:w="108" w:type="dxa"/>
          </w:tblCellMar>
        </w:tblPrEx>
        <w:trPr>
          <w:trHeight w:val="328"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00"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373" w:hRule="atLeast"/>
        </w:trPr>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8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7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8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3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173" w:hRule="atLeast"/>
        </w:trPr>
        <w:tc>
          <w:tcPr>
            <w:tcW w:w="62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85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8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7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8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17"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859"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bCs/>
                <w:kern w:val="2"/>
                <w:sz w:val="16"/>
                <w:szCs w:val="16"/>
                <w:highlight w:val="none"/>
                <w:lang w:val="en-US" w:eastAsia="zh-CN" w:bidi="ar-SA"/>
              </w:rPr>
            </w:pPr>
            <w:r>
              <w:rPr>
                <w:rFonts w:hint="eastAsia" w:ascii="仿宋_GB2312" w:hAnsi="宋体" w:eastAsia="仿宋_GB2312" w:cs="宋体"/>
                <w:b/>
                <w:bCs/>
                <w:sz w:val="16"/>
                <w:szCs w:val="16"/>
                <w:highlight w:val="none"/>
              </w:rPr>
              <w:t>社会保障和就业支出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55.83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859"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行政事业单位养老支出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55.83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85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2389"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机关事业单位基本养老保险缴费支出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55.83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859"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卫生健康支出　</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34.81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34.81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859"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行政事业单位医疗</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34.81</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34.81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85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02</w:t>
            </w:r>
          </w:p>
        </w:tc>
        <w:tc>
          <w:tcPr>
            <w:tcW w:w="2389"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事业单位医疗　</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23.92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23.92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85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03</w:t>
            </w:r>
          </w:p>
        </w:tc>
        <w:tc>
          <w:tcPr>
            <w:tcW w:w="2389"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公务员医疗补助</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10.66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10.66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11</w:t>
            </w:r>
          </w:p>
        </w:tc>
        <w:tc>
          <w:tcPr>
            <w:tcW w:w="85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99</w:t>
            </w:r>
          </w:p>
        </w:tc>
        <w:tc>
          <w:tcPr>
            <w:tcW w:w="2389"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其他行政事业单位医疗支出　</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0.24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0.24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节能环保支出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149.45</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149.45</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污染防治</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149.45</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149.45</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水体</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149.45</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149.45</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城乡社区支出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5.00</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5.00</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城乡社区管理事务</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5.00</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5.00</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85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一般行政管理事务</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5.00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5.00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资源勘探工业信息等支出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1178.67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419.34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759.33　</w:t>
            </w:r>
          </w:p>
        </w:tc>
      </w:tr>
      <w:tr>
        <w:tblPrEx>
          <w:tblCellMar>
            <w:top w:w="0" w:type="dxa"/>
            <w:left w:w="108" w:type="dxa"/>
            <w:bottom w:w="0" w:type="dxa"/>
            <w:right w:w="108" w:type="dxa"/>
          </w:tblCellMar>
        </w:tblPrEx>
        <w:trPr>
          <w:trHeight w:val="351"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工业和信息产业</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1178.67</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419.34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759.33</w:t>
            </w:r>
          </w:p>
        </w:tc>
      </w:tr>
      <w:tr>
        <w:tblPrEx>
          <w:tblCellMar>
            <w:top w:w="0" w:type="dxa"/>
            <w:left w:w="108" w:type="dxa"/>
            <w:bottom w:w="0" w:type="dxa"/>
            <w:right w:w="108" w:type="dxa"/>
          </w:tblCellMar>
        </w:tblPrEx>
        <w:trPr>
          <w:trHeight w:val="362"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85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w:t>
            </w: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工程建设及运行维护</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556.06</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556.06</w:t>
            </w:r>
          </w:p>
        </w:tc>
      </w:tr>
      <w:tr>
        <w:tblPrEx>
          <w:tblCellMar>
            <w:top w:w="0" w:type="dxa"/>
            <w:left w:w="108" w:type="dxa"/>
            <w:bottom w:w="0" w:type="dxa"/>
            <w:right w:w="108" w:type="dxa"/>
          </w:tblCellMar>
        </w:tblPrEx>
        <w:trPr>
          <w:trHeight w:val="320"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85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w:t>
            </w: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产业发展</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203.27</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203.27</w:t>
            </w:r>
          </w:p>
        </w:tc>
      </w:tr>
      <w:tr>
        <w:tblPrEx>
          <w:tblCellMar>
            <w:top w:w="0" w:type="dxa"/>
            <w:left w:w="108" w:type="dxa"/>
            <w:bottom w:w="0" w:type="dxa"/>
            <w:right w:w="108" w:type="dxa"/>
          </w:tblCellMar>
        </w:tblPrEx>
        <w:trPr>
          <w:trHeight w:val="287"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85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50</w:t>
            </w: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事业运行</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419.34</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419.34</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住房保障支出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66.26</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66.26</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85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住房改革支出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66.26</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66.26</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85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住房公积金</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66.26</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66.26</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85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其他支出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14253.13</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14253.13</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p>
        </w:tc>
        <w:tc>
          <w:tcPr>
            <w:tcW w:w="85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其他政府性基金及对应专项债务收入安排的支出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14253.13</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14253.13</w:t>
            </w:r>
          </w:p>
        </w:tc>
      </w:tr>
      <w:tr>
        <w:tblPrEx>
          <w:tblCellMar>
            <w:top w:w="0" w:type="dxa"/>
            <w:left w:w="108" w:type="dxa"/>
            <w:bottom w:w="0" w:type="dxa"/>
            <w:right w:w="108" w:type="dxa"/>
          </w:tblCellMar>
        </w:tblPrEx>
        <w:trPr>
          <w:trHeight w:val="351" w:hRule="atLeast"/>
        </w:trPr>
        <w:tc>
          <w:tcPr>
            <w:tcW w:w="6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p>
        </w:tc>
        <w:tc>
          <w:tcPr>
            <w:tcW w:w="85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02</w:t>
            </w:r>
          </w:p>
        </w:tc>
        <w:tc>
          <w:tcPr>
            <w:tcW w:w="2389"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lang w:val="en-US" w:eastAsia="zh-CN"/>
              </w:rPr>
              <w:t>其他地方自行试点项目收益专项债券收入安排的支出</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14253.13　</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14253.13　</w:t>
            </w:r>
          </w:p>
        </w:tc>
      </w:tr>
      <w:tr>
        <w:tblPrEx>
          <w:tblCellMar>
            <w:top w:w="0" w:type="dxa"/>
            <w:left w:w="108" w:type="dxa"/>
            <w:bottom w:w="0" w:type="dxa"/>
            <w:right w:w="108" w:type="dxa"/>
          </w:tblCellMar>
        </w:tblPrEx>
        <w:trPr>
          <w:trHeight w:val="405" w:hRule="atLeast"/>
        </w:trPr>
        <w:tc>
          <w:tcPr>
            <w:tcW w:w="62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85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238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7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15743.16</w:t>
            </w:r>
          </w:p>
        </w:tc>
        <w:tc>
          <w:tcPr>
            <w:tcW w:w="178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576.25</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15166.91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748.67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748.67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37.83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37.83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28.61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28.61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149.45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149.45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501.51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501.51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31.26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31.26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rPr>
              <w:t>748.67</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748.67</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748.67</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autofit"/>
        <w:tblCellMar>
          <w:top w:w="0" w:type="dxa"/>
          <w:left w:w="108" w:type="dxa"/>
          <w:bottom w:w="0" w:type="dxa"/>
          <w:right w:w="108" w:type="dxa"/>
        </w:tblCellMar>
      </w:tblPr>
      <w:tblGrid>
        <w:gridCol w:w="516"/>
        <w:gridCol w:w="499"/>
        <w:gridCol w:w="502"/>
        <w:gridCol w:w="2494"/>
        <w:gridCol w:w="657"/>
        <w:gridCol w:w="1020"/>
        <w:gridCol w:w="215"/>
        <w:gridCol w:w="1618"/>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68"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p>
        </w:tc>
        <w:tc>
          <w:tcPr>
            <w:tcW w:w="123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7"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99"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bCs/>
                <w:kern w:val="2"/>
                <w:sz w:val="16"/>
                <w:szCs w:val="16"/>
                <w:highlight w:val="none"/>
                <w:lang w:val="en-US" w:eastAsia="zh-CN" w:bidi="ar-SA"/>
              </w:rPr>
            </w:pPr>
            <w:r>
              <w:rPr>
                <w:rFonts w:hint="eastAsia" w:ascii="仿宋_GB2312" w:hAnsi="宋体" w:eastAsia="仿宋_GB2312" w:cs="宋体"/>
                <w:b/>
                <w:bCs/>
                <w:sz w:val="16"/>
                <w:szCs w:val="16"/>
                <w:highlight w:val="none"/>
              </w:rPr>
              <w:t>社会保障和就业支出</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37.83</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37.83</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502"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行政事业单位养老支出</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37.83</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37.83</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w:t>
            </w:r>
            <w:r>
              <w:rPr>
                <w:rFonts w:ascii="仿宋_GB2312" w:eastAsia="仿宋_GB2312"/>
                <w:sz w:val="20"/>
                <w:szCs w:val="20"/>
                <w:highlight w:val="none"/>
              </w:rPr>
              <w:t>08</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05</w:t>
            </w:r>
          </w:p>
        </w:tc>
        <w:tc>
          <w:tcPr>
            <w:tcW w:w="249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机关事业单位基本养老保险缴费支出</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37.83</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37.83</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99"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卫生健康支出　</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28.61</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28.61</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502" w:type="dxa"/>
            <w:tcBorders>
              <w:top w:val="nil"/>
              <w:left w:val="nil"/>
              <w:bottom w:val="single" w:color="auto" w:sz="4" w:space="0"/>
              <w:right w:val="single" w:color="auto" w:sz="4" w:space="0"/>
            </w:tcBorders>
            <w:noWrap w:val="0"/>
            <w:vAlign w:val="center"/>
          </w:tcPr>
          <w:p>
            <w:pPr>
              <w:ind w:firstLine="400" w:firstLineChars="0"/>
              <w:jc w:val="center"/>
              <w:rPr>
                <w:rFonts w:ascii="仿宋_GB2312" w:hAnsi="宋体" w:eastAsia="仿宋_GB2312" w:cs="宋体"/>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rPr>
                <w:rFonts w:ascii="仿宋_GB2312" w:hAnsi="宋体" w:eastAsia="仿宋_GB2312" w:cs="宋体"/>
                <w:b/>
                <w:bCs/>
                <w:kern w:val="2"/>
                <w:sz w:val="16"/>
                <w:szCs w:val="16"/>
                <w:highlight w:val="none"/>
                <w:lang w:val="en-US" w:eastAsia="zh-CN" w:bidi="ar-SA"/>
              </w:rPr>
            </w:pPr>
            <w:r>
              <w:rPr>
                <w:rFonts w:hint="eastAsia" w:ascii="仿宋_GB2312" w:eastAsia="仿宋_GB2312"/>
                <w:b/>
                <w:bCs/>
                <w:sz w:val="16"/>
                <w:szCs w:val="16"/>
                <w:highlight w:val="none"/>
              </w:rPr>
              <w:t>行政事业单位医疗</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28.61</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28.61</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02</w:t>
            </w:r>
          </w:p>
        </w:tc>
        <w:tc>
          <w:tcPr>
            <w:tcW w:w="2494"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事业单位医疗　</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18.92</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rPr>
              <w:t>18.92</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ascii="仿宋_GB2312" w:eastAsia="仿宋_GB2312"/>
                <w:sz w:val="20"/>
                <w:szCs w:val="20"/>
                <w:highlight w:val="none"/>
              </w:rPr>
              <w:t>1</w:t>
            </w:r>
            <w:r>
              <w:rPr>
                <w:rFonts w:hint="eastAsia" w:ascii="仿宋_GB2312" w:eastAsia="仿宋_GB2312"/>
                <w:sz w:val="20"/>
                <w:szCs w:val="20"/>
                <w:highlight w:val="none"/>
              </w:rPr>
              <w:t>1</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03</w:t>
            </w:r>
          </w:p>
        </w:tc>
        <w:tc>
          <w:tcPr>
            <w:tcW w:w="2494"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公务员医疗补助</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9.46</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rPr>
              <w:t>9.46</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210</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11</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2"/>
                <w:sz w:val="20"/>
                <w:szCs w:val="20"/>
                <w:highlight w:val="none"/>
                <w:lang w:val="en-US" w:eastAsia="zh-CN" w:bidi="ar-SA"/>
              </w:rPr>
            </w:pPr>
            <w:r>
              <w:rPr>
                <w:rFonts w:hint="eastAsia" w:ascii="仿宋_GB2312" w:eastAsia="仿宋_GB2312"/>
                <w:sz w:val="20"/>
                <w:szCs w:val="20"/>
                <w:highlight w:val="none"/>
              </w:rPr>
              <w:t>99</w:t>
            </w:r>
          </w:p>
        </w:tc>
        <w:tc>
          <w:tcPr>
            <w:tcW w:w="2494" w:type="dxa"/>
            <w:tcBorders>
              <w:top w:val="nil"/>
              <w:left w:val="nil"/>
              <w:bottom w:val="single" w:color="auto" w:sz="4" w:space="0"/>
              <w:right w:val="single" w:color="auto" w:sz="4" w:space="0"/>
            </w:tcBorders>
            <w:noWrap w:val="0"/>
            <w:vAlign w:val="center"/>
          </w:tcPr>
          <w:p>
            <w:pPr>
              <w:rPr>
                <w:rFonts w:ascii="仿宋_GB2312" w:hAnsi="宋体" w:eastAsia="仿宋_GB2312" w:cs="宋体"/>
                <w:kern w:val="2"/>
                <w:sz w:val="16"/>
                <w:szCs w:val="16"/>
                <w:highlight w:val="none"/>
                <w:lang w:val="en-US" w:eastAsia="zh-CN" w:bidi="ar-SA"/>
              </w:rPr>
            </w:pPr>
            <w:r>
              <w:rPr>
                <w:rFonts w:hint="eastAsia" w:ascii="仿宋_GB2312" w:eastAsia="仿宋_GB2312"/>
                <w:sz w:val="16"/>
                <w:szCs w:val="16"/>
                <w:highlight w:val="none"/>
              </w:rPr>
              <w:t>其他行政事业单位医疗支出　</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0.24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rPr>
              <w:t>0.24</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节能环保支出</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149.45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149.45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污染防治</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149.45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149.45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水体</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149.45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149.45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资源勘探工业信息等支出</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501.51</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298.24</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203.27</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工业和信息产业</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501.51</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298.24</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203.27</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w:t>
            </w: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产业发展</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203.27</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203.27</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50</w:t>
            </w: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事业运行</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298.24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298.24</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住房保障支出</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31.26</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31.26</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住房改革支出</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31.26</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31.26</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49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住房公积金</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31.26</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31.26</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7"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val="0"/>
                <w:bCs/>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val="0"/>
                <w:bCs/>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val="0"/>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7"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仿宋_GB2312" w:eastAsia="仿宋_GB2312" w:cs="仿宋_GB2312"/>
                <w:b w:val="0"/>
                <w:bCs/>
                <w:color w:val="auto"/>
                <w:kern w:val="0"/>
                <w:sz w:val="18"/>
                <w:szCs w:val="18"/>
                <w:highlight w:val="none"/>
              </w:rPr>
            </w:pPr>
            <w:r>
              <w:rPr>
                <w:rFonts w:hint="eastAsia" w:ascii="仿宋_GB2312" w:hAnsi="仿宋_GB2312" w:eastAsia="仿宋_GB2312" w:cs="仿宋_GB2312"/>
                <w:b w:val="0"/>
                <w:bCs/>
                <w:color w:val="auto"/>
                <w:kern w:val="0"/>
                <w:sz w:val="18"/>
                <w:szCs w:val="18"/>
                <w:highlight w:val="none"/>
              </w:rPr>
              <w:t>7</w:t>
            </w:r>
            <w:r>
              <w:rPr>
                <w:rFonts w:hint="eastAsia" w:ascii="仿宋_GB2312" w:hAnsi="仿宋_GB2312" w:eastAsia="仿宋_GB2312" w:cs="仿宋_GB2312"/>
                <w:b w:val="0"/>
                <w:bCs/>
                <w:color w:val="auto"/>
                <w:kern w:val="0"/>
                <w:sz w:val="18"/>
                <w:szCs w:val="18"/>
                <w:highlight w:val="none"/>
                <w:lang w:val="en-US" w:eastAsia="zh-CN"/>
              </w:rPr>
              <w:t>48</w:t>
            </w:r>
            <w:r>
              <w:rPr>
                <w:rFonts w:hint="eastAsia" w:ascii="仿宋_GB2312" w:hAnsi="仿宋_GB2312" w:eastAsia="仿宋_GB2312" w:cs="仿宋_GB2312"/>
                <w:b w:val="0"/>
                <w:bCs/>
                <w:color w:val="auto"/>
                <w:kern w:val="0"/>
                <w:sz w:val="18"/>
                <w:szCs w:val="18"/>
                <w:highlight w:val="none"/>
              </w:rPr>
              <w:t>.67</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仿宋_GB2312" w:eastAsia="仿宋_GB2312" w:cs="仿宋_GB2312"/>
                <w:b w:val="0"/>
                <w:bCs/>
                <w:color w:val="auto"/>
                <w:kern w:val="0"/>
                <w:sz w:val="18"/>
                <w:szCs w:val="18"/>
                <w:highlight w:val="none"/>
              </w:rPr>
            </w:pPr>
            <w:r>
              <w:rPr>
                <w:rFonts w:hint="eastAsia" w:ascii="仿宋_GB2312" w:hAnsi="仿宋_GB2312" w:eastAsia="仿宋_GB2312" w:cs="仿宋_GB2312"/>
                <w:b w:val="0"/>
                <w:bCs/>
                <w:color w:val="auto"/>
                <w:kern w:val="0"/>
                <w:sz w:val="18"/>
                <w:szCs w:val="18"/>
                <w:highlight w:val="none"/>
              </w:rPr>
              <w:t>395.95</w:t>
            </w:r>
          </w:p>
        </w:tc>
        <w:tc>
          <w:tcPr>
            <w:tcW w:w="1693" w:type="dxa"/>
            <w:tcBorders>
              <w:top w:val="nil"/>
              <w:left w:val="nil"/>
              <w:bottom w:val="single" w:color="auto" w:sz="4" w:space="0"/>
              <w:right w:val="single" w:color="auto" w:sz="4" w:space="0"/>
            </w:tcBorders>
            <w:noWrap w:val="0"/>
            <w:vAlign w:val="center"/>
          </w:tcPr>
          <w:p>
            <w:pPr>
              <w:widowControl/>
              <w:jc w:val="right"/>
              <w:rPr>
                <w:rFonts w:hint="eastAsia" w:ascii="仿宋_GB2312" w:hAnsi="仿宋_GB2312" w:eastAsia="仿宋_GB2312" w:cs="仿宋_GB2312"/>
                <w:b w:val="0"/>
                <w:bCs/>
                <w:color w:val="auto"/>
                <w:kern w:val="0"/>
                <w:sz w:val="18"/>
                <w:szCs w:val="18"/>
                <w:highlight w:val="none"/>
              </w:rPr>
            </w:pPr>
            <w:r>
              <w:rPr>
                <w:rFonts w:hint="eastAsia" w:ascii="仿宋_GB2312" w:hAnsi="仿宋_GB2312" w:eastAsia="仿宋_GB2312" w:cs="仿宋_GB2312"/>
                <w:b w:val="0"/>
                <w:bCs/>
                <w:color w:val="auto"/>
                <w:kern w:val="0"/>
                <w:sz w:val="18"/>
                <w:szCs w:val="18"/>
                <w:highlight w:val="none"/>
              </w:rPr>
              <w:t>35</w:t>
            </w:r>
            <w:r>
              <w:rPr>
                <w:rFonts w:hint="eastAsia" w:ascii="仿宋_GB2312" w:hAnsi="仿宋_GB2312" w:eastAsia="仿宋_GB2312" w:cs="仿宋_GB2312"/>
                <w:b w:val="0"/>
                <w:bCs/>
                <w:color w:val="auto"/>
                <w:kern w:val="0"/>
                <w:sz w:val="18"/>
                <w:szCs w:val="18"/>
                <w:highlight w:val="none"/>
                <w:lang w:val="en-US" w:eastAsia="zh-CN"/>
              </w:rPr>
              <w:t>2</w:t>
            </w:r>
            <w:r>
              <w:rPr>
                <w:rFonts w:hint="eastAsia" w:ascii="仿宋_GB2312" w:hAnsi="仿宋_GB2312" w:eastAsia="仿宋_GB2312" w:cs="仿宋_GB2312"/>
                <w:b w:val="0"/>
                <w:bCs/>
                <w:color w:val="auto"/>
                <w:kern w:val="0"/>
                <w:sz w:val="18"/>
                <w:szCs w:val="18"/>
                <w:highlight w:val="none"/>
              </w:rPr>
              <w:t>.72</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kern w:val="2"/>
                <w:sz w:val="18"/>
                <w:szCs w:val="18"/>
                <w:highlight w:val="none"/>
                <w:lang w:val="en-US" w:eastAsia="zh-CN" w:bidi="ar-SA"/>
              </w:rPr>
            </w:pPr>
            <w:r>
              <w:rPr>
                <w:rFonts w:ascii="宋体" w:hAnsi="宋体"/>
                <w:b/>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kern w:val="2"/>
                <w:sz w:val="18"/>
                <w:szCs w:val="18"/>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b/>
                <w:kern w:val="2"/>
                <w:sz w:val="18"/>
                <w:szCs w:val="18"/>
                <w:highlight w:val="none"/>
                <w:lang w:val="en-US" w:eastAsia="zh-CN" w:bidi="ar-SA"/>
              </w:rPr>
            </w:pPr>
            <w:r>
              <w:rPr>
                <w:rFonts w:ascii="宋体" w:hAnsi="宋体"/>
                <w:b/>
                <w:sz w:val="18"/>
                <w:szCs w:val="18"/>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360.32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360.32</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kern w:val="2"/>
                <w:sz w:val="18"/>
                <w:szCs w:val="18"/>
                <w:highlight w:val="none"/>
                <w:lang w:val="en-US" w:eastAsia="zh-CN" w:bidi="ar-SA"/>
              </w:rPr>
            </w:pPr>
            <w:r>
              <w:rPr>
                <w:rFonts w:ascii="宋体" w:hAnsi="宋体"/>
                <w:sz w:val="18"/>
                <w:szCs w:val="18"/>
                <w:highlight w:val="none"/>
              </w:rPr>
              <w:t>01</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97.12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97.12</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02</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29.64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29.64</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03</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73.58</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73.58</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07</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60.16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60.16</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08</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37.83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37.83</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10</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职工基本医疗保险缴费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18.92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18.92</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11</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9.46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9.46</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12</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其他社会保障缴费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2.36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2.36</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13</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31.26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31.26</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b/>
                <w:kern w:val="2"/>
                <w:sz w:val="18"/>
                <w:szCs w:val="18"/>
                <w:highlight w:val="none"/>
                <w:lang w:val="en-US" w:eastAsia="zh-CN" w:bidi="ar-SA"/>
              </w:rPr>
            </w:pPr>
            <w:r>
              <w:rPr>
                <w:rFonts w:ascii="宋体" w:hAnsi="宋体"/>
                <w:b/>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b/>
                <w:kern w:val="2"/>
                <w:sz w:val="18"/>
                <w:szCs w:val="18"/>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b/>
                <w:kern w:val="2"/>
                <w:sz w:val="18"/>
                <w:szCs w:val="18"/>
                <w:highlight w:val="none"/>
                <w:lang w:val="en-US" w:eastAsia="zh-CN" w:bidi="ar-SA"/>
              </w:rPr>
            </w:pPr>
            <w:r>
              <w:rPr>
                <w:rFonts w:ascii="宋体" w:hAnsi="宋体"/>
                <w:b/>
                <w:sz w:val="18"/>
                <w:szCs w:val="18"/>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35.62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35.62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01</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办公费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0.76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0.76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02</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印刷费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0.50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0.50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06</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电费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07</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邮电费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11</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差旅费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0.92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0.92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kern w:val="2"/>
                <w:sz w:val="18"/>
                <w:szCs w:val="18"/>
                <w:highlight w:val="none"/>
                <w:lang w:val="en-US" w:eastAsia="zh-CN" w:bidi="ar-SA"/>
              </w:rPr>
            </w:pPr>
            <w:r>
              <w:rPr>
                <w:rFonts w:hint="eastAsia" w:ascii="宋体" w:hAnsi="宋体" w:cs="Times New Roman"/>
                <w:kern w:val="2"/>
                <w:sz w:val="18"/>
                <w:szCs w:val="18"/>
                <w:highlight w:val="none"/>
                <w:lang w:val="en-US" w:eastAsia="zh-CN" w:bidi="ar-SA"/>
              </w:rPr>
              <w:t>26</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w:t>
            </w:r>
            <w:r>
              <w:rPr>
                <w:rFonts w:hint="eastAsia" w:ascii="宋体" w:hAnsi="宋体"/>
                <w:sz w:val="18"/>
                <w:szCs w:val="18"/>
                <w:highlight w:val="none"/>
                <w:lang w:val="en-US" w:eastAsia="zh-CN"/>
              </w:rPr>
              <w:t xml:space="preserve"> </w:t>
            </w:r>
            <w:r>
              <w:rPr>
                <w:rFonts w:hint="eastAsia" w:ascii="宋体" w:hAnsi="宋体"/>
                <w:sz w:val="18"/>
                <w:szCs w:val="18"/>
                <w:highlight w:val="none"/>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23.67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23.67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28</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4.57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4.57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31</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公务用车运行维护费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3.20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3.20</w:t>
            </w: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kern w:val="2"/>
                <w:sz w:val="18"/>
                <w:szCs w:val="18"/>
                <w:highlight w:val="none"/>
                <w:lang w:val="en-US" w:eastAsia="zh-CN" w:bidi="ar-SA"/>
              </w:rPr>
            </w:pPr>
            <w:r>
              <w:rPr>
                <w:rFonts w:ascii="宋体" w:hAnsi="宋体"/>
                <w:b/>
                <w:sz w:val="18"/>
                <w:szCs w:val="18"/>
                <w:highlight w:val="none"/>
              </w:rPr>
              <w:t>303</w:t>
            </w:r>
          </w:p>
        </w:tc>
        <w:tc>
          <w:tcPr>
            <w:tcW w:w="577" w:type="dxa"/>
            <w:tcBorders>
              <w:top w:val="single" w:color="auto" w:sz="4" w:space="0"/>
              <w:left w:val="nil"/>
              <w:bottom w:val="single" w:color="auto" w:sz="4" w:space="0"/>
              <w:right w:val="single" w:color="auto" w:sz="4" w:space="0"/>
            </w:tcBorders>
            <w:noWrap w:val="0"/>
            <w:vAlign w:val="center"/>
          </w:tcPr>
          <w:p>
            <w:pPr>
              <w:jc w:val="center"/>
              <w:rPr>
                <w:rFonts w:ascii="宋体" w:hAnsi="宋体" w:eastAsia="宋体" w:cs="Times New Roman"/>
                <w:b/>
                <w:kern w:val="2"/>
                <w:sz w:val="18"/>
                <w:szCs w:val="18"/>
                <w:highlight w:val="none"/>
                <w:lang w:val="en-US" w:eastAsia="zh-CN" w:bidi="ar-SA"/>
              </w:rPr>
            </w:pPr>
          </w:p>
        </w:tc>
        <w:tc>
          <w:tcPr>
            <w:tcW w:w="2891" w:type="dxa"/>
            <w:tcBorders>
              <w:top w:val="single" w:color="auto" w:sz="4" w:space="0"/>
              <w:left w:val="nil"/>
              <w:bottom w:val="single" w:color="auto" w:sz="4" w:space="0"/>
              <w:right w:val="single" w:color="auto" w:sz="4" w:space="0"/>
            </w:tcBorders>
            <w:noWrap w:val="0"/>
            <w:vAlign w:val="center"/>
          </w:tcPr>
          <w:p>
            <w:pPr>
              <w:jc w:val="left"/>
              <w:rPr>
                <w:rFonts w:ascii="宋体" w:hAnsi="宋体" w:eastAsia="宋体" w:cs="Times New Roman"/>
                <w:b/>
                <w:kern w:val="2"/>
                <w:sz w:val="18"/>
                <w:szCs w:val="18"/>
                <w:highlight w:val="none"/>
                <w:lang w:val="en-US" w:eastAsia="zh-CN" w:bidi="ar-SA"/>
              </w:rPr>
            </w:pPr>
            <w:r>
              <w:rPr>
                <w:rFonts w:ascii="宋体" w:hAnsi="宋体"/>
                <w:b/>
                <w:sz w:val="18"/>
                <w:szCs w:val="18"/>
                <w:highlight w:val="none"/>
              </w:rPr>
              <w:t>对个人和家庭的补助</w:t>
            </w:r>
          </w:p>
        </w:tc>
        <w:tc>
          <w:tcPr>
            <w:tcW w:w="170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0.01</w:t>
            </w:r>
          </w:p>
        </w:tc>
        <w:tc>
          <w:tcPr>
            <w:tcW w:w="170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0.01</w:t>
            </w:r>
          </w:p>
        </w:tc>
        <w:tc>
          <w:tcPr>
            <w:tcW w:w="170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Times New Roman"/>
                <w:kern w:val="2"/>
                <w:sz w:val="18"/>
                <w:szCs w:val="18"/>
                <w:highlight w:val="none"/>
                <w:lang w:val="en-US" w:eastAsia="zh-CN" w:bidi="ar-SA"/>
              </w:rPr>
            </w:pPr>
            <w:r>
              <w:rPr>
                <w:rFonts w:ascii="宋体" w:hAnsi="宋体"/>
                <w:sz w:val="18"/>
                <w:szCs w:val="18"/>
                <w:highlight w:val="none"/>
              </w:rPr>
              <w:t>303</w:t>
            </w:r>
          </w:p>
        </w:tc>
        <w:tc>
          <w:tcPr>
            <w:tcW w:w="577"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kern w:val="2"/>
                <w:sz w:val="18"/>
                <w:szCs w:val="18"/>
                <w:highlight w:val="none"/>
                <w:lang w:val="en-US" w:eastAsia="zh-CN" w:bidi="ar-SA"/>
              </w:rPr>
            </w:pPr>
            <w:r>
              <w:rPr>
                <w:rFonts w:ascii="宋体" w:hAnsi="宋体"/>
                <w:sz w:val="18"/>
                <w:szCs w:val="18"/>
                <w:highlight w:val="none"/>
              </w:rPr>
              <w:t>0</w:t>
            </w:r>
            <w:r>
              <w:rPr>
                <w:rFonts w:hint="eastAsia" w:ascii="宋体" w:hAnsi="宋体"/>
                <w:sz w:val="18"/>
                <w:szCs w:val="18"/>
                <w:highlight w:val="none"/>
                <w:lang w:val="en-US" w:eastAsia="zh-CN"/>
              </w:rPr>
              <w:t>5</w:t>
            </w:r>
          </w:p>
        </w:tc>
        <w:tc>
          <w:tcPr>
            <w:tcW w:w="2891" w:type="dxa"/>
            <w:tcBorders>
              <w:top w:val="nil"/>
              <w:left w:val="nil"/>
              <w:bottom w:val="single" w:color="auto" w:sz="4" w:space="0"/>
              <w:right w:val="single" w:color="auto" w:sz="4" w:space="0"/>
            </w:tcBorders>
            <w:noWrap w:val="0"/>
            <w:vAlign w:val="center"/>
          </w:tcPr>
          <w:p>
            <w:pPr>
              <w:jc w:val="left"/>
              <w:rPr>
                <w:rFonts w:ascii="宋体" w:hAnsi="宋体" w:eastAsia="宋体" w:cs="Times New Roman"/>
                <w:kern w:val="2"/>
                <w:sz w:val="18"/>
                <w:szCs w:val="18"/>
                <w:highlight w:val="none"/>
                <w:lang w:val="en-US" w:eastAsia="zh-CN" w:bidi="ar-SA"/>
              </w:rPr>
            </w:pPr>
            <w:r>
              <w:rPr>
                <w:rFonts w:ascii="宋体" w:hAnsi="宋体"/>
                <w:sz w:val="18"/>
                <w:szCs w:val="18"/>
                <w:highlight w:val="none"/>
              </w:rPr>
              <w:t xml:space="preserve">  </w:t>
            </w:r>
            <w:r>
              <w:rPr>
                <w:rFonts w:hint="eastAsia" w:ascii="宋体" w:hAnsi="宋体"/>
                <w:sz w:val="18"/>
                <w:szCs w:val="18"/>
                <w:highlight w:val="none"/>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r>
              <w:rPr>
                <w:rFonts w:hint="default" w:ascii="宋体" w:hAnsi="宋体" w:cs="宋体"/>
                <w:b w:val="0"/>
                <w:bCs w:val="0"/>
                <w:color w:val="auto"/>
                <w:kern w:val="0"/>
                <w:sz w:val="18"/>
                <w:szCs w:val="18"/>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lang w:val="en-US" w:eastAsia="zh-CN"/>
              </w:rPr>
            </w:pPr>
            <w:r>
              <w:rPr>
                <w:rFonts w:hint="default" w:ascii="宋体" w:hAnsi="宋体" w:cs="宋体"/>
                <w:b w:val="0"/>
                <w:bCs w:val="0"/>
                <w:color w:val="auto"/>
                <w:kern w:val="0"/>
                <w:sz w:val="18"/>
                <w:szCs w:val="18"/>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kern w:val="2"/>
                <w:sz w:val="18"/>
                <w:szCs w:val="18"/>
                <w:highlight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kern w:val="2"/>
                <w:sz w:val="18"/>
                <w:szCs w:val="18"/>
                <w:highlight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kern w:val="2"/>
                <w:sz w:val="18"/>
                <w:szCs w:val="18"/>
                <w:highlight w:val="none"/>
                <w:lang w:val="en-US" w:eastAsia="zh-CN" w:bidi="ar-SA"/>
              </w:rPr>
            </w:pPr>
            <w:r>
              <w:rPr>
                <w:rFonts w:hint="eastAsia" w:ascii="仿宋_GB2312" w:hAnsi="仿宋_GB2312" w:eastAsia="仿宋_GB2312" w:cs="仿宋_GB2312"/>
                <w:b/>
                <w:bCs/>
                <w:color w:val="auto"/>
                <w:kern w:val="0"/>
                <w:sz w:val="20"/>
                <w:szCs w:val="20"/>
                <w:highlight w:val="none"/>
              </w:rPr>
              <w:t>合  计</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395.95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360.33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35.62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15535" w:type="dxa"/>
        <w:tblInd w:w="-1149" w:type="dxa"/>
        <w:tblLayout w:type="fixed"/>
        <w:tblCellMar>
          <w:top w:w="0" w:type="dxa"/>
          <w:left w:w="108" w:type="dxa"/>
          <w:bottom w:w="0" w:type="dxa"/>
          <w:right w:w="108" w:type="dxa"/>
        </w:tblCellMar>
      </w:tblPr>
      <w:tblGrid>
        <w:gridCol w:w="533"/>
        <w:gridCol w:w="635"/>
        <w:gridCol w:w="462"/>
        <w:gridCol w:w="1200"/>
        <w:gridCol w:w="2088"/>
        <w:gridCol w:w="987"/>
        <w:gridCol w:w="675"/>
        <w:gridCol w:w="1175"/>
        <w:gridCol w:w="583"/>
        <w:gridCol w:w="317"/>
        <w:gridCol w:w="913"/>
        <w:gridCol w:w="1071"/>
        <w:gridCol w:w="879"/>
        <w:gridCol w:w="1232"/>
        <w:gridCol w:w="943"/>
        <w:gridCol w:w="1071"/>
        <w:gridCol w:w="771"/>
      </w:tblGrid>
      <w:tr>
        <w:tblPrEx>
          <w:tblCellMar>
            <w:top w:w="0" w:type="dxa"/>
            <w:left w:w="108" w:type="dxa"/>
            <w:bottom w:w="0" w:type="dxa"/>
            <w:right w:w="108" w:type="dxa"/>
          </w:tblCellMar>
        </w:tblPrEx>
        <w:trPr>
          <w:trHeight w:val="375" w:hRule="atLeast"/>
        </w:trPr>
        <w:tc>
          <w:tcPr>
            <w:tcW w:w="15535"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trHeight w:val="405" w:hRule="atLeast"/>
        </w:trPr>
        <w:tc>
          <w:tcPr>
            <w:tcW w:w="7755" w:type="dxa"/>
            <w:gridSpan w:val="8"/>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p>
        </w:tc>
        <w:tc>
          <w:tcPr>
            <w:tcW w:w="583"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7197" w:type="dxa"/>
            <w:gridSpan w:val="8"/>
            <w:tcBorders>
              <w:top w:val="nil"/>
              <w:left w:val="nil"/>
              <w:bottom w:val="nil"/>
              <w:right w:val="nil"/>
            </w:tcBorders>
            <w:noWrap w:val="0"/>
            <w:vAlign w:val="center"/>
          </w:tcPr>
          <w:p>
            <w:pPr>
              <w:widowControl/>
              <w:ind w:firstLine="960" w:firstLineChars="400"/>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630"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20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088"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8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11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90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91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107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87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12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94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107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77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3"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63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2"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20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08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8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1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0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1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7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7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2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4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7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7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33" w:type="dxa"/>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635" w:type="dxa"/>
            <w:noWrap w:val="0"/>
            <w:vAlign w:val="center"/>
          </w:tcPr>
          <w:p>
            <w:pPr>
              <w:jc w:val="center"/>
              <w:rPr>
                <w:rFonts w:hint="eastAsia" w:ascii="仿宋_GB2312" w:hAnsi="宋体" w:eastAsia="仿宋_GB2312" w:cs="宋体"/>
                <w:color w:val="auto"/>
                <w:kern w:val="2"/>
                <w:sz w:val="20"/>
                <w:szCs w:val="20"/>
                <w:highlight w:val="none"/>
                <w:lang w:val="en-US" w:eastAsia="zh-Hans" w:bidi="ar-SA"/>
              </w:rPr>
            </w:pPr>
          </w:p>
        </w:tc>
        <w:tc>
          <w:tcPr>
            <w:tcW w:w="462" w:type="dxa"/>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1200" w:type="dxa"/>
            <w:noWrap w:val="0"/>
            <w:vAlign w:val="center"/>
          </w:tcPr>
          <w:p>
            <w:pPr>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节能环保支出</w:t>
            </w:r>
          </w:p>
        </w:tc>
        <w:tc>
          <w:tcPr>
            <w:tcW w:w="20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87" w:type="dxa"/>
            <w:noWrap w:val="0"/>
            <w:vAlign w:val="center"/>
          </w:tcPr>
          <w:p>
            <w:pPr>
              <w:widowControl/>
              <w:jc w:val="right"/>
              <w:outlineLvl w:val="1"/>
              <w:rPr>
                <w:rFonts w:hint="default" w:ascii="仿宋_GB2312" w:hAnsi="宋体" w:eastAsia="仿宋_GB2312"/>
                <w:b w:val="0"/>
                <w:bCs w:val="0"/>
                <w:color w:val="auto"/>
                <w:kern w:val="0"/>
                <w:sz w:val="18"/>
                <w:szCs w:val="18"/>
                <w:highlight w:val="none"/>
                <w:lang w:val="en-US" w:eastAsia="zh-CN"/>
              </w:rPr>
            </w:pPr>
            <w:r>
              <w:rPr>
                <w:rFonts w:hint="eastAsia" w:ascii="仿宋_GB2312" w:hAnsi="宋体" w:eastAsia="仿宋_GB2312"/>
                <w:b w:val="0"/>
                <w:bCs w:val="0"/>
                <w:color w:val="auto"/>
                <w:kern w:val="0"/>
                <w:sz w:val="18"/>
                <w:szCs w:val="18"/>
                <w:highlight w:val="none"/>
              </w:rPr>
              <w:t>149.45</w:t>
            </w: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149.45</w:t>
            </w:r>
          </w:p>
        </w:tc>
        <w:tc>
          <w:tcPr>
            <w:tcW w:w="90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1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33" w:type="dxa"/>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635" w:type="dxa"/>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462" w:type="dxa"/>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1200" w:type="dxa"/>
            <w:noWrap w:val="0"/>
            <w:vAlign w:val="center"/>
          </w:tcPr>
          <w:p>
            <w:pPr>
              <w:ind w:firstLine="161" w:firstLineChars="100"/>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污染防治</w:t>
            </w:r>
          </w:p>
        </w:tc>
        <w:tc>
          <w:tcPr>
            <w:tcW w:w="20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87"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149.45</w:t>
            </w: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149.45</w:t>
            </w:r>
          </w:p>
        </w:tc>
        <w:tc>
          <w:tcPr>
            <w:tcW w:w="90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1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dxa"/>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211</w:t>
            </w:r>
          </w:p>
        </w:tc>
        <w:tc>
          <w:tcPr>
            <w:tcW w:w="635" w:type="dxa"/>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462" w:type="dxa"/>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1200" w:type="dxa"/>
            <w:noWrap w:val="0"/>
            <w:vAlign w:val="center"/>
          </w:tcPr>
          <w:p>
            <w:pPr>
              <w:ind w:firstLine="320" w:firstLineChars="200"/>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水体</w:t>
            </w:r>
          </w:p>
        </w:tc>
        <w:tc>
          <w:tcPr>
            <w:tcW w:w="20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eastAsia="仿宋_GB2312"/>
                <w:sz w:val="16"/>
                <w:szCs w:val="16"/>
                <w:highlight w:val="none"/>
              </w:rPr>
              <w:t>大丰工业园区环保晓清污水处理费（非定额）</w:t>
            </w:r>
          </w:p>
        </w:tc>
        <w:tc>
          <w:tcPr>
            <w:tcW w:w="987"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149.45</w:t>
            </w: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149.45</w:t>
            </w:r>
          </w:p>
        </w:tc>
        <w:tc>
          <w:tcPr>
            <w:tcW w:w="90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1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533" w:type="dxa"/>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w:t>
            </w:r>
          </w:p>
        </w:tc>
        <w:tc>
          <w:tcPr>
            <w:tcW w:w="635" w:type="dxa"/>
            <w:noWrap w:val="0"/>
            <w:vAlign w:val="center"/>
          </w:tcPr>
          <w:p>
            <w:pPr>
              <w:jc w:val="center"/>
              <w:rPr>
                <w:rFonts w:hint="eastAsia" w:ascii="仿宋_GB2312" w:eastAsia="仿宋_GB2312"/>
                <w:color w:val="auto"/>
                <w:sz w:val="20"/>
                <w:szCs w:val="20"/>
                <w:highlight w:val="none"/>
                <w:lang w:val="en-US" w:eastAsia="zh-CN"/>
              </w:rPr>
            </w:pPr>
          </w:p>
        </w:tc>
        <w:tc>
          <w:tcPr>
            <w:tcW w:w="462" w:type="dxa"/>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p>
        </w:tc>
        <w:tc>
          <w:tcPr>
            <w:tcW w:w="1200" w:type="dxa"/>
            <w:noWrap w:val="0"/>
            <w:vAlign w:val="center"/>
          </w:tcPr>
          <w:p>
            <w:pPr>
              <w:rPr>
                <w:rFonts w:hint="eastAsia" w:ascii="仿宋_GB2312" w:eastAsia="仿宋_GB2312"/>
                <w:b/>
                <w:bCs/>
                <w:sz w:val="16"/>
                <w:szCs w:val="16"/>
                <w:highlight w:val="none"/>
              </w:rPr>
            </w:pPr>
            <w:r>
              <w:rPr>
                <w:rFonts w:hint="eastAsia" w:ascii="仿宋_GB2312" w:eastAsia="仿宋_GB2312"/>
                <w:b/>
                <w:bCs/>
                <w:sz w:val="16"/>
                <w:szCs w:val="16"/>
                <w:highlight w:val="none"/>
              </w:rPr>
              <w:t>资源勘探工业信息等支出</w:t>
            </w:r>
          </w:p>
        </w:tc>
        <w:tc>
          <w:tcPr>
            <w:tcW w:w="208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987" w:type="dxa"/>
            <w:noWrap w:val="0"/>
            <w:vAlign w:val="center"/>
          </w:tcPr>
          <w:p>
            <w:pPr>
              <w:widowControl/>
              <w:jc w:val="right"/>
              <w:outlineLvl w:val="1"/>
              <w:rPr>
                <w:rFonts w:hint="eastAsia"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203.27</w:t>
            </w: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203.27</w:t>
            </w:r>
          </w:p>
        </w:tc>
        <w:tc>
          <w:tcPr>
            <w:tcW w:w="900"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c>
          <w:tcPr>
            <w:tcW w:w="913"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71"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87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232"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943"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71"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71"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3" w:type="dxa"/>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635" w:type="dxa"/>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462" w:type="dxa"/>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p>
        </w:tc>
        <w:tc>
          <w:tcPr>
            <w:tcW w:w="1200" w:type="dxa"/>
            <w:noWrap w:val="0"/>
            <w:vAlign w:val="center"/>
          </w:tcPr>
          <w:p>
            <w:pPr>
              <w:ind w:firstLine="161" w:firstLineChars="100"/>
              <w:rPr>
                <w:rFonts w:hint="eastAsia" w:ascii="仿宋_GB2312" w:hAnsi="Times New Roman" w:eastAsia="仿宋_GB2312" w:cs="Times New Roman"/>
                <w:b/>
                <w:bCs/>
                <w:kern w:val="2"/>
                <w:sz w:val="16"/>
                <w:szCs w:val="16"/>
                <w:highlight w:val="none"/>
                <w:lang w:val="en-US" w:eastAsia="zh-CN" w:bidi="ar-SA"/>
              </w:rPr>
            </w:pPr>
            <w:r>
              <w:rPr>
                <w:rFonts w:hint="eastAsia" w:ascii="仿宋_GB2312" w:eastAsia="仿宋_GB2312"/>
                <w:b/>
                <w:bCs/>
                <w:sz w:val="16"/>
                <w:szCs w:val="16"/>
                <w:highlight w:val="none"/>
              </w:rPr>
              <w:t>工业和信息产业</w:t>
            </w:r>
          </w:p>
        </w:tc>
        <w:tc>
          <w:tcPr>
            <w:tcW w:w="20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87"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203.27</w:t>
            </w: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203.27</w:t>
            </w:r>
          </w:p>
        </w:tc>
        <w:tc>
          <w:tcPr>
            <w:tcW w:w="90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1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33" w:type="dxa"/>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215</w:t>
            </w:r>
          </w:p>
        </w:tc>
        <w:tc>
          <w:tcPr>
            <w:tcW w:w="635" w:type="dxa"/>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462" w:type="dxa"/>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w:t>
            </w:r>
          </w:p>
        </w:tc>
        <w:tc>
          <w:tcPr>
            <w:tcW w:w="1200" w:type="dxa"/>
            <w:noWrap w:val="0"/>
            <w:vAlign w:val="center"/>
          </w:tcPr>
          <w:p>
            <w:pPr>
              <w:ind w:firstLine="320" w:firstLineChars="200"/>
              <w:rPr>
                <w:rFonts w:hint="eastAsia" w:ascii="仿宋_GB2312" w:hAnsi="Times New Roman" w:eastAsia="仿宋_GB2312" w:cs="Times New Roman"/>
                <w:kern w:val="2"/>
                <w:sz w:val="16"/>
                <w:szCs w:val="16"/>
                <w:highlight w:val="none"/>
                <w:lang w:val="en-US" w:eastAsia="zh-CN" w:bidi="ar-SA"/>
              </w:rPr>
            </w:pPr>
            <w:r>
              <w:rPr>
                <w:rFonts w:hint="eastAsia" w:ascii="仿宋_GB2312" w:eastAsia="仿宋_GB2312"/>
                <w:sz w:val="16"/>
                <w:szCs w:val="16"/>
                <w:highlight w:val="none"/>
              </w:rPr>
              <w:t>产业发展</w:t>
            </w:r>
          </w:p>
        </w:tc>
        <w:tc>
          <w:tcPr>
            <w:tcW w:w="20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Times New Roman" w:eastAsia="仿宋_GB2312" w:cs="Times New Roman"/>
                <w:kern w:val="2"/>
                <w:sz w:val="16"/>
                <w:szCs w:val="16"/>
                <w:highlight w:val="none"/>
                <w:lang w:val="en-US" w:eastAsia="zh-CN" w:bidi="ar-SA"/>
              </w:rPr>
              <w:t>工业园区运行经费（非定额）</w:t>
            </w:r>
            <w:r>
              <w:rPr>
                <w:rFonts w:hint="eastAsia" w:ascii="仿宋_GB2312" w:hAnsi="宋体" w:eastAsia="仿宋_GB2312"/>
                <w:color w:val="auto"/>
                <w:kern w:val="0"/>
                <w:sz w:val="32"/>
                <w:szCs w:val="32"/>
                <w:highlight w:val="none"/>
              </w:rPr>
              <w:t>　</w:t>
            </w:r>
          </w:p>
        </w:tc>
        <w:tc>
          <w:tcPr>
            <w:tcW w:w="987"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203.27</w:t>
            </w: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203.27</w:t>
            </w:r>
          </w:p>
        </w:tc>
        <w:tc>
          <w:tcPr>
            <w:tcW w:w="90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1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3" w:type="dxa"/>
            <w:noWrap w:val="0"/>
            <w:vAlign w:val="top"/>
          </w:tcPr>
          <w:p>
            <w:pPr>
              <w:widowControl/>
              <w:jc w:val="left"/>
              <w:outlineLvl w:val="1"/>
              <w:rPr>
                <w:rFonts w:ascii="仿宋_GB2312" w:hAnsi="宋体" w:eastAsia="仿宋_GB2312"/>
                <w:color w:val="auto"/>
                <w:kern w:val="0"/>
                <w:sz w:val="32"/>
                <w:szCs w:val="32"/>
                <w:highlight w:val="none"/>
              </w:rPr>
            </w:pP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p>
        </w:tc>
        <w:tc>
          <w:tcPr>
            <w:tcW w:w="462" w:type="dxa"/>
            <w:noWrap w:val="0"/>
            <w:vAlign w:val="top"/>
          </w:tcPr>
          <w:p>
            <w:pPr>
              <w:widowControl/>
              <w:jc w:val="left"/>
              <w:outlineLvl w:val="1"/>
              <w:rPr>
                <w:rFonts w:ascii="仿宋_GB2312" w:hAnsi="宋体" w:eastAsia="仿宋_GB2312"/>
                <w:color w:val="auto"/>
                <w:kern w:val="0"/>
                <w:sz w:val="32"/>
                <w:szCs w:val="32"/>
                <w:highlight w:val="none"/>
              </w:rPr>
            </w:pPr>
          </w:p>
        </w:tc>
        <w:tc>
          <w:tcPr>
            <w:tcW w:w="1200" w:type="dxa"/>
            <w:noWrap w:val="0"/>
            <w:vAlign w:val="top"/>
          </w:tcPr>
          <w:p>
            <w:pPr>
              <w:widowControl/>
              <w:jc w:val="left"/>
              <w:outlineLvl w:val="1"/>
              <w:rPr>
                <w:rFonts w:ascii="仿宋_GB2312" w:hAnsi="宋体" w:eastAsia="仿宋_GB2312"/>
                <w:color w:val="auto"/>
                <w:kern w:val="0"/>
                <w:sz w:val="32"/>
                <w:szCs w:val="32"/>
                <w:highlight w:val="none"/>
              </w:rPr>
            </w:pPr>
          </w:p>
        </w:tc>
        <w:tc>
          <w:tcPr>
            <w:tcW w:w="2088" w:type="dxa"/>
            <w:noWrap w:val="0"/>
            <w:vAlign w:val="top"/>
          </w:tcPr>
          <w:p>
            <w:pPr>
              <w:widowControl/>
              <w:jc w:val="left"/>
              <w:outlineLvl w:val="1"/>
              <w:rPr>
                <w:rFonts w:ascii="仿宋_GB2312" w:hAnsi="宋体" w:eastAsia="仿宋_GB2312"/>
                <w:color w:val="auto"/>
                <w:kern w:val="0"/>
                <w:sz w:val="32"/>
                <w:szCs w:val="32"/>
                <w:highlight w:val="none"/>
              </w:rPr>
            </w:pPr>
          </w:p>
        </w:tc>
        <w:tc>
          <w:tcPr>
            <w:tcW w:w="987"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p>
        </w:tc>
        <w:tc>
          <w:tcPr>
            <w:tcW w:w="900"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913" w:type="dxa"/>
            <w:noWrap w:val="0"/>
            <w:vAlign w:val="top"/>
          </w:tcPr>
          <w:p>
            <w:pPr>
              <w:widowControl/>
              <w:jc w:val="left"/>
              <w:outlineLvl w:val="1"/>
              <w:rPr>
                <w:rFonts w:ascii="仿宋_GB2312" w:hAnsi="宋体" w:eastAsia="仿宋_GB2312"/>
                <w:color w:val="auto"/>
                <w:kern w:val="0"/>
                <w:sz w:val="32"/>
                <w:szCs w:val="32"/>
                <w:highlight w:val="none"/>
              </w:rPr>
            </w:pP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p>
        </w:tc>
        <w:tc>
          <w:tcPr>
            <w:tcW w:w="879" w:type="dxa"/>
            <w:noWrap w:val="0"/>
            <w:vAlign w:val="top"/>
          </w:tcPr>
          <w:p>
            <w:pPr>
              <w:widowControl/>
              <w:jc w:val="left"/>
              <w:outlineLvl w:val="1"/>
              <w:rPr>
                <w:rFonts w:ascii="仿宋_GB2312" w:hAnsi="宋体" w:eastAsia="仿宋_GB2312"/>
                <w:color w:val="auto"/>
                <w:kern w:val="0"/>
                <w:sz w:val="32"/>
                <w:szCs w:val="32"/>
                <w:highlight w:val="none"/>
              </w:rPr>
            </w:pPr>
          </w:p>
        </w:tc>
        <w:tc>
          <w:tcPr>
            <w:tcW w:w="1232" w:type="dxa"/>
            <w:noWrap w:val="0"/>
            <w:vAlign w:val="top"/>
          </w:tcPr>
          <w:p>
            <w:pPr>
              <w:widowControl/>
              <w:jc w:val="left"/>
              <w:outlineLvl w:val="1"/>
              <w:rPr>
                <w:rFonts w:ascii="仿宋_GB2312" w:hAnsi="宋体" w:eastAsia="仿宋_GB2312"/>
                <w:color w:val="auto"/>
                <w:kern w:val="0"/>
                <w:sz w:val="32"/>
                <w:szCs w:val="32"/>
                <w:highlight w:val="none"/>
              </w:rPr>
            </w:pPr>
          </w:p>
        </w:tc>
        <w:tc>
          <w:tcPr>
            <w:tcW w:w="943" w:type="dxa"/>
            <w:noWrap w:val="0"/>
            <w:vAlign w:val="top"/>
          </w:tcPr>
          <w:p>
            <w:pPr>
              <w:widowControl/>
              <w:jc w:val="left"/>
              <w:outlineLvl w:val="1"/>
              <w:rPr>
                <w:rFonts w:ascii="仿宋_GB2312" w:hAnsi="宋体" w:eastAsia="仿宋_GB2312"/>
                <w:color w:val="auto"/>
                <w:kern w:val="0"/>
                <w:sz w:val="32"/>
                <w:szCs w:val="32"/>
                <w:highlight w:val="none"/>
              </w:rPr>
            </w:pP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p>
        </w:tc>
        <w:tc>
          <w:tcPr>
            <w:tcW w:w="771" w:type="dxa"/>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0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87"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　</w:t>
            </w: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　</w:t>
            </w: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　</w:t>
            </w:r>
          </w:p>
        </w:tc>
        <w:tc>
          <w:tcPr>
            <w:tcW w:w="90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1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088"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987" w:type="dxa"/>
            <w:noWrap w:val="0"/>
            <w:vAlign w:val="center"/>
          </w:tcPr>
          <w:p>
            <w:pPr>
              <w:keepNext w:val="0"/>
              <w:keepLines w:val="0"/>
              <w:widowControl/>
              <w:suppressLineNumbers w:val="0"/>
              <w:jc w:val="right"/>
              <w:textAlignment w:val="top"/>
              <w:rPr>
                <w:rFonts w:ascii="Calibri" w:hAnsi="Calibri" w:eastAsia="宋体" w:cs="Calibri"/>
                <w:b w:val="0"/>
                <w:bCs w:val="0"/>
                <w:i w:val="0"/>
                <w:iCs w:val="0"/>
                <w:color w:val="000000"/>
                <w:kern w:val="2"/>
                <w:sz w:val="18"/>
                <w:szCs w:val="18"/>
                <w:highlight w:val="none"/>
                <w:u w:val="none"/>
                <w:lang w:val="en-US" w:eastAsia="zh-CN" w:bidi="ar-SA"/>
              </w:rPr>
            </w:pPr>
            <w:r>
              <w:rPr>
                <w:rFonts w:hint="default" w:ascii="仿宋_GB2312" w:hAnsi="宋体" w:eastAsia="仿宋_GB2312"/>
                <w:b w:val="0"/>
                <w:bCs w:val="0"/>
                <w:color w:val="auto"/>
                <w:kern w:val="0"/>
                <w:sz w:val="18"/>
                <w:szCs w:val="18"/>
                <w:highlight w:val="none"/>
                <w:lang w:val="en-US" w:eastAsia="zh-CN"/>
              </w:rPr>
              <w:t>352.72</w:t>
            </w:r>
          </w:p>
        </w:tc>
        <w:tc>
          <w:tcPr>
            <w:tcW w:w="6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　</w:t>
            </w:r>
          </w:p>
        </w:tc>
        <w:tc>
          <w:tcPr>
            <w:tcW w:w="1175" w:type="dxa"/>
            <w:noWrap w:val="0"/>
            <w:vAlign w:val="center"/>
          </w:tcPr>
          <w:p>
            <w:pPr>
              <w:widowControl/>
              <w:jc w:val="right"/>
              <w:outlineLvl w:val="1"/>
              <w:rPr>
                <w:rFonts w:ascii="仿宋_GB2312" w:hAnsi="宋体" w:eastAsia="仿宋_GB2312"/>
                <w:b w:val="0"/>
                <w:bCs w:val="0"/>
                <w:color w:val="auto"/>
                <w:kern w:val="0"/>
                <w:sz w:val="18"/>
                <w:szCs w:val="18"/>
                <w:highlight w:val="none"/>
              </w:rPr>
            </w:pPr>
            <w:r>
              <w:rPr>
                <w:rFonts w:hint="eastAsia" w:ascii="仿宋_GB2312" w:hAnsi="宋体" w:eastAsia="仿宋_GB2312"/>
                <w:b w:val="0"/>
                <w:bCs w:val="0"/>
                <w:color w:val="auto"/>
                <w:kern w:val="0"/>
                <w:sz w:val="18"/>
                <w:szCs w:val="18"/>
                <w:highlight w:val="none"/>
              </w:rPr>
              <w:t>　</w:t>
            </w:r>
            <w:r>
              <w:rPr>
                <w:rFonts w:hint="default" w:ascii="仿宋_GB2312" w:hAnsi="宋体" w:eastAsia="仿宋_GB2312"/>
                <w:b w:val="0"/>
                <w:bCs w:val="0"/>
                <w:color w:val="auto"/>
                <w:kern w:val="0"/>
                <w:sz w:val="18"/>
                <w:szCs w:val="18"/>
                <w:highlight w:val="none"/>
                <w:lang w:val="en-US" w:eastAsia="zh-CN"/>
              </w:rPr>
              <w:t>352.72</w:t>
            </w:r>
          </w:p>
        </w:tc>
        <w:tc>
          <w:tcPr>
            <w:tcW w:w="90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1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4"/>
          <w:szCs w:val="24"/>
          <w:highlight w:val="none"/>
          <w:lang w:val="en-US" w:eastAsia="zh-CN"/>
        </w:rPr>
        <w:t>呼图壁县工业园区管理委员会2025年没有使用政府性基金预算支出，政府性基金预算支出情况表为空表。</w:t>
      </w: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4"/>
          <w:szCs w:val="24"/>
          <w:highlight w:val="none"/>
          <w:lang w:val="en-US" w:eastAsia="zh-CN"/>
        </w:rPr>
      </w:pPr>
      <w:r>
        <w:rPr>
          <w:rFonts w:hint="eastAsia" w:ascii="仿宋_GB2312" w:hAnsi="宋体" w:eastAsia="仿宋_GB2312"/>
          <w:b/>
          <w:color w:val="auto"/>
          <w:kern w:val="0"/>
          <w:sz w:val="24"/>
          <w:szCs w:val="24"/>
          <w:highlight w:val="none"/>
          <w:lang w:val="en-US" w:eastAsia="zh-CN"/>
        </w:rPr>
        <w:t>呼图壁县工业园区管理委员会2025年没有使用国有资本经营预算支出，国有资本经营预算支出情况表为空表。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716"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694"/>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683"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69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7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合计</w:t>
            </w:r>
          </w:p>
        </w:tc>
        <w:tc>
          <w:tcPr>
            <w:tcW w:w="1215" w:type="dxa"/>
            <w:noWrap w:val="0"/>
            <w:vAlign w:val="center"/>
          </w:tcPr>
          <w:p>
            <w:pPr>
              <w:widowControl/>
              <w:jc w:val="right"/>
              <w:outlineLvl w:val="1"/>
              <w:rPr>
                <w:rFonts w:hint="default" w:ascii="仿宋_GB2312" w:hAnsi="宋体" w:eastAsia="仿宋_GB2312"/>
                <w:b/>
                <w:color w:val="auto"/>
                <w:kern w:val="0"/>
                <w:sz w:val="24"/>
                <w:szCs w:val="24"/>
                <w:highlight w:val="none"/>
                <w:vertAlign w:val="baseline"/>
                <w:lang w:val="en-US" w:eastAsia="zh-CN"/>
              </w:rPr>
            </w:pPr>
            <w:r>
              <w:rPr>
                <w:rFonts w:hint="eastAsia" w:ascii="仿宋_GB2312" w:hAnsi="宋体" w:eastAsia="仿宋_GB2312"/>
                <w:b/>
                <w:color w:val="auto"/>
                <w:kern w:val="0"/>
                <w:sz w:val="24"/>
                <w:szCs w:val="24"/>
                <w:highlight w:val="none"/>
                <w:vertAlign w:val="baseline"/>
                <w:lang w:val="en-US" w:eastAsia="zh-CN"/>
              </w:rPr>
              <w:t>3.20</w:t>
            </w:r>
          </w:p>
        </w:tc>
        <w:tc>
          <w:tcPr>
            <w:tcW w:w="1314" w:type="dxa"/>
            <w:noWrap w:val="0"/>
            <w:vAlign w:val="center"/>
          </w:tcPr>
          <w:p>
            <w:pPr>
              <w:widowControl/>
              <w:jc w:val="right"/>
              <w:outlineLvl w:val="1"/>
              <w:rPr>
                <w:rFonts w:hint="default" w:ascii="仿宋_GB2312" w:hAnsi="宋体" w:eastAsia="仿宋_GB2312"/>
                <w:b/>
                <w:color w:val="auto"/>
                <w:kern w:val="0"/>
                <w:sz w:val="24"/>
                <w:szCs w:val="24"/>
                <w:highlight w:val="none"/>
                <w:vertAlign w:val="baseline"/>
                <w:lang w:val="en-US"/>
              </w:rPr>
            </w:pPr>
            <w:r>
              <w:rPr>
                <w:rFonts w:hint="eastAsia" w:ascii="仿宋_GB2312" w:hAnsi="宋体" w:eastAsia="仿宋_GB2312"/>
                <w:b/>
                <w:color w:val="auto"/>
                <w:kern w:val="0"/>
                <w:sz w:val="24"/>
                <w:szCs w:val="24"/>
                <w:highlight w:val="none"/>
                <w:vertAlign w:val="baseline"/>
                <w:lang w:val="en-US" w:eastAsia="zh-CN"/>
              </w:rPr>
              <w:t>3.20</w:t>
            </w:r>
          </w:p>
        </w:tc>
        <w:tc>
          <w:tcPr>
            <w:tcW w:w="1694"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p>
        </w:tc>
        <w:tc>
          <w:tcPr>
            <w:tcW w:w="1675"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因公出国（境）费</w:t>
            </w:r>
          </w:p>
        </w:tc>
        <w:tc>
          <w:tcPr>
            <w:tcW w:w="1215" w:type="dxa"/>
            <w:noWrap w:val="0"/>
            <w:vAlign w:val="center"/>
          </w:tcPr>
          <w:p>
            <w:pPr>
              <w:widowControl/>
              <w:jc w:val="right"/>
              <w:outlineLvl w:val="1"/>
              <w:rPr>
                <w:rFonts w:hint="eastAsia" w:ascii="仿宋_GB2312" w:hAnsi="宋体" w:eastAsia="仿宋_GB2312"/>
                <w:b w:val="0"/>
                <w:bCs/>
                <w:color w:val="auto"/>
                <w:kern w:val="0"/>
                <w:sz w:val="24"/>
                <w:szCs w:val="24"/>
                <w:highlight w:val="none"/>
                <w:vertAlign w:val="baseline"/>
              </w:rPr>
            </w:pPr>
          </w:p>
        </w:tc>
        <w:tc>
          <w:tcPr>
            <w:tcW w:w="1314" w:type="dxa"/>
            <w:noWrap w:val="0"/>
            <w:vAlign w:val="center"/>
          </w:tcPr>
          <w:p>
            <w:pPr>
              <w:widowControl/>
              <w:jc w:val="right"/>
              <w:outlineLvl w:val="1"/>
              <w:rPr>
                <w:rFonts w:hint="eastAsia" w:ascii="仿宋_GB2312" w:hAnsi="宋体" w:eastAsia="仿宋_GB2312"/>
                <w:b w:val="0"/>
                <w:bCs/>
                <w:color w:val="auto"/>
                <w:kern w:val="0"/>
                <w:sz w:val="24"/>
                <w:szCs w:val="24"/>
                <w:highlight w:val="none"/>
                <w:vertAlign w:val="baseline"/>
              </w:rPr>
            </w:pPr>
          </w:p>
        </w:tc>
        <w:tc>
          <w:tcPr>
            <w:tcW w:w="1694"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7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公务接待费</w:t>
            </w:r>
          </w:p>
        </w:tc>
        <w:tc>
          <w:tcPr>
            <w:tcW w:w="1215" w:type="dxa"/>
            <w:noWrap w:val="0"/>
            <w:vAlign w:val="center"/>
          </w:tcPr>
          <w:p>
            <w:pPr>
              <w:widowControl/>
              <w:jc w:val="right"/>
              <w:outlineLvl w:val="1"/>
              <w:rPr>
                <w:rFonts w:hint="eastAsia" w:ascii="仿宋_GB2312" w:hAnsi="宋体" w:eastAsia="仿宋_GB2312"/>
                <w:b w:val="0"/>
                <w:bCs/>
                <w:color w:val="auto"/>
                <w:kern w:val="0"/>
                <w:sz w:val="24"/>
                <w:szCs w:val="24"/>
                <w:highlight w:val="none"/>
                <w:vertAlign w:val="baseline"/>
              </w:rPr>
            </w:pPr>
          </w:p>
        </w:tc>
        <w:tc>
          <w:tcPr>
            <w:tcW w:w="1314" w:type="dxa"/>
            <w:noWrap w:val="0"/>
            <w:vAlign w:val="center"/>
          </w:tcPr>
          <w:p>
            <w:pPr>
              <w:widowControl/>
              <w:jc w:val="right"/>
              <w:outlineLvl w:val="1"/>
              <w:rPr>
                <w:rFonts w:hint="eastAsia" w:ascii="仿宋_GB2312" w:hAnsi="宋体" w:eastAsia="仿宋_GB2312"/>
                <w:b w:val="0"/>
                <w:bCs/>
                <w:color w:val="auto"/>
                <w:kern w:val="0"/>
                <w:sz w:val="24"/>
                <w:szCs w:val="24"/>
                <w:highlight w:val="none"/>
                <w:vertAlign w:val="baseline"/>
              </w:rPr>
            </w:pPr>
          </w:p>
        </w:tc>
        <w:tc>
          <w:tcPr>
            <w:tcW w:w="1694"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7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公务用车购置及运行费</w:t>
            </w:r>
          </w:p>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（小计）</w:t>
            </w:r>
          </w:p>
        </w:tc>
        <w:tc>
          <w:tcPr>
            <w:tcW w:w="1215" w:type="dxa"/>
            <w:noWrap w:val="0"/>
            <w:vAlign w:val="center"/>
          </w:tcPr>
          <w:p>
            <w:pPr>
              <w:widowControl/>
              <w:jc w:val="right"/>
              <w:outlineLvl w:val="1"/>
              <w:rPr>
                <w:rFonts w:hint="default" w:ascii="仿宋_GB2312" w:hAnsi="宋体" w:eastAsia="仿宋_GB2312"/>
                <w:b/>
                <w:color w:val="auto"/>
                <w:kern w:val="0"/>
                <w:sz w:val="24"/>
                <w:szCs w:val="24"/>
                <w:highlight w:val="none"/>
                <w:vertAlign w:val="baseline"/>
                <w:lang w:val="en-US" w:eastAsia="zh-CN"/>
              </w:rPr>
            </w:pPr>
            <w:r>
              <w:rPr>
                <w:rFonts w:hint="eastAsia" w:ascii="仿宋_GB2312" w:hAnsi="宋体" w:eastAsia="仿宋_GB2312"/>
                <w:b/>
                <w:color w:val="auto"/>
                <w:kern w:val="0"/>
                <w:sz w:val="24"/>
                <w:szCs w:val="24"/>
                <w:highlight w:val="none"/>
                <w:vertAlign w:val="baseline"/>
                <w:lang w:val="en-US" w:eastAsia="zh-CN"/>
              </w:rPr>
              <w:t>3.20</w:t>
            </w:r>
          </w:p>
        </w:tc>
        <w:tc>
          <w:tcPr>
            <w:tcW w:w="1314" w:type="dxa"/>
            <w:noWrap w:val="0"/>
            <w:vAlign w:val="center"/>
          </w:tcPr>
          <w:p>
            <w:pPr>
              <w:widowControl/>
              <w:jc w:val="right"/>
              <w:outlineLvl w:val="1"/>
              <w:rPr>
                <w:rFonts w:hint="default" w:ascii="仿宋_GB2312" w:hAnsi="宋体" w:eastAsia="仿宋_GB2312"/>
                <w:b/>
                <w:color w:val="auto"/>
                <w:kern w:val="0"/>
                <w:sz w:val="24"/>
                <w:szCs w:val="24"/>
                <w:highlight w:val="none"/>
                <w:vertAlign w:val="baseline"/>
                <w:lang w:val="en-US"/>
              </w:rPr>
            </w:pPr>
            <w:r>
              <w:rPr>
                <w:rFonts w:hint="eastAsia" w:ascii="仿宋_GB2312" w:hAnsi="宋体" w:eastAsia="仿宋_GB2312"/>
                <w:b/>
                <w:color w:val="auto"/>
                <w:kern w:val="0"/>
                <w:sz w:val="24"/>
                <w:szCs w:val="24"/>
                <w:highlight w:val="none"/>
                <w:vertAlign w:val="baseline"/>
                <w:lang w:val="en-US" w:eastAsia="zh-CN"/>
              </w:rPr>
              <w:t>3.20</w:t>
            </w:r>
          </w:p>
        </w:tc>
        <w:tc>
          <w:tcPr>
            <w:tcW w:w="1694"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p>
        </w:tc>
        <w:tc>
          <w:tcPr>
            <w:tcW w:w="1675"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ind w:firstLine="240" w:firstLineChars="100"/>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其中：公务用车购置费</w:t>
            </w:r>
          </w:p>
        </w:tc>
        <w:tc>
          <w:tcPr>
            <w:tcW w:w="1215" w:type="dxa"/>
            <w:noWrap w:val="0"/>
            <w:vAlign w:val="center"/>
          </w:tcPr>
          <w:p>
            <w:pPr>
              <w:widowControl/>
              <w:jc w:val="right"/>
              <w:outlineLvl w:val="1"/>
              <w:rPr>
                <w:rFonts w:hint="default" w:ascii="仿宋_GB2312" w:hAnsi="宋体" w:eastAsia="仿宋_GB2312"/>
                <w:b w:val="0"/>
                <w:bCs/>
                <w:color w:val="auto"/>
                <w:kern w:val="0"/>
                <w:sz w:val="24"/>
                <w:szCs w:val="24"/>
                <w:highlight w:val="none"/>
                <w:vertAlign w:val="baseline"/>
              </w:rPr>
            </w:pPr>
          </w:p>
        </w:tc>
        <w:tc>
          <w:tcPr>
            <w:tcW w:w="1314" w:type="dxa"/>
            <w:noWrap w:val="0"/>
            <w:vAlign w:val="center"/>
          </w:tcPr>
          <w:p>
            <w:pPr>
              <w:widowControl/>
              <w:jc w:val="right"/>
              <w:outlineLvl w:val="1"/>
              <w:rPr>
                <w:rFonts w:hint="default" w:ascii="仿宋_GB2312" w:hAnsi="宋体" w:eastAsia="仿宋_GB2312"/>
                <w:b w:val="0"/>
                <w:bCs/>
                <w:color w:val="auto"/>
                <w:kern w:val="0"/>
                <w:sz w:val="24"/>
                <w:szCs w:val="24"/>
                <w:highlight w:val="none"/>
                <w:vertAlign w:val="baseline"/>
              </w:rPr>
            </w:pPr>
          </w:p>
        </w:tc>
        <w:tc>
          <w:tcPr>
            <w:tcW w:w="1694"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7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公务用车运行费</w:t>
            </w:r>
          </w:p>
        </w:tc>
        <w:tc>
          <w:tcPr>
            <w:tcW w:w="1215" w:type="dxa"/>
            <w:noWrap w:val="0"/>
            <w:vAlign w:val="center"/>
          </w:tcPr>
          <w:p>
            <w:pPr>
              <w:widowControl/>
              <w:jc w:val="right"/>
              <w:outlineLvl w:val="1"/>
              <w:rPr>
                <w:rFonts w:hint="default" w:ascii="仿宋_GB2312" w:hAnsi="宋体" w:eastAsia="仿宋_GB2312"/>
                <w:b w:val="0"/>
                <w:bCs/>
                <w:color w:val="auto"/>
                <w:kern w:val="0"/>
                <w:sz w:val="24"/>
                <w:szCs w:val="24"/>
                <w:highlight w:val="none"/>
                <w:vertAlign w:val="baseline"/>
                <w:lang w:val="en-US" w:eastAsia="zh-CN"/>
              </w:rPr>
            </w:pPr>
            <w:r>
              <w:rPr>
                <w:rFonts w:hint="eastAsia" w:ascii="仿宋_GB2312" w:hAnsi="宋体" w:eastAsia="仿宋_GB2312"/>
                <w:b w:val="0"/>
                <w:bCs/>
                <w:color w:val="auto"/>
                <w:kern w:val="0"/>
                <w:sz w:val="24"/>
                <w:szCs w:val="24"/>
                <w:highlight w:val="none"/>
                <w:vertAlign w:val="baseline"/>
                <w:lang w:val="en-US" w:eastAsia="zh-CN"/>
              </w:rPr>
              <w:t>3.20</w:t>
            </w:r>
          </w:p>
        </w:tc>
        <w:tc>
          <w:tcPr>
            <w:tcW w:w="1314" w:type="dxa"/>
            <w:noWrap w:val="0"/>
            <w:vAlign w:val="center"/>
          </w:tcPr>
          <w:p>
            <w:pPr>
              <w:widowControl/>
              <w:jc w:val="right"/>
              <w:outlineLvl w:val="1"/>
              <w:rPr>
                <w:rFonts w:hint="default" w:ascii="仿宋_GB2312" w:hAnsi="宋体" w:eastAsia="仿宋_GB2312"/>
                <w:b w:val="0"/>
                <w:bCs/>
                <w:color w:val="auto"/>
                <w:kern w:val="0"/>
                <w:sz w:val="24"/>
                <w:szCs w:val="24"/>
                <w:highlight w:val="none"/>
                <w:vertAlign w:val="baseline"/>
                <w:lang w:val="en-US"/>
              </w:rPr>
            </w:pPr>
            <w:r>
              <w:rPr>
                <w:rFonts w:hint="eastAsia" w:ascii="仿宋_GB2312" w:hAnsi="宋体" w:eastAsia="仿宋_GB2312"/>
                <w:b w:val="0"/>
                <w:bCs/>
                <w:color w:val="auto"/>
                <w:kern w:val="0"/>
                <w:sz w:val="24"/>
                <w:szCs w:val="24"/>
                <w:highlight w:val="none"/>
                <w:vertAlign w:val="baseline"/>
                <w:lang w:val="en-US" w:eastAsia="zh-CN"/>
              </w:rPr>
              <w:t>3.20</w:t>
            </w:r>
          </w:p>
        </w:tc>
        <w:tc>
          <w:tcPr>
            <w:tcW w:w="1694"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7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5140" w:firstLineChars="16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tbl>
      <w:tblPr>
        <w:tblStyle w:val="9"/>
        <w:tblpPr w:leftFromText="180" w:rightFromText="180" w:vertAnchor="text" w:horzAnchor="page" w:tblpX="1984" w:tblpY="621"/>
        <w:tblOverlap w:val="never"/>
        <w:tblW w:w="13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8"/>
        <w:gridCol w:w="1320"/>
        <w:gridCol w:w="1224"/>
        <w:gridCol w:w="1128"/>
        <w:gridCol w:w="1212"/>
        <w:gridCol w:w="1464"/>
        <w:gridCol w:w="948"/>
        <w:gridCol w:w="1080"/>
        <w:gridCol w:w="1032"/>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69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32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5028"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409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698"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32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2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34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6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948"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112"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32"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69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32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2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28"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212"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46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4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8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03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32"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698" w:type="dxa"/>
            <w:noWrap w:val="0"/>
            <w:vAlign w:val="top"/>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工业园区2024年为民办实事</w:t>
            </w:r>
          </w:p>
        </w:tc>
        <w:tc>
          <w:tcPr>
            <w:tcW w:w="1320"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5.00</w:t>
            </w:r>
          </w:p>
        </w:tc>
        <w:tc>
          <w:tcPr>
            <w:tcW w:w="122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5.00</w:t>
            </w:r>
          </w:p>
        </w:tc>
        <w:tc>
          <w:tcPr>
            <w:tcW w:w="1128"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2"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p>
        </w:tc>
        <w:tc>
          <w:tcPr>
            <w:tcW w:w="146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5.00</w:t>
            </w:r>
          </w:p>
        </w:tc>
        <w:tc>
          <w:tcPr>
            <w:tcW w:w="94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698" w:type="dxa"/>
            <w:noWrap w:val="0"/>
            <w:vAlign w:val="top"/>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呼图壁县工业园区供水、排水补短板项目</w:t>
            </w:r>
          </w:p>
        </w:tc>
        <w:tc>
          <w:tcPr>
            <w:tcW w:w="132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1400.00</w:t>
            </w:r>
          </w:p>
        </w:tc>
        <w:tc>
          <w:tcPr>
            <w:tcW w:w="122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1400.00</w:t>
            </w:r>
          </w:p>
        </w:tc>
        <w:tc>
          <w:tcPr>
            <w:tcW w:w="1128"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2"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46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1400.00</w:t>
            </w:r>
          </w:p>
        </w:tc>
        <w:tc>
          <w:tcPr>
            <w:tcW w:w="94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698" w:type="dxa"/>
            <w:noWrap w:val="0"/>
            <w:vAlign w:val="top"/>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呼图壁县纺织服装产业园蒸汽管线建设项目</w:t>
            </w:r>
          </w:p>
        </w:tc>
        <w:tc>
          <w:tcPr>
            <w:tcW w:w="132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853.13</w:t>
            </w:r>
          </w:p>
        </w:tc>
        <w:tc>
          <w:tcPr>
            <w:tcW w:w="122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853.13</w:t>
            </w:r>
          </w:p>
        </w:tc>
        <w:tc>
          <w:tcPr>
            <w:tcW w:w="1128"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2"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46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853.13</w:t>
            </w:r>
          </w:p>
        </w:tc>
        <w:tc>
          <w:tcPr>
            <w:tcW w:w="94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698" w:type="dxa"/>
            <w:noWrap w:val="0"/>
            <w:vAlign w:val="top"/>
          </w:tcPr>
          <w:p>
            <w:pPr>
              <w:widowControl/>
              <w:spacing w:line="280" w:lineRule="exact"/>
              <w:jc w:val="left"/>
              <w:rPr>
                <w:rFonts w:hint="default"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呼图壁县工业园区化工区污水处理厂扩建项目</w:t>
            </w:r>
          </w:p>
        </w:tc>
        <w:tc>
          <w:tcPr>
            <w:tcW w:w="132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12000.00</w:t>
            </w:r>
          </w:p>
        </w:tc>
        <w:tc>
          <w:tcPr>
            <w:tcW w:w="122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12000.00</w:t>
            </w:r>
          </w:p>
        </w:tc>
        <w:tc>
          <w:tcPr>
            <w:tcW w:w="1128"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2"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46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12000.00</w:t>
            </w:r>
          </w:p>
        </w:tc>
        <w:tc>
          <w:tcPr>
            <w:tcW w:w="94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698" w:type="dxa"/>
            <w:noWrap w:val="0"/>
            <w:vAlign w:val="center"/>
          </w:tcPr>
          <w:p>
            <w:pPr>
              <w:spacing w:line="240" w:lineRule="auto"/>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总计</w:t>
            </w:r>
          </w:p>
        </w:tc>
        <w:tc>
          <w:tcPr>
            <w:tcW w:w="1320" w:type="dxa"/>
            <w:noWrap w:val="0"/>
            <w:vAlign w:val="center"/>
          </w:tcPr>
          <w:p>
            <w:pPr>
              <w:widowControl/>
              <w:spacing w:line="240" w:lineRule="auto"/>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14258.13</w:t>
            </w:r>
          </w:p>
        </w:tc>
        <w:tc>
          <w:tcPr>
            <w:tcW w:w="1224" w:type="dxa"/>
            <w:noWrap w:val="0"/>
            <w:vAlign w:val="center"/>
          </w:tcPr>
          <w:p>
            <w:pPr>
              <w:spacing w:line="240" w:lineRule="auto"/>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14258.13</w:t>
            </w:r>
          </w:p>
        </w:tc>
        <w:tc>
          <w:tcPr>
            <w:tcW w:w="1128" w:type="dxa"/>
            <w:noWrap w:val="0"/>
            <w:vAlign w:val="center"/>
          </w:tcPr>
          <w:p>
            <w:pPr>
              <w:spacing w:line="240" w:lineRule="auto"/>
              <w:jc w:val="center"/>
              <w:rPr>
                <w:rFonts w:hint="eastAsia" w:ascii="仿宋_GB2312" w:hAnsi="宋体" w:eastAsia="仿宋_GB2312" w:cs="宋体"/>
                <w:b w:val="0"/>
                <w:bCs w:val="0"/>
                <w:color w:val="auto"/>
                <w:kern w:val="0"/>
                <w:sz w:val="20"/>
                <w:szCs w:val="20"/>
                <w:highlight w:val="none"/>
                <w:lang w:val="en-US" w:eastAsia="zh-CN"/>
              </w:rPr>
            </w:pPr>
          </w:p>
        </w:tc>
        <w:tc>
          <w:tcPr>
            <w:tcW w:w="1212" w:type="dxa"/>
            <w:noWrap w:val="0"/>
            <w:vAlign w:val="center"/>
          </w:tcPr>
          <w:p>
            <w:pPr>
              <w:spacing w:line="240" w:lineRule="auto"/>
              <w:jc w:val="center"/>
              <w:rPr>
                <w:rFonts w:hint="eastAsia" w:ascii="仿宋_GB2312" w:hAnsi="宋体" w:eastAsia="仿宋_GB2312" w:cs="宋体"/>
                <w:b w:val="0"/>
                <w:bCs w:val="0"/>
                <w:color w:val="auto"/>
                <w:kern w:val="0"/>
                <w:sz w:val="20"/>
                <w:szCs w:val="20"/>
                <w:highlight w:val="none"/>
                <w:lang w:val="en-US" w:eastAsia="zh-CN"/>
              </w:rPr>
            </w:pPr>
          </w:p>
        </w:tc>
        <w:tc>
          <w:tcPr>
            <w:tcW w:w="1464" w:type="dxa"/>
            <w:noWrap w:val="0"/>
            <w:vAlign w:val="center"/>
          </w:tcPr>
          <w:p>
            <w:pPr>
              <w:spacing w:line="240" w:lineRule="auto"/>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14258.13</w:t>
            </w:r>
          </w:p>
        </w:tc>
        <w:tc>
          <w:tcPr>
            <w:tcW w:w="94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32"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呼图壁县工业园区管理委员会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p>
      <w:pPr>
        <w:spacing w:line="600" w:lineRule="exact"/>
        <w:jc w:val="both"/>
        <w:rPr>
          <w:rFonts w:hint="eastAsia" w:ascii="仿宋" w:hAnsi="仿宋" w:eastAsia="仿宋" w:cs="仿宋_GB2312"/>
          <w:bCs/>
          <w:color w:val="auto"/>
          <w:kern w:val="0"/>
          <w:sz w:val="28"/>
          <w:szCs w:val="28"/>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2025年部门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呼图壁县工业园区管理委员会2025年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呼图壁县工业园区管理委员会2025年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    15743.16万元。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支出预算包括：社会保障和就业支出、卫生健康支出、节能环保支出、城乡社区支出、资源勘探</w:t>
      </w:r>
      <w:r>
        <w:rPr>
          <w:rFonts w:hint="eastAsia" w:ascii="仿宋_GB2312" w:hAnsi="宋体" w:eastAsia="仿宋_GB2312" w:cs="宋体"/>
          <w:color w:val="auto"/>
          <w:kern w:val="0"/>
          <w:sz w:val="32"/>
          <w:szCs w:val="32"/>
          <w:highlight w:val="none"/>
          <w:lang w:val="en-US" w:eastAsia="zh-Hans"/>
        </w:rPr>
        <w:t>工业</w:t>
      </w:r>
      <w:r>
        <w:rPr>
          <w:rFonts w:hint="eastAsia" w:ascii="仿宋_GB2312" w:hAnsi="宋体" w:eastAsia="仿宋_GB2312" w:cs="宋体"/>
          <w:color w:val="auto"/>
          <w:kern w:val="0"/>
          <w:sz w:val="32"/>
          <w:szCs w:val="32"/>
          <w:highlight w:val="none"/>
        </w:rPr>
        <w:t>信息等支出、住房保障支出</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其他支出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呼图壁县工业园区管理委员会2025年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呼图壁县工业园区管理委员会</w:t>
      </w:r>
      <w:r>
        <w:rPr>
          <w:rFonts w:hint="eastAsia" w:ascii="仿宋_GB2312" w:hAnsi="宋体" w:eastAsia="仿宋_GB2312" w:cs="宋体"/>
          <w:color w:val="auto"/>
          <w:kern w:val="0"/>
          <w:sz w:val="32"/>
          <w:szCs w:val="32"/>
          <w:highlight w:val="none"/>
        </w:rPr>
        <w:t>收入预算15743.16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eastAsia="zh-CN"/>
        </w:rPr>
        <w:t>748.67</w:t>
      </w:r>
      <w:r>
        <w:rPr>
          <w:rFonts w:hint="eastAsia" w:ascii="仿宋_GB2312" w:hAnsi="宋体" w:eastAsia="仿宋_GB2312" w:cs="宋体"/>
          <w:color w:val="auto"/>
          <w:kern w:val="0"/>
          <w:sz w:val="32"/>
          <w:szCs w:val="32"/>
          <w:highlight w:val="none"/>
        </w:rPr>
        <w:t>万元，占4.7</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%，比上年预算减少197.49万元，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20.87%，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2025年非定额大丰工业园区环保晓清污水处理费项目支出较上年减少，造成项目减少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减少1249.91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2024年政府隐形</w:t>
      </w:r>
      <w:r>
        <w:rPr>
          <w:rFonts w:hint="eastAsia" w:ascii="仿宋_GB2312" w:hAnsi="宋体" w:eastAsia="仿宋_GB2312" w:cs="宋体"/>
          <w:color w:val="auto"/>
          <w:kern w:val="0"/>
          <w:sz w:val="32"/>
          <w:szCs w:val="32"/>
          <w:highlight w:val="none"/>
          <w:lang w:val="en-US" w:eastAsia="zh-CN"/>
        </w:rPr>
        <w:t>债</w:t>
      </w:r>
      <w:r>
        <w:rPr>
          <w:rFonts w:hint="eastAsia" w:ascii="仿宋_GB2312" w:hAnsi="宋体" w:eastAsia="仿宋_GB2312" w:cs="宋体"/>
          <w:color w:val="auto"/>
          <w:kern w:val="0"/>
          <w:sz w:val="32"/>
          <w:szCs w:val="32"/>
          <w:highlight w:val="none"/>
          <w:lang w:eastAsia="zh-CN"/>
        </w:rPr>
        <w:t>项目已经偿还完毕，故2025年未安排政府性基金。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单位资金736.36</w:t>
      </w:r>
      <w:r>
        <w:rPr>
          <w:rFonts w:hint="eastAsia" w:ascii="仿宋_GB2312" w:hAnsi="宋体" w:eastAsia="仿宋_GB2312" w:cs="宋体"/>
          <w:color w:val="auto"/>
          <w:kern w:val="0"/>
          <w:sz w:val="32"/>
          <w:szCs w:val="32"/>
          <w:highlight w:val="none"/>
        </w:rPr>
        <w:t>万元，占4.6</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%，比上年预算增加650.71万元，</w:t>
      </w:r>
      <w:r>
        <w:rPr>
          <w:rFonts w:hint="eastAsia" w:ascii="仿宋_GB2312" w:hAnsi="宋体" w:eastAsia="仿宋_GB2312" w:cs="宋体"/>
          <w:color w:val="auto"/>
          <w:kern w:val="0"/>
          <w:sz w:val="32"/>
          <w:szCs w:val="32"/>
          <w:highlight w:val="none"/>
          <w:lang w:eastAsia="zh-CN"/>
        </w:rPr>
        <w:t>增长759</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73</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本年度新增援疆指挥部拨款电子商务科技产业园项目建设款，造成项目支出增加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财政拨款结转14258.13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90.57</w:t>
      </w:r>
      <w:r>
        <w:rPr>
          <w:rFonts w:hint="eastAsia" w:ascii="仿宋_GB2312" w:hAnsi="宋体" w:eastAsia="仿宋_GB2312" w:cs="宋体"/>
          <w:color w:val="auto"/>
          <w:kern w:val="0"/>
          <w:sz w:val="32"/>
          <w:szCs w:val="32"/>
          <w:highlight w:val="none"/>
        </w:rPr>
        <w:t>%，比上年预算增加10658.13万元，</w:t>
      </w:r>
      <w:r>
        <w:rPr>
          <w:rFonts w:hint="eastAsia" w:ascii="仿宋_GB2312" w:hAnsi="宋体" w:eastAsia="仿宋_GB2312" w:cs="宋体"/>
          <w:color w:val="auto"/>
          <w:kern w:val="0"/>
          <w:sz w:val="32"/>
          <w:szCs w:val="32"/>
          <w:highlight w:val="none"/>
          <w:lang w:eastAsia="zh-CN"/>
        </w:rPr>
        <w:t>增长296.0</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主要原因是结转呼图壁县工业园区化工区污水处理厂扩建项目等三个基金类基建项目，造成项目支出增加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呼图壁县工业园区管理委员会2025年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呼图壁县工业园区管理委员会2025年</w:t>
      </w:r>
      <w:r>
        <w:rPr>
          <w:rFonts w:hint="eastAsia" w:ascii="仿宋_GB2312" w:hAnsi="宋体" w:eastAsia="仿宋_GB2312" w:cs="宋体"/>
          <w:color w:val="auto"/>
          <w:kern w:val="0"/>
          <w:sz w:val="32"/>
          <w:szCs w:val="32"/>
          <w:highlight w:val="none"/>
        </w:rPr>
        <w:t>支出预算15743.16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基本支出576.25万元，占</w:t>
      </w:r>
      <w:r>
        <w:rPr>
          <w:rFonts w:hint="eastAsia" w:ascii="仿宋_GB2312" w:hAnsi="宋体" w:eastAsia="仿宋_GB2312" w:cs="宋体"/>
          <w:color w:val="auto"/>
          <w:kern w:val="0"/>
          <w:sz w:val="32"/>
          <w:szCs w:val="32"/>
          <w:highlight w:val="none"/>
          <w:lang w:val="en-US" w:eastAsia="zh-CN"/>
        </w:rPr>
        <w:t>3.66</w:t>
      </w:r>
      <w:r>
        <w:rPr>
          <w:rFonts w:hint="eastAsia" w:ascii="仿宋_GB2312" w:hAnsi="宋体" w:eastAsia="仿宋_GB2312" w:cs="宋体"/>
          <w:color w:val="auto"/>
          <w:kern w:val="0"/>
          <w:sz w:val="32"/>
          <w:szCs w:val="32"/>
          <w:highlight w:val="none"/>
        </w:rPr>
        <w:t>%，比上年预算增加104.44万元，</w:t>
      </w:r>
      <w:r>
        <w:rPr>
          <w:rFonts w:hint="eastAsia" w:ascii="仿宋_GB2312" w:hAnsi="宋体" w:eastAsia="仿宋_GB2312" w:cs="宋体"/>
          <w:color w:val="auto"/>
          <w:kern w:val="0"/>
          <w:sz w:val="32"/>
          <w:szCs w:val="32"/>
          <w:highlight w:val="none"/>
          <w:lang w:eastAsia="zh-CN"/>
        </w:rPr>
        <w:t>增长22.1</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2025年工资标准调高、社保公积金基数上调，造成人员经费上涨</w:t>
      </w:r>
      <w:r>
        <w:rPr>
          <w:rFonts w:hint="eastAsia" w:ascii="仿宋_GB2312" w:hAnsi="宋体" w:eastAsia="仿宋_GB2312" w:cs="宋体"/>
          <w:color w:val="auto"/>
          <w:kern w:val="0"/>
          <w:sz w:val="32"/>
          <w:szCs w:val="32"/>
          <w:highlight w:val="none"/>
        </w:rPr>
        <w:t>。</w:t>
      </w:r>
    </w:p>
    <w:p>
      <w:pPr>
        <w:spacing w:line="600" w:lineRule="exact"/>
        <w:ind w:firstLine="640" w:firstLineChars="200"/>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项目支出15166.91万元，占</w:t>
      </w:r>
      <w:r>
        <w:rPr>
          <w:rFonts w:hint="eastAsia" w:ascii="仿宋_GB2312" w:hAnsi="宋体" w:eastAsia="仿宋_GB2312" w:cs="宋体"/>
          <w:color w:val="auto"/>
          <w:kern w:val="0"/>
          <w:sz w:val="32"/>
          <w:szCs w:val="32"/>
          <w:highlight w:val="none"/>
          <w:lang w:val="en-US" w:eastAsia="zh-CN"/>
        </w:rPr>
        <w:t>96.34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kern w:val="0"/>
          <w:sz w:val="32"/>
          <w:szCs w:val="32"/>
          <w:highlight w:val="none"/>
          <w:lang w:val="en-US" w:eastAsia="zh-CN"/>
        </w:rPr>
        <w:t>9757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180.35</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2024年项目未完工，资金进行结转。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呼图壁县工业园区管理委员会2025年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财政拨款收支总预算748.67万元。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收入预算包括：一般公共预算拨款748.67万元。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_GB2312" w:eastAsia="仿宋_GB2312" w:cs="仿宋_GB2312"/>
          <w:i w:val="0"/>
          <w:iCs w:val="0"/>
          <w:color w:val="auto"/>
          <w:kern w:val="0"/>
          <w:sz w:val="32"/>
          <w:szCs w:val="32"/>
          <w:highlight w:val="none"/>
          <w:u w:val="none"/>
          <w:lang w:val="en-US" w:eastAsia="zh-CN" w:bidi="ar"/>
        </w:rPr>
        <w:t>社会保障和就业支出37.83</w:t>
      </w:r>
      <w:r>
        <w:rPr>
          <w:rFonts w:hint="eastAsia" w:ascii="仿宋_GB2312" w:hAnsi="仿宋_GB2312" w:eastAsia="仿宋_GB2312" w:cs="仿宋_GB2312"/>
          <w:color w:val="auto"/>
          <w:kern w:val="0"/>
          <w:sz w:val="32"/>
          <w:szCs w:val="32"/>
          <w:highlight w:val="none"/>
        </w:rPr>
        <w:t>万</w:t>
      </w:r>
      <w:r>
        <w:rPr>
          <w:rFonts w:hint="eastAsia" w:ascii="仿宋_GB2312" w:hAnsi="宋体" w:eastAsia="仿宋_GB2312" w:cs="宋体"/>
          <w:color w:val="auto"/>
          <w:kern w:val="0"/>
          <w:sz w:val="32"/>
          <w:szCs w:val="32"/>
          <w:highlight w:val="none"/>
        </w:rPr>
        <w:t>元，</w:t>
      </w:r>
      <w:r>
        <w:rPr>
          <w:rFonts w:hint="eastAsia" w:ascii="仿宋_GB2312" w:hAnsi="宋体" w:eastAsia="仿宋_GB2312" w:cs="宋体"/>
          <w:color w:val="auto"/>
          <w:kern w:val="0"/>
          <w:sz w:val="32"/>
          <w:szCs w:val="32"/>
          <w:highlight w:val="none"/>
          <w:lang w:val="en-US" w:eastAsia="zh-CN"/>
        </w:rPr>
        <w:t>主要用于人员社保缴纳；卫</w:t>
      </w:r>
      <w:r>
        <w:rPr>
          <w:rFonts w:hint="eastAsia" w:ascii="仿宋_GB2312" w:hAnsi="仿宋_GB2312" w:eastAsia="仿宋_GB2312" w:cs="仿宋_GB2312"/>
          <w:i w:val="0"/>
          <w:iCs w:val="0"/>
          <w:color w:val="auto"/>
          <w:kern w:val="0"/>
          <w:sz w:val="32"/>
          <w:szCs w:val="32"/>
          <w:highlight w:val="none"/>
          <w:u w:val="none"/>
          <w:lang w:val="en-US" w:eastAsia="zh-CN" w:bidi="ar"/>
        </w:rPr>
        <w:t>生健康支出28.61万元，主要用于人员医保缴纳；节能环保支出149.45万元，主要用于大丰污水处理厂运行；资源勘探工业信息等支出501.51万元，主要用于维持园区日常正常运转；住房保障支出31.26万元，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val="en-US" w:eastAsia="zh-CN"/>
        </w:rPr>
        <w:t>人员公积金缴纳</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呼图壁县工业园区管理委员会2025年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一般公共预算拨款合计748.67万元，其中：基本支出395.95万元，比上年预算增加9.79万元，增长</w:t>
      </w:r>
      <w:r>
        <w:rPr>
          <w:rFonts w:hint="eastAsia" w:ascii="仿宋_GB2312" w:hAnsi="仿宋_GB2312" w:eastAsia="仿宋_GB2312" w:cs="仿宋_GB2312"/>
          <w:color w:val="auto"/>
          <w:kern w:val="0"/>
          <w:sz w:val="32"/>
          <w:szCs w:val="32"/>
          <w:highlight w:val="none"/>
          <w:lang w:val="en-US" w:eastAsia="zh-CN"/>
        </w:rPr>
        <w:t>2.54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2025年工资标准调高、社保公积金基数上调，造成人员经费上涨</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项目支出352.72万元，比上年预算减少207.28万元，下降37.01%。主要原因是</w:t>
      </w:r>
      <w:r>
        <w:rPr>
          <w:rFonts w:hint="eastAsia" w:ascii="仿宋_GB2312" w:hAnsi="仿宋_GB2312" w:eastAsia="仿宋_GB2312" w:cs="仿宋_GB2312"/>
          <w:sz w:val="32"/>
          <w:szCs w:val="32"/>
          <w:highlight w:val="none"/>
          <w:lang w:val="en-US" w:eastAsia="zh-CN"/>
        </w:rPr>
        <w:t>本年度政府隐性债务责任支出计划减少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i w:val="0"/>
          <w:iCs w:val="0"/>
          <w:color w:val="000000"/>
          <w:kern w:val="0"/>
          <w:sz w:val="32"/>
          <w:szCs w:val="32"/>
          <w:highlight w:val="none"/>
          <w:u w:val="none"/>
          <w:lang w:val="en-US" w:eastAsia="zh-CN" w:bidi="ar"/>
        </w:rPr>
        <w:t>社会保障和就业支出</w:t>
      </w:r>
      <w:r>
        <w:rPr>
          <w:rFonts w:hint="eastAsia" w:ascii="仿宋_GB2312" w:hAnsi="仿宋_GB2312" w:eastAsia="仿宋_GB2312" w:cs="仿宋_GB2312"/>
          <w:sz w:val="32"/>
          <w:szCs w:val="32"/>
          <w:highlight w:val="none"/>
        </w:rPr>
        <w:t>（类）37.83</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5.05</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i w:val="0"/>
          <w:iCs w:val="0"/>
          <w:color w:val="000000"/>
          <w:kern w:val="0"/>
          <w:sz w:val="32"/>
          <w:szCs w:val="32"/>
          <w:highlight w:val="none"/>
          <w:u w:val="none"/>
          <w:lang w:val="en-US" w:eastAsia="zh-CN" w:bidi="ar"/>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i w:val="0"/>
          <w:iCs w:val="0"/>
          <w:color w:val="000000"/>
          <w:kern w:val="0"/>
          <w:sz w:val="32"/>
          <w:szCs w:val="32"/>
          <w:highlight w:val="none"/>
          <w:u w:val="none"/>
          <w:lang w:val="en-US" w:eastAsia="zh-CN" w:bidi="ar"/>
        </w:rPr>
        <w:t>卫生健康支出（类）28.61万元，</w:t>
      </w:r>
      <w:r>
        <w:rPr>
          <w:rFonts w:hint="eastAsia" w:ascii="仿宋_GB2312" w:hAnsi="仿宋_GB2312" w:eastAsia="仿宋_GB2312" w:cs="仿宋_GB2312"/>
          <w:kern w:val="0"/>
          <w:sz w:val="32"/>
          <w:szCs w:val="32"/>
          <w:highlight w:val="none"/>
        </w:rPr>
        <w:t>占3.82%</w:t>
      </w:r>
      <w:r>
        <w:rPr>
          <w:rFonts w:hint="eastAsia" w:ascii="仿宋_GB2312" w:hAnsi="仿宋_GB2312" w:eastAsia="仿宋_GB2312" w:cs="仿宋_GB2312"/>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i w:val="0"/>
          <w:iCs w:val="0"/>
          <w:color w:val="000000"/>
          <w:kern w:val="0"/>
          <w:sz w:val="32"/>
          <w:szCs w:val="32"/>
          <w:highlight w:val="none"/>
          <w:u w:val="none"/>
          <w:lang w:val="en-US" w:eastAsia="zh-CN" w:bidi="ar"/>
        </w:rPr>
      </w:pPr>
      <w:r>
        <w:rPr>
          <w:rFonts w:hint="eastAsia" w:ascii="仿宋_GB2312" w:hAnsi="仿宋_GB2312" w:eastAsia="仿宋_GB2312" w:cs="仿宋_GB2312"/>
          <w:i w:val="0"/>
          <w:iCs w:val="0"/>
          <w:color w:val="000000"/>
          <w:kern w:val="0"/>
          <w:sz w:val="32"/>
          <w:szCs w:val="32"/>
          <w:highlight w:val="none"/>
          <w:u w:val="none"/>
          <w:lang w:val="en-US" w:eastAsia="zh-CN" w:bidi="ar"/>
        </w:rPr>
        <w:t>3.节能环保支出（类）149.45万元，</w:t>
      </w:r>
      <w:r>
        <w:rPr>
          <w:rFonts w:hint="eastAsia" w:ascii="仿宋_GB2312" w:hAnsi="仿宋_GB2312" w:eastAsia="仿宋_GB2312" w:cs="仿宋_GB2312"/>
          <w:kern w:val="0"/>
          <w:sz w:val="32"/>
          <w:szCs w:val="32"/>
          <w:highlight w:val="none"/>
        </w:rPr>
        <w:t>占19.96%</w:t>
      </w:r>
      <w:r>
        <w:rPr>
          <w:rFonts w:hint="eastAsia" w:ascii="仿宋_GB2312" w:hAnsi="仿宋_GB2312" w:eastAsia="仿宋_GB2312" w:cs="仿宋_GB2312"/>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i w:val="0"/>
          <w:iCs w:val="0"/>
          <w:color w:val="000000"/>
          <w:kern w:val="0"/>
          <w:sz w:val="32"/>
          <w:szCs w:val="32"/>
          <w:highlight w:val="none"/>
          <w:u w:val="none"/>
          <w:lang w:val="en-US" w:eastAsia="zh-CN" w:bidi="ar"/>
        </w:rPr>
      </w:pPr>
      <w:r>
        <w:rPr>
          <w:rFonts w:hint="eastAsia" w:ascii="仿宋_GB2312" w:hAnsi="仿宋_GB2312" w:eastAsia="仿宋_GB2312" w:cs="仿宋_GB2312"/>
          <w:i w:val="0"/>
          <w:iCs w:val="0"/>
          <w:color w:val="000000"/>
          <w:kern w:val="0"/>
          <w:sz w:val="32"/>
          <w:szCs w:val="32"/>
          <w:highlight w:val="none"/>
          <w:u w:val="none"/>
          <w:lang w:val="en-US" w:eastAsia="zh-CN" w:bidi="ar"/>
        </w:rPr>
        <w:t>4.资源勘探工业信息等支出（类）501.51万元，</w:t>
      </w:r>
      <w:r>
        <w:rPr>
          <w:rFonts w:hint="eastAsia" w:ascii="仿宋_GB2312" w:hAnsi="仿宋_GB2312" w:eastAsia="仿宋_GB2312" w:cs="仿宋_GB2312"/>
          <w:kern w:val="0"/>
          <w:sz w:val="32"/>
          <w:szCs w:val="32"/>
          <w:highlight w:val="none"/>
        </w:rPr>
        <w:t>占66.9</w:t>
      </w: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i w:val="0"/>
          <w:iCs w:val="0"/>
          <w:color w:val="000000"/>
          <w:kern w:val="0"/>
          <w:sz w:val="32"/>
          <w:szCs w:val="32"/>
          <w:highlight w:val="none"/>
          <w:u w:val="none"/>
          <w:lang w:val="en-US" w:eastAsia="zh-CN" w:bidi="ar"/>
        </w:rPr>
        <w:t>5.住房保障支出（类）31.26万元，</w:t>
      </w:r>
      <w:r>
        <w:rPr>
          <w:rFonts w:hint="eastAsia" w:ascii="仿宋_GB2312" w:hAnsi="仿宋_GB2312" w:eastAsia="仿宋_GB2312" w:cs="仿宋_GB2312"/>
          <w:kern w:val="0"/>
          <w:sz w:val="32"/>
          <w:szCs w:val="32"/>
          <w:highlight w:val="none"/>
        </w:rPr>
        <w:t>占4.1</w:t>
      </w: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1.社会保障和就业支出（类）行政事业单位养老支出（款）机关事业单位基本养老保险缴费支出（项）:202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仿宋_GB2312" w:eastAsia="仿宋_GB2312" w:cs="仿宋_GB2312"/>
          <w:sz w:val="32"/>
          <w:szCs w:val="32"/>
          <w:highlight w:val="none"/>
        </w:rPr>
        <w:t>37.83</w:t>
      </w:r>
      <w:r>
        <w:rPr>
          <w:rFonts w:hint="eastAsia" w:ascii="仿宋_GB2312" w:hAnsi="宋体" w:eastAsia="仿宋_GB2312" w:cs="宋体"/>
          <w:kern w:val="0"/>
          <w:sz w:val="32"/>
          <w:szCs w:val="32"/>
          <w:highlight w:val="none"/>
        </w:rPr>
        <w:t>万元，比上年预算增加0.55万元，增长1.48%，主要原因是：</w:t>
      </w:r>
      <w:r>
        <w:rPr>
          <w:rFonts w:hint="eastAsia" w:ascii="仿宋_GB2312" w:hAnsi="宋体" w:eastAsia="仿宋_GB2312" w:cs="宋体"/>
          <w:kern w:val="0"/>
          <w:sz w:val="32"/>
          <w:szCs w:val="32"/>
          <w:highlight w:val="none"/>
          <w:lang w:val="en-US" w:eastAsia="zh-CN"/>
        </w:rPr>
        <w:t>调资，正升等社保基数变大，养老保险缴费增加</w:t>
      </w:r>
      <w:r>
        <w:rPr>
          <w:rFonts w:hint="eastAsia" w:ascii="仿宋_GB2312" w:hAnsi="宋体" w:eastAsia="仿宋_GB2312" w:cs="宋体"/>
          <w:kern w:val="0"/>
          <w:sz w:val="32"/>
          <w:szCs w:val="32"/>
          <w:highlight w:val="none"/>
          <w:lang w:eastAsia="zh-CN"/>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kern w:val="0"/>
          <w:sz w:val="32"/>
          <w:szCs w:val="32"/>
          <w:highlight w:val="none"/>
        </w:rPr>
        <w:t>卫生健康支出（类）行政事业单位医疗支出（</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rPr>
        <w:t>）事业单位医疗（</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年预算数为18.92万元，比上年预算增加0.28万元，增长1.5</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val="en-US" w:eastAsia="zh-CN"/>
        </w:rPr>
        <w:t>调资，正升等社保基数变大，社保缴费增加。</w:t>
      </w:r>
    </w:p>
    <w:p>
      <w:pPr>
        <w:spacing w:line="560" w:lineRule="exact"/>
        <w:ind w:firstLine="640" w:firstLineChars="200"/>
        <w:rPr>
          <w:rFonts w:hint="eastAsia" w:ascii="仿宋" w:hAnsi="仿宋" w:eastAsia="仿宋" w:cs="仿宋"/>
          <w:color w:val="000000"/>
          <w:kern w:val="0"/>
          <w:sz w:val="31"/>
          <w:szCs w:val="31"/>
          <w:highlight w:val="none"/>
          <w:lang w:bidi="ar"/>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.卫生健康支出（类）行政事业单位医疗支出（</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rPr>
        <w:t>）公务员医疗补助（</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年预算数为9.46万元，比上年预算增加4.33万元，增长84.4</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rPr>
        <w:t>公务员医疗补助</w:t>
      </w:r>
      <w:r>
        <w:rPr>
          <w:rFonts w:hint="eastAsia" w:ascii="仿宋" w:hAnsi="仿宋" w:eastAsia="仿宋" w:cs="仿宋"/>
          <w:color w:val="000000"/>
          <w:kern w:val="0"/>
          <w:sz w:val="31"/>
          <w:szCs w:val="31"/>
          <w:highlight w:val="none"/>
          <w:lang w:eastAsia="zh-CN" w:bidi="ar"/>
        </w:rPr>
        <w:t>比例增加，由</w:t>
      </w:r>
      <w:r>
        <w:rPr>
          <w:rFonts w:hint="eastAsia" w:ascii="仿宋" w:hAnsi="仿宋" w:eastAsia="仿宋" w:cs="仿宋"/>
          <w:color w:val="000000"/>
          <w:kern w:val="0"/>
          <w:sz w:val="31"/>
          <w:szCs w:val="31"/>
          <w:highlight w:val="none"/>
          <w:lang w:val="en-US" w:eastAsia="zh-CN" w:bidi="ar"/>
        </w:rPr>
        <w:t>2.2%增长至4%，同时</w:t>
      </w:r>
      <w:r>
        <w:rPr>
          <w:rFonts w:hint="eastAsia" w:ascii="仿宋_GB2312" w:hAnsi="宋体" w:eastAsia="仿宋_GB2312" w:cs="宋体"/>
          <w:kern w:val="0"/>
          <w:sz w:val="32"/>
          <w:szCs w:val="32"/>
          <w:highlight w:val="none"/>
          <w:lang w:val="en-US" w:eastAsia="zh-CN"/>
        </w:rPr>
        <w:t>调资，正升等社保基数变大，医保缴费增加</w:t>
      </w:r>
      <w:r>
        <w:rPr>
          <w:rFonts w:hint="eastAsia" w:ascii="仿宋" w:hAnsi="仿宋" w:eastAsia="仿宋" w:cs="仿宋"/>
          <w:color w:val="000000"/>
          <w:kern w:val="0"/>
          <w:sz w:val="31"/>
          <w:szCs w:val="31"/>
          <w:highlight w:val="none"/>
          <w:lang w:bidi="ar"/>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卫生健康支出（类）行政事业单位医疗支出（</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rPr>
        <w:t>）其他行政事业单位医疗支出（</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年预算数为0.</w:t>
      </w:r>
      <w:r>
        <w:rPr>
          <w:rFonts w:hint="eastAsia" w:ascii="仿宋_GB2312" w:hAnsi="仿宋_GB2312" w:eastAsia="仿宋_GB2312" w:cs="仿宋_GB2312"/>
          <w:kern w:val="0"/>
          <w:sz w:val="32"/>
          <w:szCs w:val="32"/>
          <w:highlight w:val="none"/>
          <w:lang w:val="en-US" w:eastAsia="zh-CN"/>
        </w:rPr>
        <w:t>24</w:t>
      </w:r>
      <w:r>
        <w:rPr>
          <w:rFonts w:hint="eastAsia" w:ascii="仿宋_GB2312" w:hAnsi="仿宋_GB2312" w:eastAsia="仿宋_GB2312" w:cs="仿宋_GB2312"/>
          <w:kern w:val="0"/>
          <w:sz w:val="32"/>
          <w:szCs w:val="32"/>
          <w:highlight w:val="none"/>
        </w:rPr>
        <w:t>万元，比上年预算增加0.11万元，增长84.6</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仿宋_GB2312" w:eastAsia="仿宋_GB2312" w:cs="仿宋_GB2312"/>
          <w:kern w:val="0"/>
          <w:sz w:val="32"/>
          <w:szCs w:val="32"/>
          <w:highlight w:val="none"/>
          <w:lang w:eastAsia="zh-CN"/>
        </w:rPr>
        <w:t>大额医疗保险由每人每月5元调整为工资总额的0.1%</w:t>
      </w:r>
      <w:r>
        <w:rPr>
          <w:rFonts w:hint="eastAsia" w:ascii="仿宋_GB2312" w:hAnsi="仿宋_GB2312" w:eastAsia="仿宋_GB2312" w:cs="仿宋_GB2312"/>
          <w:kern w:val="0"/>
          <w:sz w:val="32"/>
          <w:szCs w:val="32"/>
          <w:highlight w:val="none"/>
        </w:rPr>
        <w:t>。</w:t>
      </w:r>
    </w:p>
    <w:p>
      <w:pPr>
        <w:pStyle w:val="3"/>
        <w:ind w:firstLine="640" w:firstLineChars="200"/>
        <w:rPr>
          <w:rFonts w:hint="eastAsia"/>
          <w:lang w:val="en-US" w:eastAsia="zh-CN"/>
        </w:rPr>
      </w:pP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w:t>
      </w:r>
      <w:r>
        <w:rPr>
          <w:rFonts w:hint="eastAsia" w:ascii="仿宋_GB2312" w:hAnsi="仿宋_GB2312" w:eastAsia="仿宋_GB2312" w:cs="仿宋_GB2312"/>
          <w:kern w:val="0"/>
          <w:sz w:val="32"/>
          <w:szCs w:val="32"/>
          <w:highlight w:val="none"/>
        </w:rPr>
        <w:t>节能环保支出（类）污染防治（款）水体（项）:2</w:t>
      </w:r>
      <w:r>
        <w:rPr>
          <w:rFonts w:hint="eastAsia" w:ascii="仿宋_GB2312" w:hAnsi="宋体" w:eastAsia="仿宋_GB2312" w:cs="宋体"/>
          <w:kern w:val="0"/>
          <w:sz w:val="32"/>
          <w:szCs w:val="32"/>
          <w:highlight w:val="none"/>
        </w:rPr>
        <w:t>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年预算数为149.45万</w:t>
      </w:r>
      <w:r>
        <w:rPr>
          <w:rFonts w:hint="eastAsia" w:ascii="仿宋_GB2312" w:hAnsi="仿宋_GB2312" w:eastAsia="仿宋_GB2312" w:cs="仿宋_GB2312"/>
          <w:kern w:val="0"/>
          <w:sz w:val="32"/>
          <w:szCs w:val="32"/>
          <w:highlight w:val="none"/>
        </w:rPr>
        <w:t>元，比上年预算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宋体" w:eastAsia="仿宋_GB2312" w:cs="宋体"/>
          <w:kern w:val="0"/>
          <w:sz w:val="32"/>
          <w:szCs w:val="32"/>
          <w:highlight w:val="none"/>
        </w:rPr>
        <w:t>149.45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2024年未使用此功能科目，2025年使用此功能科目，污水费用由此科目进行支出。</w:t>
      </w:r>
    </w:p>
    <w:p>
      <w:pPr>
        <w:pStyle w:val="3"/>
        <w:ind w:firstLine="640" w:firstLineChars="200"/>
        <w:rPr>
          <w:rFonts w:hint="eastAsia"/>
          <w:lang w:val="en-US" w:eastAsia="zh-CN"/>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kern w:val="0"/>
          <w:sz w:val="32"/>
          <w:szCs w:val="32"/>
          <w:highlight w:val="none"/>
        </w:rPr>
        <w:t>资源勘探信息等支出（类）工业和信息产业监管（</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rPr>
        <w:t>）产业发展（</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年预算数为203.27万元，比上年预算</w:t>
      </w:r>
      <w:r>
        <w:rPr>
          <w:rFonts w:hint="eastAsia" w:ascii="仿宋_GB2312" w:hAnsi="仿宋_GB2312" w:eastAsia="仿宋_GB2312" w:cs="仿宋_GB2312"/>
          <w:kern w:val="0"/>
          <w:sz w:val="32"/>
          <w:szCs w:val="32"/>
          <w:highlight w:val="none"/>
          <w:lang w:eastAsia="zh-CN"/>
        </w:rPr>
        <w:t>增加203.27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2024年未使用此功能科目，2025年使用此功能科目，大丰工业园区运行经费用由此科目进行支出。</w:t>
      </w:r>
    </w:p>
    <w:p>
      <w:pPr>
        <w:spacing w:line="560" w:lineRule="exact"/>
        <w:ind w:firstLine="640" w:firstLineChars="200"/>
        <w:rPr>
          <w:rFonts w:hint="eastAsia"/>
          <w:highlight w:val="none"/>
        </w:rPr>
      </w:pP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资源勘探信息等支出（类）工业和信息产业监管（</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事业</w:t>
      </w:r>
      <w:r>
        <w:rPr>
          <w:rFonts w:hint="eastAsia" w:ascii="仿宋_GB2312" w:hAnsi="宋体" w:eastAsia="仿宋_GB2312" w:cs="宋体"/>
          <w:kern w:val="0"/>
          <w:sz w:val="32"/>
          <w:szCs w:val="32"/>
          <w:highlight w:val="none"/>
        </w:rPr>
        <w:t>运行（</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年预算数为298.24万元，比上年预算增加</w:t>
      </w:r>
      <w:r>
        <w:rPr>
          <w:rFonts w:hint="eastAsia" w:ascii="仿宋_GB2312" w:hAnsi="仿宋_GB2312" w:eastAsia="仿宋_GB2312" w:cs="仿宋_GB2312"/>
          <w:kern w:val="0"/>
          <w:sz w:val="32"/>
          <w:szCs w:val="32"/>
          <w:highlight w:val="none"/>
          <w:lang w:eastAsia="zh-CN"/>
        </w:rPr>
        <w:t>17.57</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eastAsia="zh-CN"/>
        </w:rPr>
        <w:t>6.26</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2025年工资标准提高，人员经费上涨</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kern w:val="0"/>
          <w:sz w:val="32"/>
          <w:szCs w:val="32"/>
          <w:highlight w:val="none"/>
        </w:rPr>
        <w:t>住房保障支出（类）住房改革支出（</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rPr>
        <w:t>）住房公积金（</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年预算数为30.84万元，比上年预算增加0.42万元，增长1.3</w:t>
      </w: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%，主要原因是：基数调整、</w:t>
      </w:r>
      <w:r>
        <w:rPr>
          <w:rFonts w:hint="eastAsia" w:ascii="仿宋" w:hAnsi="仿宋" w:eastAsia="仿宋" w:cs="仿宋"/>
          <w:color w:val="000000"/>
          <w:kern w:val="0"/>
          <w:sz w:val="31"/>
          <w:szCs w:val="31"/>
          <w:highlight w:val="none"/>
          <w:lang w:bidi="ar"/>
        </w:rPr>
        <w:t>基本工资调标、社保公积金调基数等费用增加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呼图壁县工业园区管理委员会2025年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CN"/>
        </w:rPr>
        <w:t>呼图壁县工业园区管理委员会2025年</w:t>
      </w:r>
      <w:r>
        <w:rPr>
          <w:rFonts w:hint="eastAsia" w:ascii="仿宋_GB2312" w:hAnsi="宋体" w:eastAsia="仿宋_GB2312" w:cs="宋体"/>
          <w:kern w:val="0"/>
          <w:sz w:val="32"/>
          <w:szCs w:val="32"/>
          <w:highlight w:val="none"/>
        </w:rPr>
        <w:t>一般公共预算基本支出395.95万元， 其中：</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人员经费360.3</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万</w:t>
      </w:r>
      <w:r>
        <w:rPr>
          <w:rFonts w:hint="eastAsia" w:ascii="仿宋_GB2312" w:hAnsi="宋体" w:eastAsia="仿宋_GB2312" w:cs="宋体"/>
          <w:kern w:val="0"/>
          <w:sz w:val="32"/>
          <w:szCs w:val="32"/>
          <w:highlight w:val="none"/>
          <w:lang w:val="en-US" w:eastAsia="zh-CN"/>
        </w:rPr>
        <w:t>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要包括：基本工资、津贴补贴、奖金、绩效工资、机关事业单位基本养老保险缴费、职工基本医疗保险缴费、公务员医疗补助缴费、其他社会保障缴费、住房公积金、生活补助。</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w:t>
      </w:r>
      <w:r>
        <w:rPr>
          <w:rFonts w:hint="default" w:ascii="仿宋_GB2312" w:hAnsi="宋体" w:eastAsia="仿宋_GB2312" w:cs="宋体"/>
          <w:kern w:val="0"/>
          <w:sz w:val="32"/>
          <w:szCs w:val="32"/>
          <w:highlight w:val="none"/>
          <w:lang w:val="en-US" w:eastAsia="zh-CN"/>
        </w:rPr>
        <w:t>35.62</w:t>
      </w:r>
      <w:r>
        <w:rPr>
          <w:rFonts w:hint="eastAsia" w:ascii="仿宋_GB2312" w:hAnsi="宋体" w:eastAsia="仿宋_GB2312" w:cs="宋体"/>
          <w:kern w:val="0"/>
          <w:sz w:val="32"/>
          <w:szCs w:val="32"/>
          <w:highlight w:val="none"/>
        </w:rPr>
        <w:t>万元，主要包括：办公费、印刷费、电费、邮电费、差旅费、劳务费、工会经费、公务用车运行维护费。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呼图壁县工业园区管理委员会2025年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工业园区运行经费（非定额）</w:t>
      </w:r>
    </w:p>
    <w:p>
      <w:pPr>
        <w:spacing w:line="60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呼发改价格【2019】11号《关于调整呼图壁县城镇供水价格及有关事项的通知》</w:t>
      </w:r>
    </w:p>
    <w:p>
      <w:pPr>
        <w:spacing w:line="60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203.27</w:t>
      </w:r>
      <w:r>
        <w:rPr>
          <w:rFonts w:hint="eastAsia" w:ascii="仿宋_GB2312" w:hAnsi="宋体" w:eastAsia="仿宋_GB2312" w:cs="宋体"/>
          <w:kern w:val="0"/>
          <w:sz w:val="32"/>
          <w:szCs w:val="32"/>
          <w:highlight w:val="none"/>
          <w:lang w:val="en-US" w:eastAsia="zh-CN"/>
        </w:rPr>
        <w:t>万元</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eastAsia="zh-CN"/>
        </w:rPr>
        <w:t>呼图壁县工业园区管理委员会</w:t>
      </w:r>
    </w:p>
    <w:p>
      <w:pPr>
        <w:spacing w:line="600" w:lineRule="exact"/>
        <w:ind w:firstLine="640" w:firstLineChars="200"/>
        <w:jc w:val="left"/>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按财政预算安排分配</w:t>
      </w:r>
      <w:r>
        <w:rPr>
          <w:rFonts w:hint="eastAsia" w:ascii="仿宋_GB2312" w:hAnsi="宋体" w:eastAsia="仿宋_GB2312" w:cs="宋体"/>
          <w:kern w:val="0"/>
          <w:sz w:val="32"/>
          <w:szCs w:val="32"/>
          <w:highlight w:val="none"/>
          <w:lang w:eastAsia="zh-CN"/>
        </w:rPr>
        <w:t>，2025年园区路灯电费10</w:t>
      </w:r>
      <w:r>
        <w:rPr>
          <w:rFonts w:hint="eastAsia" w:ascii="仿宋_GB2312" w:hAnsi="宋体" w:eastAsia="仿宋_GB2312" w:cs="宋体"/>
          <w:kern w:val="0"/>
          <w:sz w:val="32"/>
          <w:szCs w:val="32"/>
          <w:highlight w:val="none"/>
          <w:lang w:val="en-US" w:eastAsia="zh-CN"/>
        </w:rPr>
        <w:t>.00</w:t>
      </w:r>
      <w:r>
        <w:rPr>
          <w:rFonts w:hint="eastAsia" w:ascii="仿宋_GB2312" w:hAnsi="宋体" w:eastAsia="仿宋_GB2312" w:cs="宋体"/>
          <w:kern w:val="0"/>
          <w:sz w:val="32"/>
          <w:szCs w:val="32"/>
          <w:highlight w:val="none"/>
          <w:lang w:eastAsia="zh-CN"/>
        </w:rPr>
        <w:t>万元，园区内道路绿化养护共计金额123</w:t>
      </w:r>
      <w:r>
        <w:rPr>
          <w:rFonts w:hint="eastAsia" w:ascii="仿宋_GB2312" w:hAnsi="宋体" w:eastAsia="仿宋_GB2312" w:cs="宋体"/>
          <w:kern w:val="0"/>
          <w:sz w:val="32"/>
          <w:szCs w:val="32"/>
          <w:highlight w:val="none"/>
          <w:lang w:val="en-US" w:eastAsia="zh-CN"/>
        </w:rPr>
        <w:t>.00</w:t>
      </w:r>
      <w:r>
        <w:rPr>
          <w:rFonts w:hint="eastAsia" w:ascii="仿宋_GB2312" w:hAnsi="宋体" w:eastAsia="仿宋_GB2312" w:cs="宋体"/>
          <w:kern w:val="0"/>
          <w:sz w:val="32"/>
          <w:szCs w:val="32"/>
          <w:highlight w:val="none"/>
          <w:lang w:eastAsia="zh-CN"/>
        </w:rPr>
        <w:t>万元，园区绿化用水费70.2</w:t>
      </w: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lang w:eastAsia="zh-CN"/>
        </w:rPr>
        <w:t xml:space="preserve">万元。                    </w:t>
      </w:r>
    </w:p>
    <w:p>
      <w:pPr>
        <w:spacing w:line="600" w:lineRule="exact"/>
        <w:ind w:firstLine="640" w:firstLineChars="200"/>
        <w:rPr>
          <w:rFonts w:hint="eastAsia"/>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：大丰工业园区环保晓清污水处理费（非定额）</w:t>
      </w:r>
    </w:p>
    <w:p>
      <w:pPr>
        <w:spacing w:line="60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呼县政阅【2023】18号 呼图壁县第十八届人民政府第21次（2023年第6次）常务会议纪要                                             呼县政阅【2023】47号 呼图壁县第十八届人民政府第30次（2023年第15次）常务会议纪要</w:t>
      </w:r>
    </w:p>
    <w:p>
      <w:pPr>
        <w:spacing w:line="60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149.45万元</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eastAsia="zh-CN"/>
        </w:rPr>
        <w:t>呼图壁县工业园区管理委员会</w:t>
      </w:r>
    </w:p>
    <w:p>
      <w:pPr>
        <w:spacing w:line="600" w:lineRule="exact"/>
        <w:ind w:firstLine="640" w:firstLineChars="200"/>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按财政预算安排分配</w:t>
      </w:r>
      <w:r>
        <w:rPr>
          <w:rFonts w:hint="eastAsia" w:ascii="仿宋_GB2312" w:hAnsi="宋体" w:eastAsia="仿宋_GB2312" w:cs="宋体"/>
          <w:kern w:val="0"/>
          <w:sz w:val="32"/>
          <w:szCs w:val="32"/>
          <w:highlight w:val="none"/>
          <w:lang w:val="en-US" w:eastAsia="zh-CN"/>
        </w:rPr>
        <w:t>149.45万元</w:t>
      </w:r>
      <w:r>
        <w:rPr>
          <w:rFonts w:hint="eastAsia" w:ascii="仿宋_GB2312" w:hAnsi="宋体" w:eastAsia="仿宋_GB2312" w:cs="宋体"/>
          <w:kern w:val="0"/>
          <w:sz w:val="32"/>
          <w:szCs w:val="32"/>
          <w:highlight w:val="none"/>
          <w:lang w:eastAsia="zh-CN"/>
        </w:rPr>
        <w:t>，</w:t>
      </w:r>
      <w:r>
        <w:rPr>
          <w:rFonts w:hint="eastAsia" w:ascii="仿宋_GB2312" w:hAnsi="黑体" w:eastAsia="仿宋_GB2312"/>
          <w:sz w:val="32"/>
          <w:szCs w:val="32"/>
          <w:highlight w:val="none"/>
          <w:lang w:val="en-US" w:eastAsia="zh-CN"/>
        </w:rPr>
        <w:t>全部用于</w:t>
      </w:r>
      <w:r>
        <w:rPr>
          <w:rFonts w:hint="eastAsia" w:ascii="仿宋_GB2312" w:hAnsi="黑体" w:eastAsia="仿宋_GB2312"/>
          <w:sz w:val="32"/>
          <w:szCs w:val="32"/>
          <w:highlight w:val="none"/>
          <w:lang w:eastAsia="zh-CN"/>
        </w:rPr>
        <w:t>污水处理费用。</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12</w:t>
      </w:r>
      <w:r>
        <w:rPr>
          <w:rFonts w:hint="eastAsia" w:ascii="仿宋_GB2312" w:hAnsi="宋体" w:eastAsia="仿宋_GB2312" w:cs="宋体"/>
          <w:kern w:val="0"/>
          <w:sz w:val="32"/>
          <w:szCs w:val="32"/>
          <w:highlight w:val="none"/>
        </w:rPr>
        <w:t>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呼图壁县工业园区管理委员会2025年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呼图壁县工业园区管理委员会2025年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呼图壁县工业园区管理委员会2025年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eastAsia="zh-CN"/>
        </w:rPr>
        <w:t>“三公”经费数为</w:t>
      </w:r>
      <w:r>
        <w:rPr>
          <w:rFonts w:hint="eastAsia" w:ascii="仿宋_GB2312" w:hAnsi="仿宋_GB2312" w:eastAsia="仿宋_GB2312" w:cs="仿宋_GB2312"/>
          <w:color w:val="auto"/>
          <w:kern w:val="0"/>
          <w:sz w:val="32"/>
          <w:szCs w:val="32"/>
          <w:highlight w:val="none"/>
          <w:lang w:val="en-US" w:eastAsia="zh-CN"/>
        </w:rPr>
        <w:t>3.20</w:t>
      </w:r>
      <w:r>
        <w:rPr>
          <w:rFonts w:hint="eastAsia" w:ascii="仿宋_GB2312" w:hAnsi="仿宋_GB2312" w:eastAsia="仿宋_GB2312" w:cs="仿宋_GB2312"/>
          <w:color w:val="auto"/>
          <w:kern w:val="0"/>
          <w:sz w:val="32"/>
          <w:szCs w:val="32"/>
          <w:highlight w:val="none"/>
          <w:lang w:eastAsia="zh-CN"/>
        </w:rPr>
        <w:t>万元，其中：因公出国（境）费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万元，公务用车购置费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万元，公务用车运行费</w:t>
      </w:r>
      <w:r>
        <w:rPr>
          <w:rFonts w:hint="eastAsia" w:ascii="仿宋_GB2312" w:hAnsi="仿宋_GB2312" w:eastAsia="仿宋_GB2312" w:cs="仿宋_GB2312"/>
          <w:color w:val="auto"/>
          <w:kern w:val="0"/>
          <w:sz w:val="32"/>
          <w:szCs w:val="32"/>
          <w:highlight w:val="none"/>
          <w:lang w:val="en-US" w:eastAsia="zh-CN"/>
        </w:rPr>
        <w:t>3.20</w:t>
      </w:r>
      <w:r>
        <w:rPr>
          <w:rFonts w:hint="eastAsia" w:ascii="仿宋_GB2312" w:hAnsi="仿宋_GB2312" w:eastAsia="仿宋_GB2312" w:cs="仿宋_GB2312"/>
          <w:color w:val="auto"/>
          <w:kern w:val="0"/>
          <w:sz w:val="32"/>
          <w:szCs w:val="32"/>
          <w:highlight w:val="none"/>
          <w:lang w:eastAsia="zh-CN"/>
        </w:rPr>
        <w:t>万元，公务接待费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lang w:eastAsia="zh-CN"/>
        </w:rPr>
        <w:t>“三公”经费比上年</w:t>
      </w:r>
      <w:r>
        <w:rPr>
          <w:rFonts w:hint="eastAsia" w:ascii="仿宋_GB2312" w:hAnsi="仿宋_GB2312" w:eastAsia="仿宋_GB2312" w:cs="仿宋_GB2312"/>
          <w:color w:val="auto"/>
          <w:kern w:val="0"/>
          <w:sz w:val="32"/>
          <w:szCs w:val="32"/>
          <w:highlight w:val="none"/>
          <w:lang w:eastAsia="zh-Hans"/>
        </w:rPr>
        <w:t>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1.60</w:t>
      </w:r>
      <w:r>
        <w:rPr>
          <w:rFonts w:hint="eastAsia" w:ascii="仿宋_GB2312" w:hAnsi="仿宋_GB2312" w:eastAsia="仿宋_GB2312" w:cs="仿宋_GB2312"/>
          <w:color w:val="auto"/>
          <w:kern w:val="0"/>
          <w:sz w:val="32"/>
          <w:szCs w:val="32"/>
          <w:highlight w:val="none"/>
          <w:lang w:eastAsia="zh-CN"/>
        </w:rPr>
        <w:t>万元，下降</w:t>
      </w:r>
      <w:r>
        <w:rPr>
          <w:rFonts w:hint="eastAsia" w:ascii="仿宋_GB2312" w:hAnsi="仿宋_GB2312" w:eastAsia="仿宋_GB2312" w:cs="仿宋_GB2312"/>
          <w:color w:val="auto"/>
          <w:kern w:val="0"/>
          <w:sz w:val="32"/>
          <w:szCs w:val="32"/>
          <w:highlight w:val="none"/>
          <w:lang w:val="en-US" w:eastAsia="zh-CN"/>
        </w:rPr>
        <w:t>33.33</w:t>
      </w:r>
      <w:r>
        <w:rPr>
          <w:rFonts w:hint="eastAsia" w:ascii="仿宋_GB2312" w:hAnsi="仿宋_GB2312" w:eastAsia="仿宋_GB2312" w:cs="仿宋_GB2312"/>
          <w:color w:val="auto"/>
          <w:kern w:val="0"/>
          <w:sz w:val="32"/>
          <w:szCs w:val="32"/>
          <w:highlight w:val="none"/>
          <w:lang w:eastAsia="zh-CN"/>
        </w:rPr>
        <w:t>%，其中：因公出国（境）费增加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2024年、2025年均未安排因公出国（境）费</w:t>
      </w:r>
      <w:r>
        <w:rPr>
          <w:rFonts w:hint="eastAsia" w:ascii="仿宋_GB2312" w:hAnsi="仿宋_GB2312" w:eastAsia="仿宋_GB2312" w:cs="仿宋_GB2312"/>
          <w:color w:val="auto"/>
          <w:kern w:val="0"/>
          <w:sz w:val="32"/>
          <w:szCs w:val="32"/>
          <w:highlight w:val="none"/>
          <w:lang w:eastAsia="zh-CN"/>
        </w:rPr>
        <w:t>；公务用车购置费增加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2024年、2025年均未安排</w:t>
      </w:r>
      <w:r>
        <w:rPr>
          <w:rFonts w:hint="eastAsia" w:ascii="仿宋_GB2312" w:hAnsi="仿宋_GB2312" w:eastAsia="仿宋_GB2312" w:cs="仿宋_GB2312"/>
          <w:color w:val="auto"/>
          <w:kern w:val="0"/>
          <w:sz w:val="32"/>
          <w:szCs w:val="32"/>
          <w:highlight w:val="none"/>
          <w:lang w:eastAsia="zh-CN"/>
        </w:rPr>
        <w:t>公务用车购置费；公务用车运行费减少</w:t>
      </w:r>
      <w:r>
        <w:rPr>
          <w:rFonts w:hint="eastAsia" w:ascii="仿宋_GB2312" w:hAnsi="仿宋_GB2312" w:eastAsia="仿宋_GB2312" w:cs="仿宋_GB2312"/>
          <w:color w:val="auto"/>
          <w:kern w:val="0"/>
          <w:sz w:val="32"/>
          <w:szCs w:val="32"/>
          <w:highlight w:val="none"/>
          <w:lang w:val="en-US" w:eastAsia="zh-CN"/>
        </w:rPr>
        <w:t>1.60</w:t>
      </w:r>
      <w:r>
        <w:rPr>
          <w:rFonts w:hint="eastAsia" w:ascii="仿宋_GB2312" w:hAnsi="仿宋_GB2312" w:eastAsia="仿宋_GB2312" w:cs="仿宋_GB2312"/>
          <w:color w:val="auto"/>
          <w:kern w:val="0"/>
          <w:sz w:val="32"/>
          <w:szCs w:val="32"/>
          <w:highlight w:val="none"/>
          <w:lang w:eastAsia="zh-CN"/>
        </w:rPr>
        <w:t xml:space="preserve"> 万元，下降</w:t>
      </w:r>
      <w:r>
        <w:rPr>
          <w:rFonts w:hint="eastAsia" w:ascii="仿宋_GB2312" w:hAnsi="仿宋_GB2312" w:eastAsia="仿宋_GB2312" w:cs="仿宋_GB2312"/>
          <w:color w:val="auto"/>
          <w:kern w:val="0"/>
          <w:sz w:val="32"/>
          <w:szCs w:val="32"/>
          <w:highlight w:val="none"/>
          <w:lang w:val="en-US" w:eastAsia="zh-CN"/>
        </w:rPr>
        <w:t>33.33</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车辆实有数减少</w:t>
      </w:r>
      <w:r>
        <w:rPr>
          <w:rFonts w:hint="eastAsia" w:ascii="仿宋_GB2312" w:hAnsi="仿宋_GB2312" w:eastAsia="仿宋_GB2312" w:cs="仿宋_GB2312"/>
          <w:color w:val="auto"/>
          <w:kern w:val="0"/>
          <w:sz w:val="32"/>
          <w:szCs w:val="32"/>
          <w:highlight w:val="none"/>
          <w:lang w:eastAsia="zh-CN"/>
        </w:rPr>
        <w:t>；公务接待费增加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2024年、2025年均未安排</w:t>
      </w:r>
      <w:r>
        <w:rPr>
          <w:rFonts w:hint="eastAsia" w:ascii="仿宋_GB2312" w:hAnsi="仿宋_GB2312" w:eastAsia="仿宋_GB2312" w:cs="仿宋_GB2312"/>
          <w:color w:val="auto"/>
          <w:kern w:val="0"/>
          <w:sz w:val="32"/>
          <w:szCs w:val="32"/>
          <w:highlight w:val="none"/>
          <w:lang w:eastAsia="zh-CN"/>
        </w:rPr>
        <w:t>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呼图壁县工业园区管理委员会2025年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lang w:val="en-US" w:eastAsia="zh-CN"/>
        </w:rPr>
        <w:t>上年结转结余14258.13万元，包括：财政拨款14258.13万元，非财政拨款0万元，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1.工业园区2024年为民办实事5.00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主要用于：访汇聚困难群众及村基础设施修缮更新“村两委”办公设施等。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2.呼图壁县工业园区供水、排水补短板项目1400.00万元，主要用于：东区、西区、中区基础设施供排水设施维修查漏补缺等建设。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default" w:ascii="仿宋_GB2312" w:hAnsi="仿宋_GB2312" w:eastAsia="仿宋_GB2312" w:cs="仿宋_GB2312"/>
          <w:color w:val="auto"/>
          <w:kern w:val="0"/>
          <w:sz w:val="32"/>
          <w:szCs w:val="32"/>
          <w:highlight w:val="none"/>
          <w:lang w:val="en-US" w:eastAsia="zh-CN"/>
        </w:rPr>
        <w:t>呼图壁县纺织服装产业园蒸汽管线建设项目</w:t>
      </w:r>
      <w:r>
        <w:rPr>
          <w:rFonts w:hint="eastAsia" w:ascii="仿宋_GB2312" w:hAnsi="仿宋_GB2312" w:eastAsia="仿宋_GB2312" w:cs="仿宋_GB2312"/>
          <w:color w:val="auto"/>
          <w:kern w:val="0"/>
          <w:sz w:val="32"/>
          <w:szCs w:val="32"/>
          <w:highlight w:val="none"/>
          <w:lang w:val="en-US" w:eastAsia="zh-CN"/>
        </w:rPr>
        <w:t>853.13万元，主要用于：五工台</w:t>
      </w:r>
      <w:r>
        <w:rPr>
          <w:rFonts w:hint="default" w:ascii="仿宋_GB2312" w:hAnsi="仿宋_GB2312" w:eastAsia="仿宋_GB2312" w:cs="仿宋_GB2312"/>
          <w:color w:val="auto"/>
          <w:kern w:val="0"/>
          <w:sz w:val="32"/>
          <w:szCs w:val="32"/>
          <w:highlight w:val="none"/>
          <w:lang w:val="en-US" w:eastAsia="zh-CN"/>
        </w:rPr>
        <w:t>纺织服装产业园</w:t>
      </w:r>
      <w:r>
        <w:rPr>
          <w:rFonts w:hint="eastAsia" w:ascii="仿宋_GB2312" w:hAnsi="仿宋_GB2312" w:eastAsia="仿宋_GB2312" w:cs="仿宋_GB2312"/>
          <w:color w:val="auto"/>
          <w:kern w:val="0"/>
          <w:sz w:val="32"/>
          <w:szCs w:val="32"/>
          <w:highlight w:val="none"/>
          <w:lang w:val="en-US" w:eastAsia="zh-CN"/>
        </w:rPr>
        <w:t>内蒸汽管线建设。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default" w:ascii="仿宋_GB2312" w:hAnsi="仿宋_GB2312" w:eastAsia="仿宋_GB2312" w:cs="仿宋_GB2312"/>
          <w:color w:val="auto"/>
          <w:kern w:val="0"/>
          <w:sz w:val="32"/>
          <w:szCs w:val="32"/>
          <w:highlight w:val="none"/>
          <w:lang w:val="en-US" w:eastAsia="zh-CN"/>
        </w:rPr>
        <w:t>呼图壁县工业园区化工区污水处理厂扩建项目</w:t>
      </w:r>
      <w:r>
        <w:rPr>
          <w:rFonts w:hint="eastAsia" w:ascii="仿宋_GB2312" w:hAnsi="仿宋_GB2312" w:eastAsia="仿宋_GB2312" w:cs="仿宋_GB2312"/>
          <w:color w:val="auto"/>
          <w:kern w:val="0"/>
          <w:sz w:val="32"/>
          <w:szCs w:val="32"/>
          <w:highlight w:val="none"/>
          <w:lang w:val="en-US" w:eastAsia="zh-CN"/>
        </w:rPr>
        <w:t>12000.00万元，主要用于：西区化工区内污水处理厂后续扩建建设。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呼图壁县工业园区管理委员会2025年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35.62</w:t>
      </w:r>
      <w:r>
        <w:rPr>
          <w:rFonts w:hint="eastAsia" w:ascii="仿宋_GB2312" w:hAnsi="仿宋_GB2312" w:eastAsia="仿宋_GB2312" w:cs="仿宋_GB2312"/>
          <w:color w:val="auto"/>
          <w:kern w:val="0"/>
          <w:sz w:val="32"/>
          <w:szCs w:val="32"/>
          <w:highlight w:val="none"/>
        </w:rPr>
        <w:t>万元，比上年预算增加22.14万元，增长1</w:t>
      </w:r>
      <w:r>
        <w:rPr>
          <w:rFonts w:hint="eastAsia" w:ascii="仿宋_GB2312" w:hAnsi="仿宋_GB2312" w:eastAsia="仿宋_GB2312" w:cs="仿宋_GB2312"/>
          <w:color w:val="auto"/>
          <w:kern w:val="0"/>
          <w:sz w:val="32"/>
          <w:szCs w:val="32"/>
          <w:highlight w:val="none"/>
          <w:lang w:val="en-US" w:eastAsia="zh-CN"/>
        </w:rPr>
        <w:t>64.24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本年将劳务派遣人员工资放入运行经费中</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呼图壁县工业园区管理委员会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27.32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14.12</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13.20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呼图壁县工业园区管理委员会</w:t>
      </w:r>
      <w:r>
        <w:rPr>
          <w:rFonts w:hint="eastAsia" w:ascii="仿宋_GB2312" w:hAnsi="仿宋_GB2312" w:eastAsia="仿宋_GB2312" w:cs="仿宋_GB2312"/>
          <w:color w:val="auto"/>
          <w:kern w:val="0"/>
          <w:sz w:val="32"/>
          <w:szCs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27.32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小微</w:t>
      </w:r>
      <w:r>
        <w:rPr>
          <w:rFonts w:hint="eastAsia" w:ascii="仿宋_GB2312" w:hAnsi="仿宋_GB2312" w:eastAsia="仿宋_GB2312" w:cs="仿宋_GB2312"/>
          <w:color w:val="auto"/>
          <w:kern w:val="0"/>
          <w:sz w:val="32"/>
          <w:szCs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27.32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呼图壁县工业园区管理委员会</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辆，价值1165</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78万元；其中：一般公务用车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32.48</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1133.30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63.96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4.其他资产价值106</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8</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5台，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2025年部门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整体预算绩效目标1个，涉及预算金额15743.16万元；当年预算安排项目共3个，其中: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val="en-US" w:eastAsia="zh-CN"/>
        </w:rPr>
        <w:t>项目涉及预算金额352.72万元；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涉及预算金额556.06万元。具体情况见下表</w:t>
      </w:r>
      <w:bookmarkEnd w:id="0"/>
      <w:r>
        <w:rPr>
          <w:rFonts w:hint="eastAsia" w:ascii="仿宋_GB2312" w:hAnsi="仿宋_GB2312" w:eastAsia="仿宋_GB2312" w:cs="仿宋_GB2312"/>
          <w:color w:val="auto"/>
          <w:kern w:val="0"/>
          <w:sz w:val="32"/>
          <w:szCs w:val="32"/>
          <w:highlight w:val="none"/>
          <w:lang w:val="en-US" w:eastAsia="zh-CN"/>
        </w:rPr>
        <w:t>：</w:t>
      </w:r>
    </w:p>
    <w:tbl>
      <w:tblPr>
        <w:tblStyle w:val="8"/>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呼图壁县工业园区管理委员会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崔丽娜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17799597558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工业园区将继续围绕“九大产业集群”建设，以“重点行业攻坚、项目投资提量、市场主体扩规、质量效益升级”为导向，充分发挥园区先锋队、排头兵作用，切实担当经济稳增长“压舱石”，全面推动工业经济实现总量倍增、质效并进，对企业开展安全培训，吸引固定资产投资达到10亿元以上，进行招商引资，招商引资达到208亿元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15,006.80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736.36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开展安全教育培训次数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工业园区2024年工作总结和2025年工作计划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吸引固定资产投资数量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&gt;=10亿元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工业园区2024年工作总结和2025年工作计划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开展专家查隐患轮次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工业园区2024年工作总结和2025年工作计划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吸引固定资产投资的项目开工及时率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工业园区2024年工作总结和2025年工作计划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招商引资合格率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工业园区2024年工作总结和2025年工作计划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03" w:tblpY="515"/>
        <w:tblOverlap w:val="never"/>
        <w:tblW w:w="94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284"/>
        <w:gridCol w:w="966"/>
        <w:gridCol w:w="1266"/>
        <w:gridCol w:w="798"/>
        <w:gridCol w:w="955"/>
        <w:gridCol w:w="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487"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87"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7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呼图壁县工业园区管理委员会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5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大丰工业园区晓清污水处理费项目</w:t>
            </w:r>
          </w:p>
        </w:tc>
        <w:tc>
          <w:tcPr>
            <w:tcW w:w="206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5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宋瑞杰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149.45</w:t>
            </w:r>
          </w:p>
        </w:tc>
        <w:tc>
          <w:tcPr>
            <w:tcW w:w="96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149.45</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5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76" w:type="dxa"/>
            <w:gridSpan w:val="7"/>
            <w:tcBorders>
              <w:top w:val="single" w:color="000000" w:sz="4" w:space="0"/>
              <w:left w:val="nil"/>
              <w:bottom w:val="single" w:color="000000" w:sz="4" w:space="0"/>
              <w:right w:val="single" w:color="000000" w:sz="4" w:space="0"/>
            </w:tcBorders>
            <w:noWrap w:val="0"/>
            <w:vAlign w:val="top"/>
          </w:tcPr>
          <w:p>
            <w:pPr>
              <w:jc w:val="left"/>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highlight w:val="none"/>
                <w:u w:val="none"/>
                <w:lang w:eastAsia="zh-CN"/>
              </w:rPr>
              <w:t>本项目拟投入149.45（项目预算）万元用于污水处理厂内容，通过项目的实施，减少污水排放对自然水体的污染，改善水生态环境，增加生态用水，促进生态系统的恢复和稳定。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每日污水处理量</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&gt;=2万立方米</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&gt;=2万立方米</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污水处理达标率（%）</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&gt;=95%</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&gt;=95%</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污水处理及时率</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w:t>
            </w:r>
            <w:r>
              <w:rPr>
                <w:rFonts w:hint="eastAsia" w:ascii="宋体" w:hAnsi="宋体" w:cs="宋体"/>
                <w:i w:val="0"/>
                <w:iCs w:val="0"/>
                <w:color w:val="000000"/>
                <w:kern w:val="0"/>
                <w:sz w:val="18"/>
                <w:szCs w:val="18"/>
                <w:highlight w:val="none"/>
                <w:u w:val="none"/>
                <w:lang w:val="en-US" w:eastAsia="zh-CN" w:bidi="ar"/>
              </w:rPr>
              <w:t xml:space="preserve">  </w:t>
            </w:r>
            <w:r>
              <w:rPr>
                <w:rFonts w:hint="eastAsia" w:ascii="宋体" w:hAnsi="宋体" w:eastAsia="宋体" w:cs="宋体"/>
                <w:i w:val="0"/>
                <w:iCs w:val="0"/>
                <w:color w:val="000000"/>
                <w:kern w:val="0"/>
                <w:sz w:val="18"/>
                <w:szCs w:val="18"/>
                <w:highlight w:val="none"/>
                <w:u w:val="none"/>
                <w:lang w:val="en-US" w:eastAsia="zh-CN" w:bidi="ar"/>
              </w:rPr>
              <w:t>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设备运行维护费用</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&lt;=80万元</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=75万元</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药剂费用</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&lt;=30万元</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=25万元</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人员工资费用</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&lt;=39.45万元</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&lt;=39.45万元</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改善园区生态环境</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有效改善</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有效改善</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新材料产业园企业满意度</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&gt;=95%</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8"/>
        <w:tblpPr w:leftFromText="180" w:rightFromText="180" w:vertAnchor="text" w:horzAnchor="page" w:tblpX="1103" w:tblpY="515"/>
        <w:tblOverlap w:val="never"/>
        <w:tblW w:w="9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80"/>
        <w:gridCol w:w="1719"/>
        <w:gridCol w:w="958"/>
        <w:gridCol w:w="766"/>
        <w:gridCol w:w="798"/>
        <w:gridCol w:w="955"/>
        <w:gridCol w:w="10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64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4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3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呼图壁县工业园区管理委员会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0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工业园区运行经费（非定额）</w:t>
            </w:r>
          </w:p>
        </w:tc>
        <w:tc>
          <w:tcPr>
            <w:tcW w:w="156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宋瑞杰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203.27</w:t>
            </w:r>
          </w:p>
        </w:tc>
        <w:tc>
          <w:tcPr>
            <w:tcW w:w="95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203.27</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34"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工业园区分为东、中、西三个区，总用地面积23.91平方公里，为维持2024年园区各项工作正常开展、服务好园区企业，在日常美化、亮化、绿化方面持续做好维护提升工作，当好企业的“知心人”、“店小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负责园区个数</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&gt;=3个</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8</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按照完成比例赋分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auto"/>
                <w:sz w:val="18"/>
                <w:szCs w:val="18"/>
                <w:highlight w:val="none"/>
                <w:u w:val="none"/>
              </w:rPr>
            </w:pPr>
            <w:bookmarkStart w:id="1" w:name="_GoBack" w:colFirst="7" w:colLast="8"/>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清雪达标率</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行业标准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cs="宋体"/>
                <w:i w:val="0"/>
                <w:iCs w:val="0"/>
                <w:color w:val="auto"/>
                <w:kern w:val="0"/>
                <w:sz w:val="18"/>
                <w:szCs w:val="18"/>
                <w:highlight w:val="none"/>
                <w:u w:val="none"/>
                <w:shd w:val="clear" w:color="auto" w:fill="auto"/>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auto"/>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绿化达标率</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按照完成比例赋分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auto"/>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照明达标率</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cs="宋体"/>
                <w:i w:val="0"/>
                <w:iCs w:val="0"/>
                <w:color w:val="auto"/>
                <w:kern w:val="0"/>
                <w:sz w:val="18"/>
                <w:szCs w:val="18"/>
                <w:highlight w:val="none"/>
                <w:u w:val="none"/>
                <w:shd w:val="clear" w:color="auto" w:fill="auto"/>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活动结束时间</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2025年12月31日</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按照完成比例赋分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工作资料</w:t>
            </w:r>
          </w:p>
        </w:tc>
      </w:tr>
      <w:bookmarkEnd w:id="1"/>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w:t>
            </w:r>
            <w:r>
              <w:rPr>
                <w:rFonts w:hint="eastAsia" w:ascii="宋体" w:hAnsi="宋体" w:cs="宋体"/>
                <w:i w:val="0"/>
                <w:iCs w:val="0"/>
                <w:color w:val="auto"/>
                <w:kern w:val="0"/>
                <w:sz w:val="18"/>
                <w:szCs w:val="18"/>
                <w:highlight w:val="none"/>
                <w:u w:val="none"/>
                <w:lang w:val="en-US" w:eastAsia="zh-CN" w:bidi="ar"/>
              </w:rPr>
              <w:t xml:space="preserve">  </w:t>
            </w:r>
            <w:r>
              <w:rPr>
                <w:rFonts w:hint="eastAsia" w:ascii="宋体" w:hAnsi="宋体" w:eastAsia="宋体" w:cs="宋体"/>
                <w:i w:val="0"/>
                <w:iCs w:val="0"/>
                <w:color w:val="auto"/>
                <w:kern w:val="0"/>
                <w:sz w:val="18"/>
                <w:szCs w:val="18"/>
                <w:highlight w:val="none"/>
                <w:u w:val="none"/>
                <w:lang w:val="en-US" w:eastAsia="zh-CN" w:bidi="ar"/>
              </w:rPr>
              <w:t>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项目成本控制率</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&lt;=100%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行业标准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20</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按照完成比例赋分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提升园区企业人居环境</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逐步提升</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20</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直接赋分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企业满意度</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&gt;=95%</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10</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满意度赋分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shd w:val="clear" w:color="auto" w:fill="auto"/>
                <w:lang w:val="en-US" w:eastAsia="zh-CN" w:bidi="ar"/>
              </w:rPr>
            </w:pPr>
            <w:r>
              <w:rPr>
                <w:rFonts w:hint="eastAsia" w:ascii="宋体" w:hAnsi="宋体" w:eastAsia="宋体" w:cs="宋体"/>
                <w:i w:val="0"/>
                <w:iCs w:val="0"/>
                <w:color w:val="auto"/>
                <w:kern w:val="0"/>
                <w:sz w:val="18"/>
                <w:szCs w:val="18"/>
                <w:highlight w:val="none"/>
                <w:u w:val="none"/>
                <w:shd w:val="clear" w:color="auto" w:fill="auto"/>
                <w:lang w:val="en-US" w:eastAsia="zh-CN" w:bidi="ar"/>
              </w:rPr>
              <w:t>工作资料</w:t>
            </w:r>
          </w:p>
        </w:tc>
      </w:tr>
    </w:tbl>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微软雅黑" w:eastAsia="仿宋"/>
          <w:sz w:val="28"/>
          <w:szCs w:val="28"/>
          <w:highlight w:val="none"/>
        </w:rPr>
      </w:pPr>
      <w:r>
        <w:rPr>
          <w:rFonts w:hint="eastAsia" w:ascii="仿宋" w:hAnsi="仿宋" w:eastAsia="仿宋" w:cs="仿宋"/>
          <w:color w:val="auto"/>
          <w:kern w:val="0"/>
          <w:sz w:val="32"/>
          <w:szCs w:val="32"/>
          <w:highlight w:val="none"/>
          <w:lang w:val="en-US" w:eastAsia="zh-CN"/>
        </w:rPr>
        <w:t>本部门</w:t>
      </w:r>
      <w:r>
        <w:rPr>
          <w:rFonts w:hint="eastAsia" w:ascii="仿宋" w:hAnsi="仿宋" w:eastAsia="仿宋" w:cs="仿宋"/>
          <w:color w:val="auto"/>
          <w:kern w:val="0"/>
          <w:sz w:val="32"/>
          <w:szCs w:val="32"/>
          <w:highlight w:val="none"/>
          <w:lang w:val="en-US" w:eastAsia="zh-Hans"/>
        </w:rPr>
        <w:t>非财政拨款项目</w:t>
      </w:r>
      <w:r>
        <w:rPr>
          <w:rFonts w:hint="eastAsia" w:ascii="仿宋" w:hAnsi="仿宋" w:eastAsia="仿宋" w:cs="仿宋"/>
          <w:color w:val="auto"/>
          <w:kern w:val="0"/>
          <w:sz w:val="32"/>
          <w:szCs w:val="32"/>
          <w:highlight w:val="none"/>
          <w:lang w:val="en-US" w:eastAsia="zh-CN"/>
        </w:rPr>
        <w:t>1个，涉及预算金额556.06万元，</w:t>
      </w:r>
      <w:r>
        <w:rPr>
          <w:rFonts w:hint="eastAsia" w:ascii="仿宋" w:hAnsi="仿宋" w:eastAsia="仿宋" w:cs="仿宋"/>
          <w:sz w:val="32"/>
          <w:szCs w:val="32"/>
          <w:highlight w:val="none"/>
          <w:lang w:eastAsia="zh-CN"/>
        </w:rPr>
        <w:t>主要原因是用于援疆指挥部呼图壁县电子商务科技产业园项目支出，</w:t>
      </w:r>
      <w:r>
        <w:rPr>
          <w:rFonts w:hint="eastAsia" w:ascii="仿宋" w:hAnsi="仿宋" w:eastAsia="仿宋" w:cs="仿宋"/>
          <w:sz w:val="32"/>
          <w:szCs w:val="32"/>
          <w:highlight w:val="none"/>
        </w:rPr>
        <w:t>不公开绩效目标表。</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kern w:val="0"/>
          <w:sz w:val="32"/>
          <w:szCs w:val="32"/>
          <w:highlight w:val="none"/>
        </w:rPr>
      </w:pPr>
    </w:p>
    <w:p>
      <w:pPr>
        <w:rPr>
          <w:rFonts w:hint="eastAsia"/>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呼图壁县工业园区管理委员会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8414F6"/>
    <w:rsid w:val="00E41A1F"/>
    <w:rsid w:val="012A3378"/>
    <w:rsid w:val="017B2F92"/>
    <w:rsid w:val="020E507E"/>
    <w:rsid w:val="02510BDC"/>
    <w:rsid w:val="02732F8E"/>
    <w:rsid w:val="02CB7F49"/>
    <w:rsid w:val="037800D1"/>
    <w:rsid w:val="04267087"/>
    <w:rsid w:val="04267B2D"/>
    <w:rsid w:val="044C330C"/>
    <w:rsid w:val="05397FD9"/>
    <w:rsid w:val="057A5F58"/>
    <w:rsid w:val="05CA273A"/>
    <w:rsid w:val="05E73DD1"/>
    <w:rsid w:val="070E6657"/>
    <w:rsid w:val="080E3E4F"/>
    <w:rsid w:val="084451C2"/>
    <w:rsid w:val="08450B28"/>
    <w:rsid w:val="08762705"/>
    <w:rsid w:val="088F5575"/>
    <w:rsid w:val="08E81855"/>
    <w:rsid w:val="097F5071"/>
    <w:rsid w:val="0A4168EC"/>
    <w:rsid w:val="0AD672A7"/>
    <w:rsid w:val="0B247F12"/>
    <w:rsid w:val="0B7C3034"/>
    <w:rsid w:val="0B841FFD"/>
    <w:rsid w:val="0BD56A2F"/>
    <w:rsid w:val="0C0A3890"/>
    <w:rsid w:val="0CD20198"/>
    <w:rsid w:val="0CEC568C"/>
    <w:rsid w:val="0D6E5FD0"/>
    <w:rsid w:val="0E320E7D"/>
    <w:rsid w:val="0E9208E7"/>
    <w:rsid w:val="10587512"/>
    <w:rsid w:val="105D0E37"/>
    <w:rsid w:val="10916BDA"/>
    <w:rsid w:val="109E4632"/>
    <w:rsid w:val="11036B00"/>
    <w:rsid w:val="11301FEB"/>
    <w:rsid w:val="11681507"/>
    <w:rsid w:val="11B6451D"/>
    <w:rsid w:val="121E62E8"/>
    <w:rsid w:val="137D0C93"/>
    <w:rsid w:val="142750D5"/>
    <w:rsid w:val="14F64CB4"/>
    <w:rsid w:val="1697741D"/>
    <w:rsid w:val="184945E2"/>
    <w:rsid w:val="18542384"/>
    <w:rsid w:val="19A215AC"/>
    <w:rsid w:val="1A132B78"/>
    <w:rsid w:val="1A5375E3"/>
    <w:rsid w:val="1AC437A4"/>
    <w:rsid w:val="1B153D26"/>
    <w:rsid w:val="1BEB54C3"/>
    <w:rsid w:val="1C3C6084"/>
    <w:rsid w:val="1C8C02F2"/>
    <w:rsid w:val="1D3E1AFE"/>
    <w:rsid w:val="1E6432D4"/>
    <w:rsid w:val="1E89232D"/>
    <w:rsid w:val="1EB61656"/>
    <w:rsid w:val="1FAA6A00"/>
    <w:rsid w:val="203E1D89"/>
    <w:rsid w:val="20407429"/>
    <w:rsid w:val="20CF3CE4"/>
    <w:rsid w:val="20DD55C0"/>
    <w:rsid w:val="220E4F56"/>
    <w:rsid w:val="22922CB8"/>
    <w:rsid w:val="22CE5FD7"/>
    <w:rsid w:val="22DB78DD"/>
    <w:rsid w:val="2315535E"/>
    <w:rsid w:val="244D65B8"/>
    <w:rsid w:val="2492221D"/>
    <w:rsid w:val="24B42D8E"/>
    <w:rsid w:val="2505174B"/>
    <w:rsid w:val="250855AF"/>
    <w:rsid w:val="258B383C"/>
    <w:rsid w:val="263B7010"/>
    <w:rsid w:val="26B4291F"/>
    <w:rsid w:val="26BD282A"/>
    <w:rsid w:val="26E769FA"/>
    <w:rsid w:val="286D65BC"/>
    <w:rsid w:val="28D9041B"/>
    <w:rsid w:val="293B2E83"/>
    <w:rsid w:val="2AFC4894"/>
    <w:rsid w:val="2B3A05DE"/>
    <w:rsid w:val="2B6901C6"/>
    <w:rsid w:val="2D23171B"/>
    <w:rsid w:val="2D480265"/>
    <w:rsid w:val="2D801913"/>
    <w:rsid w:val="2D977453"/>
    <w:rsid w:val="2DF90BCB"/>
    <w:rsid w:val="2E2943BA"/>
    <w:rsid w:val="2EF22236"/>
    <w:rsid w:val="2FED29FE"/>
    <w:rsid w:val="300E1D4A"/>
    <w:rsid w:val="30546BE3"/>
    <w:rsid w:val="30764C96"/>
    <w:rsid w:val="30937BB5"/>
    <w:rsid w:val="309B51CA"/>
    <w:rsid w:val="30B05F05"/>
    <w:rsid w:val="31083618"/>
    <w:rsid w:val="310F3573"/>
    <w:rsid w:val="31941458"/>
    <w:rsid w:val="323946FA"/>
    <w:rsid w:val="32D560F7"/>
    <w:rsid w:val="33344D9F"/>
    <w:rsid w:val="33A76F60"/>
    <w:rsid w:val="33E0452E"/>
    <w:rsid w:val="341E7629"/>
    <w:rsid w:val="35F117C8"/>
    <w:rsid w:val="36175E82"/>
    <w:rsid w:val="38284F1B"/>
    <w:rsid w:val="39B0409D"/>
    <w:rsid w:val="39FC7DAF"/>
    <w:rsid w:val="3A376DAC"/>
    <w:rsid w:val="3BB27151"/>
    <w:rsid w:val="3BB675BA"/>
    <w:rsid w:val="3BE45FB7"/>
    <w:rsid w:val="3BF21AC7"/>
    <w:rsid w:val="3C013037"/>
    <w:rsid w:val="3C15041F"/>
    <w:rsid w:val="3FDF4D23"/>
    <w:rsid w:val="40D31DF5"/>
    <w:rsid w:val="41083B3B"/>
    <w:rsid w:val="41270465"/>
    <w:rsid w:val="412874F2"/>
    <w:rsid w:val="41DB2FFE"/>
    <w:rsid w:val="42F779C3"/>
    <w:rsid w:val="43502DA9"/>
    <w:rsid w:val="43C26223"/>
    <w:rsid w:val="43D8307E"/>
    <w:rsid w:val="43E5034E"/>
    <w:rsid w:val="44507CD3"/>
    <w:rsid w:val="44AF5181"/>
    <w:rsid w:val="455A018C"/>
    <w:rsid w:val="46214691"/>
    <w:rsid w:val="46377DB5"/>
    <w:rsid w:val="46554BF1"/>
    <w:rsid w:val="46B02CAB"/>
    <w:rsid w:val="46CB6692"/>
    <w:rsid w:val="46CE3131"/>
    <w:rsid w:val="493059DD"/>
    <w:rsid w:val="494F7907"/>
    <w:rsid w:val="49E97006"/>
    <w:rsid w:val="4ADF73DC"/>
    <w:rsid w:val="4B1B26BD"/>
    <w:rsid w:val="4B315A3D"/>
    <w:rsid w:val="4C0055E5"/>
    <w:rsid w:val="4C3677AE"/>
    <w:rsid w:val="4C706B3A"/>
    <w:rsid w:val="4CBA7DEE"/>
    <w:rsid w:val="4CC01CF8"/>
    <w:rsid w:val="4CEF2847"/>
    <w:rsid w:val="4D164435"/>
    <w:rsid w:val="4D221DB5"/>
    <w:rsid w:val="4E4C1F9B"/>
    <w:rsid w:val="4E79455D"/>
    <w:rsid w:val="4F360599"/>
    <w:rsid w:val="4F3B332E"/>
    <w:rsid w:val="519E3DF4"/>
    <w:rsid w:val="51C15CED"/>
    <w:rsid w:val="52285DEB"/>
    <w:rsid w:val="52493632"/>
    <w:rsid w:val="52AD62F0"/>
    <w:rsid w:val="53A94D0A"/>
    <w:rsid w:val="546308FE"/>
    <w:rsid w:val="54E61C0D"/>
    <w:rsid w:val="56FE59C9"/>
    <w:rsid w:val="570D735E"/>
    <w:rsid w:val="571B2674"/>
    <w:rsid w:val="589917F1"/>
    <w:rsid w:val="59B241EC"/>
    <w:rsid w:val="5A5E27F6"/>
    <w:rsid w:val="5A704801"/>
    <w:rsid w:val="5A7A547C"/>
    <w:rsid w:val="5A8C5E4D"/>
    <w:rsid w:val="5AEA79A8"/>
    <w:rsid w:val="5AED2A9A"/>
    <w:rsid w:val="5D9E1657"/>
    <w:rsid w:val="5E225DE5"/>
    <w:rsid w:val="5E257683"/>
    <w:rsid w:val="5E7802BC"/>
    <w:rsid w:val="5EE078B0"/>
    <w:rsid w:val="5F0D5523"/>
    <w:rsid w:val="5F107184"/>
    <w:rsid w:val="5F2346ED"/>
    <w:rsid w:val="61086613"/>
    <w:rsid w:val="61686204"/>
    <w:rsid w:val="62917095"/>
    <w:rsid w:val="630E06E5"/>
    <w:rsid w:val="6408782B"/>
    <w:rsid w:val="640D7FFE"/>
    <w:rsid w:val="65322CBF"/>
    <w:rsid w:val="65B35574"/>
    <w:rsid w:val="65C658ED"/>
    <w:rsid w:val="6752379A"/>
    <w:rsid w:val="6805760C"/>
    <w:rsid w:val="68CC52CB"/>
    <w:rsid w:val="68DE4FFE"/>
    <w:rsid w:val="691B0000"/>
    <w:rsid w:val="694B58D7"/>
    <w:rsid w:val="69A433E0"/>
    <w:rsid w:val="69CE4E15"/>
    <w:rsid w:val="6A254C33"/>
    <w:rsid w:val="6AB95096"/>
    <w:rsid w:val="6B3E7E06"/>
    <w:rsid w:val="6B7F3246"/>
    <w:rsid w:val="6BF904A6"/>
    <w:rsid w:val="6CB5251A"/>
    <w:rsid w:val="6CD429A0"/>
    <w:rsid w:val="6E9576DC"/>
    <w:rsid w:val="6EC35EE0"/>
    <w:rsid w:val="6EF07839"/>
    <w:rsid w:val="6F37037E"/>
    <w:rsid w:val="6F63000B"/>
    <w:rsid w:val="6F926AB2"/>
    <w:rsid w:val="6FCF0C72"/>
    <w:rsid w:val="71500A63"/>
    <w:rsid w:val="717C1858"/>
    <w:rsid w:val="722D2D9F"/>
    <w:rsid w:val="72B56DCF"/>
    <w:rsid w:val="72E964BC"/>
    <w:rsid w:val="735C7C42"/>
    <w:rsid w:val="74A4366E"/>
    <w:rsid w:val="74CF0B16"/>
    <w:rsid w:val="74D07EF1"/>
    <w:rsid w:val="75B570E6"/>
    <w:rsid w:val="75BF3AC1"/>
    <w:rsid w:val="7649730F"/>
    <w:rsid w:val="7698261F"/>
    <w:rsid w:val="7706409E"/>
    <w:rsid w:val="773571A9"/>
    <w:rsid w:val="7797777E"/>
    <w:rsid w:val="780A1873"/>
    <w:rsid w:val="787D11B8"/>
    <w:rsid w:val="78A771BA"/>
    <w:rsid w:val="78AC6820"/>
    <w:rsid w:val="78D50DE1"/>
    <w:rsid w:val="792C5912"/>
    <w:rsid w:val="7CBA4FE2"/>
    <w:rsid w:val="7D06612B"/>
    <w:rsid w:val="7D5F2CDA"/>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416" w:lineRule="auto"/>
      <w:outlineLvl w:val="2"/>
    </w:pPr>
    <w:rPr>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32</Pages>
  <Words>2407</Words>
  <Characters>3104</Characters>
  <Lines>0</Lines>
  <Paragraphs>0</Paragraphs>
  <TotalTime>2</TotalTime>
  <ScaleCrop>false</ScaleCrop>
  <LinksUpToDate>false</LinksUpToDate>
  <CharactersWithSpaces>3374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2025-05-27T11:44:27Z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