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呼图壁县审计局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2025年呼图壁县审计局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bCs/>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pacing w:val="-6"/>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pacing w:val="-6"/>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pacing w:val="-6"/>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s="黑体"/>
          <w:b w:val="0"/>
          <w:bCs w:val="0"/>
          <w:color w:val="auto"/>
          <w:kern w:val="0"/>
          <w:sz w:val="32"/>
          <w:szCs w:val="32"/>
          <w:highlight w:val="none"/>
          <w:lang w:val="en-US" w:eastAsia="zh-CN"/>
        </w:rPr>
        <w:t>呼图壁县审计局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 w:eastAsia="仿宋_GB2312"/>
          <w:sz w:val="32"/>
          <w:szCs w:val="32"/>
          <w:lang w:val="en-US" w:eastAsia="zh-CN"/>
        </w:rPr>
        <w:t>1.分</w:t>
      </w:r>
      <w:r>
        <w:rPr>
          <w:rFonts w:hint="eastAsia" w:ascii="仿宋_GB2312" w:hAnsi="仿宋" w:eastAsia="仿宋_GB2312"/>
          <w:sz w:val="32"/>
          <w:szCs w:val="32"/>
        </w:rPr>
        <w:t>管全县审计工作。负责对全县财政收支和法律法规规定属于审计监督范围的财务收支的真实、合法和效应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w:t>
      </w:r>
      <w:r>
        <w:rPr>
          <w:rFonts w:hint="eastAsia" w:ascii="仿宋_GB2312" w:hAnsi="仿宋" w:eastAsia="仿宋_GB2312"/>
          <w:sz w:val="32"/>
          <w:szCs w:val="32"/>
          <w:highlight w:val="none"/>
        </w:rPr>
        <w:t>计机构相关审计报告的结果承担责任，并负有督促被审计单位整改的责任。</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贯彻执行审计法律法规规章、国家审计准则和指南并监督执行。参与起草地方性财政经济及相关的规章草案。对直接审计、调查和核查的事项依法进行审计评价，作出审计决定或提出审计建议。</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rPr>
        <w:t>向县党委审计委员会提出年度全县预算执行和其他财政支出情况审计报告。</w:t>
      </w:r>
      <w:r>
        <w:rPr>
          <w:rFonts w:hint="eastAsia" w:ascii="仿宋_GB2312" w:hAnsi="仿宋" w:eastAsia="仿宋_GB2312"/>
          <w:sz w:val="32"/>
          <w:szCs w:val="32"/>
        </w:rPr>
        <w:t>向县人民政府县长提出年度全县预算执行和其他财政收支情况的审计结果报告。受县人民政府委托向县人大常委会提出县本级预算执行和其他财政收支情况的审计工作报告、审计查出问题整改情况报告。向县党委、县人民政府报告对其他事项的审计和专项审计调查情况及结果。依法向社会公布审计结果。向县有关部门、乡镇通报审计情况和审计结果。</w:t>
      </w:r>
      <w:r>
        <w:rPr>
          <w:rFonts w:hint="eastAsia" w:ascii="仿宋_GB2312" w:hAnsi="仿宋" w:eastAsia="仿宋_GB2312"/>
          <w:sz w:val="32"/>
          <w:szCs w:val="32"/>
          <w:lang w:val="en-US" w:eastAsia="zh-CN"/>
        </w:rPr>
        <w:t>4.</w:t>
      </w:r>
      <w:r>
        <w:rPr>
          <w:rFonts w:hint="eastAsia" w:ascii="仿宋_GB2312" w:hAnsi="仿宋" w:eastAsia="仿宋_GB2312"/>
          <w:sz w:val="32"/>
          <w:szCs w:val="32"/>
        </w:rPr>
        <w:t>直接审计下列事项，出具审计报告，在法定职权范围内作出审计决定，包括国家有关重大政策措施贯彻落实情况;县本级预算执行情况和其他财政收支，县本级各部门(含直属单位)预算的执行情况、决算草案和其他财政收支，县本级财政转移支付资金;使用县财政资金的事业单位和社会团体的财务收支;县政府投资和以县政府投资为主的建设项目的预算执行情况和决算;县重大公共工程项目的资金管理使用和建设运营情况;自然资源管理、污染防治和生态保护与修复情况;县国有企业和金融机构、县人民政府规定的县国有资本占控股或占主导地位的企业和金融机构资产、负债和损益;有关社会保障基金、社会捐赠资金及其他基金、资金的财务收支;</w:t>
      </w:r>
      <w:r>
        <w:rPr>
          <w:rFonts w:hint="eastAsia" w:ascii="仿宋_GB2312" w:hAnsi="仿宋" w:eastAsia="仿宋_GB2312"/>
          <w:sz w:val="32"/>
          <w:szCs w:val="32"/>
          <w:highlight w:val="none"/>
        </w:rPr>
        <w:t>国际组织和外国政府援助、贷款项目;法律法规规定的其他事项。</w:t>
      </w:r>
      <w:r>
        <w:rPr>
          <w:rFonts w:hint="eastAsia" w:ascii="仿宋_GB2312" w:hAnsi="仿宋" w:eastAsia="仿宋_GB2312"/>
          <w:bCs/>
          <w:sz w:val="32"/>
          <w:szCs w:val="32"/>
          <w:highlight w:val="none"/>
          <w:lang w:val="en-US" w:eastAsia="zh-CN"/>
        </w:rPr>
        <w:t>5.</w:t>
      </w:r>
      <w:r>
        <w:rPr>
          <w:rFonts w:hint="eastAsia" w:ascii="仿宋_GB2312" w:hAnsi="仿宋" w:eastAsia="仿宋_GB2312"/>
          <w:sz w:val="32"/>
          <w:szCs w:val="32"/>
          <w:highlight w:val="none"/>
        </w:rPr>
        <w:t>按规定对属于本级审计机关审计监督对象的党政主要领导干部及其他单位主要负责人实施经济责任审计和自然资源资产离任审计。</w:t>
      </w:r>
      <w:r>
        <w:rPr>
          <w:rFonts w:hint="eastAsia" w:ascii="仿宋_GB2312" w:hAnsi="仿宋" w:eastAsia="仿宋_GB2312"/>
          <w:sz w:val="32"/>
          <w:szCs w:val="32"/>
          <w:lang w:val="en-US" w:eastAsia="zh-CN"/>
        </w:rPr>
        <w:t>6.</w:t>
      </w:r>
      <w:r>
        <w:rPr>
          <w:rFonts w:hint="eastAsia" w:ascii="仿宋_GB2312" w:hAnsi="仿宋" w:eastAsia="仿宋_GB2312"/>
          <w:sz w:val="32"/>
          <w:szCs w:val="32"/>
        </w:rPr>
        <w:t>组织实施对国家财经法律法规、规章、政策和宏观调控措施执行情况、财政预算管理及国有资产管理使用等与国家财政收支有关的特定事项进行专项审计调查。</w:t>
      </w:r>
      <w:r>
        <w:rPr>
          <w:rFonts w:hint="eastAsia" w:ascii="仿宋_GB2312" w:hAnsi="仿宋" w:eastAsia="仿宋_GB2312"/>
          <w:sz w:val="32"/>
          <w:szCs w:val="32"/>
          <w:lang w:val="en-US" w:eastAsia="zh-CN"/>
        </w:rPr>
        <w:t>7.</w:t>
      </w:r>
      <w:r>
        <w:rPr>
          <w:rFonts w:hint="eastAsia" w:ascii="仿宋_GB2312" w:hAnsi="仿宋" w:eastAsia="仿宋_GB2312"/>
          <w:sz w:val="32"/>
          <w:szCs w:val="32"/>
        </w:rPr>
        <w:t>依法检查审计决定执行情况，督促</w:t>
      </w:r>
      <w:r>
        <w:rPr>
          <w:rFonts w:hint="eastAsia" w:ascii="仿宋_GB2312" w:hAnsi="仿宋" w:eastAsia="仿宋_GB2312"/>
          <w:sz w:val="32"/>
          <w:szCs w:val="32"/>
          <w:highlight w:val="none"/>
        </w:rPr>
        <w:t>整改审计查出的问题，依法办理被审计单位对审计决定提请行政复议、行政诉讼或呼图壁县人民政府裁决中的有关事项，协助配合有关部门查处相关重大案件。</w:t>
      </w:r>
      <w:r>
        <w:rPr>
          <w:rFonts w:hint="eastAsia" w:ascii="仿宋_GB2312" w:hAnsi="仿宋" w:eastAsia="仿宋_GB2312"/>
          <w:bCs/>
          <w:sz w:val="32"/>
          <w:szCs w:val="32"/>
          <w:highlight w:val="none"/>
          <w:lang w:val="en-US" w:eastAsia="zh-CN"/>
        </w:rPr>
        <w:t>8.</w:t>
      </w:r>
      <w:r>
        <w:rPr>
          <w:rFonts w:hint="eastAsia" w:ascii="仿宋_GB2312" w:hAnsi="仿宋" w:eastAsia="仿宋_GB2312"/>
          <w:sz w:val="32"/>
          <w:szCs w:val="32"/>
          <w:highlight w:val="none"/>
        </w:rPr>
        <w:t>指导和监督内部审计工作，核查社会审计机构对依法属于审计监督对象的单位出具的相关审计报告。</w:t>
      </w:r>
      <w:r>
        <w:rPr>
          <w:rFonts w:hint="eastAsia" w:ascii="仿宋_GB2312" w:hAnsi="仿宋" w:eastAsia="仿宋_GB2312"/>
          <w:bCs/>
          <w:sz w:val="32"/>
          <w:szCs w:val="32"/>
          <w:highlight w:val="none"/>
          <w:lang w:val="en-US" w:eastAsia="zh-CN"/>
        </w:rPr>
        <w:t>9.</w:t>
      </w:r>
      <w:r>
        <w:rPr>
          <w:rFonts w:hint="eastAsia" w:ascii="仿宋_GB2312" w:hAnsi="仿宋" w:eastAsia="仿宋_GB2312"/>
          <w:sz w:val="32"/>
          <w:szCs w:val="32"/>
          <w:highlight w:val="none"/>
        </w:rPr>
        <w:t>负责推广信息技术在审计领域的应用，组织推进审计信息化建设。</w:t>
      </w:r>
      <w:r>
        <w:rPr>
          <w:rFonts w:hint="eastAsia" w:ascii="仿宋_GB2312" w:hAnsi="仿宋" w:eastAsia="仿宋_GB2312"/>
          <w:sz w:val="32"/>
          <w:szCs w:val="32"/>
          <w:highlight w:val="none"/>
          <w:lang w:val="en-US" w:eastAsia="zh-CN"/>
        </w:rPr>
        <w:t>10.</w:t>
      </w:r>
      <w:r>
        <w:rPr>
          <w:rFonts w:hint="eastAsia" w:ascii="仿宋_GB2312" w:hAnsi="仿宋" w:eastAsia="仿宋_GB2312"/>
          <w:sz w:val="32"/>
          <w:szCs w:val="32"/>
          <w:highlight w:val="none"/>
        </w:rPr>
        <w:t>完成县党委、县人民政府交办的其他任务。</w:t>
      </w:r>
      <w:r>
        <w:rPr>
          <w:rFonts w:hint="eastAsia" w:ascii="仿宋_GB2312" w:hAnsi="宋体" w:eastAsia="仿宋_GB2312" w:cs="宋体"/>
          <w:bCs/>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机构情况</w:t>
      </w:r>
      <w:r>
        <w:rPr>
          <w:rFonts w:hint="eastAsia" w:ascii="仿宋_GB2312" w:hAnsi="仿宋" w:eastAsia="仿宋_GB2312"/>
          <w:sz w:val="32"/>
          <w:szCs w:val="32"/>
          <w:highlight w:val="none"/>
          <w:lang w:eastAsia="zh-CN"/>
        </w:rPr>
        <w:t>：</w:t>
      </w:r>
      <w:r>
        <w:rPr>
          <w:rFonts w:hint="eastAsia" w:ascii="仿宋_GB2312" w:hAnsi="宋体" w:eastAsia="仿宋_GB2312" w:cs="宋体"/>
          <w:kern w:val="0"/>
          <w:sz w:val="32"/>
          <w:szCs w:val="32"/>
        </w:rPr>
        <w:t>呼图壁县审计局无下属预算单位。</w:t>
      </w:r>
      <w:r>
        <w:rPr>
          <w:rFonts w:hint="eastAsia" w:ascii="仿宋_GB2312" w:hAnsi="黑体" w:eastAsia="仿宋_GB2312" w:cs="宋体"/>
          <w:bCs/>
          <w:kern w:val="0"/>
          <w:sz w:val="32"/>
          <w:szCs w:val="32"/>
        </w:rPr>
        <w:t>下设4个处室，分别是：</w:t>
      </w:r>
      <w:r>
        <w:rPr>
          <w:rFonts w:hint="eastAsia" w:ascii="仿宋_GB2312" w:hAnsi="宋体" w:eastAsia="仿宋_GB2312" w:cs="宋体"/>
          <w:kern w:val="0"/>
          <w:sz w:val="32"/>
          <w:szCs w:val="32"/>
        </w:rPr>
        <w:t>行政办公室、综合业务审计室、经济责任审计室、政府投资审计中心。</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val="en-US" w:eastAsia="zh-CN"/>
        </w:rPr>
        <w:t>2.</w:t>
      </w:r>
      <w:r>
        <w:rPr>
          <w:rFonts w:hint="eastAsia" w:ascii="仿宋_GB2312" w:hAnsi="宋体" w:eastAsia="仿宋_GB2312" w:cs="宋体"/>
          <w:kern w:val="0"/>
          <w:sz w:val="32"/>
          <w:szCs w:val="32"/>
        </w:rPr>
        <w:t>呼图壁县审计局单位编制数</w:t>
      </w:r>
      <w:r>
        <w:rPr>
          <w:rFonts w:hint="eastAsia" w:ascii="仿宋_GB2312" w:hAnsi="宋体" w:eastAsia="仿宋_GB2312" w:cs="宋体"/>
          <w:kern w:val="0"/>
          <w:sz w:val="32"/>
          <w:szCs w:val="32"/>
          <w:lang w:val="en-US" w:eastAsia="zh-CN"/>
        </w:rPr>
        <w:t>21</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31</w:t>
      </w:r>
      <w:r>
        <w:rPr>
          <w:rFonts w:hint="eastAsia" w:ascii="仿宋_GB2312" w:hAnsi="宋体" w:eastAsia="仿宋_GB2312" w:cs="宋体"/>
          <w:kern w:val="0"/>
          <w:sz w:val="32"/>
          <w:szCs w:val="32"/>
        </w:rPr>
        <w:t xml:space="preserve">人，其中：在职 </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退休</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增加1人</w:t>
      </w:r>
      <w:r>
        <w:rPr>
          <w:rFonts w:hint="eastAsia" w:ascii="仿宋_GB2312" w:hAnsi="宋体" w:eastAsia="仿宋_GB2312" w:cs="宋体"/>
          <w:kern w:val="0"/>
          <w:sz w:val="32"/>
          <w:szCs w:val="32"/>
        </w:rPr>
        <w:t>；离休0人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增加0人。</w:t>
      </w: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540.27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315.78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361.98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353.98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88.89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62.25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178.29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178.29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7.08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7.08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7.08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80.43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547.35</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547.35</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单位：万元</w:t>
      </w:r>
    </w:p>
    <w:tbl>
      <w:tblPr>
        <w:tblStyle w:val="11"/>
        <w:tblW w:w="9900" w:type="dxa"/>
        <w:tblInd w:w="-576" w:type="dxa"/>
        <w:tblLayout w:type="fixed"/>
        <w:tblCellMar>
          <w:top w:w="0" w:type="dxa"/>
          <w:left w:w="108" w:type="dxa"/>
          <w:bottom w:w="0" w:type="dxa"/>
          <w:right w:w="108" w:type="dxa"/>
        </w:tblCellMar>
      </w:tblPr>
      <w:tblGrid>
        <w:gridCol w:w="543"/>
        <w:gridCol w:w="417"/>
        <w:gridCol w:w="417"/>
        <w:gridCol w:w="939"/>
        <w:gridCol w:w="810"/>
        <w:gridCol w:w="765"/>
        <w:gridCol w:w="855"/>
        <w:gridCol w:w="795"/>
        <w:gridCol w:w="405"/>
        <w:gridCol w:w="645"/>
        <w:gridCol w:w="375"/>
        <w:gridCol w:w="690"/>
        <w:gridCol w:w="480"/>
        <w:gridCol w:w="840"/>
        <w:gridCol w:w="588"/>
        <w:gridCol w:w="336"/>
      </w:tblGrid>
      <w:tr>
        <w:tblPrEx>
          <w:tblCellMar>
            <w:top w:w="0" w:type="dxa"/>
            <w:left w:w="108" w:type="dxa"/>
            <w:bottom w:w="0" w:type="dxa"/>
            <w:right w:w="108" w:type="dxa"/>
          </w:tblCellMar>
        </w:tblPrEx>
        <w:trPr>
          <w:trHeight w:val="697" w:hRule="atLeast"/>
        </w:trPr>
        <w:tc>
          <w:tcPr>
            <w:tcW w:w="13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3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3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8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4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3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8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201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一般公共服务支出</w:t>
            </w:r>
          </w:p>
        </w:tc>
        <w:tc>
          <w:tcPr>
            <w:tcW w:w="81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315.78　</w:t>
            </w:r>
          </w:p>
        </w:tc>
        <w:tc>
          <w:tcPr>
            <w:tcW w:w="76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85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79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8.00</w:t>
            </w:r>
          </w:p>
        </w:tc>
        <w:tc>
          <w:tcPr>
            <w:tcW w:w="40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38.70</w:t>
            </w:r>
          </w:p>
        </w:tc>
        <w:tc>
          <w:tcPr>
            <w:tcW w:w="58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7.08</w:t>
            </w:r>
          </w:p>
        </w:tc>
        <w:tc>
          <w:tcPr>
            <w:tcW w:w="33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201</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08</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审计事务　</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315.78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8.00</w:t>
            </w: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38.70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7.08</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01</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行政运行</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198.33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159.63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159.63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38.70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02</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一般行政管理事务</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6.02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6.02</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538"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04</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审计业务</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9.06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8.00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8.00</w:t>
            </w: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1.06</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50</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事业运行</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102.37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102.37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102.37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208</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社会保障和就业支出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88.89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49.00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208</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05</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行政事业单位养老支出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88.89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49.00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822"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05</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01</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行政单位离退休</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7.04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7.04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7.04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05</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05</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机关事业单位基本养老保险缴费支出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81.84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32.84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32.84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49.00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210</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卫生健康支出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62.25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37.41</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210</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11</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行政事业单位医疗</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62.25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37.41</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210</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01</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行政单位医疗</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30.88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9.08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9.08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21.80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729"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210</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02</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事业单位医疗</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7.34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7.34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7.34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03</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公务员医疗补助</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12.81</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8.21</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8.21</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4.60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99</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其他行政事业单位医疗支出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11.22</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0.21</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0.21</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11.01</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住房保障支出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80.43</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53.18</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住房改革支出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80.43</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53.18</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01</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住房公积金</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80.43</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27.25</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27.25</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53.18</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合  计　</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547.35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361.98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361.98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8.00</w:t>
            </w: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178.29</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7.08</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420" w:type="dxa"/>
        <w:tblInd w:w="-240" w:type="dxa"/>
        <w:tblLayout w:type="autofit"/>
        <w:tblCellMar>
          <w:top w:w="0" w:type="dxa"/>
          <w:left w:w="108" w:type="dxa"/>
          <w:bottom w:w="0" w:type="dxa"/>
          <w:right w:w="108" w:type="dxa"/>
        </w:tblCellMar>
      </w:tblPr>
      <w:tblGrid>
        <w:gridCol w:w="489"/>
        <w:gridCol w:w="417"/>
        <w:gridCol w:w="486"/>
        <w:gridCol w:w="2531"/>
        <w:gridCol w:w="1817"/>
        <w:gridCol w:w="1818"/>
        <w:gridCol w:w="1862"/>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一般公共服务支出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315.78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300.70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15.08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审计事务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315.78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300.70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15.08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行政运行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198.33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198.33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02</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一般行政管理事务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6.02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6.02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04</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审计业务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9.06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9.06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50</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事业运行</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102.37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102.37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社会保障和就业支出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88.89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88.89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208</w:t>
            </w:r>
            <w:r>
              <w:rPr>
                <w:rFonts w:hint="eastAsia" w:ascii="宋体" w:hAnsi="宋体" w:cs="宋体"/>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05</w:t>
            </w:r>
            <w:r>
              <w:rPr>
                <w:rFonts w:hint="eastAsia" w:ascii="宋体" w:hAnsi="宋体" w:cs="宋体"/>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行政事业单位养老支出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88.89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88.89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01</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行政单位离退休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7.04</w:t>
            </w:r>
            <w:r>
              <w:rPr>
                <w:rFonts w:hint="eastAsia" w:ascii="宋体" w:hAnsi="宋体" w:cs="宋体"/>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7.04</w:t>
            </w: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机关事业单位基本养老保险缴费支出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81.84</w:t>
            </w:r>
            <w:r>
              <w:rPr>
                <w:rFonts w:hint="eastAsia" w:ascii="宋体" w:hAnsi="宋体" w:cs="宋体"/>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81.84</w:t>
            </w: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卫生健康支出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30.88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30.88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7.34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7.34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03</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公务员医疗补助</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12.81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12.81</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11.22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11.22</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住房保障支出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住房改革支出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住房公积金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80.43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80.43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jc w:val="right"/>
              <w:rPr>
                <w:color w:val="auto"/>
                <w:sz w:val="18"/>
                <w:szCs w:val="18"/>
                <w:highlight w:val="none"/>
              </w:rPr>
            </w:pPr>
          </w:p>
        </w:tc>
        <w:tc>
          <w:tcPr>
            <w:tcW w:w="1845" w:type="dxa"/>
            <w:tcBorders>
              <w:top w:val="nil"/>
              <w:left w:val="nil"/>
              <w:bottom w:val="single" w:color="auto" w:sz="4" w:space="0"/>
              <w:right w:val="single" w:color="auto" w:sz="4" w:space="0"/>
            </w:tcBorders>
            <w:noWrap w:val="0"/>
            <w:vAlign w:val="center"/>
          </w:tcPr>
          <w:p>
            <w:pPr>
              <w:jc w:val="right"/>
              <w:rPr>
                <w:color w:val="auto"/>
                <w:sz w:val="18"/>
                <w:szCs w:val="18"/>
                <w:highlight w:val="none"/>
              </w:rPr>
            </w:pPr>
          </w:p>
        </w:tc>
        <w:tc>
          <w:tcPr>
            <w:tcW w:w="1893" w:type="dxa"/>
            <w:tcBorders>
              <w:top w:val="nil"/>
              <w:left w:val="nil"/>
              <w:bottom w:val="single" w:color="auto" w:sz="4" w:space="0"/>
              <w:right w:val="single" w:color="auto" w:sz="4" w:space="0"/>
            </w:tcBorders>
            <w:noWrap w:val="0"/>
            <w:vAlign w:val="center"/>
          </w:tcPr>
          <w:p>
            <w:pPr>
              <w:jc w:val="right"/>
              <w:rPr>
                <w:color w:val="auto"/>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547.35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532.27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15.08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呼图壁县审计局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1"/>
        <w:tblW w:w="9449" w:type="dxa"/>
        <w:jc w:val="center"/>
        <w:tblLayout w:type="autofit"/>
        <w:tblCellMar>
          <w:top w:w="0" w:type="dxa"/>
          <w:left w:w="108" w:type="dxa"/>
          <w:bottom w:w="0" w:type="dxa"/>
          <w:right w:w="108" w:type="dxa"/>
        </w:tblCellMar>
      </w:tblPr>
      <w:tblGrid>
        <w:gridCol w:w="1927"/>
        <w:gridCol w:w="914"/>
        <w:gridCol w:w="2567"/>
        <w:gridCol w:w="900"/>
        <w:gridCol w:w="882"/>
        <w:gridCol w:w="1129"/>
        <w:gridCol w:w="1130"/>
      </w:tblGrid>
      <w:tr>
        <w:tblPrEx>
          <w:tblCellMar>
            <w:top w:w="0" w:type="dxa"/>
            <w:left w:w="108" w:type="dxa"/>
            <w:bottom w:w="0" w:type="dxa"/>
            <w:right w:w="108" w:type="dxa"/>
          </w:tblCellMar>
        </w:tblPrEx>
        <w:trPr>
          <w:trHeight w:val="285" w:hRule="atLeast"/>
          <w:jc w:val="center"/>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jc w:val="center"/>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361.98</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270.00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270.00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26"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39.89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39.89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24.84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24.84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27.25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27.25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36</w:t>
            </w:r>
            <w:r>
              <w:rPr>
                <w:rFonts w:hint="eastAsia" w:ascii="仿宋_GB2312" w:hAnsi="宋体" w:eastAsia="仿宋_GB2312" w:cs="宋体"/>
                <w:b/>
                <w:bCs/>
                <w:color w:val="auto"/>
                <w:kern w:val="0"/>
                <w:sz w:val="20"/>
                <w:szCs w:val="20"/>
                <w:highlight w:val="none"/>
                <w:lang w:val="en-US" w:eastAsia="zh-CN"/>
              </w:rPr>
              <w:t>1.98</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361.98</w:t>
            </w:r>
            <w:r>
              <w:rPr>
                <w:rFonts w:hint="eastAsia" w:ascii="宋体" w:hAnsi="宋体" w:cs="宋体"/>
                <w:b/>
                <w:bCs/>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rPr>
              <w:t>36</w:t>
            </w:r>
            <w:r>
              <w:rPr>
                <w:rFonts w:hint="eastAsia" w:ascii="宋体" w:hAnsi="宋体" w:cs="宋体"/>
                <w:b/>
                <w:bCs/>
                <w:color w:val="auto"/>
                <w:kern w:val="0"/>
                <w:sz w:val="22"/>
                <w:szCs w:val="22"/>
                <w:highlight w:val="none"/>
                <w:lang w:val="en-US" w:eastAsia="zh-CN"/>
              </w:rPr>
              <w:t>1.98</w:t>
            </w:r>
            <w:r>
              <w:rPr>
                <w:rFonts w:hint="eastAsia" w:ascii="宋体" w:hAnsi="宋体" w:cs="宋体"/>
                <w:b/>
                <w:bCs/>
                <w:color w:val="auto"/>
                <w:kern w:val="0"/>
                <w:sz w:val="22"/>
                <w:szCs w:val="22"/>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9214" w:type="dxa"/>
        <w:tblInd w:w="-34" w:type="dxa"/>
        <w:tblLayout w:type="autofit"/>
        <w:tblCellMar>
          <w:top w:w="0" w:type="dxa"/>
          <w:left w:w="108" w:type="dxa"/>
          <w:bottom w:w="0" w:type="dxa"/>
          <w:right w:w="108" w:type="dxa"/>
        </w:tblCellMar>
      </w:tblPr>
      <w:tblGrid>
        <w:gridCol w:w="519"/>
        <w:gridCol w:w="499"/>
        <w:gridCol w:w="502"/>
        <w:gridCol w:w="2492"/>
        <w:gridCol w:w="658"/>
        <w:gridCol w:w="1018"/>
        <w:gridCol w:w="216"/>
        <w:gridCol w:w="1617"/>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2"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呼图壁县审计局</w:t>
            </w:r>
          </w:p>
        </w:tc>
        <w:tc>
          <w:tcPr>
            <w:tcW w:w="65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0"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val="0"/>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val="0"/>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一般公共服务支出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rPr>
              <w:t>　27</w:t>
            </w:r>
            <w:r>
              <w:rPr>
                <w:rFonts w:hint="eastAsia" w:ascii="仿宋_GB2312" w:hAnsi="宋体" w:eastAsia="仿宋_GB2312" w:cs="宋体"/>
                <w:b/>
                <w:bCs w:val="0"/>
                <w:color w:val="auto"/>
                <w:kern w:val="0"/>
                <w:sz w:val="20"/>
                <w:szCs w:val="20"/>
                <w:highlight w:val="none"/>
                <w:lang w:val="en-US" w:eastAsia="zh-CN"/>
              </w:rPr>
              <w:t>0.00</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　262.00</w:t>
            </w: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rPr>
              <w:t>　</w:t>
            </w:r>
            <w:r>
              <w:rPr>
                <w:rFonts w:hint="eastAsia" w:ascii="仿宋_GB2312" w:hAnsi="宋体" w:eastAsia="仿宋_GB2312" w:cs="宋体"/>
                <w:b/>
                <w:bCs w:val="0"/>
                <w:color w:val="auto"/>
                <w:kern w:val="0"/>
                <w:sz w:val="20"/>
                <w:szCs w:val="20"/>
                <w:highlight w:val="none"/>
                <w:lang w:val="en-US" w:eastAsia="zh-CN"/>
              </w:rPr>
              <w:t>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b/>
                <w:bCs w:val="0"/>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val="0"/>
                <w:color w:val="auto"/>
                <w:kern w:val="0"/>
                <w:sz w:val="20"/>
                <w:szCs w:val="20"/>
                <w:highlight w:val="none"/>
              </w:rPr>
            </w:pPr>
            <w:r>
              <w:rPr>
                <w:rFonts w:hint="eastAsia" w:ascii="宋体" w:hAnsi="宋体" w:cs="宋体"/>
                <w:b/>
                <w:bCs w:val="0"/>
                <w:color w:val="auto"/>
                <w:kern w:val="0"/>
                <w:sz w:val="20"/>
                <w:szCs w:val="20"/>
                <w:highlight w:val="none"/>
              </w:rPr>
              <w:t>审计事务</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rPr>
              <w:t>　27</w:t>
            </w:r>
            <w:r>
              <w:rPr>
                <w:rFonts w:hint="eastAsia" w:ascii="宋体" w:hAnsi="宋体" w:cs="宋体"/>
                <w:b/>
                <w:bCs w:val="0"/>
                <w:color w:val="auto"/>
                <w:kern w:val="0"/>
                <w:sz w:val="20"/>
                <w:szCs w:val="20"/>
                <w:highlight w:val="none"/>
                <w:lang w:val="en-US" w:eastAsia="zh-CN"/>
              </w:rPr>
              <w:t>0.00</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val="0"/>
                <w:color w:val="auto"/>
                <w:kern w:val="0"/>
                <w:sz w:val="20"/>
                <w:szCs w:val="20"/>
                <w:highlight w:val="none"/>
              </w:rPr>
            </w:pPr>
            <w:r>
              <w:rPr>
                <w:rFonts w:hint="eastAsia" w:ascii="宋体" w:hAnsi="宋体" w:cs="宋体"/>
                <w:b/>
                <w:bCs w:val="0"/>
                <w:color w:val="auto"/>
                <w:kern w:val="0"/>
                <w:sz w:val="20"/>
                <w:szCs w:val="20"/>
                <w:highlight w:val="none"/>
              </w:rPr>
              <w:t>　262</w:t>
            </w:r>
            <w:r>
              <w:rPr>
                <w:rFonts w:hint="eastAsia" w:ascii="宋体" w:hAnsi="宋体" w:cs="宋体"/>
                <w:b/>
                <w:bCs w:val="0"/>
                <w:color w:val="auto"/>
                <w:kern w:val="0"/>
                <w:sz w:val="20"/>
                <w:szCs w:val="20"/>
                <w:highlight w:val="none"/>
                <w:lang w:val="en-US" w:eastAsia="zh-CN"/>
              </w:rPr>
              <w:t>.</w:t>
            </w:r>
            <w:r>
              <w:rPr>
                <w:rFonts w:hint="eastAsia" w:ascii="宋体" w:hAnsi="宋体" w:cs="宋体"/>
                <w:b/>
                <w:bCs w:val="0"/>
                <w:color w:val="auto"/>
                <w:kern w:val="0"/>
                <w:sz w:val="20"/>
                <w:szCs w:val="20"/>
                <w:highlight w:val="none"/>
              </w:rPr>
              <w:t>00</w:t>
            </w: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rPr>
              <w:t>　</w:t>
            </w:r>
            <w:r>
              <w:rPr>
                <w:rFonts w:hint="eastAsia" w:ascii="宋体" w:hAnsi="宋体" w:cs="宋体"/>
                <w:b/>
                <w:bCs w:val="0"/>
                <w:color w:val="auto"/>
                <w:kern w:val="0"/>
                <w:sz w:val="20"/>
                <w:szCs w:val="20"/>
                <w:highlight w:val="none"/>
                <w:lang w:val="en-US" w:eastAsia="zh-CN"/>
              </w:rPr>
              <w:t>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行政运行</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159.63</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159.63</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审计业务</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事业运行</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102.37</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102.37</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社会保障和就业支出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39.89</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39.89</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05</w:t>
            </w:r>
            <w:r>
              <w:rPr>
                <w:rFonts w:hint="eastAsia" w:ascii="宋体" w:hAnsi="宋体" w:cs="宋体"/>
                <w:b/>
                <w:bCs/>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行政事业单位养老支出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39.89</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39.89</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行政单位离退休</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7.04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7.04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机关事业单位基本养老保险缴费支出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32.84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32.84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卫生健康支出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行政事业单位医疗</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行政单位医疗</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9.08</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9.08</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事业单位医疗</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7.34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7.34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公务员医疗补助</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8.21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8.21</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其他行政事业单位医疗支出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0.21</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住房保障支出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27.25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27.25</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住房改革支出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27.25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27.25</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27.25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27.25</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361.98</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353.98</w:t>
            </w: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8.00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呼图壁县审计局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18"/>
                <w:szCs w:val="18"/>
                <w:highlight w:val="none"/>
                <w:lang w:val="en-US" w:eastAsia="zh-CN"/>
              </w:rPr>
            </w:pPr>
            <w:r>
              <w:rPr>
                <w:rFonts w:hint="default" w:ascii="仿宋_GB2312" w:hAnsi="宋体" w:eastAsia="仿宋_GB2312" w:cs="宋体"/>
                <w:b/>
                <w:bCs/>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bCs/>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313.32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313.32</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37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79.59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79.59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津贴补贴</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58.23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 xml:space="preserve"> </w:t>
            </w:r>
            <w:r>
              <w:rPr>
                <w:rFonts w:hint="eastAsia" w:ascii="宋体" w:hAnsi="宋体" w:cs="宋体"/>
                <w:color w:val="auto"/>
                <w:kern w:val="0"/>
                <w:sz w:val="18"/>
                <w:szCs w:val="18"/>
                <w:highlight w:val="none"/>
              </w:rPr>
              <w:t>58.23</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奖金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65.40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65.40</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绩效工资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23.89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23.89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32.84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32.84</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16.42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16.42</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180" w:firstLineChars="100"/>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8.21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8.21</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w:t>
            </w: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1.48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1.48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住房公积金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27.25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27.25</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32.57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　32.57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01</w:t>
            </w: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办公费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1.28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1.28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印刷费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0.04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0.22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电费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1.72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0.56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0.56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0.10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21.49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21.49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3.20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7.04</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1.03</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353.98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321.41</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32.57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600" w:type="dxa"/>
        <w:tblInd w:w="-420" w:type="dxa"/>
        <w:tblLayout w:type="fixed"/>
        <w:tblCellMar>
          <w:top w:w="0" w:type="dxa"/>
          <w:left w:w="108" w:type="dxa"/>
          <w:bottom w:w="0" w:type="dxa"/>
          <w:right w:w="108" w:type="dxa"/>
        </w:tblCellMar>
      </w:tblPr>
      <w:tblGrid>
        <w:gridCol w:w="546"/>
        <w:gridCol w:w="417"/>
        <w:gridCol w:w="417"/>
        <w:gridCol w:w="864"/>
        <w:gridCol w:w="1116"/>
        <w:gridCol w:w="737"/>
        <w:gridCol w:w="110"/>
        <w:gridCol w:w="424"/>
        <w:gridCol w:w="745"/>
        <w:gridCol w:w="519"/>
        <w:gridCol w:w="598"/>
        <w:gridCol w:w="404"/>
        <w:gridCol w:w="214"/>
        <w:gridCol w:w="641"/>
        <w:gridCol w:w="553"/>
        <w:gridCol w:w="419"/>
        <w:gridCol w:w="419"/>
        <w:gridCol w:w="385"/>
        <w:gridCol w:w="72"/>
      </w:tblGrid>
      <w:tr>
        <w:tblPrEx>
          <w:tblCellMar>
            <w:top w:w="0" w:type="dxa"/>
            <w:left w:w="108" w:type="dxa"/>
            <w:bottom w:w="0" w:type="dxa"/>
            <w:right w:w="108" w:type="dxa"/>
          </w:tblCellMar>
        </w:tblPrEx>
        <w:trPr>
          <w:gridAfter w:val="1"/>
          <w:wAfter w:w="72" w:type="dxa"/>
          <w:trHeight w:val="375" w:hRule="atLeast"/>
        </w:trPr>
        <w:tc>
          <w:tcPr>
            <w:tcW w:w="9528"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72" w:type="dxa"/>
          <w:trHeight w:val="405" w:hRule="atLeast"/>
        </w:trPr>
        <w:tc>
          <w:tcPr>
            <w:tcW w:w="4207"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呼图壁县审计局</w:t>
            </w:r>
          </w:p>
        </w:tc>
        <w:tc>
          <w:tcPr>
            <w:tcW w:w="116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2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31"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0"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6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16"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3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9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5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4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6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9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201</w:t>
            </w:r>
          </w:p>
        </w:tc>
        <w:tc>
          <w:tcPr>
            <w:tcW w:w="417" w:type="dxa"/>
            <w:noWrap w:val="0"/>
            <w:vAlign w:val="center"/>
          </w:tcPr>
          <w:p>
            <w:pPr>
              <w:widowControl/>
              <w:jc w:val="center"/>
              <w:outlineLvl w:val="1"/>
              <w:rPr>
                <w:rFonts w:hint="eastAsia" w:ascii="仿宋_GB2312" w:hAnsi="宋体" w:eastAsia="仿宋_GB2312"/>
                <w:b/>
                <w:bCs/>
                <w:color w:val="auto"/>
                <w:kern w:val="0"/>
                <w:sz w:val="18"/>
                <w:szCs w:val="18"/>
                <w:highlight w:val="none"/>
                <w:lang w:eastAsia="zh-Hans"/>
              </w:rPr>
            </w:pPr>
          </w:p>
        </w:tc>
        <w:tc>
          <w:tcPr>
            <w:tcW w:w="417"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864"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一般公共服务支出</w:t>
            </w:r>
          </w:p>
        </w:tc>
        <w:tc>
          <w:tcPr>
            <w:tcW w:w="1116"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3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34"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745"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201</w:t>
            </w:r>
          </w:p>
        </w:tc>
        <w:tc>
          <w:tcPr>
            <w:tcW w:w="41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08</w:t>
            </w:r>
          </w:p>
        </w:tc>
        <w:tc>
          <w:tcPr>
            <w:tcW w:w="417"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864"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审计事务</w:t>
            </w:r>
          </w:p>
        </w:tc>
        <w:tc>
          <w:tcPr>
            <w:tcW w:w="1116"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3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34"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745"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17"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08</w:t>
            </w:r>
          </w:p>
        </w:tc>
        <w:tc>
          <w:tcPr>
            <w:tcW w:w="41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864"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审计业务</w:t>
            </w:r>
          </w:p>
        </w:tc>
        <w:tc>
          <w:tcPr>
            <w:tcW w:w="1116"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关于提前下达2025年经责“八不准”审计业务经费的通知</w:t>
            </w:r>
          </w:p>
        </w:tc>
        <w:tc>
          <w:tcPr>
            <w:tcW w:w="737"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8.00</w:t>
            </w:r>
          </w:p>
        </w:tc>
        <w:tc>
          <w:tcPr>
            <w:tcW w:w="53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74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8.00</w:t>
            </w:r>
          </w:p>
        </w:tc>
        <w:tc>
          <w:tcPr>
            <w:tcW w:w="5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41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86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1116"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3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74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top"/>
          </w:tcPr>
          <w:p>
            <w:pPr>
              <w:widowControl/>
              <w:jc w:val="left"/>
              <w:outlineLvl w:val="1"/>
              <w:rPr>
                <w:rFonts w:ascii="仿宋_GB2312" w:hAnsi="宋体" w:eastAsia="仿宋_GB2312"/>
                <w:color w:val="auto"/>
                <w:kern w:val="0"/>
                <w:sz w:val="18"/>
                <w:szCs w:val="18"/>
                <w:highlight w:val="none"/>
              </w:rPr>
            </w:pP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p>
        </w:tc>
        <w:tc>
          <w:tcPr>
            <w:tcW w:w="864" w:type="dxa"/>
            <w:noWrap w:val="0"/>
            <w:vAlign w:val="top"/>
          </w:tcPr>
          <w:p>
            <w:pPr>
              <w:widowControl/>
              <w:jc w:val="left"/>
              <w:outlineLvl w:val="1"/>
              <w:rPr>
                <w:rFonts w:ascii="仿宋_GB2312" w:hAnsi="宋体" w:eastAsia="仿宋_GB2312"/>
                <w:color w:val="auto"/>
                <w:kern w:val="0"/>
                <w:sz w:val="18"/>
                <w:szCs w:val="18"/>
                <w:highlight w:val="none"/>
              </w:rPr>
            </w:pPr>
          </w:p>
        </w:tc>
        <w:tc>
          <w:tcPr>
            <w:tcW w:w="1116" w:type="dxa"/>
            <w:noWrap w:val="0"/>
            <w:vAlign w:val="top"/>
          </w:tcPr>
          <w:p>
            <w:pPr>
              <w:widowControl/>
              <w:jc w:val="left"/>
              <w:outlineLvl w:val="1"/>
              <w:rPr>
                <w:rFonts w:ascii="仿宋_GB2312" w:hAnsi="宋体" w:eastAsia="仿宋_GB2312"/>
                <w:color w:val="auto"/>
                <w:kern w:val="0"/>
                <w:sz w:val="18"/>
                <w:szCs w:val="18"/>
                <w:highlight w:val="none"/>
              </w:rPr>
            </w:pPr>
          </w:p>
        </w:tc>
        <w:tc>
          <w:tcPr>
            <w:tcW w:w="737" w:type="dxa"/>
            <w:noWrap w:val="0"/>
            <w:vAlign w:val="top"/>
          </w:tcPr>
          <w:p>
            <w:pPr>
              <w:widowControl/>
              <w:jc w:val="left"/>
              <w:outlineLvl w:val="1"/>
              <w:rPr>
                <w:rFonts w:ascii="仿宋_GB2312" w:hAnsi="宋体" w:eastAsia="仿宋_GB2312"/>
                <w:color w:val="auto"/>
                <w:kern w:val="0"/>
                <w:sz w:val="18"/>
                <w:szCs w:val="18"/>
                <w:highlight w:val="none"/>
              </w:rPr>
            </w:pPr>
          </w:p>
        </w:tc>
        <w:tc>
          <w:tcPr>
            <w:tcW w:w="534" w:type="dxa"/>
            <w:gridSpan w:val="2"/>
            <w:noWrap w:val="0"/>
            <w:vAlign w:val="top"/>
          </w:tcPr>
          <w:p>
            <w:pPr>
              <w:widowControl/>
              <w:jc w:val="left"/>
              <w:outlineLvl w:val="1"/>
              <w:rPr>
                <w:rFonts w:ascii="仿宋_GB2312" w:hAnsi="宋体" w:eastAsia="仿宋_GB2312"/>
                <w:color w:val="auto"/>
                <w:kern w:val="0"/>
                <w:sz w:val="18"/>
                <w:szCs w:val="18"/>
                <w:highlight w:val="none"/>
              </w:rPr>
            </w:pPr>
          </w:p>
        </w:tc>
        <w:tc>
          <w:tcPr>
            <w:tcW w:w="745" w:type="dxa"/>
            <w:noWrap w:val="0"/>
            <w:vAlign w:val="top"/>
          </w:tcPr>
          <w:p>
            <w:pPr>
              <w:widowControl/>
              <w:jc w:val="left"/>
              <w:outlineLvl w:val="1"/>
              <w:rPr>
                <w:rFonts w:ascii="仿宋_GB2312" w:hAnsi="宋体" w:eastAsia="仿宋_GB2312"/>
                <w:color w:val="auto"/>
                <w:kern w:val="0"/>
                <w:sz w:val="18"/>
                <w:szCs w:val="18"/>
                <w:highlight w:val="none"/>
              </w:rPr>
            </w:pPr>
          </w:p>
        </w:tc>
        <w:tc>
          <w:tcPr>
            <w:tcW w:w="519" w:type="dxa"/>
            <w:noWrap w:val="0"/>
            <w:vAlign w:val="top"/>
          </w:tcPr>
          <w:p>
            <w:pPr>
              <w:widowControl/>
              <w:jc w:val="left"/>
              <w:outlineLvl w:val="1"/>
              <w:rPr>
                <w:rFonts w:ascii="仿宋_GB2312" w:hAnsi="宋体" w:eastAsia="仿宋_GB2312"/>
                <w:color w:val="auto"/>
                <w:kern w:val="0"/>
                <w:sz w:val="18"/>
                <w:szCs w:val="18"/>
                <w:highlight w:val="none"/>
              </w:rPr>
            </w:pPr>
          </w:p>
        </w:tc>
        <w:tc>
          <w:tcPr>
            <w:tcW w:w="598" w:type="dxa"/>
            <w:noWrap w:val="0"/>
            <w:vAlign w:val="top"/>
          </w:tcPr>
          <w:p>
            <w:pPr>
              <w:widowControl/>
              <w:jc w:val="left"/>
              <w:outlineLvl w:val="1"/>
              <w:rPr>
                <w:rFonts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p>
        </w:tc>
        <w:tc>
          <w:tcPr>
            <w:tcW w:w="641" w:type="dxa"/>
            <w:noWrap w:val="0"/>
            <w:vAlign w:val="top"/>
          </w:tcPr>
          <w:p>
            <w:pPr>
              <w:widowControl/>
              <w:jc w:val="left"/>
              <w:outlineLvl w:val="1"/>
              <w:rPr>
                <w:rFonts w:ascii="仿宋_GB2312" w:hAnsi="宋体" w:eastAsia="仿宋_GB2312"/>
                <w:color w:val="auto"/>
                <w:kern w:val="0"/>
                <w:sz w:val="18"/>
                <w:szCs w:val="18"/>
                <w:highlight w:val="none"/>
              </w:rPr>
            </w:pPr>
          </w:p>
        </w:tc>
        <w:tc>
          <w:tcPr>
            <w:tcW w:w="553"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457" w:type="dxa"/>
            <w:gridSpan w:val="2"/>
            <w:noWrap w:val="0"/>
            <w:vAlign w:val="top"/>
          </w:tcPr>
          <w:p>
            <w:pPr>
              <w:widowControl/>
              <w:jc w:val="left"/>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64"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1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34"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7"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64"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16"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73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34" w:type="dxa"/>
            <w:gridSpan w:val="2"/>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745" w:type="dxa"/>
            <w:noWrap w:val="0"/>
            <w:vAlign w:val="top"/>
          </w:tcPr>
          <w:p>
            <w:pPr>
              <w:widowControl/>
              <w:jc w:val="left"/>
              <w:outlineLvl w:val="1"/>
              <w:rPr>
                <w:rFonts w:hint="eastAsia"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p>
            <w:pPr>
              <w:widowControl/>
              <w:jc w:val="right"/>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19"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598"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641"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553"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57" w:type="dxa"/>
            <w:gridSpan w:val="2"/>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_GB2312" w:hAnsi="宋体" w:eastAsia="仿宋_GB2312"/>
          <w:b/>
          <w:bCs/>
          <w:color w:val="auto"/>
          <w:kern w:val="0"/>
          <w:sz w:val="24"/>
          <w:highlight w:val="none"/>
          <w:lang w:val="en-US" w:eastAsia="zh-CN"/>
        </w:rPr>
        <w:t>呼图壁县审计局2025年</w:t>
      </w:r>
      <w:r>
        <w:rPr>
          <w:rFonts w:hint="eastAsia" w:ascii="仿宋" w:eastAsia="仿宋"/>
          <w:b/>
          <w:color w:val="000000"/>
          <w:szCs w:val="21"/>
        </w:rPr>
        <w:t>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bCs/>
          <w:color w:val="auto"/>
          <w:kern w:val="0"/>
          <w:sz w:val="24"/>
          <w:highlight w:val="none"/>
          <w:lang w:val="en-US" w:eastAsia="zh-CN"/>
        </w:rPr>
        <w:t>呼图壁县审计局2025年</w:t>
      </w:r>
      <w:r>
        <w:rPr>
          <w:rFonts w:hint="eastAsia" w:ascii="仿宋" w:eastAsia="仿宋"/>
          <w:b/>
          <w:color w:val="000000"/>
          <w:szCs w:val="21"/>
        </w:rPr>
        <w:t>没有没有使用国有资本经营预算拨款安排的支出，国有资本经营预算支出情况表为空</w:t>
      </w:r>
      <w:r>
        <w:rPr>
          <w:rFonts w:hint="eastAsia" w:ascii="仿宋" w:eastAsia="仿宋"/>
          <w:b/>
          <w:color w:val="000000"/>
          <w:szCs w:val="21"/>
          <w:lang w:val="en-US"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6"/>
        <w:gridCol w:w="1170"/>
        <w:gridCol w:w="1261"/>
        <w:gridCol w:w="1509"/>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合计</w:t>
            </w:r>
          </w:p>
        </w:tc>
        <w:tc>
          <w:tcPr>
            <w:tcW w:w="1215"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314"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公务用车购置及运行费</w:t>
            </w:r>
          </w:p>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（小计）</w:t>
            </w:r>
          </w:p>
        </w:tc>
        <w:tc>
          <w:tcPr>
            <w:tcW w:w="1215"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314"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ind w:firstLine="210" w:firstLineChars="100"/>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其中：公务用车购置费</w:t>
            </w:r>
          </w:p>
        </w:tc>
        <w:tc>
          <w:tcPr>
            <w:tcW w:w="1215"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rPr>
            </w:pPr>
          </w:p>
        </w:tc>
        <w:tc>
          <w:tcPr>
            <w:tcW w:w="1314"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 xml:space="preserve">     </w:t>
            </w:r>
            <w:r>
              <w:rPr>
                <w:rFonts w:hint="default" w:ascii="仿宋_GB2312" w:hAnsi="宋体" w:eastAsia="仿宋_GB2312"/>
                <w:b w:val="0"/>
                <w:bCs/>
                <w:color w:val="auto"/>
                <w:kern w:val="0"/>
                <w:sz w:val="21"/>
                <w:szCs w:val="21"/>
                <w:highlight w:val="none"/>
                <w:vertAlign w:val="baseline"/>
              </w:rPr>
              <w:t xml:space="preserve">  </w:t>
            </w:r>
            <w:r>
              <w:rPr>
                <w:rFonts w:hint="eastAsia" w:ascii="仿宋_GB2312" w:hAnsi="宋体" w:eastAsia="仿宋_GB2312"/>
                <w:b w:val="0"/>
                <w:bCs/>
                <w:color w:val="auto"/>
                <w:kern w:val="0"/>
                <w:sz w:val="21"/>
                <w:szCs w:val="21"/>
                <w:highlight w:val="none"/>
                <w:vertAlign w:val="baseline"/>
              </w:rPr>
              <w:t xml:space="preserve"> 公务用车运行费</w:t>
            </w:r>
          </w:p>
        </w:tc>
        <w:tc>
          <w:tcPr>
            <w:tcW w:w="1215"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lang w:val="en-US" w:eastAsia="zh-CN"/>
              </w:rPr>
            </w:pPr>
            <w:r>
              <w:rPr>
                <w:rFonts w:hint="eastAsia" w:ascii="仿宋_GB2312" w:hAnsi="宋体" w:eastAsia="仿宋_GB2312"/>
                <w:b w:val="0"/>
                <w:bCs/>
                <w:color w:val="auto"/>
                <w:kern w:val="0"/>
                <w:sz w:val="21"/>
                <w:szCs w:val="21"/>
                <w:highlight w:val="none"/>
                <w:vertAlign w:val="baseline"/>
                <w:lang w:val="en-US" w:eastAsia="zh-CN"/>
              </w:rPr>
              <w:t>3.20</w:t>
            </w:r>
          </w:p>
        </w:tc>
        <w:tc>
          <w:tcPr>
            <w:tcW w:w="1314"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lang w:val="en-US" w:eastAsia="zh-CN"/>
              </w:rPr>
            </w:pPr>
            <w:r>
              <w:rPr>
                <w:rFonts w:hint="eastAsia" w:ascii="仿宋_GB2312" w:hAnsi="宋体" w:eastAsia="仿宋_GB2312"/>
                <w:b w:val="0"/>
                <w:bCs/>
                <w:color w:val="auto"/>
                <w:kern w:val="0"/>
                <w:sz w:val="21"/>
                <w:szCs w:val="21"/>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1"/>
          <w:szCs w:val="21"/>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单位：万元</w:t>
      </w:r>
    </w:p>
    <w:tbl>
      <w:tblPr>
        <w:tblStyle w:val="12"/>
        <w:tblpPr w:leftFromText="180" w:rightFromText="180" w:vertAnchor="text" w:horzAnchor="page" w:tblpX="845" w:tblpY="39"/>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2024年访惠聚为民办实事好事</w:t>
            </w:r>
          </w:p>
        </w:tc>
        <w:tc>
          <w:tcPr>
            <w:tcW w:w="850"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6.02</w:t>
            </w:r>
          </w:p>
        </w:tc>
        <w:tc>
          <w:tcPr>
            <w:tcW w:w="1054"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6.02</w:t>
            </w:r>
          </w:p>
        </w:tc>
        <w:tc>
          <w:tcPr>
            <w:tcW w:w="890"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6.02</w:t>
            </w:r>
          </w:p>
        </w:tc>
        <w:tc>
          <w:tcPr>
            <w:tcW w:w="797"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723"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881"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1211" w:type="dxa"/>
            <w:noWrap w:val="0"/>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关于提前下达2024年经责八不准审计经费的通知-审计业务经费</w:t>
            </w:r>
          </w:p>
        </w:tc>
        <w:tc>
          <w:tcPr>
            <w:tcW w:w="850"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1.06</w:t>
            </w:r>
          </w:p>
        </w:tc>
        <w:tc>
          <w:tcPr>
            <w:tcW w:w="1054"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1.06</w:t>
            </w:r>
          </w:p>
        </w:tc>
        <w:tc>
          <w:tcPr>
            <w:tcW w:w="890"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1.06</w:t>
            </w:r>
          </w:p>
        </w:tc>
        <w:tc>
          <w:tcPr>
            <w:tcW w:w="797"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723"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881"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1211" w:type="dxa"/>
            <w:noWrap w:val="0"/>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right"/>
              <w:rPr>
                <w:rFonts w:hint="default" w:ascii="仿宋" w:hAnsi="仿宋" w:eastAsia="仿宋" w:cs="仿宋_GB2312"/>
                <w:b/>
                <w:bCs w:val="0"/>
                <w:color w:val="auto"/>
                <w:kern w:val="0"/>
                <w:sz w:val="18"/>
                <w:szCs w:val="18"/>
                <w:highlight w:val="none"/>
                <w:lang w:val="en-US" w:eastAsia="zh-CN"/>
              </w:rPr>
            </w:pPr>
            <w:r>
              <w:rPr>
                <w:rFonts w:hint="eastAsia" w:ascii="仿宋" w:hAnsi="仿宋" w:eastAsia="仿宋" w:cs="仿宋_GB2312"/>
                <w:b/>
                <w:bCs w:val="0"/>
                <w:color w:val="auto"/>
                <w:kern w:val="0"/>
                <w:sz w:val="18"/>
                <w:szCs w:val="18"/>
                <w:highlight w:val="none"/>
                <w:lang w:val="en-US" w:eastAsia="zh-CN"/>
              </w:rPr>
              <w:t>7.08</w:t>
            </w:r>
          </w:p>
        </w:tc>
        <w:tc>
          <w:tcPr>
            <w:tcW w:w="890" w:type="dxa"/>
            <w:noWrap w:val="0"/>
            <w:vAlign w:val="center"/>
          </w:tcPr>
          <w:p>
            <w:pPr>
              <w:widowControl/>
              <w:spacing w:line="280" w:lineRule="exact"/>
              <w:jc w:val="right"/>
              <w:rPr>
                <w:rFonts w:hint="eastAsia" w:ascii="仿宋_GB2312" w:hAnsi="宋体" w:eastAsia="仿宋_GB2312" w:cs="宋体"/>
                <w:b/>
                <w:bCs w:val="0"/>
                <w:color w:val="auto"/>
                <w:kern w:val="0"/>
                <w:sz w:val="18"/>
                <w:szCs w:val="18"/>
                <w:highlight w:val="none"/>
                <w:lang w:val="en-US" w:eastAsia="zh-CN"/>
              </w:rPr>
            </w:pPr>
          </w:p>
        </w:tc>
        <w:tc>
          <w:tcPr>
            <w:tcW w:w="714" w:type="dxa"/>
            <w:noWrap w:val="0"/>
            <w:vAlign w:val="center"/>
          </w:tcPr>
          <w:p>
            <w:pPr>
              <w:widowControl/>
              <w:spacing w:line="280" w:lineRule="exact"/>
              <w:jc w:val="right"/>
              <w:rPr>
                <w:rFonts w:hint="eastAsia" w:ascii="仿宋_GB2312" w:hAnsi="宋体" w:eastAsia="仿宋_GB2312" w:cs="宋体"/>
                <w:b/>
                <w:bCs w:val="0"/>
                <w:color w:val="auto"/>
                <w:kern w:val="0"/>
                <w:sz w:val="18"/>
                <w:szCs w:val="18"/>
                <w:highlight w:val="none"/>
                <w:lang w:val="en-US" w:eastAsia="zh-CN"/>
              </w:rPr>
            </w:pPr>
          </w:p>
        </w:tc>
        <w:tc>
          <w:tcPr>
            <w:tcW w:w="1211" w:type="dxa"/>
            <w:noWrap w:val="0"/>
            <w:vAlign w:val="center"/>
          </w:tcPr>
          <w:p>
            <w:pPr>
              <w:spacing w:line="600" w:lineRule="exact"/>
              <w:jc w:val="right"/>
              <w:rPr>
                <w:rFonts w:hint="default" w:ascii="仿宋" w:hAnsi="仿宋" w:eastAsia="仿宋" w:cs="仿宋_GB2312"/>
                <w:b/>
                <w:bCs w:val="0"/>
                <w:color w:val="auto"/>
                <w:kern w:val="0"/>
                <w:sz w:val="18"/>
                <w:szCs w:val="18"/>
                <w:highlight w:val="none"/>
                <w:lang w:val="en-US" w:eastAsia="zh-CN"/>
              </w:rPr>
            </w:pPr>
            <w:r>
              <w:rPr>
                <w:rFonts w:hint="eastAsia" w:ascii="仿宋" w:hAnsi="仿宋" w:eastAsia="仿宋" w:cs="仿宋_GB2312"/>
                <w:b/>
                <w:bCs w:val="0"/>
                <w:color w:val="auto"/>
                <w:kern w:val="0"/>
                <w:sz w:val="18"/>
                <w:szCs w:val="18"/>
                <w:highlight w:val="none"/>
                <w:lang w:val="en-US" w:eastAsia="zh-CN"/>
              </w:rPr>
              <w:t>7.08</w:t>
            </w:r>
          </w:p>
        </w:tc>
        <w:tc>
          <w:tcPr>
            <w:tcW w:w="797"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呼图壁县审计局2025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呼图壁县审计局2025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预算管理。收支总预算547.35万元。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w:t>
      </w:r>
      <w:r>
        <w:rPr>
          <w:rFonts w:hint="eastAsia" w:ascii="仿宋_GB2312" w:hAnsi="宋体" w:eastAsia="仿宋_GB2312" w:cs="宋体"/>
          <w:kern w:val="0"/>
          <w:sz w:val="32"/>
          <w:szCs w:val="32"/>
          <w:highlight w:val="none"/>
          <w:lang w:val="en-US" w:eastAsia="zh-CN"/>
        </w:rPr>
        <w:t>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呼图壁县审计局</w:t>
      </w:r>
      <w:r>
        <w:rPr>
          <w:rFonts w:hint="eastAsia" w:ascii="仿宋_GB2312" w:hAnsi="宋体" w:eastAsia="仿宋_GB2312" w:cs="宋体"/>
          <w:color w:val="auto"/>
          <w:kern w:val="0"/>
          <w:sz w:val="32"/>
          <w:szCs w:val="32"/>
          <w:highlight w:val="none"/>
        </w:rPr>
        <w:t>收入预算547.35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一般公共预算361.98万元，占</w:t>
      </w:r>
      <w:r>
        <w:rPr>
          <w:rFonts w:hint="eastAsia" w:ascii="仿宋_GB2312" w:hAnsi="宋体" w:eastAsia="仿宋_GB2312" w:cs="宋体"/>
          <w:color w:val="auto"/>
          <w:kern w:val="0"/>
          <w:sz w:val="32"/>
          <w:szCs w:val="32"/>
          <w:highlight w:val="none"/>
          <w:lang w:val="en-US" w:eastAsia="zh-CN"/>
        </w:rPr>
        <w:t>66.13</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增加1.38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增长0.38%，</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人员增加，经费增加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pStyle w:val="2"/>
        <w:rPr>
          <w:rFonts w:hint="default" w:eastAsia="宋体"/>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8.00万元，占 </w:t>
      </w:r>
      <w:r>
        <w:rPr>
          <w:rFonts w:hint="eastAsia" w:ascii="仿宋_GB2312" w:hAnsi="宋体" w:eastAsia="仿宋_GB2312" w:cs="宋体"/>
          <w:color w:val="auto"/>
          <w:kern w:val="0"/>
          <w:sz w:val="32"/>
          <w:szCs w:val="32"/>
          <w:highlight w:val="none"/>
          <w:lang w:val="en-US" w:eastAsia="zh-CN"/>
        </w:rPr>
        <w:t>1.46</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bidi="ar-SA"/>
        </w:rPr>
        <w:t>比上年预算增加0万元，增长0%，主要原因是资金与上年保持一致，无变化。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178.29万元，占</w:t>
      </w:r>
      <w:r>
        <w:rPr>
          <w:rFonts w:hint="eastAsia" w:ascii="仿宋_GB2312" w:hAnsi="宋体" w:eastAsia="仿宋_GB2312" w:cs="宋体"/>
          <w:color w:val="auto"/>
          <w:kern w:val="0"/>
          <w:sz w:val="32"/>
          <w:szCs w:val="32"/>
          <w:highlight w:val="none"/>
          <w:lang w:val="en-US" w:eastAsia="zh-CN"/>
        </w:rPr>
        <w:t>32.57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43.91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19.76%，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本年度援疆资金等单位资金收入减少；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7.08万元，占</w:t>
      </w:r>
      <w:r>
        <w:rPr>
          <w:rFonts w:hint="eastAsia" w:ascii="仿宋_GB2312" w:hAnsi="宋体" w:eastAsia="仿宋_GB2312" w:cs="宋体"/>
          <w:color w:val="auto"/>
          <w:kern w:val="0"/>
          <w:sz w:val="32"/>
          <w:szCs w:val="32"/>
          <w:highlight w:val="none"/>
          <w:lang w:val="en-US" w:eastAsia="zh-CN"/>
        </w:rPr>
        <w:t>1.29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2024年专项资金访惠聚为民办实事好事资金没有使用完，经责“八不准”经费没有使用完，结转至2025年继续使用</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呼图壁审计局2025</w:t>
      </w:r>
      <w:r>
        <w:rPr>
          <w:rFonts w:hint="eastAsia" w:ascii="仿宋_GB2312" w:hAnsi="宋体" w:eastAsia="仿宋_GB2312" w:cs="宋体"/>
          <w:color w:val="auto"/>
          <w:kern w:val="0"/>
          <w:sz w:val="32"/>
          <w:szCs w:val="32"/>
          <w:highlight w:val="none"/>
        </w:rPr>
        <w:t>年支出预算547.35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微软雅黑" w:eastAsia="仿宋" w:cs="Times New Roman"/>
          <w:sz w:val="28"/>
          <w:szCs w:val="28"/>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532.27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97.24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减少42.53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下降7.40%，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 xml:space="preserve">人员减少，相应预算一并减少。 </w:t>
      </w:r>
    </w:p>
    <w:p>
      <w:pPr>
        <w:pStyle w:val="2"/>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15.08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增加了2025年审计经费和2024年专项资金访惠聚为民办实事好事资金、经责“八不准”经费没有使用完，结转至2025年继续使用。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361.98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收入预算包括：一般公共预算拨款361.98万元。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yellow"/>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270.00</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人员工资福利的开支</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社会保障和就业支出39.89万元，主要用于人员社保开支。卫生健康支出24.84万元，主要用于</w:t>
      </w:r>
      <w:r>
        <w:rPr>
          <w:rFonts w:hint="eastAsia" w:ascii="仿宋_GB2312" w:hAnsi="宋体" w:eastAsia="仿宋_GB2312" w:cs="宋体"/>
          <w:kern w:val="0"/>
          <w:sz w:val="32"/>
          <w:szCs w:val="32"/>
        </w:rPr>
        <w:t>人员</w:t>
      </w:r>
      <w:r>
        <w:rPr>
          <w:rFonts w:hint="eastAsia" w:ascii="仿宋_GB2312" w:hAnsi="宋体" w:eastAsia="仿宋_GB2312" w:cs="宋体"/>
          <w:kern w:val="0"/>
          <w:sz w:val="32"/>
          <w:szCs w:val="32"/>
          <w:lang w:eastAsia="zh-CN"/>
        </w:rPr>
        <w:t>医疗保险费支出。</w:t>
      </w:r>
      <w:r>
        <w:rPr>
          <w:rFonts w:hint="eastAsia" w:ascii="仿宋_GB2312" w:hAnsi="宋体" w:eastAsia="仿宋_GB2312" w:cs="宋体"/>
          <w:color w:val="auto"/>
          <w:kern w:val="0"/>
          <w:sz w:val="32"/>
          <w:szCs w:val="32"/>
          <w:highlight w:val="none"/>
          <w:lang w:val="en-US" w:eastAsia="zh-CN"/>
        </w:rPr>
        <w:t>住房保障支出27.25万元，主要用于人员住房公积金支出。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呼图壁县审计局2025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宋体" w:eastAsia="仿宋_GB2312" w:cs="宋体"/>
          <w:color w:val="auto"/>
          <w:kern w:val="0"/>
          <w:sz w:val="32"/>
          <w:szCs w:val="32"/>
          <w:highlight w:val="none"/>
          <w:lang w:val="en-US" w:eastAsia="zh-CN"/>
        </w:rPr>
        <w:t>361.98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其中：</w:t>
      </w: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353.98</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97.79</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val="en-US" w:eastAsia="zh-CN"/>
        </w:rPr>
        <w:t>增加1.38</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增长0.39%，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人员工资调整、社保基数调整，人员增加。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8.00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2.21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增加0万元，</w:t>
      </w:r>
      <w:r>
        <w:rPr>
          <w:rFonts w:hint="eastAsia" w:ascii="仿宋_GB2312" w:hAnsi="仿宋_GB2312" w:eastAsia="仿宋_GB2312" w:cs="仿宋_GB2312"/>
          <w:color w:val="auto"/>
          <w:kern w:val="0"/>
          <w:sz w:val="32"/>
          <w:szCs w:val="32"/>
          <w:highlight w:val="none"/>
          <w:lang w:val="en-US" w:eastAsia="zh-CN"/>
        </w:rPr>
        <w:t>增长0%，主要原因是：与上年相比无变化。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b w:val="0"/>
          <w:bCs w:val="0"/>
          <w:color w:val="auto"/>
          <w:sz w:val="32"/>
          <w:szCs w:val="32"/>
          <w:highlight w:val="none"/>
        </w:rPr>
        <w:t>一般公共服务</w:t>
      </w:r>
      <w:r>
        <w:rPr>
          <w:rFonts w:hint="eastAsia" w:ascii="仿宋_GB2312" w:hAnsi="仿宋_GB2312" w:eastAsia="仿宋_GB2312" w:cs="仿宋_GB2312"/>
          <w:b w:val="0"/>
          <w:bCs w:val="0"/>
          <w:color w:val="auto"/>
          <w:sz w:val="32"/>
          <w:szCs w:val="32"/>
          <w:highlight w:val="none"/>
          <w:lang w:val="en-US" w:eastAsia="zh-CN"/>
        </w:rPr>
        <w:t>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270.00</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74.59</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2.</w:t>
      </w:r>
      <w:r>
        <w:rPr>
          <w:rFonts w:hint="eastAsia" w:ascii="仿宋_GB2312" w:hAnsi="仿宋_GB2312" w:eastAsia="仿宋_GB2312" w:cs="仿宋_GB2312"/>
          <w:b w:val="0"/>
          <w:bCs w:val="0"/>
          <w:color w:val="auto"/>
          <w:kern w:val="0"/>
          <w:sz w:val="32"/>
          <w:szCs w:val="32"/>
          <w:highlight w:val="none"/>
          <w:lang w:val="en-US" w:eastAsia="zh-CN"/>
        </w:rPr>
        <w:t>社会保障和就业支出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39.89</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11.02</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3</w:t>
      </w:r>
      <w:r>
        <w:rPr>
          <w:rFonts w:hint="eastAsia" w:ascii="仿宋_GB2312" w:hAnsi="仿宋_GB2312" w:eastAsia="仿宋_GB2312" w:cs="仿宋_GB2312"/>
          <w:b w:val="0"/>
          <w:bCs w:val="0"/>
          <w:color w:val="auto"/>
          <w:kern w:val="0"/>
          <w:sz w:val="32"/>
          <w:szCs w:val="32"/>
          <w:highlight w:val="none"/>
        </w:rPr>
        <w:t>.</w:t>
      </w:r>
      <w:r>
        <w:rPr>
          <w:rFonts w:hint="eastAsia" w:ascii="仿宋_GB2312" w:hAnsi="仿宋_GB2312" w:eastAsia="仿宋_GB2312" w:cs="仿宋_GB2312"/>
          <w:b w:val="0"/>
          <w:bCs w:val="0"/>
          <w:color w:val="auto"/>
          <w:kern w:val="0"/>
          <w:sz w:val="32"/>
          <w:szCs w:val="32"/>
          <w:highlight w:val="none"/>
          <w:lang w:val="en-US" w:eastAsia="zh-CN"/>
        </w:rPr>
        <w:t>卫生健康支出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24.84</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6.86</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4</w:t>
      </w:r>
      <w:r>
        <w:rPr>
          <w:rFonts w:hint="eastAsia" w:ascii="仿宋_GB2312" w:hAnsi="仿宋_GB2312" w:eastAsia="仿宋_GB2312" w:cs="仿宋_GB2312"/>
          <w:b w:val="0"/>
          <w:bCs w:val="0"/>
          <w:color w:val="auto"/>
          <w:kern w:val="0"/>
          <w:sz w:val="32"/>
          <w:szCs w:val="32"/>
          <w:highlight w:val="none"/>
        </w:rPr>
        <w:t>.</w:t>
      </w:r>
      <w:r>
        <w:rPr>
          <w:rFonts w:hint="eastAsia" w:ascii="仿宋_GB2312" w:hAnsi="仿宋_GB2312" w:eastAsia="仿宋_GB2312" w:cs="仿宋_GB2312"/>
          <w:b w:val="0"/>
          <w:bCs w:val="0"/>
          <w:color w:val="auto"/>
          <w:kern w:val="0"/>
          <w:sz w:val="32"/>
          <w:szCs w:val="32"/>
          <w:highlight w:val="none"/>
          <w:lang w:val="en-US" w:eastAsia="zh-CN"/>
        </w:rPr>
        <w:t>住房保障支出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27.25</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7.53</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yellow"/>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审计</w:t>
      </w:r>
      <w:r>
        <w:rPr>
          <w:rFonts w:hint="eastAsia" w:ascii="仿宋_GB2312" w:hAnsi="仿宋_GB2312" w:eastAsia="仿宋_GB2312" w:cs="仿宋_GB2312"/>
          <w:color w:val="auto"/>
          <w:kern w:val="0"/>
          <w:sz w:val="32"/>
          <w:szCs w:val="32"/>
          <w:highlight w:val="none"/>
        </w:rPr>
        <w:t>事务（款）行政运行（项）: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159.63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减少2.58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1.59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行政人员工资调减，社保基数调整。</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审计</w:t>
      </w:r>
      <w:r>
        <w:rPr>
          <w:rFonts w:hint="eastAsia" w:ascii="仿宋_GB2312" w:hAnsi="仿宋_GB2312" w:eastAsia="仿宋_GB2312" w:cs="仿宋_GB2312"/>
          <w:color w:val="auto"/>
          <w:kern w:val="0"/>
          <w:sz w:val="32"/>
          <w:szCs w:val="32"/>
          <w:highlight w:val="none"/>
        </w:rPr>
        <w:t>事务（款）</w:t>
      </w:r>
      <w:r>
        <w:rPr>
          <w:rFonts w:hint="eastAsia" w:ascii="仿宋_GB2312" w:hAnsi="仿宋_GB2312" w:eastAsia="仿宋_GB2312" w:cs="仿宋_GB2312"/>
          <w:color w:val="auto"/>
          <w:kern w:val="0"/>
          <w:sz w:val="32"/>
          <w:szCs w:val="32"/>
          <w:highlight w:val="none"/>
          <w:lang w:val="en-US" w:eastAsia="zh-CN"/>
        </w:rPr>
        <w:t>审计业务</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8.00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增加0万元，增长0%，主要原因是：与上年相比无变化。</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审计</w:t>
      </w:r>
      <w:r>
        <w:rPr>
          <w:rFonts w:hint="eastAsia" w:ascii="仿宋_GB2312" w:hAnsi="仿宋_GB2312" w:eastAsia="仿宋_GB2312" w:cs="仿宋_GB2312"/>
          <w:color w:val="auto"/>
          <w:kern w:val="0"/>
          <w:sz w:val="32"/>
          <w:szCs w:val="32"/>
          <w:highlight w:val="none"/>
        </w:rPr>
        <w:t>事务（款）</w:t>
      </w:r>
      <w:r>
        <w:rPr>
          <w:rFonts w:hint="eastAsia" w:ascii="仿宋_GB2312" w:hAnsi="仿宋_GB2312" w:eastAsia="仿宋_GB2312" w:cs="仿宋_GB2312"/>
          <w:color w:val="auto"/>
          <w:kern w:val="0"/>
          <w:sz w:val="32"/>
          <w:szCs w:val="32"/>
          <w:highlight w:val="none"/>
          <w:lang w:val="en-US" w:eastAsia="zh-CN"/>
        </w:rPr>
        <w:t>事业运行</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102.37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增加0.18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增长0.18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事业人员工资增加，社保基数调整。</w:t>
      </w:r>
      <w:r>
        <w:rPr>
          <w:rFonts w:hint="eastAsia" w:ascii="仿宋_GB2312" w:hAnsi="宋体" w:eastAsia="仿宋_GB2312" w:cs="宋体"/>
          <w:color w:val="auto"/>
          <w:kern w:val="0"/>
          <w:sz w:val="32"/>
          <w:szCs w:val="32"/>
          <w:highlight w:val="none"/>
        </w:rPr>
        <w:t xml:space="preserve"> </w:t>
      </w:r>
    </w:p>
    <w:p>
      <w:pPr>
        <w:pStyle w:val="2"/>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社会保障就业支出（类）行政事业单位养老支出（款）行政单位离退休（项）:2025年预算数为7.04万元，比上年预算减少1.61万元，下降18.61%，主要原因是：上年补发退休人员独生子女奖励金，本年不安排此项经费。</w:t>
      </w:r>
    </w:p>
    <w:p>
      <w:pPr>
        <w:pStyle w:val="3"/>
        <w:keepNext/>
        <w:keepLines/>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default" w:ascii="仿宋_GB2312" w:hAnsi="仿宋_GB2312" w:eastAsia="仿宋_GB2312" w:cs="仿宋_GB2312"/>
          <w:b w:val="0"/>
          <w:bCs w:val="0"/>
          <w:color w:val="auto"/>
          <w:kern w:val="0"/>
          <w:sz w:val="32"/>
          <w:szCs w:val="32"/>
          <w:highlight w:val="none"/>
          <w:lang w:val="en-US" w:eastAsia="zh-CN" w:bidi="ar-SA"/>
        </w:rPr>
      </w:pPr>
      <w:r>
        <w:rPr>
          <w:rFonts w:hint="eastAsia" w:ascii="仿宋_GB2312" w:hAnsi="仿宋_GB2312" w:eastAsia="仿宋_GB2312" w:cs="仿宋_GB2312"/>
          <w:b w:val="0"/>
          <w:bCs w:val="0"/>
          <w:color w:val="auto"/>
          <w:kern w:val="0"/>
          <w:sz w:val="32"/>
          <w:szCs w:val="32"/>
          <w:highlight w:val="none"/>
          <w:lang w:val="en-US" w:eastAsia="zh-CN" w:bidi="ar-SA"/>
        </w:rPr>
        <w:t>5.社会保障就业支出（类）行政事业单位养老支出（款）机关事业单位基本养老保险缴费支出（项）:2025年预算数为32.84万元，比上年增加0.68万元，增长2.11%，主要原因是：清算往年机关养老保险欠缴情况。</w:t>
      </w:r>
      <w:bookmarkStart w:id="1" w:name="_GoBack"/>
      <w:bookmarkEnd w:id="1"/>
    </w:p>
    <w:p>
      <w:pPr>
        <w:pStyle w:val="3"/>
        <w:keepNext/>
        <w:keepLines/>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仿宋" w:hAnsi="仿宋" w:eastAsia="仿宋" w:cs="仿宋"/>
          <w:sz w:val="32"/>
          <w:szCs w:val="32"/>
          <w:highlight w:val="yellow"/>
          <w:lang w:val="en-US" w:eastAsia="zh-CN"/>
        </w:rPr>
      </w:pPr>
      <w:r>
        <w:rPr>
          <w:rFonts w:hint="eastAsia" w:ascii="仿宋_GB2312" w:hAnsi="仿宋_GB2312" w:eastAsia="仿宋_GB2312" w:cs="仿宋_GB2312"/>
          <w:b w:val="0"/>
          <w:bCs w:val="0"/>
          <w:color w:val="auto"/>
          <w:kern w:val="0"/>
          <w:sz w:val="32"/>
          <w:szCs w:val="32"/>
          <w:highlight w:val="none"/>
          <w:lang w:val="en-US" w:eastAsia="zh-CN" w:bidi="ar-SA"/>
        </w:rPr>
        <w:t>6.卫生健康支出（类）行政事业单位医疗（款）行政</w:t>
      </w:r>
      <w:r>
        <w:rPr>
          <w:rFonts w:hint="eastAsia" w:ascii="仿宋" w:hAnsi="仿宋" w:eastAsia="仿宋" w:cs="仿宋"/>
          <w:b w:val="0"/>
          <w:bCs w:val="0"/>
          <w:color w:val="auto"/>
          <w:kern w:val="0"/>
          <w:sz w:val="32"/>
          <w:szCs w:val="32"/>
          <w:highlight w:val="none"/>
        </w:rPr>
        <w:t>单位医疗（项）</w:t>
      </w:r>
      <w:r>
        <w:rPr>
          <w:rFonts w:hint="eastAsia" w:ascii="仿宋_GB2312" w:hAnsi="仿宋_GB2312" w:eastAsia="仿宋_GB2312" w:cs="仿宋_GB2312"/>
          <w:b w:val="0"/>
          <w:bCs w:val="0"/>
          <w:color w:val="auto"/>
          <w:kern w:val="0"/>
          <w:sz w:val="32"/>
          <w:szCs w:val="32"/>
          <w:highlight w:val="none"/>
          <w:lang w:val="en-US" w:eastAsia="zh-CN" w:bidi="ar-SA"/>
        </w:rPr>
        <w:t>:2025年预算数为9.08万元，比上年增加0.18万元，增长2.02%，主要原因是：行政人员社保基数调增。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yellow"/>
          <w:lang w:val="en-US"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b w:val="0"/>
          <w:bCs w:val="0"/>
          <w:color w:val="auto"/>
          <w:kern w:val="0"/>
          <w:sz w:val="32"/>
          <w:szCs w:val="32"/>
          <w:highlight w:val="none"/>
          <w:lang w:val="en-US" w:eastAsia="zh-CN" w:bidi="ar-SA"/>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7.34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增加0.20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增长2.80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事业在职人员医疗保险基数调增。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b w:val="0"/>
          <w:bCs w:val="0"/>
          <w:color w:val="auto"/>
          <w:kern w:val="0"/>
          <w:sz w:val="32"/>
          <w:szCs w:val="32"/>
          <w:highlight w:val="none"/>
          <w:lang w:val="en-US" w:eastAsia="zh-CN" w:bidi="ar-SA"/>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8.21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增加3.79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增长85.75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公务员医疗缴费基数增加。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b w:val="0"/>
          <w:bCs w:val="0"/>
          <w:color w:val="auto"/>
          <w:kern w:val="0"/>
          <w:sz w:val="32"/>
          <w:szCs w:val="32"/>
          <w:highlight w:val="none"/>
          <w:lang w:val="en-US" w:eastAsia="zh-CN" w:bidi="ar-SA"/>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其他行政事业单位医疗补助</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0.21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增加0.09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增长75.00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2025年大病医疗保险基数调整比例增加。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10.住房保障支出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27.25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增加0.51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增长1.91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住房公积金基数调整增加。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呼图壁县审计局2025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呼图壁县审计局</w:t>
      </w:r>
      <w:r>
        <w:rPr>
          <w:rFonts w:hint="eastAsia" w:ascii="仿宋_GB2312" w:hAnsi="宋体" w:eastAsia="仿宋_GB2312" w:cs="宋体"/>
          <w:color w:val="auto"/>
          <w:spacing w:val="-6"/>
          <w:kern w:val="0"/>
          <w:sz w:val="32"/>
          <w:szCs w:val="32"/>
          <w:highlight w:val="none"/>
          <w:lang w:eastAsia="zh-CN"/>
        </w:rPr>
        <w:t>部门</w:t>
      </w:r>
      <w:r>
        <w:rPr>
          <w:rFonts w:hint="eastAsia" w:ascii="仿宋_GB2312" w:hAnsi="宋体" w:eastAsia="仿宋_GB2312" w:cs="宋体"/>
          <w:color w:val="auto"/>
          <w:spacing w:val="-6"/>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    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321.41</w:t>
      </w:r>
      <w:r>
        <w:rPr>
          <w:rFonts w:hint="eastAsia" w:ascii="仿宋_GB2312" w:hAnsi="宋体" w:eastAsia="仿宋_GB2312" w:cs="宋体"/>
          <w:color w:val="auto"/>
          <w:kern w:val="0"/>
          <w:sz w:val="32"/>
          <w:szCs w:val="32"/>
          <w:highlight w:val="none"/>
        </w:rPr>
        <w:t>万元，主要包括：基本工资、津贴补贴、奖金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、退休费、生活补助、奖励金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32.57</w:t>
      </w:r>
      <w:r>
        <w:rPr>
          <w:rFonts w:hint="eastAsia" w:ascii="仿宋_GB2312" w:hAnsi="宋体" w:eastAsia="仿宋_GB2312" w:cs="宋体"/>
          <w:color w:val="auto"/>
          <w:kern w:val="0"/>
          <w:sz w:val="32"/>
          <w:szCs w:val="32"/>
          <w:highlight w:val="none"/>
        </w:rPr>
        <w:t>万元，主要包括：办公费、印刷费、水费、电费、邮电费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差旅费、劳务费、工会经费、公务用车运行维护费。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呼图壁县审计局2025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kern w:val="0"/>
          <w:sz w:val="18"/>
          <w:szCs w:val="18"/>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s="Times New Roman"/>
          <w:color w:val="auto"/>
          <w:sz w:val="32"/>
          <w:szCs w:val="32"/>
          <w:highlight w:val="none"/>
          <w:lang w:val="en-US" w:eastAsia="zh-CN"/>
        </w:rPr>
        <w:t>：关于提前下达2025年经责“八不准”审计业务经费的通知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yellow"/>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CN"/>
        </w:rPr>
        <w:t>昌州财行【2024】46号</w:t>
      </w:r>
      <w:r>
        <w:rPr>
          <w:rFonts w:hint="eastAsia" w:ascii="仿宋_GB2312" w:hAnsi="黑体" w:eastAsia="仿宋_GB2312"/>
          <w:color w:val="auto"/>
          <w:sz w:val="32"/>
          <w:szCs w:val="32"/>
          <w:highlight w:val="none"/>
          <w:lang w:val="en-US" w:eastAsia="zh-CN"/>
        </w:rPr>
        <w:t>关于提前下达2025年经责“八不准”审计业务经费的通知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呼图壁县审计局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主要用于经责交叉审计的差旅费和办公费8.00万元；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呼图壁县审计局2025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0万元，增长0%，主要原因是2024年-2025年预算保持一致，无变化；公务接待费增加0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主要原因是2024年、2025年均未安排公务</w:t>
      </w:r>
      <w:r>
        <w:rPr>
          <w:rFonts w:hint="eastAsia" w:ascii="仿宋_GB2312" w:hAnsi="宋体" w:eastAsia="仿宋_GB2312" w:cs="宋体"/>
          <w:color w:val="auto"/>
          <w:kern w:val="0"/>
          <w:sz w:val="32"/>
          <w:szCs w:val="32"/>
          <w:highlight w:val="none"/>
          <w:lang w:val="en-US" w:eastAsia="zh-CN"/>
        </w:rPr>
        <w:t>接待费预算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上年结转结余7.08万元，包括：财政拨款7.08万元，非财政拨款0万元，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1.2024年访惠聚为民办实事好事-村级支出6.02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主要用于：访惠聚工作队为民办实事好事及补充村级办公费经费。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2.关于提前下达2024年经责八不准审计经费的通知-审计业务经费1.06万元，主要用于：经责交叉审计过程中审计人员差旅费及办公费。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32.57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21.47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193.42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人员增加运行经费增加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政府采购预算16.73万元，其中：政府采购货物预算</w:t>
      </w:r>
      <w:r>
        <w:rPr>
          <w:rFonts w:hint="eastAsia" w:ascii="仿宋_GB2312" w:hAnsi="仿宋_GB2312" w:eastAsia="仿宋_GB2312" w:cs="仿宋_GB2312"/>
          <w:color w:val="auto"/>
          <w:kern w:val="0"/>
          <w:sz w:val="32"/>
          <w:szCs w:val="32"/>
          <w:highlight w:val="none"/>
          <w:lang w:val="en-US" w:eastAsia="zh-CN"/>
        </w:rPr>
        <w:t>6.74</w:t>
      </w:r>
      <w:r>
        <w:rPr>
          <w:rFonts w:hint="eastAsia" w:ascii="仿宋_GB2312" w:hAnsi="仿宋_GB2312" w:eastAsia="仿宋_GB2312" w:cs="仿宋_GB2312"/>
          <w:color w:val="auto"/>
          <w:kern w:val="0"/>
          <w:sz w:val="32"/>
          <w:szCs w:val="32"/>
          <w:highlight w:val="none"/>
        </w:rPr>
        <w:t>万元，政府采购工程预算     万元，政府采购服务预算</w:t>
      </w:r>
      <w:r>
        <w:rPr>
          <w:rFonts w:hint="eastAsia" w:ascii="仿宋_GB2312" w:hAnsi="仿宋_GB2312" w:eastAsia="仿宋_GB2312" w:cs="仿宋_GB2312"/>
          <w:color w:val="auto"/>
          <w:kern w:val="0"/>
          <w:sz w:val="32"/>
          <w:szCs w:val="32"/>
          <w:highlight w:val="none"/>
          <w:lang w:val="en-US" w:eastAsia="zh-CN"/>
        </w:rPr>
        <w:t>9.99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z w:val="32"/>
          <w:highlight w:val="none"/>
          <w:lang w:eastAsia="zh-CN"/>
        </w:rPr>
        <w:t>部门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16.73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16.73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2.车辆2辆，价值33.06万元；其中：一般公务用车2辆，价值33.06万元；执法执勤用车0辆，价值0万元；其他车辆0辆，价值0万元。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82.21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整体预算绩效目标1个，涉及预算金额547.35万元；当年预算安排项目共1个，其中: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涉及预算金额8.00万元；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1"/>
        <w:tblpPr w:leftFromText="180" w:rightFromText="180" w:vertAnchor="text" w:horzAnchor="page" w:tblpX="1493" w:tblpY="-1252"/>
        <w:tblOverlap w:val="never"/>
        <w:tblW w:w="0" w:type="auto"/>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呼图壁县审计局整体绩效目标表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w:t>
            </w:r>
            <w:r>
              <w:rPr>
                <w:rFonts w:hint="eastAsia" w:ascii="宋体" w:hAnsi="宋体" w:cs="宋体"/>
                <w:color w:val="000000"/>
                <w:sz w:val="24"/>
                <w:lang w:val="en-US" w:eastAsia="zh-CN"/>
              </w:rPr>
              <w:t>5</w:t>
            </w:r>
            <w:r>
              <w:rPr>
                <w:rFonts w:hint="eastAsia" w:ascii="宋体" w:hAnsi="宋体" w:cs="宋体"/>
                <w:color w:val="000000"/>
                <w:sz w:val="24"/>
              </w:rPr>
              <w:t>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ind w:firstLine="800" w:firstLineChars="400"/>
              <w:jc w:val="left"/>
              <w:rPr>
                <w:rFonts w:hint="eastAsia" w:ascii="宋体" w:hAnsi="宋体" w:cs="宋体"/>
                <w:color w:val="000000"/>
                <w:sz w:val="20"/>
                <w:szCs w:val="20"/>
              </w:rPr>
            </w:pPr>
            <w:r>
              <w:rPr>
                <w:rFonts w:hint="eastAsia" w:ascii="宋体" w:hAnsi="宋体" w:cs="宋体"/>
                <w:color w:val="000000"/>
                <w:sz w:val="20"/>
                <w:szCs w:val="20"/>
              </w:rPr>
              <w:t>呼图壁县审计局</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r>
              <w:rPr>
                <w:rFonts w:hint="eastAsia" w:ascii="宋体" w:hAnsi="宋体" w:cs="宋体"/>
                <w:color w:val="000000"/>
                <w:sz w:val="20"/>
                <w:szCs w:val="20"/>
              </w:rPr>
              <w:t>常小花</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0"/>
                <w:szCs w:val="20"/>
              </w:rPr>
            </w:pPr>
            <w:r>
              <w:rPr>
                <w:rFonts w:hint="eastAsia" w:ascii="宋体" w:hAnsi="宋体" w:cs="宋体"/>
                <w:color w:val="000000"/>
                <w:sz w:val="20"/>
                <w:szCs w:val="20"/>
              </w:rPr>
              <w:t>15292956236</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依法履行审计监督职责，全面提升审计人员综合能力，充分发挥审计作为二国家利益捍卫者、经济发展“安全员”，公共资金守护者，权利运行“紧箍咒”、反腐败利箭和深化改革“催化剂”作用。</w:t>
            </w:r>
          </w:p>
        </w:tc>
      </w:tr>
      <w:tr>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ascii="宋体" w:hAnsi="宋体" w:cs="宋体"/>
                <w:color w:val="000000"/>
                <w:sz w:val="20"/>
                <w:szCs w:val="20"/>
              </w:rPr>
            </w:pPr>
            <w:r>
              <w:rPr>
                <w:rFonts w:hint="eastAsia" w:ascii="宋体" w:hAnsi="宋体" w:cs="宋体"/>
                <w:color w:val="000000"/>
                <w:sz w:val="20"/>
                <w:szCs w:val="20"/>
                <w:lang w:val="en-US" w:eastAsia="zh-CN"/>
              </w:rPr>
              <w:t>369.06</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r>
              <w:rPr>
                <w:rFonts w:hint="eastAsia" w:ascii="宋体" w:hAnsi="宋体" w:cs="宋体"/>
                <w:color w:val="000000"/>
                <w:sz w:val="20"/>
                <w:szCs w:val="20"/>
              </w:rPr>
              <w:t>0</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r>
              <w:rPr>
                <w:rFonts w:hint="eastAsia" w:ascii="宋体" w:hAnsi="宋体" w:cs="宋体"/>
                <w:color w:val="000000"/>
                <w:sz w:val="20"/>
                <w:szCs w:val="20"/>
              </w:rPr>
              <w:t>178.29</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tblPrEx>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审计单位个数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15</w:t>
            </w:r>
            <w:r>
              <w:rPr>
                <w:rFonts w:hint="eastAsia" w:ascii="Arial" w:hAnsi="Arial" w:cs="Arial"/>
                <w:color w:val="000000"/>
                <w:sz w:val="18"/>
                <w:szCs w:val="18"/>
              </w:rPr>
              <w:t>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vMerge w:val="continue"/>
            <w:tcBorders>
              <w:left w:val="single" w:color="000000" w:sz="4" w:space="0"/>
              <w:right w:val="single" w:color="000000" w:sz="4" w:space="0"/>
            </w:tcBorders>
            <w:noWrap w:val="0"/>
            <w:vAlign w:val="center"/>
          </w:tcPr>
          <w:p>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审计项目数量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15</w:t>
            </w:r>
            <w:r>
              <w:rPr>
                <w:rFonts w:hint="eastAsia" w:ascii="Arial" w:hAnsi="Arial" w:cs="Arial"/>
                <w:color w:val="000000"/>
                <w:sz w:val="18"/>
                <w:szCs w:val="18"/>
              </w:rPr>
              <w:t>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vMerge w:val="continue"/>
            <w:tcBorders>
              <w:left w:val="single" w:color="000000" w:sz="4" w:space="0"/>
              <w:right w:val="single" w:color="000000" w:sz="4" w:space="0"/>
            </w:tcBorders>
            <w:noWrap w:val="0"/>
            <w:vAlign w:val="center"/>
          </w:tcPr>
          <w:p>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提交各类审计报告文书数量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15</w:t>
            </w:r>
            <w:r>
              <w:rPr>
                <w:rFonts w:hint="eastAsia" w:ascii="Arial" w:hAnsi="Arial" w:cs="Arial"/>
                <w:color w:val="000000"/>
                <w:sz w:val="18"/>
                <w:szCs w:val="18"/>
              </w:rPr>
              <w:t>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组织集中培训次数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10</w:t>
            </w:r>
            <w:r>
              <w:rPr>
                <w:rFonts w:hint="eastAsia" w:ascii="Arial" w:hAnsi="Arial" w:cs="Arial"/>
                <w:color w:val="000000"/>
                <w:sz w:val="18"/>
                <w:szCs w:val="18"/>
              </w:rPr>
              <w:t>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年度工作职能</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被审计单位对审计建议采纳比例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rPr>
              <w:t>98个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年度工作职能</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bl>
    <w:p>
      <w:pPr>
        <w:pStyle w:val="3"/>
        <w:rPr>
          <w:rFonts w:hint="eastAsia"/>
        </w:rPr>
      </w:pPr>
    </w:p>
    <w:p>
      <w:pPr>
        <w:rPr>
          <w:rFonts w:hint="eastAsia"/>
        </w:rPr>
      </w:pPr>
    </w:p>
    <w:p>
      <w:pPr>
        <w:pStyle w:val="3"/>
        <w:rPr>
          <w:rFonts w:hint="eastAsia"/>
        </w:rPr>
      </w:pPr>
    </w:p>
    <w:p>
      <w:pPr>
        <w:rPr>
          <w:rFonts w:hint="eastAsia"/>
        </w:rPr>
      </w:pPr>
    </w:p>
    <w:tbl>
      <w:tblPr>
        <w:tblStyle w:val="11"/>
        <w:tblpPr w:leftFromText="180" w:rightFromText="180" w:vertAnchor="text" w:horzAnchor="page" w:tblpX="1316" w:tblpY="134"/>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455"/>
        <w:gridCol w:w="1081"/>
        <w:gridCol w:w="632"/>
        <w:gridCol w:w="999"/>
        <w:gridCol w:w="914"/>
      </w:tblGrid>
      <w:tr>
        <w:tblPrEx>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5</w:t>
            </w:r>
            <w:r>
              <w:rPr>
                <w:rFonts w:hint="eastAsia" w:ascii="宋体" w:hAnsi="宋体" w:cs="宋体"/>
                <w:color w:val="000000"/>
                <w:sz w:val="22"/>
                <w:szCs w:val="22"/>
                <w:lang w:eastAsia="zh-Hans"/>
              </w:rPr>
              <w:t>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呼图壁县审计局</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审计业务经费</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马柏然</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color w:val="000000"/>
                <w:sz w:val="18"/>
                <w:szCs w:val="18"/>
              </w:rPr>
            </w:pPr>
            <w:r>
              <w:rPr>
                <w:rFonts w:hint="eastAsia" w:ascii="宋体" w:hAnsi="宋体" w:cs="宋体"/>
                <w:color w:val="000000"/>
                <w:sz w:val="18"/>
                <w:szCs w:val="18"/>
              </w:rPr>
              <w:t>8.00万元</w:t>
            </w:r>
          </w:p>
        </w:tc>
        <w:tc>
          <w:tcPr>
            <w:tcW w:w="1455"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color w:val="000000"/>
                <w:sz w:val="18"/>
                <w:szCs w:val="18"/>
              </w:rPr>
            </w:pPr>
            <w:r>
              <w:rPr>
                <w:rFonts w:hint="eastAsia" w:ascii="宋体" w:hAnsi="宋体" w:cs="宋体"/>
                <w:color w:val="000000"/>
                <w:sz w:val="18"/>
                <w:szCs w:val="18"/>
              </w:rPr>
              <w:t>8.00万元</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w:t>
            </w: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cs="宋体"/>
                <w:color w:val="000000"/>
                <w:sz w:val="18"/>
                <w:szCs w:val="18"/>
              </w:rPr>
            </w:pPr>
            <w:r>
              <w:rPr>
                <w:rFonts w:hint="eastAsia" w:ascii="宋体" w:hAnsi="宋体" w:cs="宋体"/>
                <w:color w:val="000000"/>
                <w:sz w:val="18"/>
                <w:szCs w:val="18"/>
              </w:rPr>
              <w:t>对财政收支和法律法规规定属于审计监督范围的财务收支的真实、合法和效益进行审计监督，开展重点领域、重点项目、重难点资金的审计监督、经责审计、培训等，保障审计项目正常开展，保证审计机关独立性，提高审计工作质效。提高审计质量，更好发挥审计作用。</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审计发现问题数量（个）</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宋体" w:hAnsi="宋体" w:cs="宋体"/>
                <w:color w:val="000000"/>
                <w:sz w:val="18"/>
                <w:szCs w:val="18"/>
              </w:rPr>
              <w: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00"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审计报告数量（份）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对被审计单位现场审计率（%）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年初项目计划完成率%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行业标准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持续监督审计发现问题整改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历史标准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被审计单位满意度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default" w:ascii="黑体" w:hAnsi="黑体" w:eastAsia="黑体"/>
          <w:kern w:val="0"/>
          <w:sz w:val="32"/>
          <w:szCs w:val="32"/>
          <w:highlight w:val="none"/>
          <w:lang w:val="en-US" w:eastAsia="zh-CN"/>
        </w:rPr>
      </w:pPr>
      <w:r>
        <w:rPr>
          <w:rFonts w:hint="eastAsia" w:ascii="仿宋" w:hAnsi="仿宋" w:eastAsia="仿宋" w:cs="仿宋"/>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58" w:leftChars="304" w:hanging="5120" w:hangingChars="1600"/>
        <w:jc w:val="lef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呼图壁县审计局</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p>
      <w:pPr>
        <w:pStyle w:val="1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17B2F92"/>
    <w:rsid w:val="020E507E"/>
    <w:rsid w:val="02732F8E"/>
    <w:rsid w:val="02CB7F49"/>
    <w:rsid w:val="030C5A8C"/>
    <w:rsid w:val="037800D1"/>
    <w:rsid w:val="04001D8C"/>
    <w:rsid w:val="04267087"/>
    <w:rsid w:val="04267B2D"/>
    <w:rsid w:val="044C330C"/>
    <w:rsid w:val="05397FD9"/>
    <w:rsid w:val="057A5F58"/>
    <w:rsid w:val="05CA273A"/>
    <w:rsid w:val="070E6657"/>
    <w:rsid w:val="080E3E4F"/>
    <w:rsid w:val="084451C2"/>
    <w:rsid w:val="08450B28"/>
    <w:rsid w:val="08762705"/>
    <w:rsid w:val="088F5575"/>
    <w:rsid w:val="08E81855"/>
    <w:rsid w:val="0A4168EC"/>
    <w:rsid w:val="0AD672A7"/>
    <w:rsid w:val="0B247F12"/>
    <w:rsid w:val="0B256EA8"/>
    <w:rsid w:val="0B7C3034"/>
    <w:rsid w:val="0B841FFD"/>
    <w:rsid w:val="0BD56A2F"/>
    <w:rsid w:val="0C0A3890"/>
    <w:rsid w:val="0C9C20F3"/>
    <w:rsid w:val="0CCF0915"/>
    <w:rsid w:val="0CD20198"/>
    <w:rsid w:val="0CE5050E"/>
    <w:rsid w:val="0CEC568C"/>
    <w:rsid w:val="0D4D0080"/>
    <w:rsid w:val="0D6E5FD0"/>
    <w:rsid w:val="0E320E7D"/>
    <w:rsid w:val="0E9208E7"/>
    <w:rsid w:val="0F480FB1"/>
    <w:rsid w:val="10587512"/>
    <w:rsid w:val="105D0E37"/>
    <w:rsid w:val="10916BDA"/>
    <w:rsid w:val="11036B00"/>
    <w:rsid w:val="11301FEB"/>
    <w:rsid w:val="11B6451D"/>
    <w:rsid w:val="121E62E8"/>
    <w:rsid w:val="122F65C7"/>
    <w:rsid w:val="1697741D"/>
    <w:rsid w:val="18651609"/>
    <w:rsid w:val="197C5413"/>
    <w:rsid w:val="19A215AC"/>
    <w:rsid w:val="1A132B78"/>
    <w:rsid w:val="1AC437A4"/>
    <w:rsid w:val="1B153D26"/>
    <w:rsid w:val="1BEB54C3"/>
    <w:rsid w:val="1C3C6084"/>
    <w:rsid w:val="1C8C02F2"/>
    <w:rsid w:val="1D3E1AFE"/>
    <w:rsid w:val="1E6432D4"/>
    <w:rsid w:val="1E89232D"/>
    <w:rsid w:val="1EB61656"/>
    <w:rsid w:val="20407429"/>
    <w:rsid w:val="209B760D"/>
    <w:rsid w:val="20CF3CE4"/>
    <w:rsid w:val="20DD55C0"/>
    <w:rsid w:val="22922CB8"/>
    <w:rsid w:val="22DB78DD"/>
    <w:rsid w:val="244D65B8"/>
    <w:rsid w:val="2492221D"/>
    <w:rsid w:val="24B42D8E"/>
    <w:rsid w:val="250855AF"/>
    <w:rsid w:val="25403451"/>
    <w:rsid w:val="258B383C"/>
    <w:rsid w:val="263B7010"/>
    <w:rsid w:val="26B4291F"/>
    <w:rsid w:val="26BD282A"/>
    <w:rsid w:val="26E769FA"/>
    <w:rsid w:val="286D65BC"/>
    <w:rsid w:val="28D9041B"/>
    <w:rsid w:val="293B2E83"/>
    <w:rsid w:val="294F1041"/>
    <w:rsid w:val="2AFC4894"/>
    <w:rsid w:val="2B3A05DE"/>
    <w:rsid w:val="2B6901C6"/>
    <w:rsid w:val="2D480265"/>
    <w:rsid w:val="2D6A2BB4"/>
    <w:rsid w:val="2D977453"/>
    <w:rsid w:val="2D985D30"/>
    <w:rsid w:val="2E2943BA"/>
    <w:rsid w:val="2EF22236"/>
    <w:rsid w:val="2FED29FE"/>
    <w:rsid w:val="300E1D4A"/>
    <w:rsid w:val="30B05F05"/>
    <w:rsid w:val="310F3573"/>
    <w:rsid w:val="316C19AF"/>
    <w:rsid w:val="32D560F7"/>
    <w:rsid w:val="32DA0AFB"/>
    <w:rsid w:val="33A76F60"/>
    <w:rsid w:val="341E7629"/>
    <w:rsid w:val="35F117C8"/>
    <w:rsid w:val="38087897"/>
    <w:rsid w:val="38284F1B"/>
    <w:rsid w:val="39B0409D"/>
    <w:rsid w:val="3AAF604B"/>
    <w:rsid w:val="3ADB317C"/>
    <w:rsid w:val="3BE45FB7"/>
    <w:rsid w:val="3BF21AC7"/>
    <w:rsid w:val="3C013037"/>
    <w:rsid w:val="3CA21B14"/>
    <w:rsid w:val="3D645999"/>
    <w:rsid w:val="3DBE5819"/>
    <w:rsid w:val="3DFD352C"/>
    <w:rsid w:val="3FDF4D23"/>
    <w:rsid w:val="41083B3B"/>
    <w:rsid w:val="41270465"/>
    <w:rsid w:val="415C39F2"/>
    <w:rsid w:val="41B913A7"/>
    <w:rsid w:val="41DB2FFE"/>
    <w:rsid w:val="42F779C3"/>
    <w:rsid w:val="43502DA9"/>
    <w:rsid w:val="43C26223"/>
    <w:rsid w:val="43D8307E"/>
    <w:rsid w:val="44507CD3"/>
    <w:rsid w:val="44AF5181"/>
    <w:rsid w:val="455A018C"/>
    <w:rsid w:val="46B02CAB"/>
    <w:rsid w:val="46CE3131"/>
    <w:rsid w:val="482502D1"/>
    <w:rsid w:val="486327B1"/>
    <w:rsid w:val="493059DD"/>
    <w:rsid w:val="494F7907"/>
    <w:rsid w:val="4ADF73DC"/>
    <w:rsid w:val="4B1B26BD"/>
    <w:rsid w:val="4B315A3D"/>
    <w:rsid w:val="4B9964A2"/>
    <w:rsid w:val="4C0055E5"/>
    <w:rsid w:val="4C3677AE"/>
    <w:rsid w:val="4C706B3A"/>
    <w:rsid w:val="4D0D54AC"/>
    <w:rsid w:val="4F3B332E"/>
    <w:rsid w:val="51C15CED"/>
    <w:rsid w:val="52285DEB"/>
    <w:rsid w:val="52AD62F0"/>
    <w:rsid w:val="53A94D0A"/>
    <w:rsid w:val="546308FE"/>
    <w:rsid w:val="55570ED6"/>
    <w:rsid w:val="56FE59C9"/>
    <w:rsid w:val="570D735E"/>
    <w:rsid w:val="571B2674"/>
    <w:rsid w:val="589917F1"/>
    <w:rsid w:val="59B241EC"/>
    <w:rsid w:val="5A584742"/>
    <w:rsid w:val="5A5E27F6"/>
    <w:rsid w:val="5A704801"/>
    <w:rsid w:val="5A8C5E4D"/>
    <w:rsid w:val="5AED2A9A"/>
    <w:rsid w:val="5BF5400E"/>
    <w:rsid w:val="5D9E1657"/>
    <w:rsid w:val="5E225DE5"/>
    <w:rsid w:val="5E257683"/>
    <w:rsid w:val="5E7802BC"/>
    <w:rsid w:val="5EE078B0"/>
    <w:rsid w:val="5F0D5523"/>
    <w:rsid w:val="5F2346ED"/>
    <w:rsid w:val="61086613"/>
    <w:rsid w:val="61686204"/>
    <w:rsid w:val="61B6615E"/>
    <w:rsid w:val="62074C63"/>
    <w:rsid w:val="62917095"/>
    <w:rsid w:val="630E06E5"/>
    <w:rsid w:val="6408782B"/>
    <w:rsid w:val="64450AD4"/>
    <w:rsid w:val="65322CBF"/>
    <w:rsid w:val="65B35574"/>
    <w:rsid w:val="65C658ED"/>
    <w:rsid w:val="66B80FA7"/>
    <w:rsid w:val="68CC52CB"/>
    <w:rsid w:val="68DE4FFE"/>
    <w:rsid w:val="691B0000"/>
    <w:rsid w:val="694B58D7"/>
    <w:rsid w:val="69CE4E15"/>
    <w:rsid w:val="6A0767CD"/>
    <w:rsid w:val="6A541A77"/>
    <w:rsid w:val="6ADD7DC2"/>
    <w:rsid w:val="6B3E7E06"/>
    <w:rsid w:val="6B7F3246"/>
    <w:rsid w:val="6BA8152C"/>
    <w:rsid w:val="6BF904A6"/>
    <w:rsid w:val="6C2D2B47"/>
    <w:rsid w:val="6CB5251A"/>
    <w:rsid w:val="6CD429A0"/>
    <w:rsid w:val="6E1D67A7"/>
    <w:rsid w:val="6EF07839"/>
    <w:rsid w:val="6F63000B"/>
    <w:rsid w:val="6F681F38"/>
    <w:rsid w:val="6FCF0C72"/>
    <w:rsid w:val="71500A63"/>
    <w:rsid w:val="717C1858"/>
    <w:rsid w:val="72B56DCF"/>
    <w:rsid w:val="72E964BC"/>
    <w:rsid w:val="735C7C42"/>
    <w:rsid w:val="74D07EF1"/>
    <w:rsid w:val="75B570E6"/>
    <w:rsid w:val="75BF3AC1"/>
    <w:rsid w:val="76044FA1"/>
    <w:rsid w:val="7706409E"/>
    <w:rsid w:val="77502798"/>
    <w:rsid w:val="7797777E"/>
    <w:rsid w:val="780A1873"/>
    <w:rsid w:val="787D11B8"/>
    <w:rsid w:val="78A771BA"/>
    <w:rsid w:val="78AC6820"/>
    <w:rsid w:val="792C5912"/>
    <w:rsid w:val="7A7032F4"/>
    <w:rsid w:val="7BF9769F"/>
    <w:rsid w:val="7CBA4FE2"/>
    <w:rsid w:val="7D06612B"/>
    <w:rsid w:val="7DA13703"/>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beforeLines="0" w:after="260" w:afterLines="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4">
    <w:name w:val="Normal Indent"/>
    <w:basedOn w:val="1"/>
    <w:qFormat/>
    <w:uiPriority w:val="0"/>
    <w:pPr>
      <w:ind w:firstLine="420" w:firstLineChars="200"/>
    </w:pPr>
    <w:rPr>
      <w:rFonts w:ascii="Calibri" w:hAnsi="Calibri" w:eastAsia="宋体" w:cs="Times New Roman"/>
      <w:sz w:val="21"/>
      <w:szCs w:val="24"/>
    </w:rPr>
  </w:style>
  <w:style w:type="paragraph" w:styleId="5">
    <w:name w:val="Body Text Indent"/>
    <w:basedOn w:val="1"/>
    <w:next w:val="4"/>
    <w:qFormat/>
    <w:uiPriority w:val="0"/>
    <w:pPr>
      <w:adjustRightInd w:val="0"/>
      <w:spacing w:line="620" w:lineRule="exact"/>
      <w:ind w:firstLine="600"/>
      <w:textAlignment w:val="baseline"/>
    </w:pPr>
    <w:rPr>
      <w:rFonts w:ascii="宋体" w:hAnsi="宋体"/>
      <w:kern w:val="0"/>
      <w:sz w:val="30"/>
      <w:szCs w:val="20"/>
    </w:r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next w:val="1"/>
    <w:qFormat/>
    <w:uiPriority w:val="0"/>
    <w:pPr>
      <w:ind w:firstLine="420"/>
    </w:pPr>
    <w:rPr>
      <w:rFonts w:ascii="Times New Roman" w:hAnsi="Times New Roman" w:eastAsia="宋体" w:cs="Times New Roman"/>
      <w:sz w:val="28"/>
      <w:szCs w:val="2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2817</Words>
  <Characters>3382</Characters>
  <Lines>0</Lines>
  <Paragraphs>0</Paragraphs>
  <TotalTime>0</TotalTime>
  <ScaleCrop>false</ScaleCrop>
  <LinksUpToDate>false</LinksUpToDate>
  <CharactersWithSpaces>3812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2025-02-25T10:05:00Z</cp:lastPrinted>
  <dcterms:modified xsi:type="dcterms:W3CDTF">2025-07-21T09:49:34Z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D056ECA5E59941DE9951730DC6ED4535_13</vt:lpwstr>
  </property>
  <property fmtid="{D5CDD505-2E9C-101B-9397-08002B2CF9AE}" pid="4" name="KSOTemplateDocerSaveRecord">
    <vt:lpwstr>eyJoZGlkIjoiMDljYzUzMWQ4OWI0YzBkYjYzMDRhZTY5ZjZkYmFmYTgiLCJ1c2VySWQiOiI1ODMzMjMyMTIifQ==</vt:lpwstr>
  </property>
</Properties>
</file>