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</w:p>
    <w:p>
      <w:pPr>
        <w:pStyle w:val="10"/>
        <w:rPr>
          <w:rFonts w:hint="eastAsia"/>
        </w:rPr>
      </w:pPr>
    </w:p>
    <w:p>
      <w:pPr>
        <w:pStyle w:val="10"/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  <w:lang w:eastAsia="zh-CN"/>
        </w:rPr>
      </w:pPr>
      <w:r>
        <w:rPr>
          <w:rFonts w:hint="eastAsia" w:ascii="黑体" w:hAnsi="ArialUnicodeMS" w:eastAsia="黑体"/>
          <w:color w:val="000000"/>
          <w:sz w:val="44"/>
          <w:szCs w:val="44"/>
          <w:lang w:eastAsia="zh-CN"/>
        </w:rPr>
        <w:t>呼图壁县城市管理综合服务中心</w:t>
      </w: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</w:t>
      </w:r>
      <w:r>
        <w:rPr>
          <w:rFonts w:hint="eastAsia" w:ascii="黑体" w:hAnsi="ArialUnicodeMS" w:eastAsia="黑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黑体" w:hAnsi="ArialUnicodeMS" w:eastAsia="黑体"/>
          <w:color w:val="000000"/>
          <w:sz w:val="44"/>
          <w:szCs w:val="44"/>
        </w:rPr>
        <w:t>年部门预算公开</w:t>
      </w:r>
    </w:p>
    <w:p>
      <w:pPr>
        <w:widowControl/>
        <w:spacing w:line="440" w:lineRule="exact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目 录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第一部分  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年呼图壁县城市管理综合服务中心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概况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机构设置及人员情况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第二部分  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年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预算公开表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部门收支总体情况表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部门收入总体情况表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部门支出总体情况表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上年结转结余情况明细表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</w:t>
      </w: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年部门预算情况说明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年收入预算情况说明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年支出预算情况说明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年财政拨款收支预算情况的总体说明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年一般公共预算当年拨款情况说明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年一般公共预算基本支出情况说明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年一般公共预算项目支出情况说明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年政府性基金预算拨款情况说明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年国有资本经营预算拨款情况说明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年财政拨款“三公”经费预算情况说明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年上年结转结余预算情况说明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十二、其他重要事项的情况说明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第四部分  名词解释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</w:p>
    <w:p>
      <w:pPr>
        <w:widowControl/>
        <w:spacing w:line="540" w:lineRule="exact"/>
        <w:jc w:val="center"/>
        <w:outlineLvl w:val="1"/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</w:pPr>
      <w:r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  <w:t>第一部分   2025年呼图壁县城市管理综合服务中心部门概况</w:t>
      </w:r>
    </w:p>
    <w:p>
      <w:pPr>
        <w:widowControl/>
        <w:spacing w:line="540" w:lineRule="exact"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spacing w:line="540" w:lineRule="exact"/>
        <w:ind w:firstLine="643" w:firstLineChars="200"/>
        <w:jc w:val="left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一、主要职能</w:t>
      </w:r>
    </w:p>
    <w:p>
      <w:pPr>
        <w:widowControl/>
        <w:spacing w:line="540" w:lineRule="exact"/>
        <w:ind w:firstLine="641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主要职能:城市管理综合服务中心主要负责城市环境卫生服务；清扫保洁作业、清扫、冰雪清除；垃圾清运、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填埋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；公共市政设施维护；城区园林绿化、公园、道路绿地养护服务、病虫害防治服务及绿化监督管理；供热供气公用事业技术指导；代收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垃圾清运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费、国有资产补偿及赔偿款；道路、街头游园量化美化，提升居民群众宜居生活环境。</w:t>
      </w:r>
    </w:p>
    <w:p>
      <w:pPr>
        <w:widowControl/>
        <w:spacing w:line="540" w:lineRule="exact"/>
        <w:ind w:firstLine="643" w:firstLineChars="200"/>
        <w:jc w:val="left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二、机构设置及人员情况</w:t>
      </w:r>
    </w:p>
    <w:p>
      <w:pPr>
        <w:widowControl/>
        <w:spacing w:line="54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无下属预算单位，下设5   个处室，分别是：</w:t>
      </w:r>
      <w:r>
        <w:rPr>
          <w:rFonts w:hint="eastAsia" w:ascii="仿宋" w:hAnsi="仿宋" w:eastAsia="仿宋" w:cs="仿宋"/>
          <w:sz w:val="32"/>
          <w:szCs w:val="32"/>
        </w:rPr>
        <w:t xml:space="preserve">综合科、公共设施维护科、设施设备科、供热燃气服务科、园林绿化服务科。 </w:t>
      </w:r>
    </w:p>
    <w:p>
      <w:pPr>
        <w:widowControl/>
        <w:spacing w:line="54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编制数4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，实有人数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人，其中：在职4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，减少3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人；退休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人；离休0人，增加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0人。</w:t>
      </w:r>
    </w:p>
    <w:p>
      <w:pPr>
        <w:widowControl/>
        <w:spacing w:line="540" w:lineRule="exact"/>
        <w:ind w:firstLine="64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pStyle w:val="2"/>
        <w:spacing w:before="156" w:beforeLines="50" w:after="156" w:afterLines="50" w:line="400" w:lineRule="exact"/>
        <w:jc w:val="center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黑体" w:eastAsia="黑体"/>
          <w:sz w:val="30"/>
          <w:szCs w:val="30"/>
        </w:rPr>
        <w:t>第二部分 2024年部门预算公开表</w:t>
      </w:r>
    </w:p>
    <w:p>
      <w:pPr>
        <w:widowControl/>
        <w:spacing w:line="240" w:lineRule="exact"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表1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：呼图壁县城市管理综合服务中心           单位：万元                                        </w:t>
      </w:r>
    </w:p>
    <w:tbl>
      <w:tblPr>
        <w:tblStyle w:val="11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1668"/>
        <w:gridCol w:w="2353"/>
        <w:gridCol w:w="16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4389.98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2097.98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2097.98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2.政府性基金预算拨款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203.42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136.17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1072.00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3933.88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1072.00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116.51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2.非财政拨款结余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234抗疫特别国债安排的支出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4389.98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4389.98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textAlignment w:val="bottom"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表2</w:t>
      </w:r>
    </w:p>
    <w:p>
      <w:pPr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：呼图壁县城市管理综合服务中心                  单位：万元                                             </w:t>
      </w:r>
    </w:p>
    <w:tbl>
      <w:tblPr>
        <w:tblStyle w:val="11"/>
        <w:tblW w:w="10015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417"/>
        <w:gridCol w:w="404"/>
        <w:gridCol w:w="1303"/>
        <w:gridCol w:w="875"/>
        <w:gridCol w:w="893"/>
        <w:gridCol w:w="929"/>
        <w:gridCol w:w="425"/>
        <w:gridCol w:w="945"/>
        <w:gridCol w:w="240"/>
        <w:gridCol w:w="312"/>
        <w:gridCol w:w="420"/>
        <w:gridCol w:w="655"/>
        <w:gridCol w:w="1020"/>
        <w:gridCol w:w="309"/>
        <w:gridCol w:w="3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3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功能分类科目编码</w:t>
            </w:r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功能分类科目名称</w:t>
            </w:r>
          </w:p>
        </w:tc>
        <w:tc>
          <w:tcPr>
            <w:tcW w:w="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总  计</w:t>
            </w:r>
          </w:p>
        </w:tc>
        <w:tc>
          <w:tcPr>
            <w:tcW w:w="41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财  政  拨  款  (  补  助  )</w:t>
            </w:r>
          </w:p>
        </w:tc>
        <w:tc>
          <w:tcPr>
            <w:tcW w:w="6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财政专户（教育收费）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单位资金</w:t>
            </w:r>
          </w:p>
        </w:tc>
        <w:tc>
          <w:tcPr>
            <w:tcW w:w="3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财政拨款结转</w:t>
            </w:r>
          </w:p>
        </w:tc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9" w:hRule="atLeast"/>
        </w:trPr>
        <w:tc>
          <w:tcPr>
            <w:tcW w:w="4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款</w:t>
            </w:r>
          </w:p>
        </w:tc>
        <w:tc>
          <w:tcPr>
            <w:tcW w:w="40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项</w:t>
            </w:r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8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财政拨款(补助)小计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一般公共预算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上级一般公共预算安排的转移支付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政府性基金预算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上级政府性基金安排的转移支付</w:t>
            </w:r>
          </w:p>
        </w:tc>
        <w:tc>
          <w:tcPr>
            <w:tcW w:w="3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国有资本经营预算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6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3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37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社会保障和就业支出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203.42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86.42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86.42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117.00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行政事业单位养老支出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203.42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86.42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86.42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117.00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事业单位离退休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18.75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18.75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18.75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168.67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67.67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67.67</w:t>
            </w:r>
            <w:r>
              <w:rPr>
                <w:rFonts w:ascii="仿宋_GB2312" w:hAnsi="宋体" w:eastAsia="仿宋_GB2312" w:cs="宋体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101.00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06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机关事业单位职业年金缴费支出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16.00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sz w:val="18"/>
                <w:szCs w:val="18"/>
              </w:rPr>
              <w:t xml:space="preserve">0.00 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16.00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卫生健康支出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136.17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85.00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行政事业单位医疗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136.17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85.00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事业单位医疗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78.83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33.83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33.83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45.00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03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公务员医疗补助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26.92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16.92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16.92</w:t>
            </w:r>
            <w:r>
              <w:rPr>
                <w:rFonts w:ascii="仿宋_GB2312" w:hAnsi="宋体" w:eastAsia="仿宋_GB2312" w:cs="宋体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99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其他行政事业单位医疗支出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30.42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0.42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ascii="仿宋_GB2312" w:hAnsi="宋体" w:eastAsia="仿宋_GB2312" w:cs="宋体"/>
                <w:sz w:val="18"/>
                <w:szCs w:val="18"/>
              </w:rPr>
              <w:t>0</w:t>
            </w: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.42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城乡社区支出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3933.88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3123.88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1903.88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810.00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城乡社区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环境卫生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2713.88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1903.88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1903.88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810.00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城乡社区环境卫生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2713.88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1903.88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1903.88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810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.00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城市基础设施配套费安排的支出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ascii="仿宋_GB2312" w:hAnsi="宋体" w:eastAsia="仿宋_GB2312" w:cs="宋体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城市</w:t>
            </w:r>
            <w:r>
              <w:rPr>
                <w:rFonts w:hint="eastAsia" w:ascii="仿宋_GB2312" w:eastAsia="仿宋_GB2312"/>
                <w:sz w:val="18"/>
                <w:szCs w:val="18"/>
              </w:rPr>
              <w:t>环境卫生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住房保障支出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116.51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60.00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02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住房改革支出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116.51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60.00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02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01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住房公积金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116.51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60.00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合  计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4389.98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3317.98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2097.98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1072.00</w:t>
            </w:r>
          </w:p>
        </w:tc>
        <w:tc>
          <w:tcPr>
            <w:tcW w:w="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  <w:r>
        <w:rPr>
          <w:rFonts w:ascii="仿宋_GB2312" w:hAnsi="宋体" w:eastAsia="仿宋_GB2312"/>
          <w:b/>
          <w:kern w:val="0"/>
          <w:sz w:val="18"/>
          <w:szCs w:val="18"/>
        </w:rPr>
        <w:t xml:space="preserve"> </w:t>
      </w: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pStyle w:val="10"/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20"/>
          <w:szCs w:val="20"/>
        </w:rPr>
        <w:t>表3</w:t>
      </w:r>
      <w:r>
        <w:rPr>
          <w:rFonts w:ascii="宋体" w:hAnsi="宋体" w:cs="宋体"/>
          <w:kern w:val="0"/>
          <w:sz w:val="20"/>
          <w:szCs w:val="20"/>
        </w:rPr>
        <w:t xml:space="preserve"> </w:t>
      </w:r>
    </w:p>
    <w:p>
      <w:pPr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：呼图壁县城市管理综合服务中心                   单位：万元                                              </w:t>
      </w:r>
    </w:p>
    <w:tbl>
      <w:tblPr>
        <w:tblStyle w:val="11"/>
        <w:tblW w:w="939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26"/>
        <w:gridCol w:w="426"/>
        <w:gridCol w:w="2513"/>
        <w:gridCol w:w="1819"/>
        <w:gridCol w:w="1820"/>
        <w:gridCol w:w="1864"/>
      </w:tblGrid>
      <w:tr>
        <w:trPr>
          <w:trHeight w:val="347" w:hRule="atLeast"/>
        </w:trPr>
        <w:tc>
          <w:tcPr>
            <w:tcW w:w="38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5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86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5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6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</w:p>
        </w:tc>
      </w:tr>
      <w:tr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社会保障和就业支出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203.42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203.42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行政事业单位养老支出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203.42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203.42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事业单位离退休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18.75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18.75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机关事业单位基本养老保险缴费支出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168.67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168.67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06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机关事业单位职业年金缴费支出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16.00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16.00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卫生健康支出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136.17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136.17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行政事业单位医疗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136.17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136.17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事业单位医疗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78.83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78.83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03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公务员医疗补助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26.92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26.92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99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其他行政事业单位医疗支出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30.42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30.42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3933.88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1220.00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城乡社区公共设施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城乡社区环境卫生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城市基础设施配套费安排的支出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城市</w:t>
            </w:r>
            <w:r>
              <w:rPr>
                <w:rFonts w:hint="eastAsia" w:ascii="仿宋_GB2312" w:eastAsia="仿宋_GB2312"/>
                <w:sz w:val="18"/>
                <w:szCs w:val="18"/>
              </w:rPr>
              <w:t>环境卫生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住房保障支出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住房改革支出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01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住房公积金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计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4389.88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3169.98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1220.00</w:t>
            </w:r>
          </w:p>
        </w:tc>
      </w:tr>
    </w:tbl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表4</w:t>
      </w:r>
    </w:p>
    <w:p>
      <w:pPr>
        <w:widowControl/>
        <w:spacing w:beforeLines="50"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Lines="50"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：呼图壁县城市管理综合服务中心           单位：万元                                          </w:t>
      </w:r>
    </w:p>
    <w:tbl>
      <w:tblPr>
        <w:tblStyle w:val="11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1325"/>
        <w:gridCol w:w="2019"/>
        <w:gridCol w:w="1325"/>
        <w:gridCol w:w="1325"/>
        <w:gridCol w:w="942"/>
        <w:gridCol w:w="9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5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  计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政府性基金预算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3317.98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2097.98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1220.00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86.42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86.42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3123.88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1903.88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56.51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234抗疫特别国债安排的支出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3317.98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3317.98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2097.98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1220.00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表5</w:t>
      </w:r>
    </w:p>
    <w:tbl>
      <w:tblPr>
        <w:tblStyle w:val="11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98"/>
        <w:gridCol w:w="501"/>
        <w:gridCol w:w="2486"/>
        <w:gridCol w:w="1675"/>
        <w:gridCol w:w="216"/>
        <w:gridCol w:w="1616"/>
        <w:gridCol w:w="1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方正小标宋_GBK" w:eastAsia="方正小标宋_GBK" w:cs="方正小标宋_GBK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9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：呼图壁县城市管理综合服务中心</w:t>
            </w:r>
          </w:p>
        </w:tc>
        <w:tc>
          <w:tcPr>
            <w:tcW w:w="3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51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4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7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3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6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社会保障和就业支出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86.42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86.42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行政事业单位养老支出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86.42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86.42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事业单位离退休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18.75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18.75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机关事业单位基本养老保险缴费支出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67.67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67.67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卫生健康支出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51.17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51.17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行政事业单位医疗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51.17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51.17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事业单位医疗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33.83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33.83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03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公务员医疗补助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16.92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16.92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99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其他行政事业单位医疗支出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0.42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0.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42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城乡社区环境卫生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城乡社区环境卫生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住房保障支出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住房改革支出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eastAsia="仿宋_GB2312"/>
                <w:szCs w:val="21"/>
              </w:rPr>
              <w:t>住房改革支出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</w:rPr>
              <w:t>合  计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Cs w:val="21"/>
                <w:lang w:val="en-US" w:eastAsia="zh-CN"/>
              </w:rPr>
              <w:t>2097.98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Cs w:val="21"/>
                <w:lang w:val="en-US" w:eastAsia="zh-CN"/>
              </w:rPr>
              <w:t>2097.98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/>
                <w:bCs/>
                <w:szCs w:val="21"/>
              </w:rPr>
            </w:pPr>
          </w:p>
        </w:tc>
      </w:tr>
    </w:tbl>
    <w:p>
      <w:pPr>
        <w:widowControl/>
        <w:jc w:val="left"/>
        <w:textAlignment w:val="bottom"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表6</w:t>
      </w:r>
    </w:p>
    <w:tbl>
      <w:tblPr>
        <w:tblStyle w:val="11"/>
        <w:tblW w:w="9480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586"/>
        <w:gridCol w:w="3174"/>
        <w:gridCol w:w="1490"/>
        <w:gridCol w:w="995"/>
        <w:gridCol w:w="731"/>
        <w:gridCol w:w="17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方正小标宋_GBK" w:eastAsia="方正小标宋_GBK" w:cs="方正小标宋_GBK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0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</w:t>
            </w:r>
            <w:r>
              <w:rPr>
                <w:rFonts w:hint="eastAsia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：呼图壁县城市管理综合服务中心</w:t>
            </w: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49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经济分类科目编码</w:t>
            </w:r>
          </w:p>
        </w:tc>
        <w:tc>
          <w:tcPr>
            <w:tcW w:w="31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经济分类科目名称</w:t>
            </w:r>
          </w:p>
        </w:tc>
        <w:tc>
          <w:tcPr>
            <w:tcW w:w="14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72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7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31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工资福利支出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2030.42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2030.42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基本工资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169.66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169.66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02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津贴补贴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53.6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53.6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03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奖金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38.04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138.04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07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绩效工资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109.65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109.65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08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机关事业单位基本养老保险缴费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67.67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67.67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职工基本医疗保险缴费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33.83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33.83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公务员医疗补助缴费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16.92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16.92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12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其他社会保障缴费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4.23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4.23 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13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住房公积金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56.51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6.51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99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其他工资福利支出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1380.3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1380.3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商品和服务支出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42.8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42.8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办公费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3.46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02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印刷费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07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邮电费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2.00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08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取暖费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19.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86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19.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差旅费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1.55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维修（护）费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培训费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工会经费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8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.18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8.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公务用车运行维护费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6.40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6.40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对个人和家庭的补助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24.76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24.76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303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02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退休费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21.99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21.99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303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奖励金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2.77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  <w:t>2.77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合  计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  <w:t>2097.98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  <w:t>2055.18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  <w:t>42.8</w:t>
            </w:r>
          </w:p>
        </w:tc>
      </w:tr>
    </w:tbl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widowControl/>
        <w:jc w:val="left"/>
        <w:textAlignment w:val="bottom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 xml:space="preserve"> </w:t>
      </w:r>
      <w:r>
        <w:rPr>
          <w:rFonts w:hint="eastAsia" w:ascii="宋体" w:hAnsi="宋体" w:cs="宋体"/>
          <w:kern w:val="0"/>
          <w:sz w:val="20"/>
          <w:szCs w:val="20"/>
        </w:rPr>
        <w:t>表7</w:t>
      </w:r>
    </w:p>
    <w:tbl>
      <w:tblPr>
        <w:tblStyle w:val="11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477"/>
        <w:gridCol w:w="417"/>
        <w:gridCol w:w="417"/>
        <w:gridCol w:w="995"/>
        <w:gridCol w:w="1200"/>
        <w:gridCol w:w="817"/>
        <w:gridCol w:w="683"/>
        <w:gridCol w:w="834"/>
        <w:gridCol w:w="300"/>
        <w:gridCol w:w="350"/>
        <w:gridCol w:w="633"/>
        <w:gridCol w:w="850"/>
        <w:gridCol w:w="527"/>
        <w:gridCol w:w="240"/>
        <w:gridCol w:w="351"/>
        <w:gridCol w:w="380"/>
        <w:gridCol w:w="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" w:type="dxa"/>
          <w:wAfter w:w="60" w:type="dxa"/>
          <w:trHeight w:val="375" w:hRule="atLeast"/>
        </w:trPr>
        <w:tc>
          <w:tcPr>
            <w:tcW w:w="947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方正小标宋_GBK" w:eastAsia="方正小标宋_GBK" w:cs="方正小标宋_GBK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" w:type="dxa"/>
          <w:wAfter w:w="60" w:type="dxa"/>
          <w:trHeight w:val="307" w:hRule="atLeast"/>
        </w:trPr>
        <w:tc>
          <w:tcPr>
            <w:tcW w:w="71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：呼图壁县城市管理综合服务中心</w:t>
            </w:r>
          </w:p>
        </w:tc>
        <w:tc>
          <w:tcPr>
            <w:tcW w:w="2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20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99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17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683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30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35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633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527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24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351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440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</w:t>
            </w:r>
          </w:p>
        </w:tc>
        <w:tc>
          <w:tcPr>
            <w:tcW w:w="99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30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35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527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351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7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5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8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" w:eastAsia="仿宋"/>
          <w:b/>
          <w:color w:val="000000"/>
          <w:szCs w:val="21"/>
        </w:rPr>
        <w:t xml:space="preserve"> 备注：呼图壁县城市管理综合服务中心202</w:t>
      </w:r>
      <w:r>
        <w:rPr>
          <w:rFonts w:hint="eastAsia" w:ascii="仿宋" w:eastAsia="仿宋"/>
          <w:b/>
          <w:color w:val="000000"/>
          <w:szCs w:val="21"/>
          <w:lang w:val="en-US" w:eastAsia="zh-CN"/>
        </w:rPr>
        <w:t>5</w:t>
      </w:r>
      <w:r>
        <w:rPr>
          <w:rFonts w:hint="eastAsia" w:ascii="仿宋" w:eastAsia="仿宋"/>
          <w:b/>
          <w:color w:val="000000"/>
          <w:szCs w:val="21"/>
        </w:rPr>
        <w:t>年没有使用一般公共预算安排项目支出，一般公共预算项目支出情况表为空表。</w:t>
      </w:r>
    </w:p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hint="eastAsia"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widowControl/>
        <w:jc w:val="left"/>
        <w:textAlignment w:val="bottom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</w:t>
      </w:r>
      <w:r>
        <w:rPr>
          <w:rFonts w:ascii="宋体" w:hAnsi="宋体" w:cs="宋体"/>
          <w:kern w:val="0"/>
          <w:sz w:val="20"/>
          <w:szCs w:val="20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 呼图壁县城市管理综合服务中心               单位：万元                                    </w:t>
      </w:r>
    </w:p>
    <w:tbl>
      <w:tblPr>
        <w:tblStyle w:val="11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212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城乡社区支出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212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13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城市基础设施配套费安排的支出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212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02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eastAsia="zh-CN"/>
              </w:rPr>
              <w:t>城市环境卫生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1220.00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1220.00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</w:tr>
    </w:tbl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pStyle w:val="10"/>
      </w:pPr>
    </w:p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宋体" w:hAnsi="宋体" w:cs="宋体"/>
          <w:kern w:val="0"/>
          <w:sz w:val="20"/>
          <w:szCs w:val="20"/>
        </w:rPr>
        <w:t>表9</w:t>
      </w:r>
    </w:p>
    <w:p>
      <w:pPr>
        <w:widowControl/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国有资本经营预算支出情况表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>：呼图壁县城市管理综合服务中心                    单位：万元</w:t>
      </w:r>
    </w:p>
    <w:tbl>
      <w:tblPr>
        <w:tblStyle w:val="11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国有资本经营预算支出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rPr>
          <w:rFonts w:hint="default" w:ascii="仿宋" w:hAnsi="Calibri" w:eastAsia="仿宋" w:cs="Times New Roman"/>
          <w:b/>
          <w:color w:val="000000"/>
          <w:szCs w:val="21"/>
          <w:lang w:val="en-US" w:eastAsia="zh-CN"/>
        </w:rPr>
      </w:pPr>
      <w:r>
        <w:rPr>
          <w:rFonts w:hint="eastAsia" w:ascii="仿宋" w:hAnsi="Calibri" w:eastAsia="仿宋" w:cs="Times New Roman"/>
          <w:b/>
          <w:color w:val="000000"/>
          <w:szCs w:val="21"/>
        </w:rPr>
        <w:t>备注：呼图壁县城市管理综合服务中心</w:t>
      </w: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>2025年</w:t>
      </w:r>
      <w:r>
        <w:rPr>
          <w:rFonts w:hint="eastAsia" w:ascii="仿宋" w:hAnsi="Calibri" w:eastAsia="仿宋" w:cs="Times New Roman"/>
          <w:b/>
          <w:color w:val="000000"/>
          <w:szCs w:val="21"/>
        </w:rPr>
        <w:t>无国有资本经营预算安排，国有资本经营预算支出情况表</w:t>
      </w: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>为空表</w:t>
      </w:r>
    </w:p>
    <w:p>
      <w:pPr>
        <w:widowControl/>
        <w:jc w:val="left"/>
        <w:textAlignment w:val="bottom"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</w:t>
      </w:r>
      <w:r>
        <w:rPr>
          <w:rFonts w:ascii="宋体" w:hAnsi="宋体" w:cs="宋体"/>
          <w:kern w:val="0"/>
          <w:sz w:val="20"/>
          <w:szCs w:val="20"/>
        </w:rPr>
        <w:t>10</w:t>
      </w:r>
    </w:p>
    <w:p>
      <w:pPr>
        <w:widowControl/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财政拨款“三公”经费支出情况表</w:t>
      </w:r>
    </w:p>
    <w:p>
      <w:pPr>
        <w:widowControl/>
        <w:jc w:val="left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>：呼图壁县城市管理综合服务中心                    单位：万元</w:t>
      </w:r>
    </w:p>
    <w:p>
      <w:pPr>
        <w:widowControl/>
        <w:jc w:val="left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                                            </w:t>
      </w:r>
    </w:p>
    <w:tbl>
      <w:tblPr>
        <w:tblStyle w:val="12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“三公”经费支出内容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215" w:type="dxa"/>
            <w:vMerge w:val="continue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合计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6.</w:t>
            </w: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val="en-US" w:eastAsia="zh-CN"/>
              </w:rPr>
              <w:t>40</w:t>
            </w: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6.</w:t>
            </w: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val="en-US" w:eastAsia="zh-CN"/>
              </w:rPr>
              <w:t>40</w:t>
            </w: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因公出国（境）费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公务接待费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</w:rPr>
              <w:t>（小计）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highlight w:val="none"/>
                <w:lang w:val="en-US"/>
              </w:rPr>
            </w:pPr>
            <w:r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highlight w:val="none"/>
                <w:lang w:val="en-US"/>
              </w:rPr>
              <w:t>6.40</w:t>
            </w: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highlight w:val="none"/>
                <w:lang w:val="en-US"/>
              </w:rPr>
            </w:pPr>
            <w:r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highlight w:val="none"/>
                <w:lang w:val="en-US"/>
              </w:rPr>
              <w:t>6.40</w:t>
            </w: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</w:tcPr>
          <w:p>
            <w:pPr>
              <w:widowControl/>
              <w:ind w:firstLine="281" w:firstLineChars="100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其中：公务用车购置费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 xml:space="preserve">     </w:t>
            </w:r>
            <w:r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 xml:space="preserve"> 公务用车运行费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6.40</w:t>
            </w: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6.40</w:t>
            </w: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</w:p>
    <w:p>
      <w:pPr>
        <w:pStyle w:val="10"/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仿宋" w:hAnsi="仿宋" w:eastAsia="仿宋" w:cs="仿宋_GB2312"/>
          <w:bCs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0"/>
          <w:szCs w:val="20"/>
        </w:rPr>
        <w:t>表</w:t>
      </w:r>
      <w:r>
        <w:rPr>
          <w:rFonts w:ascii="宋体" w:hAnsi="宋体" w:cs="宋体"/>
          <w:kern w:val="0"/>
          <w:sz w:val="20"/>
          <w:szCs w:val="20"/>
        </w:rPr>
        <w:t>1</w:t>
      </w:r>
      <w:r>
        <w:rPr>
          <w:rFonts w:hint="eastAsia" w:ascii="宋体" w:hAnsi="宋体" w:cs="宋体"/>
          <w:kern w:val="0"/>
          <w:sz w:val="20"/>
          <w:szCs w:val="20"/>
        </w:rPr>
        <w:t>1</w:t>
      </w:r>
    </w:p>
    <w:p>
      <w:pPr>
        <w:widowControl/>
        <w:jc w:val="center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上年结转结余情况明细表</w:t>
      </w:r>
    </w:p>
    <w:p>
      <w:pPr>
        <w:widowControl/>
        <w:jc w:val="left"/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>：呼图壁县城市管理综合服务中心                    单位：万元</w:t>
      </w:r>
    </w:p>
    <w:tbl>
      <w:tblPr>
        <w:tblStyle w:val="12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eastAsia" w:ascii="仿宋" w:hAnsi="Calibri" w:eastAsia="仿宋" w:cs="Times New Roman"/>
          <w:b/>
          <w:color w:val="000000"/>
          <w:szCs w:val="21"/>
        </w:rPr>
      </w:pPr>
      <w:r>
        <w:rPr>
          <w:rFonts w:hint="eastAsia" w:ascii="仿宋" w:hAnsi="Calibri" w:eastAsia="仿宋" w:cs="Times New Roman"/>
          <w:b/>
          <w:color w:val="000000"/>
          <w:szCs w:val="21"/>
        </w:rPr>
        <w:t>备注：呼图壁县城市管理综合服务中心</w:t>
      </w: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>2025年没有</w:t>
      </w:r>
      <w:r>
        <w:rPr>
          <w:rFonts w:hint="eastAsia" w:ascii="仿宋" w:eastAsia="仿宋"/>
          <w:b/>
          <w:color w:val="000000"/>
          <w:szCs w:val="21"/>
        </w:rPr>
        <w:t>上年结转结余预算安排的支出</w:t>
      </w:r>
      <w:r>
        <w:rPr>
          <w:rFonts w:hint="eastAsia" w:ascii="仿宋" w:hAnsi="Calibri" w:eastAsia="仿宋" w:cs="Times New Roman"/>
          <w:b/>
          <w:color w:val="000000"/>
          <w:szCs w:val="21"/>
        </w:rPr>
        <w:t>，此表为空</w:t>
      </w: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32"/>
          <w:szCs w:val="32"/>
        </w:rPr>
        <w:sectPr>
          <w:footerReference r:id="rId4" w:type="default"/>
          <w:pgSz w:w="11906" w:h="16838"/>
          <w:pgMar w:top="2098" w:right="1531" w:bottom="1984" w:left="1531" w:header="851" w:footer="992" w:gutter="0"/>
          <w:pgNumType w:fmt="numberInDash" w:start="1"/>
          <w:cols w:space="720" w:num="1"/>
          <w:docGrid w:linePitch="312" w:charSpace="0"/>
        </w:sectPr>
      </w:pPr>
    </w:p>
    <w:p>
      <w:pPr>
        <w:spacing w:line="600" w:lineRule="exact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202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kern w:val="0"/>
          <w:sz w:val="32"/>
          <w:szCs w:val="32"/>
        </w:rPr>
        <w:t>年部门预算情况说明</w:t>
      </w:r>
    </w:p>
    <w:p>
      <w:pPr>
        <w:spacing w:line="600" w:lineRule="exact"/>
        <w:ind w:firstLine="640" w:firstLineChars="200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</w:rPr>
        <w:t>一、关于呼图壁县城市管理综合服务中心202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</w:rPr>
        <w:t>年收支预算情况的总体说明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按照全口径预算的原则，呼图壁县城市管理综合服务中心202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年所有收入和支出均纳入呼图壁县城市管理综合服务中心预算管理。收支总预算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4389.98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政府性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基金预算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单位资金。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b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社会保障和就业支出、卫生健康支出、城乡社区支出、住房保障支出。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 xml:space="preserve"> 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</w:rPr>
        <w:t>呼图壁县城市管理综合服务中心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年收入预算情况说明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呼图壁县城市管理综合服务中心收入预算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4389.98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万元，其中：</w:t>
      </w:r>
    </w:p>
    <w:p>
      <w:pPr>
        <w:widowControl/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2097.98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47.79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821.36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28.14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与上年度相比，职称结构发生变化、调资等原因，造成人员经费减少。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项目预算资金2025年调整到政府性预算资金拨款。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上级一般公共预算安排的转移支付资金未安排。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政府性基金预算安排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上年度项目资金在一般公共预算中列支，2025年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项目预算资金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列支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到政府性预算资金里，增加了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1220万元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上级政府性基金安排的转移支付资金未安排。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国有资本经营预算未安排。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上级国有资本经营预算安排的转移支付资金未安排。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单位资金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1072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24.42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385.2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56.09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%，主要原因是：与上年度相比，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单位机构改革合并运行经费增加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所以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单位资金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预算增加。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</w:rPr>
        <w:t>呼图壁县城市管理综合服务中心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年支出预算情况说明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呼图壁县城市管理综合服务中心202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年支出预算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4389.98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万元，其中：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3169.98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72.21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363.84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12.97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与上年度相比，职称结构发生变化、调资等原因，造成人员经费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27.79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52.50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城区绿化养护费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支出增加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19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/>
          <w:color w:val="FF0000"/>
          <w:spacing w:val="-6"/>
          <w:kern w:val="0"/>
          <w:sz w:val="32"/>
          <w:szCs w:val="32"/>
          <w:highlight w:val="none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四、关于呼图壁县城市管理综合服务中心202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年财政拨款收支预算情况的总体说明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2024年财政拨款收支总预算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3317.98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收入预算包括：一般公共预算拨款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2097.98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万元，政府性基金预算拨款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86.42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万元，主要用于职工社会保险缴费。卫生健康支出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51.17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万元，主要用于职工医疗保险缴费。城乡社区支出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1903.88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万元，主要用于人员经费和日常市政公共实施维护业务公用经费支出。住房保障支出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56.51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万元，主要用于职工住房公积金支出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支出包括：城乡社区支出1220万元，主要用于支付特种车运行及垃圾场运行维护费500万元；城区绿化养护费720万元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highlight w:val="none"/>
        </w:rPr>
        <w:t>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呼图壁县城市管理综合服务中心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年一般公共预算拨款合计2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097.98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2097.98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708.16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25.24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与上年度相比，职称结构发生变化、调资等原因，造成人员经费减少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增长0%。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近年未申请项目预算。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1.社会保障和就业支出（类）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86.42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4.12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2.卫生健康支出（类）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51.17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2.44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3.城乡社区支出（类）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1903.88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万元，占9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0.75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4.住房保障支出（类）5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6.51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2.69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社会保障和就业支出（类）行政事业单位养老支出（款）事业单位离退休（项）：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18.75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14.17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43.04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根据医保政策，退休人员医疗期满后不用再交医疗保险，预算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经费减少。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社会保障和就业支出（类）行政事业单位养老支出（款）机关事业单位基本养老保险缴费支出（项）: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67.67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2.56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3.65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上一年度此类资金部分款项运用错误，2025年进行了纠错，调至正确款项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>
      <w:pPr>
        <w:widowControl/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3.卫生健康支出（类）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行政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事业单位医疗（款）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事业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单位医疗（项）:202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33.83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1.28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3.65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%，主要原因是:政策变化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年的预算中减少了退休人员的基本医疗和公务员医疗补贴。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4.卫生健康支出（类）行政事业单位医疗（款）公务员医疗补助（项）:202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16.92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 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7.26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75.16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%，主要原因是:政策变化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年的预算退休人员公务员医疗补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助是在此款项中列支，上一年无此项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5.卫生健康支出（类）行政事业单位医疗（款）其他行政事业单位医疗支出（项）:202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0.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 ，比上年预算增加0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.14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%，主要原因是:</w:t>
      </w:r>
      <w:r>
        <w:rPr>
          <w:rFonts w:hint="eastAsia" w:ascii="仿宋" w:hAnsi="微软雅黑" w:eastAsia="仿宋"/>
          <w:sz w:val="32"/>
          <w:szCs w:val="32"/>
        </w:rPr>
        <w:t>本年度在职人员的缴费基数比例有所调整</w:t>
      </w:r>
      <w:r>
        <w:rPr>
          <w:rFonts w:hint="eastAsia" w:ascii="仿宋" w:hAnsi="微软雅黑" w:eastAsia="仿宋"/>
          <w:sz w:val="32"/>
          <w:szCs w:val="32"/>
          <w:lang w:eastAsia="zh-CN"/>
        </w:rPr>
        <w:t>，</w:t>
      </w:r>
      <w:r>
        <w:rPr>
          <w:rFonts w:hint="eastAsia" w:ascii="仿宋" w:hAnsi="微软雅黑" w:eastAsia="仿宋"/>
          <w:sz w:val="32"/>
          <w:szCs w:val="32"/>
          <w:lang w:val="en-US" w:eastAsia="zh-CN"/>
        </w:rPr>
        <w:t>预算增加</w:t>
      </w:r>
      <w:r>
        <w:rPr>
          <w:rFonts w:hint="eastAsia" w:ascii="仿宋" w:hAnsi="微软雅黑" w:eastAsia="仿宋"/>
          <w:sz w:val="32"/>
          <w:szCs w:val="32"/>
        </w:rPr>
        <w:t xml:space="preserve"> 。</w:t>
      </w:r>
    </w:p>
    <w:p>
      <w:pPr>
        <w:widowControl/>
        <w:spacing w:line="560" w:lineRule="exact"/>
        <w:ind w:firstLine="640" w:firstLineChars="200"/>
        <w:rPr>
          <w:rFonts w:ascii="仿宋" w:hAnsi="微软雅黑" w:eastAsia="仿宋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.城乡社区支出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类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城乡社区环境卫生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款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城乡社区环境卫生（项）:202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1903.88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 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481.44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33.85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" w:hAnsi="微软雅黑" w:eastAsia="仿宋"/>
          <w:sz w:val="32"/>
          <w:szCs w:val="32"/>
        </w:rPr>
        <w:t>与上年度相比，职称结构发生变化、调资等原因，造成人员</w:t>
      </w:r>
      <w:r>
        <w:rPr>
          <w:rFonts w:hint="eastAsia" w:ascii="仿宋" w:hAnsi="微软雅黑" w:eastAsia="仿宋"/>
          <w:sz w:val="32"/>
          <w:szCs w:val="32"/>
          <w:lang w:eastAsia="zh-CN"/>
        </w:rPr>
        <w:t>及运行</w:t>
      </w:r>
      <w:r>
        <w:rPr>
          <w:rFonts w:hint="eastAsia" w:ascii="仿宋" w:hAnsi="微软雅黑" w:eastAsia="仿宋"/>
          <w:sz w:val="32"/>
          <w:szCs w:val="32"/>
        </w:rPr>
        <w:t>经费</w:t>
      </w:r>
      <w:r>
        <w:rPr>
          <w:rFonts w:hint="eastAsia" w:ascii="仿宋" w:hAnsi="微软雅黑" w:eastAsia="仿宋"/>
          <w:sz w:val="32"/>
          <w:szCs w:val="32"/>
          <w:lang w:eastAsia="zh-CN"/>
        </w:rPr>
        <w:t>增加</w:t>
      </w:r>
      <w:r>
        <w:rPr>
          <w:rFonts w:hint="eastAsia" w:ascii="仿宋" w:hAnsi="微软雅黑" w:eastAsia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.住房保障支出（类）住房改革支出（款）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住房改革支出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56.51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 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2.19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3.73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上一年度此类资金部分款项运用错误，2025年进行了纠错，调至正确款项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六、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  <w:t>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  <w:t>年一般公共预算基本支出情况说明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spacing w:val="-6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年一般公共预算基本支出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lang w:val="en-US" w:eastAsia="zh-CN"/>
        </w:rPr>
        <w:t>2097.98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万元，其中：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2055.18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奖励金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万元，主要包括：办公费、邮电费、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印刷费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取暖费、差旅费、维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护费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、培训费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、工会经费、公务用车运行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19" w:firstLineChars="200"/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  <w:t>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年没有使用一般公共预算项目支出，一般公共预算项目支出情况表为空表。</w:t>
      </w:r>
    </w:p>
    <w:p>
      <w:pPr>
        <w:numPr>
          <w:ilvl w:val="0"/>
          <w:numId w:val="1"/>
        </w:numPr>
        <w:spacing w:line="600" w:lineRule="exact"/>
        <w:ind w:left="0" w:leftChars="0" w:firstLine="643" w:firstLineChars="200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年政府性基金预算拨款情况说明</w:t>
      </w:r>
    </w:p>
    <w:p>
      <w:pPr>
        <w:spacing w:line="600" w:lineRule="exact"/>
        <w:ind w:firstLine="643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2025年政府性基金支出预算支出1220万元。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与上年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相比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52.50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城市基础设施配套费收入预计增加，相应城市基础配套费安排的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城区绿化养护费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其中：</w:t>
      </w:r>
    </w:p>
    <w:p>
      <w:pPr>
        <w:spacing w:line="60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1.城乡社区支出（类）城市基础设施配套费安排的支出（款）城市环境卫生（项）支出1220万元，与上年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相比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52.50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政府性基金收入城市基础设施配套费收入预计增加，相应政府性基金城市基础配套费安排的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城区绿化养护费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九、关于呼图壁县城市管理综合服务中心202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年国有资本经营预算拨款情况说明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年没有使用国有资本经营预算拨款安排的支出，国有资本经营预算支出情况表为空表。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十、关于呼图壁县城市管理综合服务中心202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年财政拨款“三公”经费预算情况说明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年财政拨款“三公”经费数为6.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万元，其中：因公出国（境）费0万元，公务用车购置费0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.00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万元，公务用车运行费6.4万元，公务接待费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年财政拨款“三公”经费比上年预算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.38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5.60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%，其中：因公出国（境）费增加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0万元，增长0%，主要原因是：2024年-2025年均未安排此项经费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公务用车购置费增加0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万元，增长0%，主要原因是：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2024年-2025年均未安排此项经费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公务用车运行费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%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；公务接待费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比上年预算减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0.38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年未安排公务接待费。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十一、关于呼图壁县城市管理综合服务中心202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年上年结转结余预算情况说明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年无上年结转结余预算的支出，结转结余预算支出情况表为空表。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十二、其他重要事项的情况说明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（一）单位运行经费情况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呼图壁县城市管理综合服务中心202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年的事业单位运行经费财政拨款预算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42.8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.27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0.63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2024年中进行了经费追加，2025年按照定额进行预算，因此预算数有所减少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年，呼图壁县城市管理综合服务中心政府采购预算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950.13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万元，其中：政府采购货物预算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93.15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万元，政府采购工程预算0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政府采购服务预算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856.98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年，呼图壁县城市管理综合服务中心</w:t>
      </w:r>
      <w:r>
        <w:rPr>
          <w:rFonts w:hint="eastAsia" w:ascii="仿宋_GB2312" w:hAnsi="仿宋_GB2312" w:eastAsia="仿宋_GB2312" w:cs="仿宋_GB2312"/>
          <w:sz w:val="32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950.13</w:t>
      </w:r>
      <w:r>
        <w:rPr>
          <w:rFonts w:hint="eastAsia" w:ascii="仿宋_GB2312" w:hAnsi="仿宋_GB2312" w:eastAsia="仿宋_GB2312" w:cs="仿宋_GB2312"/>
          <w:sz w:val="32"/>
        </w:rPr>
        <w:t>万元，小微企业预留政府采购项目预算金额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950.13</w:t>
      </w:r>
      <w:r>
        <w:rPr>
          <w:rFonts w:hint="eastAsia" w:ascii="仿宋_GB2312" w:hAnsi="仿宋_GB2312" w:eastAsia="仿宋_GB2312" w:cs="仿宋_GB2312"/>
          <w:sz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年底，呼图壁县城市管理综合服务中心占用使用国有资产总体情况为：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1.房屋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2107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3.58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平方米，价值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1828.08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2.车辆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2743.01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万元；其中：一般公务用车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辆，价值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26.14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万元；执法执勤用车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辆，价值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万元；其他车辆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2716.87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3.办公家具价值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12.54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其他资产价值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96.54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价值50万元以上大型设备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价值100万元以上大型设备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台，单位价值100万元以上大型设备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FF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年，本部门预算绩效管理整体预算绩效目标1个，涉及金额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4389.98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万元；当年财政拨款项目2个，涉及预算金额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万元；当年非财政拨款项目0个，涉及预算金额0万元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具体情况见下表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 xml:space="preserve"> </w:t>
      </w:r>
    </w:p>
    <w:tbl>
      <w:tblPr>
        <w:tblStyle w:val="11"/>
        <w:tblpPr w:leftFromText="180" w:rightFromText="180" w:vertAnchor="text" w:horzAnchor="page" w:tblpX="1502" w:tblpY="-8803"/>
        <w:tblOverlap w:val="never"/>
        <w:tblW w:w="93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361"/>
        <w:gridCol w:w="1892"/>
        <w:gridCol w:w="1023"/>
        <w:gridCol w:w="2420"/>
        <w:gridCol w:w="14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  <w:t>部门整体绩效目标表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（202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部门（单位）名称（盖章）</w:t>
            </w:r>
          </w:p>
        </w:tc>
        <w:tc>
          <w:tcPr>
            <w:tcW w:w="6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呼图壁县城市管理综合服务中心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部门（单位）联系人</w:t>
            </w:r>
          </w:p>
        </w:tc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韩小刚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联系电话：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18196131798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年度绩效目标</w:t>
            </w:r>
          </w:p>
        </w:tc>
        <w:tc>
          <w:tcPr>
            <w:tcW w:w="6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目标1：在编4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人、退休人员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rFonts w:hint="eastAsia"/>
              </w:rPr>
              <w:t>人、同工同酬5人，临聘环卫工人及保绿保洁</w:t>
            </w:r>
            <w:r>
              <w:rPr>
                <w:rFonts w:hint="eastAsia"/>
                <w:lang w:val="en-US" w:eastAsia="zh-CN"/>
              </w:rPr>
              <w:t>262</w:t>
            </w:r>
            <w:r>
              <w:rPr>
                <w:rFonts w:hint="eastAsia"/>
              </w:rPr>
              <w:t>人，全年工资福利和日常运行支出。</w:t>
            </w:r>
          </w:p>
          <w:p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目标2：贯彻落实城区市政公共设施维护维修、城区环境卫生清扫保洁，游园、道路树木、花卉日常养护的实施与监督管理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4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年度预算（万元）</w:t>
            </w:r>
          </w:p>
        </w:tc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资金来源</w:t>
            </w:r>
          </w:p>
        </w:tc>
        <w:tc>
          <w:tcPr>
            <w:tcW w:w="3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资金总额（万元）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4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财政资金（万元）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上级安排</w:t>
            </w:r>
          </w:p>
        </w:tc>
        <w:tc>
          <w:tcPr>
            <w:tcW w:w="3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4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本级安排</w:t>
            </w:r>
          </w:p>
        </w:tc>
        <w:tc>
          <w:tcPr>
            <w:tcW w:w="3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4389.98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4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其他资金（万元）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</w:t>
            </w:r>
          </w:p>
        </w:tc>
        <w:tc>
          <w:tcPr>
            <w:tcW w:w="3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指标设定依据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分值权重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履职效能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病虫害防治面积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&gt;=393万㎡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街头游园花卉更新次数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&gt;=2次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日常养护管理公园数量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&gt;=4个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</w:pPr>
          </w:p>
          <w:p>
            <w:pPr>
              <w:jc w:val="center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机械清扫覆盖率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&gt;=81.5%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城市生活垃圾无害化处理率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&gt;=98.56%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15</w:t>
            </w:r>
          </w:p>
        </w:tc>
      </w:tr>
    </w:tbl>
    <w:p>
      <w:pPr>
        <w:spacing w:line="600" w:lineRule="exac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</w:p>
    <w:tbl>
      <w:tblPr>
        <w:tblStyle w:val="11"/>
        <w:tblpPr w:leftFromText="180" w:rightFromText="180" w:vertAnchor="text" w:horzAnchor="page" w:tblpX="1112" w:tblpY="200"/>
        <w:tblOverlap w:val="never"/>
        <w:tblW w:w="92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219"/>
        <w:gridCol w:w="1119"/>
        <w:gridCol w:w="1285"/>
        <w:gridCol w:w="828"/>
        <w:gridCol w:w="908"/>
        <w:gridCol w:w="1057"/>
        <w:gridCol w:w="8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  <w:t>项目支出绩效目标表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呼图壁县城市管理综合服务中心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特种车、绿化用车、垃圾场运行维护费（非定额）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韩小刚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2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确保县城环境卫生干净整洁，做到日产日清，集中收集处理率保持在100%，保障生活垃圾填埋场的环境监测、生活垃圾填埋碾压平整等工作正常开展。保证扫路车，清雪车、垃圾车等特种车辆油料、维修等日常业务正常开展，使环卫作业更加规范，县城内街道干净、整洁，环境更舒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清扫车数量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=20辆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rPr>
          <w:trHeight w:val="643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洒水及浇灌车数量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&gt;=10辆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洒水及浇灌车数量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&gt;=31辆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城区环境卫生机械化清扫率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&gt;=90%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项目完成及时率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&gt;=100%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专用燃料费支出成本控制率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&lt;=100%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改善居民宜居环境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有效改善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居民满意度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&gt;=95%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</w:tbl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tbl>
      <w:tblPr>
        <w:tblStyle w:val="11"/>
        <w:tblpPr w:leftFromText="180" w:rightFromText="180" w:vertAnchor="text" w:horzAnchor="page" w:tblpX="1112" w:tblpY="200"/>
        <w:tblOverlap w:val="never"/>
        <w:tblW w:w="92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050"/>
        <w:gridCol w:w="1540"/>
        <w:gridCol w:w="1016"/>
        <w:gridCol w:w="1269"/>
        <w:gridCol w:w="821"/>
        <w:gridCol w:w="901"/>
        <w:gridCol w:w="1041"/>
        <w:gridCol w:w="8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  <w:t>项目支出绩效目标表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74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呼图壁县城市管理综合服务中心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城区绿化养护费项目（非定额）</w:t>
            </w:r>
          </w:p>
        </w:tc>
        <w:tc>
          <w:tcPr>
            <w:tcW w:w="1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韩小刚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年度预算总额：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720</w:t>
            </w:r>
          </w:p>
        </w:tc>
        <w:tc>
          <w:tcPr>
            <w:tcW w:w="12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其中：财政拨款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720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其他资金：</w:t>
            </w: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741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（1） 通过日常养护对树木修剪、定置，使树木达到健康、优美的造型；对草坪定期每月修剪、浇灌；春秋两季花卉补种植 。 （2）通过春秋两季对城区、居民小区、各行政事业单位树木、花卉病虫害防治、防治 ，有效提高绿植的健康生长。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绿化养护、维护维修面积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86.26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万㎡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乔灌木修剪次数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&gt;=6次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绿化养护合格率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&gt;=95%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预算资金执行及时率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城区绿化养护完成及时性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&gt;=98%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绿化养护经费支出成本控制率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&lt;=100%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改善居民宜居生活环境，提高居民幸福感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居民满意度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&gt;=95%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</w:tbl>
    <w:p>
      <w:pPr>
        <w:pStyle w:val="10"/>
        <w:ind w:left="0" w:leftChars="0" w:firstLine="0" w:firstLineChars="0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numPr>
          <w:ilvl w:val="0"/>
          <w:numId w:val="2"/>
        </w:num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其他需说明的事项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b w:val="0"/>
          <w:bCs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highlight w:val="none"/>
        </w:rPr>
        <w:t>本单位无其他需说明事项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/>
        </w:rPr>
        <w:t xml:space="preserve">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 w:eastAsia="宋体"/>
        <w:sz w:val="28"/>
        <w:szCs w:val="28"/>
      </w:rPr>
    </w:pPr>
  </w:p>
  <w:p>
    <w:pPr>
      <w:pStyle w:val="6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55901F"/>
    <w:multiLevelType w:val="singleLevel"/>
    <w:tmpl w:val="4355901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3AC420"/>
    <w:multiLevelType w:val="singleLevel"/>
    <w:tmpl w:val="5A3AC420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mZDEwYzQ1M2U1ZDYxOTExOWYzMzI2ZTFjZDU3Y2MifQ=="/>
  </w:docVars>
  <w:rsids>
    <w:rsidRoot w:val="10587512"/>
    <w:rsid w:val="000734FA"/>
    <w:rsid w:val="00455824"/>
    <w:rsid w:val="00464235"/>
    <w:rsid w:val="00823E64"/>
    <w:rsid w:val="00E20549"/>
    <w:rsid w:val="00EE2224"/>
    <w:rsid w:val="00F250B9"/>
    <w:rsid w:val="01082BAD"/>
    <w:rsid w:val="01CA3F1A"/>
    <w:rsid w:val="01CC0BD0"/>
    <w:rsid w:val="0207265F"/>
    <w:rsid w:val="022F73A2"/>
    <w:rsid w:val="025F2CDA"/>
    <w:rsid w:val="02A66784"/>
    <w:rsid w:val="02E03E26"/>
    <w:rsid w:val="03227C2F"/>
    <w:rsid w:val="03BA3E91"/>
    <w:rsid w:val="04267B2D"/>
    <w:rsid w:val="043341F2"/>
    <w:rsid w:val="04680F20"/>
    <w:rsid w:val="047A2DC6"/>
    <w:rsid w:val="04F937F9"/>
    <w:rsid w:val="05397FD9"/>
    <w:rsid w:val="070E6657"/>
    <w:rsid w:val="07364D2B"/>
    <w:rsid w:val="076E6040"/>
    <w:rsid w:val="07B23D73"/>
    <w:rsid w:val="07F5110F"/>
    <w:rsid w:val="08111F76"/>
    <w:rsid w:val="083B1F11"/>
    <w:rsid w:val="08450B28"/>
    <w:rsid w:val="08CC3222"/>
    <w:rsid w:val="091E5FAA"/>
    <w:rsid w:val="093A7BD7"/>
    <w:rsid w:val="0A952FEA"/>
    <w:rsid w:val="0B247F12"/>
    <w:rsid w:val="0B7E67EB"/>
    <w:rsid w:val="0BD7768F"/>
    <w:rsid w:val="0C345DFC"/>
    <w:rsid w:val="0C9E145B"/>
    <w:rsid w:val="0D4B5533"/>
    <w:rsid w:val="0D6E5FD0"/>
    <w:rsid w:val="0DC71BA8"/>
    <w:rsid w:val="0DD237BC"/>
    <w:rsid w:val="0E9208E7"/>
    <w:rsid w:val="0F737665"/>
    <w:rsid w:val="0F9109AD"/>
    <w:rsid w:val="0F914696"/>
    <w:rsid w:val="0FA6121B"/>
    <w:rsid w:val="0FCB3577"/>
    <w:rsid w:val="102862A2"/>
    <w:rsid w:val="10587512"/>
    <w:rsid w:val="107A5C99"/>
    <w:rsid w:val="10916BDA"/>
    <w:rsid w:val="118E44DC"/>
    <w:rsid w:val="11F11BB1"/>
    <w:rsid w:val="14026CDC"/>
    <w:rsid w:val="15C64B46"/>
    <w:rsid w:val="15E8637F"/>
    <w:rsid w:val="16086F8A"/>
    <w:rsid w:val="1697741D"/>
    <w:rsid w:val="16E65B2E"/>
    <w:rsid w:val="1732414C"/>
    <w:rsid w:val="175355D1"/>
    <w:rsid w:val="17A95A53"/>
    <w:rsid w:val="180C08E2"/>
    <w:rsid w:val="181B0DB4"/>
    <w:rsid w:val="18AD238B"/>
    <w:rsid w:val="18E65038"/>
    <w:rsid w:val="19B06735"/>
    <w:rsid w:val="19E36B84"/>
    <w:rsid w:val="1ACB2E00"/>
    <w:rsid w:val="1B5D166C"/>
    <w:rsid w:val="1BEB54C3"/>
    <w:rsid w:val="1C3C6084"/>
    <w:rsid w:val="1CC87866"/>
    <w:rsid w:val="1CEB6DC6"/>
    <w:rsid w:val="1CF3558E"/>
    <w:rsid w:val="1D3E1AFE"/>
    <w:rsid w:val="1D8160F6"/>
    <w:rsid w:val="1DA4246A"/>
    <w:rsid w:val="1DEF672A"/>
    <w:rsid w:val="1E2F4795"/>
    <w:rsid w:val="1EB20B9E"/>
    <w:rsid w:val="1EB61656"/>
    <w:rsid w:val="1EC75D4B"/>
    <w:rsid w:val="20336F55"/>
    <w:rsid w:val="206D1FC1"/>
    <w:rsid w:val="20750F48"/>
    <w:rsid w:val="20DD55C0"/>
    <w:rsid w:val="21390C82"/>
    <w:rsid w:val="21C0382A"/>
    <w:rsid w:val="21F75FC6"/>
    <w:rsid w:val="2240793E"/>
    <w:rsid w:val="22DB78DD"/>
    <w:rsid w:val="23824017"/>
    <w:rsid w:val="2435722E"/>
    <w:rsid w:val="244D65B8"/>
    <w:rsid w:val="2492221D"/>
    <w:rsid w:val="24A5262B"/>
    <w:rsid w:val="24C279DD"/>
    <w:rsid w:val="253761E5"/>
    <w:rsid w:val="25726270"/>
    <w:rsid w:val="26B4291F"/>
    <w:rsid w:val="26E769FA"/>
    <w:rsid w:val="27362CE4"/>
    <w:rsid w:val="28462BC3"/>
    <w:rsid w:val="289B5F18"/>
    <w:rsid w:val="28AA0E14"/>
    <w:rsid w:val="293B2E83"/>
    <w:rsid w:val="2A012DF7"/>
    <w:rsid w:val="2A3341A3"/>
    <w:rsid w:val="2ACB1CFB"/>
    <w:rsid w:val="2AD01925"/>
    <w:rsid w:val="2AFC4894"/>
    <w:rsid w:val="2C3242F3"/>
    <w:rsid w:val="2C397D09"/>
    <w:rsid w:val="2C792587"/>
    <w:rsid w:val="2C823C36"/>
    <w:rsid w:val="2C88415C"/>
    <w:rsid w:val="2D480265"/>
    <w:rsid w:val="2D977453"/>
    <w:rsid w:val="2E016B8B"/>
    <w:rsid w:val="2E215DBB"/>
    <w:rsid w:val="2EF22236"/>
    <w:rsid w:val="2FC75726"/>
    <w:rsid w:val="30252FD9"/>
    <w:rsid w:val="30671904"/>
    <w:rsid w:val="30F91083"/>
    <w:rsid w:val="3157337F"/>
    <w:rsid w:val="331E076C"/>
    <w:rsid w:val="33571BCB"/>
    <w:rsid w:val="342844A1"/>
    <w:rsid w:val="35A12A09"/>
    <w:rsid w:val="363F312F"/>
    <w:rsid w:val="3687165B"/>
    <w:rsid w:val="37B92F56"/>
    <w:rsid w:val="3A1C60E6"/>
    <w:rsid w:val="3ADB6E13"/>
    <w:rsid w:val="3B037AC9"/>
    <w:rsid w:val="3DC75867"/>
    <w:rsid w:val="3E4B68EA"/>
    <w:rsid w:val="3F5256BA"/>
    <w:rsid w:val="3F9B6249"/>
    <w:rsid w:val="3FDF4D23"/>
    <w:rsid w:val="40BB17A1"/>
    <w:rsid w:val="41034D34"/>
    <w:rsid w:val="41636052"/>
    <w:rsid w:val="41C018C0"/>
    <w:rsid w:val="42EC13F8"/>
    <w:rsid w:val="432263B4"/>
    <w:rsid w:val="43C26223"/>
    <w:rsid w:val="43D8307E"/>
    <w:rsid w:val="4474326A"/>
    <w:rsid w:val="44934EA0"/>
    <w:rsid w:val="44CE74D0"/>
    <w:rsid w:val="45A73FA0"/>
    <w:rsid w:val="46821F5F"/>
    <w:rsid w:val="46CE3131"/>
    <w:rsid w:val="46DD097A"/>
    <w:rsid w:val="47E06535"/>
    <w:rsid w:val="48C17269"/>
    <w:rsid w:val="48FF4C6C"/>
    <w:rsid w:val="494F7907"/>
    <w:rsid w:val="4A013C4D"/>
    <w:rsid w:val="4A17665A"/>
    <w:rsid w:val="4A5A4E0C"/>
    <w:rsid w:val="4B0A5713"/>
    <w:rsid w:val="4B997C4F"/>
    <w:rsid w:val="4BDB17F8"/>
    <w:rsid w:val="4C0055E5"/>
    <w:rsid w:val="4C2647E0"/>
    <w:rsid w:val="4C3677AE"/>
    <w:rsid w:val="4C706B3A"/>
    <w:rsid w:val="4CD2478B"/>
    <w:rsid w:val="4D7E64DA"/>
    <w:rsid w:val="4DD10CEA"/>
    <w:rsid w:val="4DD3633D"/>
    <w:rsid w:val="4E03108A"/>
    <w:rsid w:val="4E1D5CD9"/>
    <w:rsid w:val="4E6B73F6"/>
    <w:rsid w:val="4E921BF3"/>
    <w:rsid w:val="4EFB4D7D"/>
    <w:rsid w:val="500618D5"/>
    <w:rsid w:val="505446A7"/>
    <w:rsid w:val="50EE5D04"/>
    <w:rsid w:val="51C15CED"/>
    <w:rsid w:val="52285DEB"/>
    <w:rsid w:val="52AD62F0"/>
    <w:rsid w:val="53DF47B9"/>
    <w:rsid w:val="546308FE"/>
    <w:rsid w:val="552F66CE"/>
    <w:rsid w:val="55CA0154"/>
    <w:rsid w:val="55D866B4"/>
    <w:rsid w:val="55E069DD"/>
    <w:rsid w:val="56542A7C"/>
    <w:rsid w:val="56F23931"/>
    <w:rsid w:val="57B21398"/>
    <w:rsid w:val="5B4C73F1"/>
    <w:rsid w:val="5CF0338C"/>
    <w:rsid w:val="5D8076AD"/>
    <w:rsid w:val="5DD617DB"/>
    <w:rsid w:val="5EC8350D"/>
    <w:rsid w:val="5F2346ED"/>
    <w:rsid w:val="5F7A1F9E"/>
    <w:rsid w:val="5FA91901"/>
    <w:rsid w:val="5FCC07CC"/>
    <w:rsid w:val="60141033"/>
    <w:rsid w:val="60401B6B"/>
    <w:rsid w:val="61086613"/>
    <w:rsid w:val="623B63B7"/>
    <w:rsid w:val="62E65151"/>
    <w:rsid w:val="632F4B5C"/>
    <w:rsid w:val="6364786A"/>
    <w:rsid w:val="6408782B"/>
    <w:rsid w:val="64B50C7D"/>
    <w:rsid w:val="64CA1EE8"/>
    <w:rsid w:val="64D53AFD"/>
    <w:rsid w:val="64D77000"/>
    <w:rsid w:val="65322CBF"/>
    <w:rsid w:val="658F1816"/>
    <w:rsid w:val="66C562C1"/>
    <w:rsid w:val="67254BB9"/>
    <w:rsid w:val="67BA1318"/>
    <w:rsid w:val="67ED628D"/>
    <w:rsid w:val="687F462C"/>
    <w:rsid w:val="68BB484D"/>
    <w:rsid w:val="68CC52CB"/>
    <w:rsid w:val="68DE4FFE"/>
    <w:rsid w:val="694B58D7"/>
    <w:rsid w:val="69CE4E15"/>
    <w:rsid w:val="69D36863"/>
    <w:rsid w:val="6A5F2B90"/>
    <w:rsid w:val="6ACA31C3"/>
    <w:rsid w:val="6B466811"/>
    <w:rsid w:val="6B7F3246"/>
    <w:rsid w:val="6B932134"/>
    <w:rsid w:val="6DBC0F97"/>
    <w:rsid w:val="6DC30922"/>
    <w:rsid w:val="6E082238"/>
    <w:rsid w:val="6E6F3324"/>
    <w:rsid w:val="6EE14A0B"/>
    <w:rsid w:val="6EEE17AF"/>
    <w:rsid w:val="6EF07839"/>
    <w:rsid w:val="6F433DFE"/>
    <w:rsid w:val="6F5D5643"/>
    <w:rsid w:val="6F63000B"/>
    <w:rsid w:val="7064578B"/>
    <w:rsid w:val="70EE5D86"/>
    <w:rsid w:val="71593CFA"/>
    <w:rsid w:val="72876F36"/>
    <w:rsid w:val="72B56DCF"/>
    <w:rsid w:val="72CE7E9D"/>
    <w:rsid w:val="735B7DBD"/>
    <w:rsid w:val="74147559"/>
    <w:rsid w:val="75720710"/>
    <w:rsid w:val="75B570E6"/>
    <w:rsid w:val="76B541C4"/>
    <w:rsid w:val="780A1873"/>
    <w:rsid w:val="782567A5"/>
    <w:rsid w:val="787D11B8"/>
    <w:rsid w:val="78C935D5"/>
    <w:rsid w:val="78DA18D4"/>
    <w:rsid w:val="78E26CE0"/>
    <w:rsid w:val="79052133"/>
    <w:rsid w:val="790A4622"/>
    <w:rsid w:val="792C5912"/>
    <w:rsid w:val="79A16008"/>
    <w:rsid w:val="79FD0732"/>
    <w:rsid w:val="7A1A2260"/>
    <w:rsid w:val="7BD52FCE"/>
    <w:rsid w:val="7E8B30DA"/>
    <w:rsid w:val="7F5759FB"/>
    <w:rsid w:val="7F64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Arial" w:hAnsi="Arial" w:eastAsia="黑体"/>
      <w:b/>
      <w:sz w:val="21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0">
    <w:name w:val="Body Text First Indent 2"/>
    <w:basedOn w:val="5"/>
    <w:qFormat/>
    <w:uiPriority w:val="0"/>
    <w:pPr>
      <w:ind w:firstLine="420" w:firstLineChars="200"/>
    </w:pPr>
    <w:rPr>
      <w:rFonts w:ascii="Calibri" w:hAnsi="Calibri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BodyText1I"/>
    <w:basedOn w:val="15"/>
    <w:qFormat/>
    <w:uiPriority w:val="0"/>
    <w:pPr>
      <w:ind w:firstLine="420" w:firstLineChars="100"/>
    </w:pPr>
  </w:style>
  <w:style w:type="paragraph" w:customStyle="1" w:styleId="15">
    <w:name w:val="BodyText"/>
    <w:basedOn w:val="1"/>
    <w:qFormat/>
    <w:uiPriority w:val="0"/>
    <w:pPr>
      <w:spacing w:after="120"/>
      <w:textAlignment w:val="baseline"/>
    </w:p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51"/>
    <w:basedOn w:val="1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1743</Words>
  <Characters>2040</Characters>
  <Lines>114</Lines>
  <Paragraphs>32</Paragraphs>
  <TotalTime>0</TotalTime>
  <ScaleCrop>false</ScaleCrop>
  <LinksUpToDate>false</LinksUpToDate>
  <CharactersWithSpaces>2314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dcterms:modified xsi:type="dcterms:W3CDTF">2025-07-18T10:19:50Z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B333E5F65C53439DB5F2729AD86B4F67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