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8"/>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jc w:val="center"/>
        <w:rPr>
          <w:rFonts w:hint="eastAsia" w:ascii="黑体" w:hAnsi="ArialUnicodeMS" w:eastAsia="黑体" w:cs="Times New Roman"/>
          <w:color w:val="000000"/>
          <w:sz w:val="44"/>
          <w:szCs w:val="44"/>
          <w:lang w:val="en-US" w:eastAsia="zh-CN"/>
        </w:rPr>
      </w:pPr>
      <w:r>
        <w:rPr>
          <w:rFonts w:hint="eastAsia" w:ascii="黑体" w:hAnsi="ArialUnicodeMS" w:eastAsia="黑体" w:cs="Times New Roman"/>
          <w:color w:val="000000"/>
          <w:sz w:val="44"/>
          <w:szCs w:val="44"/>
          <w:lang w:val="en-US" w:eastAsia="zh-CN"/>
        </w:rPr>
        <w:t>呼图壁县交通运输局</w:t>
      </w:r>
    </w:p>
    <w:p>
      <w:pPr>
        <w:jc w:val="center"/>
        <w:rPr>
          <w:rFonts w:hint="eastAsia" w:ascii="黑体" w:hAnsi="ArialUnicodeMS" w:eastAsia="黑体" w:cs="Times New Roman"/>
          <w:color w:val="000000"/>
          <w:sz w:val="44"/>
          <w:szCs w:val="44"/>
          <w:lang w:val="en-US" w:eastAsia="zh-CN"/>
        </w:rPr>
      </w:pPr>
    </w:p>
    <w:p>
      <w:pPr>
        <w:jc w:val="center"/>
        <w:rPr>
          <w:rFonts w:hint="default" w:ascii="黑体" w:hAnsi="ArialUnicodeMS" w:eastAsia="黑体" w:cs="Times New Roman"/>
          <w:color w:val="000000"/>
          <w:sz w:val="44"/>
          <w:szCs w:val="44"/>
        </w:rPr>
      </w:pPr>
      <w:r>
        <w:rPr>
          <w:rFonts w:hint="eastAsia" w:ascii="黑体" w:hAnsi="ArialUnicodeMS" w:eastAsia="黑体" w:cs="Times New Roman"/>
          <w:color w:val="000000"/>
          <w:sz w:val="44"/>
          <w:szCs w:val="44"/>
          <w:lang w:val="en-US" w:eastAsia="zh-CN"/>
        </w:rPr>
        <w:t>2025年部门</w:t>
      </w:r>
      <w:r>
        <w:rPr>
          <w:rFonts w:hint="eastAsia" w:ascii="黑体" w:hAnsi="ArialUnicodeMS" w:eastAsia="黑体" w:cs="Times New Roman"/>
          <w:color w:val="00000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 xml:space="preserve">第一部分 </w:t>
      </w:r>
      <w:r>
        <w:rPr>
          <w:rFonts w:hint="eastAsia" w:ascii="仿宋" w:hAnsi="仿宋" w:eastAsia="仿宋" w:cs="Times New Roman"/>
          <w:b/>
          <w:color w:val="000000"/>
          <w:sz w:val="28"/>
          <w:szCs w:val="28"/>
          <w:lang w:val="en-US" w:eastAsia="zh-CN"/>
        </w:rPr>
        <w:t>2025年呼图壁县交通运输局</w:t>
      </w:r>
      <w:r>
        <w:rPr>
          <w:rFonts w:hint="eastAsia" w:ascii="仿宋" w:hAnsi="仿宋" w:eastAsia="仿宋" w:cs="Times New Roman"/>
          <w:b/>
          <w:color w:val="000000"/>
          <w:sz w:val="28"/>
          <w:szCs w:val="28"/>
          <w:lang w:eastAsia="zh-CN"/>
        </w:rPr>
        <w:t>部门</w:t>
      </w:r>
      <w:r>
        <w:rPr>
          <w:rFonts w:hint="eastAsia" w:ascii="仿宋" w:hAnsi="仿宋" w:eastAsia="仿宋" w:cs="Times New Roman"/>
          <w:b/>
          <w:color w:val="000000"/>
          <w:sz w:val="28"/>
          <w:szCs w:val="28"/>
        </w:rPr>
        <w:t>概况</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一、主要职能</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二、机构设置及人员情况</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 xml:space="preserve">第二部分 </w:t>
      </w:r>
      <w:r>
        <w:rPr>
          <w:rFonts w:hint="eastAsia" w:ascii="仿宋" w:hAnsi="仿宋" w:eastAsia="仿宋" w:cs="Times New Roman"/>
          <w:b/>
          <w:color w:val="000000"/>
          <w:sz w:val="28"/>
          <w:szCs w:val="28"/>
          <w:lang w:val="en-US" w:eastAsia="zh-CN"/>
        </w:rPr>
        <w:t>2025</w:t>
      </w:r>
      <w:r>
        <w:rPr>
          <w:rFonts w:hint="eastAsia" w:ascii="仿宋" w:hAnsi="仿宋" w:eastAsia="仿宋" w:cs="Times New Roman"/>
          <w:b/>
          <w:color w:val="000000"/>
          <w:sz w:val="28"/>
          <w:szCs w:val="28"/>
        </w:rPr>
        <w:t>年</w:t>
      </w:r>
      <w:r>
        <w:rPr>
          <w:rFonts w:hint="eastAsia" w:ascii="仿宋" w:hAnsi="仿宋" w:eastAsia="仿宋" w:cs="Times New Roman"/>
          <w:b/>
          <w:color w:val="000000"/>
          <w:sz w:val="28"/>
          <w:szCs w:val="28"/>
          <w:lang w:eastAsia="zh-CN"/>
        </w:rPr>
        <w:t>部门</w:t>
      </w:r>
      <w:r>
        <w:rPr>
          <w:rFonts w:hint="eastAsia" w:ascii="仿宋" w:hAnsi="仿宋" w:eastAsia="仿宋" w:cs="Times New Roman"/>
          <w:b/>
          <w:color w:val="000000"/>
          <w:sz w:val="28"/>
          <w:szCs w:val="28"/>
        </w:rPr>
        <w:t>预算公开表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收支总体情况表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收入总体情况表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支出总体情况表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四、财政拨款收支</w:t>
      </w:r>
      <w:r>
        <w:rPr>
          <w:rFonts w:hint="eastAsia" w:ascii="仿宋" w:hAnsi="仿宋" w:eastAsia="仿宋" w:cs="Times New Roman"/>
          <w:color w:val="000000"/>
          <w:sz w:val="28"/>
          <w:szCs w:val="28"/>
          <w:lang w:val="en-US" w:eastAsia="zh-CN"/>
        </w:rPr>
        <w:t>预算</w:t>
      </w:r>
      <w:r>
        <w:rPr>
          <w:rFonts w:hint="eastAsia" w:ascii="仿宋" w:hAnsi="仿宋" w:eastAsia="仿宋" w:cs="Times New Roman"/>
          <w:color w:val="000000"/>
          <w:sz w:val="28"/>
          <w:szCs w:val="28"/>
        </w:rPr>
        <w:t>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五、一般公共预算支出情况表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六、一般公共预算基本支出情况表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七、一般公共预算项目支出情况表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、政府性基金预算支出情况表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国有资本经营预算支出情况表</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十、财政拨款“三公”经费支出情况表</w:t>
      </w:r>
    </w:p>
    <w:p>
      <w:pPr>
        <w:spacing w:line="560" w:lineRule="exact"/>
        <w:ind w:firstLine="560" w:firstLineChars="200"/>
        <w:jc w:val="left"/>
        <w:rPr>
          <w:rFonts w:hint="default"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十一、</w:t>
      </w:r>
      <w:r>
        <w:rPr>
          <w:rFonts w:hint="eastAsia" w:ascii="仿宋" w:hAnsi="仿宋" w:eastAsia="仿宋" w:cs="Times New Roman"/>
          <w:color w:val="000000"/>
          <w:sz w:val="28"/>
          <w:szCs w:val="28"/>
          <w:lang w:val="en-US" w:eastAsia="zh-Hans"/>
        </w:rPr>
        <w:t>上年结转</w:t>
      </w:r>
      <w:r>
        <w:rPr>
          <w:rFonts w:hint="eastAsia" w:ascii="仿宋" w:hAnsi="仿宋" w:eastAsia="仿宋" w:cs="Times New Roman"/>
          <w:color w:val="000000"/>
          <w:sz w:val="28"/>
          <w:szCs w:val="28"/>
          <w:lang w:val="en-US" w:eastAsia="zh-CN"/>
        </w:rPr>
        <w:t>结余</w:t>
      </w:r>
      <w:r>
        <w:rPr>
          <w:rFonts w:hint="eastAsia" w:ascii="仿宋" w:hAnsi="仿宋" w:eastAsia="仿宋" w:cs="Times New Roman"/>
          <w:color w:val="000000"/>
          <w:sz w:val="28"/>
          <w:szCs w:val="28"/>
          <w:lang w:val="en-US" w:eastAsia="zh-Hans"/>
        </w:rPr>
        <w:t>情况明细表</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 xml:space="preserve">第三部分 </w:t>
      </w:r>
      <w:r>
        <w:rPr>
          <w:rFonts w:hint="eastAsia" w:ascii="仿宋" w:hAnsi="仿宋" w:eastAsia="仿宋" w:cs="Times New Roman"/>
          <w:b/>
          <w:color w:val="000000"/>
          <w:sz w:val="28"/>
          <w:szCs w:val="28"/>
          <w:lang w:val="en-US" w:eastAsia="zh-CN"/>
        </w:rPr>
        <w:t>2025</w:t>
      </w:r>
      <w:r>
        <w:rPr>
          <w:rFonts w:hint="eastAsia" w:ascii="仿宋" w:hAnsi="仿宋" w:eastAsia="仿宋" w:cs="Times New Roman"/>
          <w:b/>
          <w:color w:val="000000"/>
          <w:sz w:val="28"/>
          <w:szCs w:val="28"/>
        </w:rPr>
        <w:t>年</w:t>
      </w:r>
      <w:r>
        <w:rPr>
          <w:rFonts w:hint="eastAsia" w:ascii="仿宋" w:hAnsi="仿宋" w:eastAsia="仿宋" w:cs="Times New Roman"/>
          <w:b/>
          <w:color w:val="000000"/>
          <w:sz w:val="28"/>
          <w:szCs w:val="28"/>
          <w:lang w:eastAsia="zh-CN"/>
        </w:rPr>
        <w:t>部门</w:t>
      </w:r>
      <w:r>
        <w:rPr>
          <w:rFonts w:hint="eastAsia" w:ascii="仿宋" w:hAnsi="仿宋" w:eastAsia="仿宋" w:cs="Times New Roman"/>
          <w:b/>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年收入预算情况说明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年支出预算情况说明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年财政拨款收支预算情况的总体说明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年一般公共预算当年拨款情况说明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年一般公共预算基本支出情况说明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年一般公共预算项目支出情况说明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年政府性基金预算拨款情况说明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年国有资本经营预算拨款情况说明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w:t>
      </w:r>
      <w:r>
        <w:rPr>
          <w:rFonts w:hint="eastAsia" w:ascii="仿宋" w:hAnsi="仿宋" w:eastAsia="仿宋" w:cs="Times New Roman"/>
          <w:color w:val="000000"/>
          <w:sz w:val="28"/>
          <w:szCs w:val="28"/>
          <w:lang w:val="en-US" w:eastAsia="zh-Hans"/>
        </w:rPr>
        <w:t>财政拨款</w:t>
      </w:r>
      <w:r>
        <w:rPr>
          <w:rFonts w:hint="eastAsia" w:ascii="仿宋" w:hAnsi="仿宋" w:eastAsia="仿宋" w:cs="Times New Roman"/>
          <w:color w:val="000000"/>
          <w:sz w:val="28"/>
          <w:szCs w:val="28"/>
        </w:rPr>
        <w:t>“三公”经费预算情况说明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十</w:t>
      </w:r>
      <w:r>
        <w:rPr>
          <w:rFonts w:hint="eastAsia" w:ascii="仿宋" w:hAnsi="仿宋" w:eastAsia="仿宋" w:cs="Times New Roman"/>
          <w:color w:val="000000"/>
          <w:sz w:val="28"/>
          <w:szCs w:val="28"/>
          <w:lang w:val="en-US" w:eastAsia="zh-Hans"/>
        </w:rPr>
        <w:t>一</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w:t>
      </w:r>
      <w:r>
        <w:rPr>
          <w:rFonts w:hint="eastAsia" w:ascii="仿宋" w:hAnsi="仿宋" w:eastAsia="仿宋" w:cs="Times New Roman"/>
          <w:color w:val="000000"/>
          <w:sz w:val="28"/>
          <w:szCs w:val="28"/>
          <w:lang w:val="en-US" w:eastAsia="zh-CN"/>
        </w:rPr>
        <w:t>上年结转结余</w:t>
      </w:r>
      <w:r>
        <w:rPr>
          <w:rFonts w:hint="eastAsia" w:ascii="仿宋" w:hAnsi="仿宋" w:eastAsia="仿宋" w:cs="Times New Roman"/>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CN"/>
        </w:rPr>
        <w:t>十二、</w:t>
      </w:r>
      <w:r>
        <w:rPr>
          <w:rFonts w:hint="eastAsia" w:ascii="仿宋" w:hAnsi="仿宋" w:eastAsia="仿宋" w:cs="Times New Roman"/>
          <w:color w:val="000000"/>
          <w:sz w:val="28"/>
          <w:szCs w:val="28"/>
        </w:rPr>
        <w:t>其他重要事项的情况说明</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1134" w:right="1418" w:bottom="992" w:left="113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2025年呼图壁县交通运输局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pacing w:line="360" w:lineRule="auto"/>
        <w:ind w:firstLine="640" w:firstLineChars="200"/>
        <w:rPr>
          <w:rFonts w:hint="eastAsia" w:ascii="仿宋_GB2312" w:hAnsi="仿宋_GB2312" w:eastAsia="仿宋_GB2312" w:cs="仿宋_GB2312"/>
          <w:sz w:val="32"/>
          <w:szCs w:val="32"/>
        </w:rPr>
      </w:pPr>
      <w:r>
        <w:rPr>
          <w:rFonts w:hint="eastAsia" w:ascii="黑体" w:hAnsi="黑体" w:eastAsia="黑体" w:cs="宋体"/>
          <w:bCs/>
          <w:kern w:val="0"/>
          <w:sz w:val="32"/>
          <w:szCs w:val="32"/>
        </w:rPr>
        <w:t>(</w:t>
      </w:r>
      <w:r>
        <w:rPr>
          <w:rFonts w:hint="eastAsia" w:ascii="仿宋_GB2312" w:hAnsi="仿宋_GB2312" w:eastAsia="仿宋_GB2312" w:cs="仿宋_GB2312"/>
          <w:sz w:val="32"/>
          <w:szCs w:val="32"/>
        </w:rPr>
        <w:t>一)贯彻落实国家、自治区、自治州公路交通运输行业的法律、法规、规章和措施，并组织实施和监督检查。</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(二)拟订县农村公路网、交通运输业发展规划和中长期计划并监督实施。</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组织领导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县交通运输行业体制改革；培育和管理交通运输市场，维护交通运输行业的平等竞争秩序。</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承担农村公路建设市场监管工作。监督实施农村公路工程建设相关政策、制度和技术标准，组织协调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承担县农村公路养护管理责任。编制并上报农村公路养护建议计划，管理农村公路养护资金，组织培训养护管理人员，组织实施并指导监督农村公路管理养护工作；依法组织编制公路灾害防治预案、专项应急预案，报县人民政府批准后实施。负责县农村公路的安全保护工作。负责农村公路货运车辆超限治理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负责并指导全县交通运输行业财务、审计、统计工作；负责做好全县一般农村公路及客运站点建设的财务管理及统计工作，配合相关单位做好农村公路及客运站点建设的项目审计工作；配合物价部门拟订交通运输行业价格，会同有关部门监督执行交通行业价格、税收及相关政策。</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(七)指导全县交通运输行业体制改革。会同县有关部门培育交通运输市场、交通建设市场，负责管理农村公路养护市场。负责交通运输行业信用体系建设工作。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负责全县交通运输行业安全生产的监督管理。督促和指导城市客运企业和行业管理部门落实安全生产主体责任；制定有关交通运输安全生产和应急管理制度，指导有关安全生产和应急处置体系建设，制定交通运输行业安全稳定工作预案，组织开展应急救援演练工作；组织开展交通运输行业安全生产大检查专项整治，监督道路运输、农村公路建设、客运站场的各类安全隐患整改落实，配合有关部门开展交通安全专项整治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(九)贯彻执行交通行业科技政策、技术标准和规范；做好全县交通运输行业职业教育、职工队伍建设和精神文明建设工作；做好交通运输行业环境保护和节能减排工作。组织交通运输行业统计、运行分析工作。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(十)监督指导交通运输综合行政执法工作，负责做好交通运输行业的法制宣传、行政复议、行政应诉、行政执法和监督工作。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(十一)负责全县交通战备工作。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)负责县行政区域内县、乡、村级农村公路</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路政行政执法、公路工程质量监督行政执法和道路运输的行政执法工作。</w:t>
      </w:r>
    </w:p>
    <w:p>
      <w:pPr>
        <w:keepNext w:val="0"/>
        <w:keepLines w:val="0"/>
        <w:pageBreakBefore w:val="0"/>
        <w:widowControl/>
        <w:kinsoku/>
        <w:wordWrap/>
        <w:overflowPunct/>
        <w:topLinePunct w:val="0"/>
        <w:autoSpaceDE/>
        <w:autoSpaceDN/>
        <w:bidi w:val="0"/>
        <w:adjustRightInd/>
        <w:snapToGrid/>
        <w:spacing w:beforeLines="0" w:line="540" w:lineRule="exact"/>
        <w:ind w:firstLine="320" w:firstLineChars="100"/>
        <w:jc w:val="left"/>
        <w:textAlignment w:val="auto"/>
        <w:outlineLvl w:val="2"/>
        <w:rPr>
          <w:rFonts w:ascii="仿宋_GB2312" w:hAnsi="宋体" w:eastAsia="仿宋_GB2312" w:cs="宋体"/>
          <w:bCs/>
          <w:color w:val="auto"/>
          <w:kern w:val="0"/>
          <w:sz w:val="32"/>
          <w:szCs w:val="32"/>
          <w:highlight w:val="none"/>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)完成县党委、县人民政府交办的其他任务</w:t>
      </w:r>
      <w:r>
        <w:rPr>
          <w:rFonts w:hint="eastAsia" w:ascii="黑体" w:hAnsi="黑体" w:eastAsia="黑体" w:cs="宋体"/>
          <w:bCs/>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color w:val="auto"/>
          <w:kern w:val="0"/>
          <w:sz w:val="32"/>
          <w:szCs w:val="32"/>
          <w:highlight w:val="none"/>
          <w:lang w:eastAsia="zh-CN"/>
        </w:rPr>
        <w:t>呼图壁县交通运输局</w:t>
      </w: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color w:val="auto"/>
          <w:kern w:val="0"/>
          <w:sz w:val="32"/>
          <w:szCs w:val="32"/>
          <w:highlight w:val="none"/>
          <w:lang w:eastAsia="zh-CN"/>
        </w:rPr>
        <w:t>下设</w:t>
      </w:r>
      <w:r>
        <w:rPr>
          <w:rFonts w:hint="eastAsia" w:ascii="仿宋_GB2312" w:hAnsi="黑体" w:eastAsia="仿宋_GB2312" w:cs="宋体"/>
          <w:bCs/>
          <w:color w:val="auto"/>
          <w:kern w:val="0"/>
          <w:sz w:val="32"/>
          <w:szCs w:val="32"/>
          <w:highlight w:val="none"/>
          <w:lang w:val="en-US" w:eastAsia="zh-CN"/>
        </w:rPr>
        <w:t>2个处室，分别是</w:t>
      </w:r>
      <w:r>
        <w:rPr>
          <w:rFonts w:hint="eastAsia" w:ascii="仿宋_GB2312" w:hAnsi="黑体" w:eastAsia="仿宋_GB2312" w:cs="宋体"/>
          <w:bCs/>
          <w:kern w:val="0"/>
          <w:sz w:val="32"/>
          <w:szCs w:val="32"/>
          <w:lang w:eastAsia="zh-CN"/>
        </w:rPr>
        <w:t>：呼图壁县交通运输综合行政执法大队、农村公路养护管理站（城乡客运服务中心）。</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呼图壁县交通运输局</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29人</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33</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27</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3"/>
        <w:rPr>
          <w:rFonts w:hint="eastAsia"/>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呼图壁县交通运输局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3585.61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2906.86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1541.63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1365.23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66.23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36.58</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678.75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8518.6</w:t>
            </w:r>
            <w:r>
              <w:rPr>
                <w:rFonts w:hint="eastAsia" w:ascii="仿宋_GB2312" w:hAnsi="宋体" w:eastAsia="仿宋_GB2312" w:cs="宋体"/>
                <w:color w:val="auto"/>
                <w:kern w:val="0"/>
                <w:sz w:val="18"/>
                <w:szCs w:val="18"/>
                <w:highlight w:val="none"/>
                <w:lang w:val="en-US" w:eastAsia="zh-CN"/>
              </w:rPr>
              <w:t>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694.50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678.75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5799.70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5799.70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5752.40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360" w:firstLineChars="200"/>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69.36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47.30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9385.31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9385.31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呼图壁县交通运输局</w:t>
      </w:r>
      <w:r>
        <w:rPr>
          <w:rFonts w:hint="eastAsia" w:ascii="仿宋_GB2312" w:hAnsi="宋体" w:eastAsia="仿宋_GB2312"/>
          <w:color w:val="auto"/>
          <w:kern w:val="0"/>
          <w:sz w:val="24"/>
          <w:highlight w:val="none"/>
        </w:rPr>
        <w:t xml:space="preserve">                                单位：万元</w:t>
      </w:r>
    </w:p>
    <w:tbl>
      <w:tblPr>
        <w:tblStyle w:val="10"/>
        <w:tblW w:w="10552" w:type="dxa"/>
        <w:tblInd w:w="-450" w:type="dxa"/>
        <w:tblLayout w:type="fixed"/>
        <w:tblCellMar>
          <w:top w:w="0" w:type="dxa"/>
          <w:left w:w="108" w:type="dxa"/>
          <w:bottom w:w="0" w:type="dxa"/>
          <w:right w:w="108" w:type="dxa"/>
        </w:tblCellMar>
      </w:tblPr>
      <w:tblGrid>
        <w:gridCol w:w="519"/>
        <w:gridCol w:w="420"/>
        <w:gridCol w:w="420"/>
        <w:gridCol w:w="780"/>
        <w:gridCol w:w="928"/>
        <w:gridCol w:w="870"/>
        <w:gridCol w:w="915"/>
        <w:gridCol w:w="885"/>
        <w:gridCol w:w="480"/>
        <w:gridCol w:w="495"/>
        <w:gridCol w:w="495"/>
        <w:gridCol w:w="645"/>
        <w:gridCol w:w="465"/>
        <w:gridCol w:w="840"/>
        <w:gridCol w:w="915"/>
        <w:gridCol w:w="480"/>
      </w:tblGrid>
      <w:tr>
        <w:tblPrEx>
          <w:tblCellMar>
            <w:top w:w="0" w:type="dxa"/>
            <w:left w:w="108" w:type="dxa"/>
            <w:bottom w:w="0" w:type="dxa"/>
            <w:right w:w="108" w:type="dxa"/>
          </w:tblCellMar>
        </w:tblPrEx>
        <w:trPr>
          <w:trHeight w:val="697" w:hRule="atLeast"/>
        </w:trPr>
        <w:tc>
          <w:tcPr>
            <w:tcW w:w="135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2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8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91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226" w:hRule="atLeast"/>
        </w:trPr>
        <w:tc>
          <w:tcPr>
            <w:tcW w:w="519"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2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7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1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888" w:hRule="atLeast"/>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208　</w:t>
            </w:r>
          </w:p>
        </w:tc>
        <w:tc>
          <w:tcPr>
            <w:tcW w:w="4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社会保障和就业支出</w:t>
            </w:r>
          </w:p>
        </w:tc>
        <w:tc>
          <w:tcPr>
            <w:tcW w:w="92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66.23　</w:t>
            </w:r>
          </w:p>
        </w:tc>
        <w:tc>
          <w:tcPr>
            <w:tcW w:w="87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45.43　</w:t>
            </w:r>
          </w:p>
        </w:tc>
        <w:tc>
          <w:tcPr>
            <w:tcW w:w="91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45.43　</w:t>
            </w:r>
          </w:p>
        </w:tc>
        <w:tc>
          <w:tcPr>
            <w:tcW w:w="88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20.80</w:t>
            </w:r>
          </w:p>
        </w:tc>
        <w:tc>
          <w:tcPr>
            <w:tcW w:w="9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843"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208</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05</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行政事业单位养老支出　</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66.23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45.43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45.43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20.80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208</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05</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行政单位离退休</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3.93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3.93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3.93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208</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05</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05</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机关事业单位基本养老保险缴费支出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52.29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41.49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41.49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10.80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208</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05</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06</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机关事业单位职业年金缴费支出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10.00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10.00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210</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卫生健康支出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36.58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31.38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31.38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5.20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210</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行政事业单位医疗</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36.58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31.38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31.38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5.20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210</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行政单位医疗</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21.39</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16.19</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16.19</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5.20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02</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　事业单位医疗</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4.56</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Times New Roman" w:eastAsia="仿宋_GB2312" w:cs="Times New Roman"/>
                <w:color w:val="auto"/>
                <w:sz w:val="18"/>
                <w:szCs w:val="18"/>
                <w:highlight w:val="none"/>
              </w:rPr>
              <w:t>4.56</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4.56</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公务员医疗补助</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10.37</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10.37</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10.37</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99</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其他行政事业单位医疗支出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0.26</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0.26</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0.26</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9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交通运输支出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8518.65</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2148.20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2148.20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1365.23</w:t>
            </w: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618.05</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5752.40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公路水路运输</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8166.25</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2148.20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2148.20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1365.23</w:t>
            </w: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618.05</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540</w:t>
            </w:r>
            <w:r>
              <w:rPr>
                <w:rFonts w:hint="eastAsia" w:ascii="仿宋_GB2312" w:eastAsia="仿宋_GB2312"/>
                <w:color w:val="auto"/>
                <w:sz w:val="18"/>
                <w:szCs w:val="18"/>
                <w:highlight w:val="none"/>
                <w:lang w:val="en-US" w:eastAsia="zh-CN"/>
              </w:rPr>
              <w:t>0.00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sz w:val="16"/>
                <w:szCs w:val="16"/>
              </w:rPr>
              <w:t>行政运行</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273.69</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250.89</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250.89</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22.80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sz w:val="16"/>
                <w:szCs w:val="16"/>
              </w:rPr>
            </w:pPr>
            <w:r>
              <w:rPr>
                <w:rFonts w:hint="eastAsia" w:ascii="仿宋_GB2312" w:hAnsi="仿宋_GB2312" w:eastAsia="仿宋_GB2312" w:cs="仿宋_GB2312"/>
                <w:sz w:val="16"/>
                <w:szCs w:val="16"/>
              </w:rPr>
              <w:t>一般行政管理事务</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90.00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90.00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04</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公路建设</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6939.23</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1119.23</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1119.23</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1119.23</w:t>
            </w: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420.00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5400</w:t>
            </w:r>
            <w:r>
              <w:rPr>
                <w:rFonts w:hint="eastAsia" w:ascii="仿宋_GB2312" w:eastAsia="仿宋_GB2312"/>
                <w:color w:val="auto"/>
                <w:sz w:val="18"/>
                <w:szCs w:val="18"/>
                <w:highlight w:val="none"/>
                <w:lang w:val="en-US" w:eastAsia="zh-CN"/>
              </w:rPr>
              <w:t>.00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06</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sz w:val="16"/>
                <w:szCs w:val="16"/>
              </w:rPr>
              <w:t>公路养护</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794.00</w:t>
            </w:r>
          </w:p>
        </w:tc>
        <w:tc>
          <w:tcPr>
            <w:tcW w:w="870" w:type="dxa"/>
            <w:tcBorders>
              <w:top w:val="nil"/>
              <w:left w:val="nil"/>
              <w:bottom w:val="single" w:color="auto" w:sz="4"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200" w:lineRule="atLeast"/>
              <w:ind w:firstLine="540" w:firstLineChars="300"/>
              <w:jc w:val="left"/>
              <w:textAlignment w:val="auto"/>
              <w:rPr>
                <w:rFonts w:hint="default" w:ascii="仿宋_GB2312" w:eastAsia="仿宋_GB2312"/>
                <w:color w:val="auto"/>
                <w:sz w:val="18"/>
                <w:szCs w:val="18"/>
                <w:highlight w:val="none"/>
                <w:lang w:val="en-US"/>
              </w:rPr>
            </w:pPr>
            <w:r>
              <w:rPr>
                <w:rFonts w:hint="eastAsia" w:ascii="仿宋_GB2312" w:hAnsi="Times New Roman" w:eastAsia="仿宋_GB2312" w:cs="Times New Roman"/>
                <w:color w:val="auto"/>
                <w:sz w:val="18"/>
                <w:szCs w:val="18"/>
                <w:highlight w:val="none"/>
                <w:lang w:val="en-US" w:eastAsia="zh-CN"/>
              </w:rPr>
              <w:t xml:space="preserve"> 714.00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714.00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246.00</w:t>
            </w: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80.00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sz w:val="16"/>
                <w:szCs w:val="16"/>
              </w:rPr>
            </w:pPr>
            <w:r>
              <w:rPr>
                <w:rFonts w:hint="eastAsia" w:ascii="仿宋_GB2312" w:hAnsi="仿宋_GB2312" w:eastAsia="仿宋_GB2312" w:cs="仿宋_GB2312"/>
                <w:sz w:val="16"/>
                <w:szCs w:val="16"/>
              </w:rPr>
              <w:t>公路运输管理</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69.33</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64.08</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64.08</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5.25</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23"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其他交通运输支出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352.40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352.40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99</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01</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公共交通运营补助</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72.24</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72.24</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99</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99</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资源勘探工业信息等支出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694.50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47.30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215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资源勘探工业信息等支出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694.5</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647.20</w:t>
            </w: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47.3</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215</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08</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支持中小企业发展和管理支出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215</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08</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99</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其他支持中小企业发展和管理支出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215</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98</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超长期特别国债安排的支出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47.30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47.30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103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215</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98</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制造业</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47.30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47.30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221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住房保障支出　</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69.36</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34.66</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34.66</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34.70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221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02</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住房改革支出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69.36</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34.66</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34.66</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34.70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221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02</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住房公积金</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69.36</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34.66</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34.66</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34.70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b/>
                <w:bCs/>
                <w:color w:val="auto"/>
                <w:sz w:val="18"/>
                <w:szCs w:val="18"/>
                <w:highlight w:val="none"/>
              </w:rPr>
              <w:t>合  计</w:t>
            </w:r>
            <w:r>
              <w:rPr>
                <w:rFonts w:hint="eastAsia" w:ascii="仿宋_GB2312" w:eastAsia="仿宋_GB2312"/>
                <w:color w:val="auto"/>
                <w:sz w:val="18"/>
                <w:szCs w:val="18"/>
                <w:highlight w:val="none"/>
              </w:rPr>
              <w:t>　</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9385.31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2906.86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1541.63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1365.23</w:t>
            </w: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678.75</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5799.70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b/>
                <w:bCs/>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呼图壁县交通运输局</w:t>
      </w:r>
      <w:r>
        <w:rPr>
          <w:rFonts w:hint="eastAsia" w:ascii="仿宋_GB2312" w:hAnsi="宋体" w:eastAsia="仿宋_GB2312"/>
          <w:color w:val="auto"/>
          <w:kern w:val="0"/>
          <w:sz w:val="24"/>
          <w:highlight w:val="none"/>
        </w:rPr>
        <w:t xml:space="preserve">                               单位：万元</w:t>
      </w:r>
    </w:p>
    <w:tbl>
      <w:tblPr>
        <w:tblStyle w:val="10"/>
        <w:tblW w:w="9420" w:type="dxa"/>
        <w:tblInd w:w="-240" w:type="dxa"/>
        <w:tblLayout w:type="fixed"/>
        <w:tblCellMar>
          <w:top w:w="0" w:type="dxa"/>
          <w:left w:w="108" w:type="dxa"/>
          <w:bottom w:w="0" w:type="dxa"/>
          <w:right w:w="108" w:type="dxa"/>
        </w:tblCellMar>
      </w:tblPr>
      <w:tblGrid>
        <w:gridCol w:w="592"/>
        <w:gridCol w:w="600"/>
        <w:gridCol w:w="525"/>
        <w:gridCol w:w="2940"/>
        <w:gridCol w:w="1995"/>
        <w:gridCol w:w="1740"/>
        <w:gridCol w:w="1028"/>
      </w:tblGrid>
      <w:tr>
        <w:tblPrEx>
          <w:tblCellMar>
            <w:top w:w="0" w:type="dxa"/>
            <w:left w:w="108" w:type="dxa"/>
            <w:bottom w:w="0" w:type="dxa"/>
            <w:right w:w="108" w:type="dxa"/>
          </w:tblCellMar>
        </w:tblPrEx>
        <w:trPr>
          <w:trHeight w:val="328" w:hRule="atLeast"/>
        </w:trPr>
        <w:tc>
          <w:tcPr>
            <w:tcW w:w="465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763"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71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94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9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4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02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9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6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5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94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9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4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02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208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社会保障和就业支出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66.23</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66.23</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行政事业单位养老支出　</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66.23</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66.23</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　行政单位离退休</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3.93</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3.93</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05</w:t>
            </w: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　机关事业单位基本养老保险缴费支出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52.29</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52.29</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05</w:t>
            </w: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06</w:t>
            </w: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　机关事业单位职业年金缴费支出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10.00</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10.00</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　卫生健康支出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36.58</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36.58</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行政事业单位医疗</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36.58</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36.58</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行政单位医疗</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21.39</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21.39</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　事业单位医疗</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4.56</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4.56</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公务员医疗补助</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10.37</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10.37</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99</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其他行政事业单位医疗支出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0.26</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0.26</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交通运输支出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8518.65</w:t>
            </w:r>
          </w:p>
        </w:tc>
        <w:tc>
          <w:tcPr>
            <w:tcW w:w="174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343.02</w:t>
            </w:r>
          </w:p>
        </w:tc>
        <w:tc>
          <w:tcPr>
            <w:tcW w:w="1028"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8175.63</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公路水路运输</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8166.25</w:t>
            </w:r>
          </w:p>
        </w:tc>
        <w:tc>
          <w:tcPr>
            <w:tcW w:w="174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343.02</w:t>
            </w:r>
          </w:p>
        </w:tc>
        <w:tc>
          <w:tcPr>
            <w:tcW w:w="1028"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7823.23</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sz w:val="18"/>
                <w:szCs w:val="18"/>
              </w:rPr>
              <w:t>行政运行</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273.69</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273.69</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02</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sz w:val="18"/>
                <w:szCs w:val="18"/>
              </w:rPr>
              <w:t>一般行政管理事务</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90.00</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90.00</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04</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公路建设</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6939.23</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028"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6939.23</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06</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sz w:val="18"/>
                <w:szCs w:val="18"/>
              </w:rPr>
              <w:t>公路养护</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794.00</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028"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794.00</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12</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sz w:val="18"/>
                <w:szCs w:val="18"/>
              </w:rPr>
              <w:t>公路运输管理</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69.33</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69.33</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99</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其他交通运输支出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352.40</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028"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352.40</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99</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01</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公共交通运营补助</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72.24</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028"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72.24</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99</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99</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资源勘探工业信息等支出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694.50</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028"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694.50</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color w:val="auto"/>
                <w:highlight w:val="none"/>
              </w:rPr>
            </w:pPr>
            <w:r>
              <w:rPr>
                <w:rFonts w:hint="eastAsia" w:ascii="仿宋_GB2312" w:hAnsi="仿宋_GB2312" w:eastAsia="仿宋_GB2312" w:cs="仿宋_GB2312"/>
                <w:color w:val="auto"/>
                <w:sz w:val="18"/>
                <w:szCs w:val="18"/>
                <w:highlight w:val="none"/>
              </w:rPr>
              <w:t>215　</w:t>
            </w:r>
          </w:p>
        </w:tc>
        <w:tc>
          <w:tcPr>
            <w:tcW w:w="600" w:type="dxa"/>
            <w:tcBorders>
              <w:top w:val="nil"/>
              <w:left w:val="nil"/>
              <w:bottom w:val="single" w:color="auto" w:sz="4" w:space="0"/>
              <w:right w:val="single" w:color="auto" w:sz="4" w:space="0"/>
            </w:tcBorders>
            <w:noWrap w:val="0"/>
            <w:vAlign w:val="center"/>
          </w:tcPr>
          <w:p>
            <w:pPr>
              <w:jc w:val="right"/>
              <w:rPr>
                <w:color w:val="auto"/>
                <w:highlight w:val="none"/>
              </w:rPr>
            </w:pP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color w:val="auto"/>
                <w:highlight w:val="none"/>
              </w:rPr>
            </w:pP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color w:val="auto"/>
                <w:highlight w:val="none"/>
              </w:rPr>
            </w:pPr>
            <w:r>
              <w:rPr>
                <w:rFonts w:hint="eastAsia" w:ascii="仿宋_GB2312" w:hAnsi="仿宋_GB2312" w:eastAsia="仿宋_GB2312" w:cs="仿宋_GB2312"/>
                <w:color w:val="auto"/>
                <w:sz w:val="18"/>
                <w:szCs w:val="18"/>
                <w:highlight w:val="none"/>
              </w:rPr>
              <w:t>　资源勘探工业信息等支出</w:t>
            </w:r>
          </w:p>
        </w:tc>
        <w:tc>
          <w:tcPr>
            <w:tcW w:w="1995"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eastAsia="仿宋_GB2312"/>
                <w:color w:val="auto"/>
                <w:sz w:val="20"/>
                <w:szCs w:val="20"/>
                <w:highlight w:val="none"/>
              </w:rPr>
              <w:t>694.5</w:t>
            </w:r>
          </w:p>
        </w:tc>
        <w:tc>
          <w:tcPr>
            <w:tcW w:w="1740"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028"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eastAsia="仿宋_GB2312"/>
                <w:color w:val="auto"/>
                <w:sz w:val="20"/>
                <w:szCs w:val="20"/>
                <w:highlight w:val="none"/>
              </w:rPr>
              <w:t>694.5</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215</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08</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4"/>
                <w:highlight w:val="none"/>
              </w:rPr>
            </w:pPr>
          </w:p>
        </w:tc>
        <w:tc>
          <w:tcPr>
            <w:tcW w:w="2940" w:type="dxa"/>
            <w:tcBorders>
              <w:top w:val="nil"/>
              <w:left w:val="nil"/>
              <w:bottom w:val="single" w:color="auto" w:sz="4" w:space="0"/>
              <w:right w:val="single" w:color="auto" w:sz="4" w:space="0"/>
            </w:tcBorders>
            <w:noWrap w:val="0"/>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支持中小企业发展和管理支出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647.20</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1028"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647.20</w:t>
            </w: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215</w:t>
            </w: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08</w:t>
            </w: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4"/>
                <w:highlight w:val="none"/>
              </w:rPr>
            </w:pPr>
            <w:r>
              <w:rPr>
                <w:rFonts w:hint="eastAsia" w:ascii="仿宋_GB2312" w:hAnsi="仿宋_GB2312" w:eastAsia="仿宋_GB2312" w:cs="仿宋_GB2312"/>
                <w:color w:val="auto"/>
                <w:sz w:val="18"/>
                <w:szCs w:val="18"/>
                <w:highlight w:val="none"/>
                <w:lang w:val="en-US" w:eastAsia="zh-CN"/>
              </w:rPr>
              <w:t>99</w:t>
            </w:r>
          </w:p>
        </w:tc>
        <w:tc>
          <w:tcPr>
            <w:tcW w:w="294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其他支持中小企业发展和管理支出</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647.20</w:t>
            </w:r>
          </w:p>
        </w:tc>
        <w:tc>
          <w:tcPr>
            <w:tcW w:w="1740" w:type="dxa"/>
            <w:tcBorders>
              <w:top w:val="single" w:color="auto" w:sz="4" w:space="0"/>
              <w:left w:val="single" w:color="auto" w:sz="4" w:space="0"/>
              <w:bottom w:val="single" w:color="auto" w:sz="4" w:space="0"/>
              <w:right w:val="single" w:color="auto" w:sz="4" w:space="0"/>
            </w:tcBorders>
          </w:tcPr>
          <w:p>
            <w:pPr>
              <w:widowControl/>
              <w:spacing w:line="280" w:lineRule="exact"/>
              <w:jc w:val="center"/>
              <w:rPr>
                <w:rFonts w:ascii="宋体" w:hAnsi="宋体" w:cs="宋体"/>
                <w:color w:val="auto"/>
                <w:kern w:val="0"/>
                <w:sz w:val="24"/>
                <w:highlight w:val="none"/>
              </w:rPr>
            </w:pPr>
          </w:p>
        </w:tc>
        <w:tc>
          <w:tcPr>
            <w:tcW w:w="10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647.20</w:t>
            </w: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215</w:t>
            </w: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98</w:t>
            </w: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4"/>
                <w:highlight w:val="none"/>
              </w:rPr>
            </w:pPr>
          </w:p>
        </w:tc>
        <w:tc>
          <w:tcPr>
            <w:tcW w:w="294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超长期特别国债安排的支出</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47.30</w:t>
            </w:r>
          </w:p>
        </w:tc>
        <w:tc>
          <w:tcPr>
            <w:tcW w:w="1740" w:type="dxa"/>
            <w:tcBorders>
              <w:top w:val="single" w:color="auto" w:sz="4" w:space="0"/>
              <w:left w:val="single" w:color="auto" w:sz="4" w:space="0"/>
              <w:bottom w:val="single" w:color="auto" w:sz="4" w:space="0"/>
              <w:right w:val="single" w:color="auto" w:sz="4" w:space="0"/>
            </w:tcBorders>
          </w:tcPr>
          <w:p>
            <w:pPr>
              <w:widowControl/>
              <w:spacing w:line="280" w:lineRule="exact"/>
              <w:jc w:val="center"/>
              <w:rPr>
                <w:rFonts w:ascii="宋体" w:hAnsi="宋体" w:cs="宋体"/>
                <w:color w:val="auto"/>
                <w:kern w:val="0"/>
                <w:sz w:val="24"/>
                <w:highlight w:val="none"/>
              </w:rPr>
            </w:pPr>
          </w:p>
        </w:tc>
        <w:tc>
          <w:tcPr>
            <w:tcW w:w="10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47.30</w:t>
            </w: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215</w:t>
            </w: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98</w:t>
            </w: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4"/>
                <w:highlight w:val="none"/>
              </w:rPr>
            </w:pPr>
            <w:r>
              <w:rPr>
                <w:rFonts w:hint="eastAsia" w:ascii="仿宋_GB2312" w:hAnsi="仿宋_GB2312" w:eastAsia="仿宋_GB2312" w:cs="仿宋_GB2312"/>
                <w:color w:val="auto"/>
                <w:sz w:val="18"/>
                <w:szCs w:val="18"/>
                <w:highlight w:val="none"/>
                <w:lang w:val="en-US" w:eastAsia="zh-CN"/>
              </w:rPr>
              <w:t>02</w:t>
            </w:r>
          </w:p>
        </w:tc>
        <w:tc>
          <w:tcPr>
            <w:tcW w:w="294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制造业</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47.30</w:t>
            </w:r>
          </w:p>
        </w:tc>
        <w:tc>
          <w:tcPr>
            <w:tcW w:w="1740" w:type="dxa"/>
            <w:tcBorders>
              <w:top w:val="single" w:color="auto" w:sz="4" w:space="0"/>
              <w:left w:val="single" w:color="auto" w:sz="4" w:space="0"/>
              <w:bottom w:val="single" w:color="auto" w:sz="4" w:space="0"/>
              <w:right w:val="single" w:color="auto" w:sz="4" w:space="0"/>
            </w:tcBorders>
          </w:tcPr>
          <w:p>
            <w:pPr>
              <w:widowControl/>
              <w:spacing w:line="280" w:lineRule="exact"/>
              <w:jc w:val="center"/>
              <w:rPr>
                <w:rFonts w:ascii="宋体" w:hAnsi="宋体" w:cs="宋体"/>
                <w:color w:val="auto"/>
                <w:kern w:val="0"/>
                <w:sz w:val="24"/>
                <w:highlight w:val="none"/>
              </w:rPr>
            </w:pPr>
          </w:p>
        </w:tc>
        <w:tc>
          <w:tcPr>
            <w:tcW w:w="10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47.30</w:t>
            </w: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221　</w:t>
            </w: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　</w:t>
            </w: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4"/>
                <w:highlight w:val="none"/>
              </w:rPr>
            </w:pPr>
            <w:r>
              <w:rPr>
                <w:rFonts w:hint="eastAsia" w:ascii="仿宋_GB2312" w:hAnsi="仿宋_GB2312" w:eastAsia="仿宋_GB2312" w:cs="仿宋_GB2312"/>
                <w:color w:val="auto"/>
                <w:sz w:val="18"/>
                <w:szCs w:val="18"/>
                <w:highlight w:val="none"/>
              </w:rPr>
              <w:t>　</w:t>
            </w:r>
          </w:p>
        </w:tc>
        <w:tc>
          <w:tcPr>
            <w:tcW w:w="294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住房保障支出　</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69.36</w:t>
            </w:r>
          </w:p>
        </w:tc>
        <w:tc>
          <w:tcPr>
            <w:tcW w:w="17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69.36</w:t>
            </w:r>
          </w:p>
        </w:tc>
        <w:tc>
          <w:tcPr>
            <w:tcW w:w="1028" w:type="dxa"/>
            <w:tcBorders>
              <w:top w:val="single" w:color="auto" w:sz="4" w:space="0"/>
              <w:left w:val="single" w:color="auto" w:sz="4" w:space="0"/>
              <w:bottom w:val="single" w:color="auto" w:sz="4" w:space="0"/>
              <w:right w:val="single" w:color="auto" w:sz="4" w:space="0"/>
            </w:tcBorders>
          </w:tcPr>
          <w:p>
            <w:pPr>
              <w:widowControl/>
              <w:spacing w:line="280" w:lineRule="exact"/>
              <w:jc w:val="center"/>
              <w:rPr>
                <w:rFonts w:ascii="宋体" w:hAnsi="宋体" w:cs="宋体"/>
                <w:color w:val="auto"/>
                <w:kern w:val="0"/>
                <w:sz w:val="24"/>
                <w:highlight w:val="none"/>
              </w:rPr>
            </w:pP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221</w:t>
            </w: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02</w:t>
            </w: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4"/>
                <w:highlight w:val="none"/>
              </w:rPr>
            </w:pPr>
          </w:p>
        </w:tc>
        <w:tc>
          <w:tcPr>
            <w:tcW w:w="294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住房改革支出</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69.36</w:t>
            </w:r>
          </w:p>
        </w:tc>
        <w:tc>
          <w:tcPr>
            <w:tcW w:w="17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69.36</w:t>
            </w:r>
          </w:p>
        </w:tc>
        <w:tc>
          <w:tcPr>
            <w:tcW w:w="1028" w:type="dxa"/>
            <w:tcBorders>
              <w:top w:val="single" w:color="auto" w:sz="4" w:space="0"/>
              <w:left w:val="single" w:color="auto" w:sz="4" w:space="0"/>
              <w:bottom w:val="single" w:color="auto" w:sz="4" w:space="0"/>
              <w:right w:val="single" w:color="auto" w:sz="4" w:space="0"/>
            </w:tcBorders>
          </w:tcPr>
          <w:p>
            <w:pPr>
              <w:widowControl/>
              <w:spacing w:line="280" w:lineRule="exact"/>
              <w:jc w:val="center"/>
              <w:rPr>
                <w:rFonts w:ascii="宋体" w:hAnsi="宋体" w:cs="宋体"/>
                <w:color w:val="auto"/>
                <w:kern w:val="0"/>
                <w:sz w:val="24"/>
                <w:highlight w:val="none"/>
              </w:rPr>
            </w:pP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221</w:t>
            </w: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02</w:t>
            </w: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4"/>
                <w:highlight w:val="none"/>
              </w:rPr>
            </w:pPr>
            <w:r>
              <w:rPr>
                <w:rFonts w:hint="eastAsia" w:ascii="仿宋_GB2312" w:hAnsi="仿宋_GB2312" w:eastAsia="仿宋_GB2312" w:cs="仿宋_GB2312"/>
                <w:color w:val="auto"/>
                <w:sz w:val="18"/>
                <w:szCs w:val="18"/>
                <w:highlight w:val="none"/>
                <w:lang w:val="en-US" w:eastAsia="zh-CN"/>
              </w:rPr>
              <w:t>01</w:t>
            </w:r>
          </w:p>
        </w:tc>
        <w:tc>
          <w:tcPr>
            <w:tcW w:w="294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住房公积金</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69.36</w:t>
            </w:r>
          </w:p>
        </w:tc>
        <w:tc>
          <w:tcPr>
            <w:tcW w:w="17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69.36</w:t>
            </w:r>
          </w:p>
        </w:tc>
        <w:tc>
          <w:tcPr>
            <w:tcW w:w="1028" w:type="dxa"/>
            <w:tcBorders>
              <w:top w:val="single" w:color="auto" w:sz="4" w:space="0"/>
              <w:left w:val="single" w:color="auto" w:sz="4" w:space="0"/>
              <w:bottom w:val="single" w:color="auto" w:sz="4" w:space="0"/>
              <w:right w:val="single" w:color="auto" w:sz="4" w:space="0"/>
            </w:tcBorders>
          </w:tcPr>
          <w:p>
            <w:pPr>
              <w:widowControl/>
              <w:spacing w:line="280" w:lineRule="exact"/>
              <w:jc w:val="center"/>
              <w:rPr>
                <w:rFonts w:ascii="宋体" w:hAnsi="宋体" w:cs="宋体"/>
                <w:color w:val="auto"/>
                <w:kern w:val="0"/>
                <w:sz w:val="24"/>
                <w:highlight w:val="none"/>
              </w:rPr>
            </w:pP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p>
        </w:tc>
        <w:tc>
          <w:tcPr>
            <w:tcW w:w="2940" w:type="dxa"/>
            <w:tcBorders>
              <w:top w:val="single" w:color="auto" w:sz="4" w:space="0"/>
              <w:left w:val="single" w:color="auto" w:sz="4" w:space="0"/>
              <w:bottom w:val="single" w:color="auto" w:sz="4" w:space="0"/>
              <w:right w:val="single" w:color="auto" w:sz="4" w:space="0"/>
            </w:tcBorders>
            <w:vAlign w:val="center"/>
          </w:tcPr>
          <w:p>
            <w:pPr>
              <w:ind w:firstLine="402" w:firstLineChars="200"/>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kern w:val="0"/>
                <w:sz w:val="20"/>
                <w:szCs w:val="20"/>
                <w:highlight w:val="none"/>
              </w:rPr>
              <w:t>合  计</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b/>
                <w:bCs/>
                <w:color w:val="auto"/>
                <w:sz w:val="20"/>
                <w:szCs w:val="20"/>
                <w:highlight w:val="none"/>
              </w:rPr>
            </w:pPr>
            <w:r>
              <w:rPr>
                <w:rFonts w:hint="eastAsia" w:ascii="仿宋_GB2312" w:hAnsi="Times New Roman" w:eastAsia="仿宋_GB2312" w:cs="Times New Roman"/>
                <w:b/>
                <w:bCs/>
                <w:color w:val="auto"/>
                <w:sz w:val="20"/>
                <w:szCs w:val="20"/>
                <w:highlight w:val="none"/>
              </w:rPr>
              <w:t>9385.31</w:t>
            </w:r>
          </w:p>
        </w:tc>
        <w:tc>
          <w:tcPr>
            <w:tcW w:w="1740" w:type="dxa"/>
            <w:tcBorders>
              <w:top w:val="single" w:color="auto" w:sz="4" w:space="0"/>
              <w:left w:val="single" w:color="auto" w:sz="4" w:space="0"/>
              <w:bottom w:val="single" w:color="auto" w:sz="4" w:space="0"/>
              <w:right w:val="single" w:color="auto" w:sz="4" w:space="0"/>
            </w:tcBorders>
          </w:tcPr>
          <w:p>
            <w:pPr>
              <w:jc w:val="center"/>
              <w:rPr>
                <w:rFonts w:hint="eastAsia" w:ascii="仿宋_GB2312" w:hAnsi="Times New Roman" w:eastAsia="仿宋_GB2312" w:cs="Times New Roman"/>
                <w:b/>
                <w:bCs/>
                <w:color w:val="auto"/>
                <w:sz w:val="20"/>
                <w:szCs w:val="20"/>
                <w:highlight w:val="none"/>
              </w:rPr>
            </w:pPr>
            <w:r>
              <w:rPr>
                <w:rFonts w:hint="eastAsia" w:ascii="仿宋_GB2312" w:hAnsi="Times New Roman" w:eastAsia="仿宋_GB2312" w:cs="Times New Roman"/>
                <w:b/>
                <w:bCs/>
                <w:color w:val="auto"/>
                <w:sz w:val="20"/>
                <w:szCs w:val="20"/>
                <w:highlight w:val="none"/>
              </w:rPr>
              <w:t>515.18</w:t>
            </w:r>
          </w:p>
        </w:tc>
        <w:tc>
          <w:tcPr>
            <w:tcW w:w="1028" w:type="dxa"/>
            <w:tcBorders>
              <w:top w:val="single" w:color="auto" w:sz="4" w:space="0"/>
              <w:left w:val="single" w:color="auto" w:sz="4" w:space="0"/>
              <w:bottom w:val="single" w:color="auto" w:sz="4" w:space="0"/>
              <w:right w:val="single" w:color="auto" w:sz="4" w:space="0"/>
            </w:tcBorders>
          </w:tcPr>
          <w:p>
            <w:pPr>
              <w:jc w:val="center"/>
              <w:rPr>
                <w:rFonts w:hint="eastAsia" w:ascii="仿宋_GB2312" w:hAnsi="Times New Roman" w:eastAsia="仿宋_GB2312" w:cs="Times New Roman"/>
                <w:b/>
                <w:bCs/>
                <w:color w:val="auto"/>
                <w:sz w:val="20"/>
                <w:szCs w:val="20"/>
                <w:highlight w:val="none"/>
              </w:rPr>
            </w:pPr>
            <w:r>
              <w:rPr>
                <w:rFonts w:hint="eastAsia" w:ascii="仿宋_GB2312" w:hAnsi="Times New Roman" w:eastAsia="仿宋_GB2312" w:cs="Times New Roman"/>
                <w:b/>
                <w:bCs/>
                <w:color w:val="auto"/>
                <w:sz w:val="20"/>
                <w:szCs w:val="20"/>
                <w:highlight w:val="none"/>
              </w:rPr>
              <w:t>8870.13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10"/>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2906.86</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2906.860057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45.43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45.43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31.38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31.38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2148.19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lang w:val="en-US" w:eastAsia="zh-CN"/>
              </w:rPr>
              <w:t>2148.19</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647.20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647.20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34.66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34.66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2906.86</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2906.86</w:t>
            </w:r>
          </w:p>
        </w:tc>
        <w:tc>
          <w:tcPr>
            <w:tcW w:w="85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2906.86</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0"/>
        <w:tblW w:w="9749" w:type="dxa"/>
        <w:tblInd w:w="-34" w:type="dxa"/>
        <w:tblLayout w:type="fixed"/>
        <w:tblCellMar>
          <w:top w:w="0" w:type="dxa"/>
          <w:left w:w="108" w:type="dxa"/>
          <w:bottom w:w="0" w:type="dxa"/>
          <w:right w:w="108" w:type="dxa"/>
        </w:tblCellMar>
      </w:tblPr>
      <w:tblGrid>
        <w:gridCol w:w="581"/>
        <w:gridCol w:w="510"/>
        <w:gridCol w:w="570"/>
        <w:gridCol w:w="3285"/>
        <w:gridCol w:w="236"/>
        <w:gridCol w:w="1159"/>
        <w:gridCol w:w="525"/>
        <w:gridCol w:w="1005"/>
        <w:gridCol w:w="1343"/>
        <w:gridCol w:w="535"/>
      </w:tblGrid>
      <w:tr>
        <w:tblPrEx>
          <w:tblCellMar>
            <w:top w:w="0" w:type="dxa"/>
            <w:left w:w="108" w:type="dxa"/>
            <w:bottom w:w="0" w:type="dxa"/>
            <w:right w:w="108" w:type="dxa"/>
          </w:tblCellMar>
        </w:tblPrEx>
        <w:trPr>
          <w:gridAfter w:val="1"/>
          <w:wAfter w:w="535" w:type="dxa"/>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946"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c>
        <w:tc>
          <w:tcPr>
            <w:tcW w:w="23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883" w:type="dxa"/>
            <w:gridSpan w:val="3"/>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gridAfter w:val="1"/>
          <w:wAfter w:w="535" w:type="dxa"/>
          <w:trHeight w:val="405" w:hRule="atLeast"/>
        </w:trPr>
        <w:tc>
          <w:tcPr>
            <w:tcW w:w="4946"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268"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gridAfter w:val="1"/>
          <w:wAfter w:w="535" w:type="dxa"/>
          <w:trHeight w:val="465" w:hRule="atLeast"/>
        </w:trPr>
        <w:tc>
          <w:tcPr>
            <w:tcW w:w="1661"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28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39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53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4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gridAfter w:val="1"/>
          <w:wAfter w:w="535" w:type="dxa"/>
          <w:trHeight w:val="300" w:hRule="atLeast"/>
        </w:trPr>
        <w:tc>
          <w:tcPr>
            <w:tcW w:w="581"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1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28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39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3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34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b/>
                <w:color w:val="auto"/>
                <w:kern w:val="0"/>
                <w:sz w:val="20"/>
                <w:szCs w:val="20"/>
                <w:highlight w:val="none"/>
                <w:lang w:eastAsia="zh-CN"/>
              </w:rPr>
            </w:pPr>
            <w:r>
              <w:rPr>
                <w:rFonts w:hint="eastAsia" w:ascii="仿宋_GB2312" w:hAnsi="仿宋_GB2312" w:eastAsia="仿宋_GB2312" w:cs="仿宋_GB2312"/>
                <w:color w:val="auto"/>
                <w:sz w:val="18"/>
                <w:szCs w:val="18"/>
                <w:highlight w:val="none"/>
              </w:rPr>
              <w:t>208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8"/>
                <w:szCs w:val="18"/>
                <w:highlight w:val="none"/>
              </w:rPr>
              <w:t>社会保障和就业支出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45.43</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45.43</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05</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行政事业单位养老支出　</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45.43</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45.43</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05</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行政单位离退休</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3.93</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3.93</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05</w:t>
            </w:r>
          </w:p>
        </w:tc>
        <w:tc>
          <w:tcPr>
            <w:tcW w:w="57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05</w:t>
            </w: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机关事业单位基本养老保险缴费支出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41.49</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41.49</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卫生健康支出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31.38</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31.38</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行政事业单位医疗</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31.38</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31.38</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行政单位医疗</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16.19</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16.19</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事业单位医疗</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4.56</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4.56</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公务员医疗补助</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10.37</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10.37</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99</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其他行政事业单位医疗支出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0.26</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0.26</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214</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交通运输支出</w:t>
            </w:r>
          </w:p>
        </w:tc>
        <w:tc>
          <w:tcPr>
            <w:tcW w:w="1395" w:type="dxa"/>
            <w:gridSpan w:val="2"/>
            <w:tcBorders>
              <w:top w:val="nil"/>
              <w:left w:val="nil"/>
              <w:bottom w:val="single" w:color="auto" w:sz="4" w:space="0"/>
              <w:right w:val="single" w:color="auto" w:sz="4" w:space="0"/>
            </w:tcBorders>
            <w:noWrap w:val="0"/>
            <w:vAlign w:val="center"/>
          </w:tcPr>
          <w:p>
            <w:pPr>
              <w:ind w:firstLine="400" w:firstLineChars="200"/>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2148.20</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314.97</w:t>
            </w:r>
          </w:p>
        </w:tc>
        <w:tc>
          <w:tcPr>
            <w:tcW w:w="134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1833.23</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214</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公路水路运输</w:t>
            </w:r>
          </w:p>
        </w:tc>
        <w:tc>
          <w:tcPr>
            <w:tcW w:w="1395"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2148.20</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314.97</w:t>
            </w:r>
          </w:p>
        </w:tc>
        <w:tc>
          <w:tcPr>
            <w:tcW w:w="134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1833.23</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214</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sz w:val="18"/>
                <w:szCs w:val="18"/>
              </w:rPr>
              <w:t>行政运行</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250.89</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250.89</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gridAfter w:val="1"/>
          <w:wAfter w:w="535" w:type="dxa"/>
          <w:trHeight w:val="9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214</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04</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公路建设</w:t>
            </w:r>
          </w:p>
        </w:tc>
        <w:tc>
          <w:tcPr>
            <w:tcW w:w="1395"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1119.23</w:t>
            </w:r>
          </w:p>
        </w:tc>
        <w:tc>
          <w:tcPr>
            <w:tcW w:w="1530"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p>
        </w:tc>
        <w:tc>
          <w:tcPr>
            <w:tcW w:w="134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1119.23</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214</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06</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sz w:val="18"/>
                <w:szCs w:val="18"/>
              </w:rPr>
              <w:t>公路养护</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714</w:t>
            </w:r>
          </w:p>
        </w:tc>
        <w:tc>
          <w:tcPr>
            <w:tcW w:w="1530"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p>
        </w:tc>
        <w:tc>
          <w:tcPr>
            <w:tcW w:w="134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714</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214</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12</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sz w:val="18"/>
                <w:szCs w:val="18"/>
              </w:rPr>
              <w:t>公路运输管理</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64.08</w:t>
            </w:r>
          </w:p>
        </w:tc>
        <w:tc>
          <w:tcPr>
            <w:tcW w:w="1530"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64.08</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215　</w:t>
            </w:r>
          </w:p>
        </w:tc>
        <w:tc>
          <w:tcPr>
            <w:tcW w:w="51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资源勘探工业信息等支出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647.20</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34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647.20</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215</w:t>
            </w:r>
          </w:p>
        </w:tc>
        <w:tc>
          <w:tcPr>
            <w:tcW w:w="51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08</w:t>
            </w:r>
          </w:p>
        </w:tc>
        <w:tc>
          <w:tcPr>
            <w:tcW w:w="57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p>
        </w:tc>
        <w:tc>
          <w:tcPr>
            <w:tcW w:w="3285" w:type="dxa"/>
            <w:tcBorders>
              <w:top w:val="nil"/>
              <w:left w:val="nil"/>
              <w:bottom w:val="single" w:color="auto" w:sz="4" w:space="0"/>
              <w:right w:val="single" w:color="auto" w:sz="4" w:space="0"/>
            </w:tcBorders>
            <w:noWrap w:val="0"/>
            <w:vAlign w:val="center"/>
          </w:tcPr>
          <w:p>
            <w:pPr>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支持中小企业发展和管理支出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647.20</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647.20</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215</w:t>
            </w:r>
          </w:p>
        </w:tc>
        <w:tc>
          <w:tcPr>
            <w:tcW w:w="51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08</w:t>
            </w:r>
          </w:p>
        </w:tc>
        <w:tc>
          <w:tcPr>
            <w:tcW w:w="57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99</w:t>
            </w:r>
          </w:p>
        </w:tc>
        <w:tc>
          <w:tcPr>
            <w:tcW w:w="3285" w:type="dxa"/>
            <w:tcBorders>
              <w:top w:val="nil"/>
              <w:left w:val="nil"/>
              <w:bottom w:val="single" w:color="auto" w:sz="4" w:space="0"/>
              <w:right w:val="single" w:color="auto" w:sz="4" w:space="0"/>
            </w:tcBorders>
            <w:noWrap w:val="0"/>
            <w:vAlign w:val="center"/>
          </w:tcPr>
          <w:p>
            <w:pPr>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其他支持中小企业发展和管理支出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647.20</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647.20</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221　</w:t>
            </w:r>
          </w:p>
        </w:tc>
        <w:tc>
          <w:tcPr>
            <w:tcW w:w="51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住房保障支出　</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34.66</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34.66</w:t>
            </w:r>
          </w:p>
        </w:tc>
        <w:tc>
          <w:tcPr>
            <w:tcW w:w="134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02</w:t>
            </w:r>
          </w:p>
        </w:tc>
        <w:tc>
          <w:tcPr>
            <w:tcW w:w="57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p>
        </w:tc>
        <w:tc>
          <w:tcPr>
            <w:tcW w:w="3285" w:type="dxa"/>
            <w:tcBorders>
              <w:top w:val="nil"/>
              <w:left w:val="nil"/>
              <w:bottom w:val="single" w:color="auto" w:sz="4" w:space="0"/>
              <w:right w:val="single" w:color="auto" w:sz="4" w:space="0"/>
            </w:tcBorders>
            <w:noWrap w:val="0"/>
            <w:vAlign w:val="center"/>
          </w:tcPr>
          <w:p>
            <w:pPr>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住房改革支出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34.66</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34.66</w:t>
            </w:r>
          </w:p>
        </w:tc>
        <w:tc>
          <w:tcPr>
            <w:tcW w:w="134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02</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住房公积金</w:t>
            </w:r>
          </w:p>
        </w:tc>
        <w:tc>
          <w:tcPr>
            <w:tcW w:w="1395"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34.66</w:t>
            </w:r>
          </w:p>
        </w:tc>
        <w:tc>
          <w:tcPr>
            <w:tcW w:w="1530"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34.66</w:t>
            </w:r>
          </w:p>
        </w:tc>
        <w:tc>
          <w:tcPr>
            <w:tcW w:w="134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gridAfter w:val="1"/>
          <w:wAfter w:w="535" w:type="dxa"/>
          <w:trHeight w:val="270" w:hRule="atLeast"/>
        </w:trPr>
        <w:tc>
          <w:tcPr>
            <w:tcW w:w="581"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328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39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53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34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3285"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9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2906.86</w:t>
            </w:r>
          </w:p>
        </w:tc>
        <w:tc>
          <w:tcPr>
            <w:tcW w:w="1530"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426.43</w:t>
            </w:r>
          </w:p>
        </w:tc>
        <w:tc>
          <w:tcPr>
            <w:tcW w:w="1343" w:type="dxa"/>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2480.43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0"/>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szCs w:val="24"/>
                <w:highlight w:val="none"/>
                <w:lang w:val="en-US" w:eastAsia="zh-CN"/>
              </w:rPr>
              <w:t xml:space="preserve"> </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403.19</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403.19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98.24</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98.24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89.24</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89.24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03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奖金</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85.87</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85.87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07</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绩效工资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15.47</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15.47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08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41.49</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41.49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10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20.75</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20.75</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10.37</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10.37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12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1.58</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1.58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13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34.66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34.66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其他工资福利支出</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5.51</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5.51</w:t>
            </w: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18.36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18.36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01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1.36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印刷费</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0.20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06</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电费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0.90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0.90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07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邮电费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1.88</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1.88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差旅费</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28</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5.02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5.02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8.00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8.00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4.88</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4.88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退休费</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3.93</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3.93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09</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w:t>
            </w:r>
            <w:r>
              <w:rPr>
                <w:rFonts w:hint="eastAsia" w:ascii="宋体" w:hAnsi="宋体" w:cs="宋体"/>
                <w:color w:val="auto"/>
                <w:kern w:val="0"/>
                <w:sz w:val="20"/>
                <w:szCs w:val="20"/>
                <w:highlight w:val="none"/>
              </w:rPr>
              <w:t>0.95</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0.95</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426.43</w:t>
            </w:r>
          </w:p>
        </w:tc>
        <w:tc>
          <w:tcPr>
            <w:tcW w:w="1701" w:type="dxa"/>
            <w:gridSpan w:val="2"/>
            <w:tcBorders>
              <w:top w:val="nil"/>
              <w:left w:val="nil"/>
              <w:bottom w:val="single" w:color="auto" w:sz="4" w:space="0"/>
              <w:right w:val="single" w:color="auto" w:sz="4" w:space="0"/>
            </w:tcBorders>
            <w:noWrap w:val="0"/>
            <w:vAlign w:val="center"/>
          </w:tcPr>
          <w:p>
            <w:pPr>
              <w:widowControl/>
              <w:ind w:firstLine="201" w:firstLineChars="100"/>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408.07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18.36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0"/>
        <w:tblW w:w="10665" w:type="dxa"/>
        <w:tblInd w:w="-488" w:type="dxa"/>
        <w:tblLayout w:type="fixed"/>
        <w:tblCellMar>
          <w:top w:w="0" w:type="dxa"/>
          <w:left w:w="108" w:type="dxa"/>
          <w:bottom w:w="0" w:type="dxa"/>
          <w:right w:w="108" w:type="dxa"/>
        </w:tblCellMar>
      </w:tblPr>
      <w:tblGrid>
        <w:gridCol w:w="525"/>
        <w:gridCol w:w="435"/>
        <w:gridCol w:w="419"/>
        <w:gridCol w:w="961"/>
        <w:gridCol w:w="1267"/>
        <w:gridCol w:w="1103"/>
        <w:gridCol w:w="450"/>
        <w:gridCol w:w="870"/>
        <w:gridCol w:w="330"/>
        <w:gridCol w:w="510"/>
        <w:gridCol w:w="242"/>
        <w:gridCol w:w="246"/>
        <w:gridCol w:w="1102"/>
        <w:gridCol w:w="420"/>
        <w:gridCol w:w="1020"/>
        <w:gridCol w:w="360"/>
        <w:gridCol w:w="405"/>
      </w:tblGrid>
      <w:tr>
        <w:tblPrEx>
          <w:tblCellMar>
            <w:top w:w="0" w:type="dxa"/>
            <w:left w:w="108" w:type="dxa"/>
            <w:bottom w:w="0" w:type="dxa"/>
            <w:right w:w="108" w:type="dxa"/>
          </w:tblCellMar>
        </w:tblPrEx>
        <w:trPr>
          <w:trHeight w:val="375" w:hRule="atLeast"/>
        </w:trPr>
        <w:tc>
          <w:tcPr>
            <w:tcW w:w="10665"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trHeight w:val="405" w:hRule="atLeast"/>
        </w:trPr>
        <w:tc>
          <w:tcPr>
            <w:tcW w:w="4710"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szCs w:val="24"/>
                <w:highlight w:val="none"/>
                <w:lang w:val="en-US" w:eastAsia="zh-CN"/>
              </w:rPr>
              <w:t xml:space="preserve"> </w:t>
            </w:r>
          </w:p>
        </w:tc>
        <w:tc>
          <w:tcPr>
            <w:tcW w:w="132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0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553"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79"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61"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67"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110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5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7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1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8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110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10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2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3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9"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61"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26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10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7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1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8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10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2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214</w:t>
            </w:r>
          </w:p>
        </w:tc>
        <w:tc>
          <w:tcPr>
            <w:tcW w:w="435" w:type="dxa"/>
            <w:shd w:val="clear" w:color="auto" w:fill="auto"/>
            <w:noWrap w:val="0"/>
            <w:vAlign w:val="center"/>
          </w:tcPr>
          <w:p>
            <w:pPr>
              <w:jc w:val="left"/>
              <w:rPr>
                <w:rFonts w:hint="eastAsia" w:ascii="仿宋_GB2312" w:hAnsi="宋体" w:eastAsia="仿宋_GB2312"/>
                <w:color w:val="auto"/>
                <w:kern w:val="0"/>
                <w:sz w:val="32"/>
                <w:szCs w:val="32"/>
                <w:highlight w:val="none"/>
                <w:lang w:eastAsia="zh-Hans"/>
              </w:rPr>
            </w:pPr>
          </w:p>
        </w:tc>
        <w:tc>
          <w:tcPr>
            <w:tcW w:w="419"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961"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交通运输支出</w:t>
            </w:r>
          </w:p>
        </w:tc>
        <w:tc>
          <w:tcPr>
            <w:tcW w:w="1267" w:type="dxa"/>
            <w:shd w:val="clear" w:color="auto" w:fill="auto"/>
            <w:noWrap w:val="0"/>
            <w:vAlign w:val="center"/>
          </w:tcPr>
          <w:p>
            <w:pPr>
              <w:ind w:firstLine="640" w:firstLineChars="200"/>
              <w:jc w:val="left"/>
              <w:rPr>
                <w:rFonts w:ascii="仿宋_GB2312" w:hAnsi="宋体" w:eastAsia="仿宋_GB2312"/>
                <w:color w:val="auto"/>
                <w:kern w:val="0"/>
                <w:sz w:val="32"/>
                <w:szCs w:val="32"/>
                <w:highlight w:val="none"/>
              </w:rPr>
            </w:pPr>
          </w:p>
        </w:tc>
        <w:tc>
          <w:tcPr>
            <w:tcW w:w="1103" w:type="dxa"/>
            <w:shd w:val="clear" w:color="auto" w:fill="auto"/>
            <w:noWrap w:val="0"/>
            <w:vAlign w:val="center"/>
          </w:tcPr>
          <w:p>
            <w:pPr>
              <w:jc w:val="left"/>
              <w:rPr>
                <w:rFonts w:hint="default" w:ascii="仿宋_GB2312" w:hAnsi="宋体" w:eastAsia="仿宋_GB2312"/>
                <w:color w:val="auto"/>
                <w:kern w:val="0"/>
                <w:sz w:val="32"/>
                <w:szCs w:val="32"/>
                <w:highlight w:val="none"/>
                <w:lang w:val="en-US"/>
              </w:rPr>
            </w:pPr>
            <w:r>
              <w:rPr>
                <w:rFonts w:hint="eastAsia" w:ascii="仿宋_GB2312" w:eastAsia="仿宋_GB2312"/>
                <w:color w:val="auto"/>
                <w:sz w:val="20"/>
                <w:szCs w:val="20"/>
                <w:highlight w:val="none"/>
                <w:lang w:val="en-US" w:eastAsia="zh-CN"/>
              </w:rPr>
              <w:t>1833.23</w:t>
            </w:r>
          </w:p>
        </w:tc>
        <w:tc>
          <w:tcPr>
            <w:tcW w:w="45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0" w:type="dxa"/>
            <w:shd w:val="clear" w:color="auto" w:fill="auto"/>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xml:space="preserve"> 308.00</w:t>
            </w:r>
          </w:p>
        </w:tc>
        <w:tc>
          <w:tcPr>
            <w:tcW w:w="33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gridSpan w:val="2"/>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02"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1525.23</w:t>
            </w:r>
          </w:p>
        </w:tc>
        <w:tc>
          <w:tcPr>
            <w:tcW w:w="420" w:type="dxa"/>
            <w:noWrap w:val="0"/>
            <w:vAlign w:val="top"/>
          </w:tcPr>
          <w:p>
            <w:pPr>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　</w:t>
            </w:r>
          </w:p>
        </w:tc>
        <w:tc>
          <w:tcPr>
            <w:tcW w:w="10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52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214</w:t>
            </w:r>
          </w:p>
        </w:tc>
        <w:tc>
          <w:tcPr>
            <w:tcW w:w="43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01</w:t>
            </w:r>
          </w:p>
        </w:tc>
        <w:tc>
          <w:tcPr>
            <w:tcW w:w="419"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961"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公路水路运输</w:t>
            </w:r>
          </w:p>
        </w:tc>
        <w:tc>
          <w:tcPr>
            <w:tcW w:w="1267"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1103" w:type="dxa"/>
            <w:shd w:val="clear" w:color="auto" w:fill="auto"/>
            <w:noWrap w:val="0"/>
            <w:vAlign w:val="center"/>
          </w:tcPr>
          <w:p>
            <w:pPr>
              <w:jc w:val="left"/>
              <w:rPr>
                <w:rFonts w:hint="default" w:ascii="仿宋_GB2312" w:hAnsi="宋体" w:eastAsia="仿宋_GB2312"/>
                <w:color w:val="auto"/>
                <w:kern w:val="0"/>
                <w:sz w:val="32"/>
                <w:szCs w:val="32"/>
                <w:highlight w:val="none"/>
                <w:lang w:val="en-US"/>
              </w:rPr>
            </w:pPr>
            <w:r>
              <w:rPr>
                <w:rFonts w:hint="eastAsia" w:ascii="仿宋_GB2312" w:eastAsia="仿宋_GB2312"/>
                <w:color w:val="auto"/>
                <w:sz w:val="20"/>
                <w:szCs w:val="20"/>
                <w:highlight w:val="none"/>
                <w:lang w:val="en-US" w:eastAsia="zh-CN"/>
              </w:rPr>
              <w:t>1833.23</w:t>
            </w:r>
          </w:p>
        </w:tc>
        <w:tc>
          <w:tcPr>
            <w:tcW w:w="45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0" w:type="dxa"/>
            <w:shd w:val="clear" w:color="auto" w:fill="auto"/>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xml:space="preserve"> 308.00</w:t>
            </w:r>
          </w:p>
        </w:tc>
        <w:tc>
          <w:tcPr>
            <w:tcW w:w="33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gridSpan w:val="2"/>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02" w:type="dxa"/>
            <w:shd w:val="clear" w:color="auto" w:fill="auto"/>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1525.23</w:t>
            </w:r>
          </w:p>
        </w:tc>
        <w:tc>
          <w:tcPr>
            <w:tcW w:w="420" w:type="dxa"/>
            <w:noWrap w:val="0"/>
            <w:vAlign w:val="top"/>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52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214</w:t>
            </w:r>
          </w:p>
        </w:tc>
        <w:tc>
          <w:tcPr>
            <w:tcW w:w="43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419"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04</w:t>
            </w:r>
          </w:p>
        </w:tc>
        <w:tc>
          <w:tcPr>
            <w:tcW w:w="961"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公路建设</w:t>
            </w:r>
          </w:p>
        </w:tc>
        <w:tc>
          <w:tcPr>
            <w:tcW w:w="1267"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提前下达2025年交通运输领域专项资金[第一批]</w:t>
            </w:r>
          </w:p>
        </w:tc>
        <w:tc>
          <w:tcPr>
            <w:tcW w:w="1103" w:type="dxa"/>
            <w:shd w:val="clear" w:color="auto" w:fill="auto"/>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hAnsi="仿宋_GB2312" w:eastAsia="仿宋_GB2312" w:cs="仿宋_GB2312"/>
                <w:color w:val="auto"/>
                <w:sz w:val="18"/>
                <w:szCs w:val="18"/>
                <w:highlight w:val="none"/>
              </w:rPr>
              <w:t>1119.23</w:t>
            </w:r>
          </w:p>
        </w:tc>
        <w:tc>
          <w:tcPr>
            <w:tcW w:w="45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87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33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51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88" w:type="dxa"/>
            <w:gridSpan w:val="2"/>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1102"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1119.23</w:t>
            </w:r>
          </w:p>
        </w:tc>
        <w:tc>
          <w:tcPr>
            <w:tcW w:w="420" w:type="dxa"/>
            <w:noWrap w:val="0"/>
            <w:vAlign w:val="top"/>
          </w:tcPr>
          <w:p>
            <w:pPr>
              <w:jc w:val="center"/>
              <w:rPr>
                <w:rFonts w:hint="eastAsia" w:ascii="仿宋_GB2312" w:hAnsi="仿宋_GB2312" w:eastAsia="仿宋_GB2312" w:cs="仿宋_GB2312"/>
                <w:color w:val="auto"/>
                <w:sz w:val="18"/>
                <w:szCs w:val="18"/>
                <w:highlight w:val="none"/>
              </w:rPr>
            </w:pPr>
          </w:p>
        </w:tc>
        <w:tc>
          <w:tcPr>
            <w:tcW w:w="10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05"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5" w:hRule="atLeast"/>
        </w:trPr>
        <w:tc>
          <w:tcPr>
            <w:tcW w:w="52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214</w:t>
            </w:r>
          </w:p>
        </w:tc>
        <w:tc>
          <w:tcPr>
            <w:tcW w:w="43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01</w:t>
            </w:r>
          </w:p>
        </w:tc>
        <w:tc>
          <w:tcPr>
            <w:tcW w:w="419"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06</w:t>
            </w:r>
          </w:p>
        </w:tc>
        <w:tc>
          <w:tcPr>
            <w:tcW w:w="961"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sz w:val="18"/>
                <w:szCs w:val="18"/>
              </w:rPr>
              <w:t>公路养护</w:t>
            </w:r>
          </w:p>
        </w:tc>
        <w:tc>
          <w:tcPr>
            <w:tcW w:w="1267"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提前下达2025年中央对地方成品油税费改革转移支付用于农村公路养护支出</w:t>
            </w:r>
          </w:p>
        </w:tc>
        <w:tc>
          <w:tcPr>
            <w:tcW w:w="1103" w:type="dxa"/>
            <w:shd w:val="clear" w:color="auto" w:fill="auto"/>
            <w:noWrap w:val="0"/>
            <w:vAlign w:val="center"/>
          </w:tcPr>
          <w:p>
            <w:pPr>
              <w:jc w:val="left"/>
              <w:rPr>
                <w:rFonts w:hint="default" w:ascii="仿宋_GB2312" w:hAnsi="宋体" w:eastAsia="仿宋_GB2312"/>
                <w:color w:val="auto"/>
                <w:kern w:val="0"/>
                <w:sz w:val="32"/>
                <w:szCs w:val="32"/>
                <w:highlight w:val="none"/>
                <w:lang w:val="en-US"/>
              </w:rPr>
            </w:pPr>
            <w:r>
              <w:rPr>
                <w:rFonts w:hint="eastAsia" w:ascii="仿宋_GB2312" w:eastAsia="仿宋_GB2312"/>
                <w:color w:val="auto"/>
                <w:sz w:val="20"/>
                <w:szCs w:val="20"/>
                <w:highlight w:val="none"/>
                <w:lang w:val="en-US" w:eastAsia="zh-CN"/>
              </w:rPr>
              <w:t>134.00</w:t>
            </w:r>
          </w:p>
        </w:tc>
        <w:tc>
          <w:tcPr>
            <w:tcW w:w="450"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870" w:type="dxa"/>
            <w:shd w:val="clear" w:color="auto" w:fill="auto"/>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xml:space="preserve">      134.00　</w:t>
            </w:r>
          </w:p>
        </w:tc>
        <w:tc>
          <w:tcPr>
            <w:tcW w:w="330" w:type="dxa"/>
            <w:shd w:val="clear" w:color="auto" w:fill="auto"/>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51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gridSpan w:val="2"/>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02"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214</w:t>
            </w:r>
          </w:p>
        </w:tc>
        <w:tc>
          <w:tcPr>
            <w:tcW w:w="43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419"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06</w:t>
            </w:r>
          </w:p>
        </w:tc>
        <w:tc>
          <w:tcPr>
            <w:tcW w:w="961" w:type="dxa"/>
            <w:shd w:val="clear" w:color="auto" w:fill="auto"/>
            <w:noWrap w:val="0"/>
            <w:vAlign w:val="center"/>
          </w:tcPr>
          <w:p>
            <w:pPr>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公路养护</w:t>
            </w:r>
          </w:p>
        </w:tc>
        <w:tc>
          <w:tcPr>
            <w:tcW w:w="1267"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提前下达2025年政府还贷二级公路取消收费后补助资金昌州财建[2024]147号</w:t>
            </w:r>
          </w:p>
        </w:tc>
        <w:tc>
          <w:tcPr>
            <w:tcW w:w="1103" w:type="dxa"/>
            <w:shd w:val="clear" w:color="auto" w:fill="auto"/>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112.00</w:t>
            </w:r>
          </w:p>
        </w:tc>
        <w:tc>
          <w:tcPr>
            <w:tcW w:w="450"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870"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p>
        </w:tc>
        <w:tc>
          <w:tcPr>
            <w:tcW w:w="330"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p>
        </w:tc>
        <w:tc>
          <w:tcPr>
            <w:tcW w:w="51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88" w:type="dxa"/>
            <w:gridSpan w:val="2"/>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1102" w:type="dxa"/>
            <w:shd w:val="clear" w:color="auto" w:fill="auto"/>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 xml:space="preserve">    112.00</w:t>
            </w: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0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05"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214</w:t>
            </w:r>
          </w:p>
        </w:tc>
        <w:tc>
          <w:tcPr>
            <w:tcW w:w="43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419"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06</w:t>
            </w:r>
          </w:p>
        </w:tc>
        <w:tc>
          <w:tcPr>
            <w:tcW w:w="961" w:type="dxa"/>
            <w:shd w:val="clear" w:color="auto" w:fill="auto"/>
            <w:noWrap w:val="0"/>
            <w:vAlign w:val="center"/>
          </w:tcPr>
          <w:p>
            <w:pPr>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公路养护</w:t>
            </w:r>
          </w:p>
        </w:tc>
        <w:tc>
          <w:tcPr>
            <w:tcW w:w="1267"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农村公路日常养护县级配套（非定额）</w:t>
            </w:r>
          </w:p>
        </w:tc>
        <w:tc>
          <w:tcPr>
            <w:tcW w:w="1103" w:type="dxa"/>
            <w:shd w:val="clear" w:color="auto" w:fill="auto"/>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268.00</w:t>
            </w:r>
          </w:p>
        </w:tc>
        <w:tc>
          <w:tcPr>
            <w:tcW w:w="450"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870" w:type="dxa"/>
            <w:shd w:val="clear" w:color="auto" w:fill="auto"/>
            <w:noWrap w:val="0"/>
            <w:vAlign w:val="center"/>
          </w:tcPr>
          <w:p>
            <w:pPr>
              <w:widowControl/>
              <w:jc w:val="left"/>
              <w:outlineLvl w:val="1"/>
              <w:rPr>
                <w:rFonts w:hint="default" w:ascii="仿宋_GB2312" w:hAnsi="宋体" w:eastAsia="仿宋_GB2312"/>
                <w:color w:val="auto"/>
                <w:kern w:val="0"/>
                <w:sz w:val="32"/>
                <w:szCs w:val="32"/>
                <w:highlight w:val="none"/>
                <w:lang w:val="en-US"/>
              </w:rPr>
            </w:pPr>
            <w:r>
              <w:rPr>
                <w:rFonts w:hint="eastAsia" w:ascii="仿宋_GB2312" w:hAnsi="仿宋_GB2312" w:eastAsia="仿宋_GB2312" w:cs="仿宋_GB2312"/>
                <w:color w:val="auto"/>
                <w:sz w:val="18"/>
                <w:szCs w:val="18"/>
                <w:highlight w:val="none"/>
                <w:lang w:val="en-US" w:eastAsia="zh-CN"/>
              </w:rPr>
              <w:t>134.00</w:t>
            </w:r>
          </w:p>
        </w:tc>
        <w:tc>
          <w:tcPr>
            <w:tcW w:w="33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51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88" w:type="dxa"/>
            <w:gridSpan w:val="2"/>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1102" w:type="dxa"/>
            <w:shd w:val="clear" w:color="auto" w:fill="auto"/>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134.00</w:t>
            </w: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0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05"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214</w:t>
            </w:r>
          </w:p>
        </w:tc>
        <w:tc>
          <w:tcPr>
            <w:tcW w:w="43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419"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06</w:t>
            </w:r>
          </w:p>
        </w:tc>
        <w:tc>
          <w:tcPr>
            <w:tcW w:w="961" w:type="dxa"/>
            <w:shd w:val="clear" w:color="auto" w:fill="auto"/>
            <w:noWrap w:val="0"/>
            <w:vAlign w:val="center"/>
          </w:tcPr>
          <w:p>
            <w:pPr>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公路养护</w:t>
            </w:r>
          </w:p>
        </w:tc>
        <w:tc>
          <w:tcPr>
            <w:tcW w:w="1267"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国省干线交通信号灯电费、维修费（非定额）</w:t>
            </w:r>
          </w:p>
        </w:tc>
        <w:tc>
          <w:tcPr>
            <w:tcW w:w="1103" w:type="dxa"/>
            <w:shd w:val="clear" w:color="auto" w:fill="auto"/>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200.00</w:t>
            </w:r>
          </w:p>
        </w:tc>
        <w:tc>
          <w:tcPr>
            <w:tcW w:w="450"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870" w:type="dxa"/>
            <w:shd w:val="clear" w:color="auto" w:fill="auto"/>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40.00</w:t>
            </w:r>
          </w:p>
        </w:tc>
        <w:tc>
          <w:tcPr>
            <w:tcW w:w="33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51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88" w:type="dxa"/>
            <w:gridSpan w:val="2"/>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1102" w:type="dxa"/>
            <w:shd w:val="clear" w:color="auto" w:fill="auto"/>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 xml:space="preserve">    160.00</w:t>
            </w: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0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05"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215　</w:t>
            </w:r>
          </w:p>
        </w:tc>
        <w:tc>
          <w:tcPr>
            <w:tcW w:w="43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　</w:t>
            </w:r>
          </w:p>
        </w:tc>
        <w:tc>
          <w:tcPr>
            <w:tcW w:w="419"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　</w:t>
            </w:r>
          </w:p>
        </w:tc>
        <w:tc>
          <w:tcPr>
            <w:tcW w:w="961"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　资源勘探工业信息等支出</w:t>
            </w:r>
          </w:p>
        </w:tc>
        <w:tc>
          <w:tcPr>
            <w:tcW w:w="1267"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1103"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647.20</w:t>
            </w:r>
          </w:p>
        </w:tc>
        <w:tc>
          <w:tcPr>
            <w:tcW w:w="450"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87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gridSpan w:val="2"/>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02"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0" w:type="dxa"/>
            <w:noWrap w:val="0"/>
            <w:vAlign w:val="center"/>
          </w:tcPr>
          <w:p>
            <w:pPr>
              <w:jc w:val="left"/>
              <w:rPr>
                <w:rFonts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647.20</w:t>
            </w:r>
            <w:r>
              <w:rPr>
                <w:rFonts w:hint="eastAsia" w:ascii="仿宋_GB2312" w:hAnsi="宋体" w:eastAsia="仿宋_GB2312"/>
                <w:color w:val="auto"/>
                <w:kern w:val="0"/>
                <w:sz w:val="32"/>
                <w:szCs w:val="32"/>
                <w:highlight w:val="none"/>
              </w:rPr>
              <w:t>　</w:t>
            </w:r>
          </w:p>
        </w:tc>
        <w:tc>
          <w:tcPr>
            <w:tcW w:w="36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215</w:t>
            </w:r>
          </w:p>
        </w:tc>
        <w:tc>
          <w:tcPr>
            <w:tcW w:w="435"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08</w:t>
            </w:r>
          </w:p>
        </w:tc>
        <w:tc>
          <w:tcPr>
            <w:tcW w:w="419"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p>
        </w:tc>
        <w:tc>
          <w:tcPr>
            <w:tcW w:w="961"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支持中小企业发展和管理支出</w:t>
            </w:r>
          </w:p>
        </w:tc>
        <w:tc>
          <w:tcPr>
            <w:tcW w:w="1267"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1103" w:type="dxa"/>
            <w:shd w:val="clear" w:color="auto" w:fill="auto"/>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647.2</w:t>
            </w:r>
          </w:p>
        </w:tc>
        <w:tc>
          <w:tcPr>
            <w:tcW w:w="450"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87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33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51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88" w:type="dxa"/>
            <w:gridSpan w:val="2"/>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1102"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20" w:type="dxa"/>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1020" w:type="dxa"/>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647.2</w:t>
            </w:r>
          </w:p>
        </w:tc>
        <w:tc>
          <w:tcPr>
            <w:tcW w:w="360" w:type="dxa"/>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05"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noWrap w:val="0"/>
            <w:vAlign w:val="center"/>
          </w:tcPr>
          <w:p>
            <w:pPr>
              <w:jc w:val="righ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215</w:t>
            </w:r>
          </w:p>
        </w:tc>
        <w:tc>
          <w:tcPr>
            <w:tcW w:w="435" w:type="dxa"/>
            <w:shd w:val="clear" w:color="auto" w:fill="auto"/>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08</w:t>
            </w:r>
          </w:p>
        </w:tc>
        <w:tc>
          <w:tcPr>
            <w:tcW w:w="419" w:type="dxa"/>
            <w:shd w:val="clear" w:color="auto" w:fill="auto"/>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961"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rPr>
              <w:t>其他支持中小企业发展和管理支出</w:t>
            </w:r>
          </w:p>
        </w:tc>
        <w:tc>
          <w:tcPr>
            <w:tcW w:w="1267"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auto"/>
                <w:sz w:val="18"/>
                <w:szCs w:val="18"/>
                <w:highlight w:val="none"/>
              </w:rPr>
              <w:t>公交公司成本规制费(非定额）</w:t>
            </w:r>
          </w:p>
        </w:tc>
        <w:tc>
          <w:tcPr>
            <w:tcW w:w="1103"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auto"/>
                <w:sz w:val="18"/>
                <w:szCs w:val="18"/>
                <w:highlight w:val="none"/>
                <w:lang w:val="en-US" w:eastAsia="zh-CN"/>
              </w:rPr>
              <w:t xml:space="preserve"> 4</w:t>
            </w:r>
            <w:r>
              <w:rPr>
                <w:rFonts w:hint="eastAsia" w:ascii="仿宋_GB2312" w:eastAsia="仿宋_GB2312"/>
                <w:color w:val="auto"/>
                <w:sz w:val="20"/>
                <w:szCs w:val="20"/>
                <w:highlight w:val="none"/>
                <w:lang w:val="en-US" w:eastAsia="zh-CN"/>
              </w:rPr>
              <w:t>80.0</w:t>
            </w:r>
            <w:r>
              <w:rPr>
                <w:rFonts w:hint="eastAsia" w:ascii="仿宋_GB2312" w:hAnsi="仿宋_GB2312" w:eastAsia="仿宋_GB2312" w:cs="仿宋_GB2312"/>
                <w:b w:val="0"/>
                <w:bCs w:val="0"/>
                <w:color w:val="auto"/>
                <w:sz w:val="18"/>
                <w:szCs w:val="18"/>
                <w:highlight w:val="none"/>
                <w:lang w:val="en-US" w:eastAsia="zh-CN"/>
              </w:rPr>
              <w:t>0</w:t>
            </w:r>
          </w:p>
        </w:tc>
        <w:tc>
          <w:tcPr>
            <w:tcW w:w="450" w:type="dxa"/>
            <w:noWrap w:val="0"/>
            <w:vAlign w:val="center"/>
          </w:tcPr>
          <w:p>
            <w:pPr>
              <w:jc w:val="left"/>
              <w:rPr>
                <w:rFonts w:ascii="仿宋_GB2312" w:hAnsi="宋体" w:eastAsia="仿宋_GB2312"/>
                <w:color w:val="auto"/>
                <w:kern w:val="0"/>
                <w:sz w:val="32"/>
                <w:szCs w:val="32"/>
                <w:highlight w:val="none"/>
              </w:rPr>
            </w:pPr>
          </w:p>
        </w:tc>
        <w:tc>
          <w:tcPr>
            <w:tcW w:w="87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02"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center"/>
          </w:tcPr>
          <w:p>
            <w:pPr>
              <w:jc w:val="left"/>
              <w:rPr>
                <w:rFonts w:hint="default" w:ascii="仿宋_GB2312" w:hAnsi="宋体" w:eastAsia="仿宋_GB2312"/>
                <w:color w:val="auto"/>
                <w:kern w:val="0"/>
                <w:sz w:val="32"/>
                <w:szCs w:val="32"/>
                <w:highlight w:val="none"/>
                <w:lang w:val="en-US" w:eastAsia="zh-CN"/>
              </w:rPr>
            </w:pPr>
          </w:p>
        </w:tc>
        <w:tc>
          <w:tcPr>
            <w:tcW w:w="1020"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auto"/>
                <w:sz w:val="18"/>
                <w:szCs w:val="18"/>
                <w:highlight w:val="none"/>
                <w:lang w:val="en-US" w:eastAsia="zh-CN"/>
              </w:rPr>
              <w:t xml:space="preserve"> 4</w:t>
            </w:r>
            <w:r>
              <w:rPr>
                <w:rFonts w:hint="eastAsia" w:ascii="仿宋_GB2312" w:eastAsia="仿宋_GB2312"/>
                <w:color w:val="auto"/>
                <w:sz w:val="20"/>
                <w:szCs w:val="20"/>
                <w:highlight w:val="none"/>
                <w:lang w:val="en-US" w:eastAsia="zh-CN"/>
              </w:rPr>
              <w:t>80.0</w:t>
            </w:r>
            <w:r>
              <w:rPr>
                <w:rFonts w:hint="eastAsia" w:ascii="仿宋_GB2312" w:hAnsi="仿宋_GB2312" w:eastAsia="仿宋_GB2312" w:cs="仿宋_GB2312"/>
                <w:b w:val="0"/>
                <w:bCs w:val="0"/>
                <w:color w:val="auto"/>
                <w:sz w:val="18"/>
                <w:szCs w:val="18"/>
                <w:highlight w:val="none"/>
                <w:lang w:val="en-US" w:eastAsia="zh-CN"/>
              </w:rPr>
              <w:t>0</w:t>
            </w:r>
          </w:p>
        </w:tc>
        <w:tc>
          <w:tcPr>
            <w:tcW w:w="36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noWrap w:val="0"/>
            <w:vAlign w:val="center"/>
          </w:tcPr>
          <w:p>
            <w:pPr>
              <w:jc w:val="righ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215</w:t>
            </w:r>
          </w:p>
        </w:tc>
        <w:tc>
          <w:tcPr>
            <w:tcW w:w="435" w:type="dxa"/>
            <w:noWrap w:val="0"/>
            <w:vAlign w:val="center"/>
          </w:tcPr>
          <w:p>
            <w:pPr>
              <w:jc w:val="righ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08</w:t>
            </w:r>
          </w:p>
        </w:tc>
        <w:tc>
          <w:tcPr>
            <w:tcW w:w="419" w:type="dxa"/>
            <w:noWrap w:val="0"/>
            <w:vAlign w:val="center"/>
          </w:tcPr>
          <w:p>
            <w:pPr>
              <w:jc w:val="righ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99</w:t>
            </w:r>
          </w:p>
        </w:tc>
        <w:tc>
          <w:tcPr>
            <w:tcW w:w="961"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其他支持中小企业发展和管理支出</w:t>
            </w:r>
          </w:p>
        </w:tc>
        <w:tc>
          <w:tcPr>
            <w:tcW w:w="1267" w:type="dxa"/>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2023年更新10辆新能源公交车2024年分期支付车款（非定额）</w:t>
            </w:r>
          </w:p>
        </w:tc>
        <w:tc>
          <w:tcPr>
            <w:tcW w:w="1103" w:type="dxa"/>
            <w:noWrap w:val="0"/>
            <w:vAlign w:val="center"/>
          </w:tcPr>
          <w:p>
            <w:pPr>
              <w:ind w:firstLine="360" w:firstLineChars="200"/>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 xml:space="preserve"> 167.20</w:t>
            </w:r>
            <w:r>
              <w:rPr>
                <w:rFonts w:hint="eastAsia" w:ascii="仿宋_GB2312" w:hAnsi="仿宋_GB2312" w:eastAsia="仿宋_GB2312" w:cs="仿宋_GB2312"/>
                <w:color w:val="auto"/>
                <w:sz w:val="18"/>
                <w:szCs w:val="18"/>
                <w:highlight w:val="none"/>
              </w:rPr>
              <w:t>　</w:t>
            </w:r>
          </w:p>
        </w:tc>
        <w:tc>
          <w:tcPr>
            <w:tcW w:w="450" w:type="dxa"/>
            <w:noWrap w:val="0"/>
            <w:vAlign w:val="center"/>
          </w:tcPr>
          <w:p>
            <w:pPr>
              <w:jc w:val="left"/>
              <w:rPr>
                <w:rFonts w:hint="eastAsia" w:ascii="仿宋_GB2312" w:hAnsi="仿宋_GB2312" w:eastAsia="仿宋_GB2312" w:cs="仿宋_GB2312"/>
                <w:color w:val="auto"/>
                <w:sz w:val="18"/>
                <w:szCs w:val="18"/>
                <w:highlight w:val="none"/>
              </w:rPr>
            </w:pPr>
          </w:p>
        </w:tc>
        <w:tc>
          <w:tcPr>
            <w:tcW w:w="870" w:type="dxa"/>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30" w:type="dxa"/>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10" w:type="dxa"/>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88" w:type="dxa"/>
            <w:gridSpan w:val="2"/>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102" w:type="dxa"/>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20" w:type="dxa"/>
            <w:noWrap w:val="0"/>
            <w:vAlign w:val="center"/>
          </w:tcPr>
          <w:p>
            <w:pPr>
              <w:ind w:firstLine="360" w:firstLineChars="200"/>
              <w:jc w:val="left"/>
              <w:rPr>
                <w:rFonts w:hint="eastAsia" w:ascii="仿宋_GB2312" w:hAnsi="仿宋_GB2312" w:eastAsia="仿宋_GB2312" w:cs="仿宋_GB2312"/>
                <w:color w:val="auto"/>
                <w:sz w:val="18"/>
                <w:szCs w:val="18"/>
                <w:highlight w:val="none"/>
              </w:rPr>
            </w:pPr>
          </w:p>
        </w:tc>
        <w:tc>
          <w:tcPr>
            <w:tcW w:w="1020" w:type="dxa"/>
            <w:noWrap w:val="0"/>
            <w:vAlign w:val="center"/>
          </w:tcPr>
          <w:p>
            <w:pPr>
              <w:ind w:firstLine="360" w:firstLineChars="200"/>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 xml:space="preserve"> 167.20</w:t>
            </w:r>
            <w:r>
              <w:rPr>
                <w:rFonts w:hint="eastAsia" w:ascii="仿宋_GB2312" w:hAnsi="仿宋_GB2312" w:eastAsia="仿宋_GB2312" w:cs="仿宋_GB2312"/>
                <w:color w:val="auto"/>
                <w:sz w:val="18"/>
                <w:szCs w:val="18"/>
                <w:highlight w:val="none"/>
              </w:rPr>
              <w:t>　</w:t>
            </w:r>
          </w:p>
        </w:tc>
        <w:tc>
          <w:tcPr>
            <w:tcW w:w="36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67" w:type="dxa"/>
            <w:noWrap w:val="0"/>
            <w:vAlign w:val="center"/>
          </w:tcPr>
          <w:p>
            <w:pPr>
              <w:widowControl/>
              <w:jc w:val="center"/>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1103" w:type="dxa"/>
            <w:noWrap w:val="0"/>
            <w:vAlign w:val="center"/>
          </w:tcPr>
          <w:p>
            <w:pPr>
              <w:widowControl/>
              <w:jc w:val="center"/>
              <w:outlineLvl w:val="1"/>
              <w:rPr>
                <w:rFonts w:hint="default" w:ascii="仿宋_GB2312" w:hAnsi="宋体" w:eastAsia="仿宋_GB2312"/>
                <w:b/>
                <w:bCs/>
                <w:color w:val="auto"/>
                <w:kern w:val="0"/>
                <w:szCs w:val="21"/>
                <w:highlight w:val="none"/>
                <w:lang w:val="en-US" w:eastAsia="zh-CN"/>
              </w:rPr>
            </w:pPr>
            <w:r>
              <w:rPr>
                <w:rFonts w:hint="eastAsia" w:ascii="仿宋_GB2312" w:hAnsi="宋体" w:eastAsia="仿宋_GB2312"/>
                <w:b/>
                <w:bCs/>
                <w:color w:val="auto"/>
                <w:kern w:val="0"/>
                <w:szCs w:val="21"/>
                <w:highlight w:val="none"/>
                <w:lang w:val="en-US" w:eastAsia="zh-CN"/>
              </w:rPr>
              <w:t>2480.43</w:t>
            </w:r>
          </w:p>
        </w:tc>
        <w:tc>
          <w:tcPr>
            <w:tcW w:w="450" w:type="dxa"/>
            <w:noWrap w:val="0"/>
            <w:vAlign w:val="center"/>
          </w:tcPr>
          <w:p>
            <w:pPr>
              <w:widowControl/>
              <w:jc w:val="center"/>
              <w:outlineLvl w:val="1"/>
              <w:rPr>
                <w:rFonts w:hint="eastAsia" w:ascii="仿宋_GB2312" w:hAnsi="宋体" w:eastAsia="仿宋_GB2312" w:cs="Times New Roman"/>
                <w:b/>
                <w:bCs/>
                <w:color w:val="auto"/>
                <w:kern w:val="0"/>
                <w:szCs w:val="21"/>
                <w:highlight w:val="none"/>
                <w:lang w:val="en-US" w:eastAsia="zh-CN"/>
              </w:rPr>
            </w:pPr>
          </w:p>
        </w:tc>
        <w:tc>
          <w:tcPr>
            <w:tcW w:w="870" w:type="dxa"/>
            <w:noWrap w:val="0"/>
            <w:vAlign w:val="center"/>
          </w:tcPr>
          <w:p>
            <w:pPr>
              <w:widowControl/>
              <w:jc w:val="center"/>
              <w:outlineLvl w:val="1"/>
              <w:rPr>
                <w:rFonts w:hint="default" w:ascii="仿宋_GB2312" w:hAnsi="宋体" w:eastAsia="仿宋_GB2312" w:cs="Times New Roman"/>
                <w:b/>
                <w:bCs/>
                <w:color w:val="auto"/>
                <w:kern w:val="0"/>
                <w:szCs w:val="21"/>
                <w:highlight w:val="none"/>
                <w:lang w:val="en-US" w:eastAsia="zh-CN"/>
              </w:rPr>
            </w:pPr>
            <w:r>
              <w:rPr>
                <w:rFonts w:hint="eastAsia" w:ascii="仿宋_GB2312" w:hAnsi="宋体" w:eastAsia="仿宋_GB2312" w:cs="Times New Roman"/>
                <w:b/>
                <w:bCs/>
                <w:color w:val="auto"/>
                <w:kern w:val="0"/>
                <w:szCs w:val="21"/>
                <w:highlight w:val="none"/>
                <w:lang w:val="en-US" w:eastAsia="zh-CN"/>
              </w:rPr>
              <w:t>308.00</w:t>
            </w:r>
          </w:p>
        </w:tc>
        <w:tc>
          <w:tcPr>
            <w:tcW w:w="330" w:type="dxa"/>
            <w:noWrap w:val="0"/>
            <w:vAlign w:val="center"/>
          </w:tcPr>
          <w:p>
            <w:pPr>
              <w:widowControl/>
              <w:jc w:val="center"/>
              <w:outlineLvl w:val="1"/>
              <w:rPr>
                <w:rFonts w:ascii="仿宋_GB2312" w:hAnsi="宋体" w:eastAsia="仿宋_GB2312"/>
                <w:b/>
                <w:bCs/>
                <w:color w:val="auto"/>
                <w:kern w:val="0"/>
                <w:sz w:val="32"/>
                <w:szCs w:val="32"/>
                <w:highlight w:val="none"/>
              </w:rPr>
            </w:pPr>
          </w:p>
        </w:tc>
        <w:tc>
          <w:tcPr>
            <w:tcW w:w="510" w:type="dxa"/>
            <w:noWrap w:val="0"/>
            <w:vAlign w:val="center"/>
          </w:tcPr>
          <w:p>
            <w:pPr>
              <w:widowControl/>
              <w:jc w:val="center"/>
              <w:outlineLvl w:val="1"/>
              <w:rPr>
                <w:rFonts w:ascii="仿宋_GB2312" w:hAnsi="宋体" w:eastAsia="仿宋_GB2312"/>
                <w:b/>
                <w:bCs/>
                <w:color w:val="auto"/>
                <w:kern w:val="0"/>
                <w:sz w:val="32"/>
                <w:szCs w:val="32"/>
                <w:highlight w:val="none"/>
              </w:rPr>
            </w:pPr>
          </w:p>
        </w:tc>
        <w:tc>
          <w:tcPr>
            <w:tcW w:w="488" w:type="dxa"/>
            <w:gridSpan w:val="2"/>
            <w:noWrap w:val="0"/>
            <w:vAlign w:val="center"/>
          </w:tcPr>
          <w:p>
            <w:pPr>
              <w:widowControl/>
              <w:jc w:val="center"/>
              <w:outlineLvl w:val="1"/>
              <w:rPr>
                <w:rFonts w:ascii="仿宋_GB2312" w:hAnsi="宋体" w:eastAsia="仿宋_GB2312"/>
                <w:b/>
                <w:bCs/>
                <w:color w:val="auto"/>
                <w:kern w:val="0"/>
                <w:sz w:val="32"/>
                <w:szCs w:val="32"/>
                <w:highlight w:val="none"/>
              </w:rPr>
            </w:pPr>
          </w:p>
        </w:tc>
        <w:tc>
          <w:tcPr>
            <w:tcW w:w="1102" w:type="dxa"/>
            <w:noWrap w:val="0"/>
            <w:vAlign w:val="center"/>
          </w:tcPr>
          <w:p>
            <w:pPr>
              <w:widowControl/>
              <w:jc w:val="center"/>
              <w:outlineLvl w:val="1"/>
              <w:rPr>
                <w:rFonts w:hint="eastAsia" w:ascii="仿宋_GB2312" w:hAnsi="宋体" w:eastAsia="仿宋_GB2312" w:cs="Times New Roman"/>
                <w:b/>
                <w:bCs/>
                <w:color w:val="auto"/>
                <w:kern w:val="0"/>
                <w:szCs w:val="21"/>
                <w:highlight w:val="none"/>
                <w:lang w:val="en-US" w:eastAsia="zh-CN"/>
              </w:rPr>
            </w:pPr>
            <w:r>
              <w:rPr>
                <w:rFonts w:hint="eastAsia" w:ascii="仿宋_GB2312" w:hAnsi="宋体" w:eastAsia="仿宋_GB2312" w:cs="Times New Roman"/>
                <w:b/>
                <w:bCs/>
                <w:color w:val="auto"/>
                <w:kern w:val="0"/>
                <w:szCs w:val="21"/>
                <w:highlight w:val="none"/>
                <w:lang w:val="en-US" w:eastAsia="zh-CN"/>
              </w:rPr>
              <w:t>1525.23</w:t>
            </w:r>
          </w:p>
        </w:tc>
        <w:tc>
          <w:tcPr>
            <w:tcW w:w="420" w:type="dxa"/>
            <w:noWrap w:val="0"/>
            <w:vAlign w:val="center"/>
          </w:tcPr>
          <w:p>
            <w:pPr>
              <w:widowControl/>
              <w:jc w:val="center"/>
              <w:outlineLvl w:val="1"/>
              <w:rPr>
                <w:rFonts w:hint="eastAsia" w:ascii="仿宋_GB2312" w:hAnsi="宋体" w:eastAsia="仿宋_GB2312" w:cs="Times New Roman"/>
                <w:b/>
                <w:bCs/>
                <w:color w:val="auto"/>
                <w:kern w:val="0"/>
                <w:szCs w:val="21"/>
                <w:highlight w:val="none"/>
                <w:lang w:val="en-US" w:eastAsia="zh-CN"/>
              </w:rPr>
            </w:pPr>
          </w:p>
        </w:tc>
        <w:tc>
          <w:tcPr>
            <w:tcW w:w="1020" w:type="dxa"/>
            <w:noWrap w:val="0"/>
            <w:vAlign w:val="center"/>
          </w:tcPr>
          <w:p>
            <w:pPr>
              <w:jc w:val="center"/>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6647.2</w:t>
            </w:r>
          </w:p>
        </w:tc>
        <w:tc>
          <w:tcPr>
            <w:tcW w:w="360" w:type="dxa"/>
            <w:noWrap w:val="0"/>
            <w:vAlign w:val="center"/>
          </w:tcPr>
          <w:p>
            <w:pPr>
              <w:ind w:firstLine="361" w:firstLineChars="200"/>
              <w:jc w:val="center"/>
              <w:rPr>
                <w:rFonts w:hint="eastAsia" w:ascii="仿宋_GB2312" w:hAnsi="仿宋_GB2312" w:eastAsia="仿宋_GB2312" w:cs="仿宋_GB2312"/>
                <w:b/>
                <w:bCs/>
                <w:color w:val="auto"/>
                <w:sz w:val="18"/>
                <w:szCs w:val="18"/>
                <w:highlight w:val="none"/>
                <w:lang w:val="en-US" w:eastAsia="zh-CN"/>
              </w:rPr>
            </w:pPr>
          </w:p>
        </w:tc>
        <w:tc>
          <w:tcPr>
            <w:tcW w:w="405" w:type="dxa"/>
            <w:noWrap w:val="0"/>
            <w:vAlign w:val="center"/>
          </w:tcPr>
          <w:p>
            <w:pPr>
              <w:widowControl/>
              <w:jc w:val="center"/>
              <w:outlineLvl w:val="1"/>
              <w:rPr>
                <w:rFonts w:ascii="仿宋_GB2312" w:hAnsi="宋体" w:eastAsia="仿宋_GB2312"/>
                <w:b/>
                <w:bCs/>
                <w:color w:val="auto"/>
                <w:kern w:val="0"/>
                <w:sz w:val="32"/>
                <w:szCs w:val="32"/>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3"/>
        <w:rPr>
          <w:rFonts w:hint="eastAsia" w:ascii="宋体" w:hAnsi="宋体" w:eastAsia="宋体" w:cs="宋体"/>
          <w:i w:val="0"/>
          <w:color w:val="FF0000"/>
          <w:kern w:val="0"/>
          <w:sz w:val="20"/>
          <w:szCs w:val="20"/>
          <w:highlight w:val="none"/>
          <w:u w:val="none"/>
          <w:lang w:val="en-US" w:eastAsia="zh-CN" w:bidi="ar"/>
        </w:rPr>
      </w:pPr>
    </w:p>
    <w:p>
      <w:pPr>
        <w:rPr>
          <w:rFonts w:hint="eastAsia" w:ascii="宋体" w:hAnsi="宋体" w:eastAsia="宋体" w:cs="宋体"/>
          <w:i w:val="0"/>
          <w:color w:val="FF0000"/>
          <w:kern w:val="0"/>
          <w:sz w:val="20"/>
          <w:szCs w:val="20"/>
          <w:highlight w:val="none"/>
          <w:u w:val="none"/>
          <w:lang w:val="en-US" w:eastAsia="zh-CN" w:bidi="ar"/>
        </w:rPr>
      </w:pPr>
    </w:p>
    <w:p>
      <w:pPr>
        <w:pStyle w:val="3"/>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备注：呼图壁县交通运输局2025年未安排政府性基金预算支出，此表为空表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备注：呼图壁县交通运输局2025年未安排</w:t>
      </w: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28"/>
          <w:szCs w:val="32"/>
          <w:highlight w:val="none"/>
          <w:lang w:val="en-US" w:eastAsia="zh-CN"/>
        </w:rPr>
        <w:t>，此表为空表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highlight w:val="none"/>
        </w:rPr>
        <w:t xml:space="preserve">                                    单位：万元</w:t>
      </w:r>
    </w:p>
    <w:tbl>
      <w:tblPr>
        <w:tblStyle w:val="11"/>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highlight w:val="none"/>
        </w:rPr>
        <w:t xml:space="preserve">                                单位：万元</w:t>
      </w:r>
    </w:p>
    <w:tbl>
      <w:tblPr>
        <w:tblStyle w:val="11"/>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2023年度农村客运补贴资金及城市交通发展奖励资金</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1.56</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1.56</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1.56</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2023年度农村客运补贴资金及城市交通发展奖励资金</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w:t>
            </w:r>
          </w:p>
        </w:tc>
        <w:tc>
          <w:tcPr>
            <w:tcW w:w="105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2023年度农村客运补贴资金及城市交通发展奖励资金</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52.00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52.00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52.00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2024年特别国债支持交通运输领域消费品以旧换新支出</w:t>
            </w:r>
          </w:p>
        </w:tc>
        <w:tc>
          <w:tcPr>
            <w:tcW w:w="850"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11.60</w:t>
            </w:r>
          </w:p>
        </w:tc>
        <w:tc>
          <w:tcPr>
            <w:tcW w:w="105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11.60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2024年超长期特别国债支持交通运输领域消费品以旧换新自治区配套资金</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12.80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12.80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12.80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2024年自治区“乌-昌-石”区域大气环境整治奖补资金</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264.00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264.00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264.00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2024年超长期特别国债支持交通运输领域消费品以旧换新支出</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1.80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1.80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1.80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2024年超长期特别国债支持交通运输领域消费品以旧换新支出</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35.70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35.70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35.70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呼图壁县联丰村-克孜勒塔斯村-西沟村公路建设工程</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1500.00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1500.00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1500.00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呼图壁县小泉村-大泉村-十三户村农村公路建设工程</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3900.00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3900.00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3900.00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
                <w:bCs w:val="0"/>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
                <w:bCs w:val="0"/>
                <w:color w:val="auto"/>
                <w:kern w:val="0"/>
                <w:sz w:val="28"/>
                <w:szCs w:val="28"/>
                <w:highlight w:val="none"/>
                <w:lang w:val="en-US" w:eastAsia="zh-CN"/>
              </w:rPr>
            </w:pPr>
            <w:r>
              <w:rPr>
                <w:rFonts w:hint="eastAsia" w:ascii="仿宋_GB2312" w:hAnsi="宋体" w:eastAsia="仿宋_GB2312" w:cs="宋体"/>
                <w:b/>
                <w:bCs w:val="0"/>
                <w:color w:val="auto"/>
                <w:kern w:val="0"/>
                <w:sz w:val="20"/>
                <w:szCs w:val="20"/>
                <w:highlight w:val="none"/>
                <w:lang w:val="en-US" w:eastAsia="zh-CN"/>
              </w:rPr>
              <w:t>总计</w:t>
            </w:r>
          </w:p>
        </w:tc>
        <w:tc>
          <w:tcPr>
            <w:tcW w:w="1054" w:type="dxa"/>
            <w:noWrap w:val="0"/>
            <w:vAlign w:val="center"/>
          </w:tcPr>
          <w:p>
            <w:pPr>
              <w:widowControl/>
              <w:spacing w:line="280" w:lineRule="exact"/>
              <w:jc w:val="center"/>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5799.7</w:t>
            </w:r>
          </w:p>
        </w:tc>
        <w:tc>
          <w:tcPr>
            <w:tcW w:w="890" w:type="dxa"/>
            <w:noWrap w:val="0"/>
            <w:vAlign w:val="center"/>
          </w:tcPr>
          <w:p>
            <w:pPr>
              <w:widowControl/>
              <w:spacing w:line="280" w:lineRule="exact"/>
              <w:jc w:val="center"/>
              <w:rPr>
                <w:rFonts w:hint="eastAsia" w:ascii="仿宋_GB2312" w:hAnsi="宋体" w:eastAsia="仿宋_GB2312" w:cs="宋体"/>
                <w:b/>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5799.7</w:t>
            </w:r>
          </w:p>
        </w:tc>
        <w:tc>
          <w:tcPr>
            <w:tcW w:w="797" w:type="dxa"/>
            <w:noWrap w:val="0"/>
            <w:vAlign w:val="center"/>
          </w:tcPr>
          <w:p>
            <w:pPr>
              <w:spacing w:line="600" w:lineRule="exact"/>
              <w:jc w:val="center"/>
              <w:rPr>
                <w:rFonts w:ascii="仿宋" w:hAnsi="仿宋" w:eastAsia="仿宋" w:cs="仿宋_GB2312"/>
                <w:b/>
                <w:bCs w:val="0"/>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
                <w:bCs w:val="0"/>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
                <w:bCs w:val="0"/>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
                <w:bCs w:val="0"/>
                <w:color w:val="auto"/>
                <w:kern w:val="0"/>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pStyle w:val="3"/>
        <w:rPr>
          <w:rFonts w:hint="eastAsia"/>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pStyle w:val="2"/>
        <w:spacing w:before="156" w:beforeLines="50" w:after="156" w:afterLines="50" w:line="240" w:lineRule="atLeast"/>
        <w:jc w:val="center"/>
        <w:rPr>
          <w:rFonts w:ascii="黑体" w:hAnsi="黑体" w:eastAsia="黑体"/>
          <w:color w:val="auto"/>
          <w:kern w:val="0"/>
          <w:sz w:val="32"/>
          <w:szCs w:val="32"/>
          <w:highlight w:val="none"/>
        </w:rPr>
      </w:pPr>
      <w:r>
        <w:rPr>
          <w:rFonts w:hint="eastAsia" w:ascii="黑体" w:eastAsia="黑体" w:cs="Times New Roman"/>
          <w:sz w:val="30"/>
          <w:szCs w:val="30"/>
        </w:rPr>
        <w:t>第三部分</w:t>
      </w:r>
      <w:r>
        <w:rPr>
          <w:rFonts w:hint="eastAsia" w:ascii="黑体" w:eastAsia="黑体" w:cs="Times New Roman"/>
          <w:sz w:val="30"/>
          <w:szCs w:val="30"/>
          <w:lang w:val="en-US" w:eastAsia="zh-CN"/>
        </w:rPr>
        <w:t>2025</w:t>
      </w:r>
      <w:r>
        <w:rPr>
          <w:rFonts w:hint="eastAsia" w:ascii="黑体" w:eastAsia="黑体" w:cs="Times New Roman"/>
          <w:sz w:val="30"/>
          <w:szCs w:val="30"/>
        </w:rPr>
        <w:t>年</w:t>
      </w:r>
      <w:r>
        <w:rPr>
          <w:rFonts w:hint="eastAsia" w:ascii="黑体" w:eastAsia="黑体" w:cs="Times New Roman"/>
          <w:sz w:val="30"/>
          <w:szCs w:val="30"/>
          <w:lang w:eastAsia="zh-CN"/>
        </w:rPr>
        <w:t>部门</w:t>
      </w:r>
      <w:r>
        <w:rPr>
          <w:rFonts w:hint="eastAsia" w:ascii="黑体" w:eastAsia="黑体" w:cs="Times New Roman"/>
          <w:sz w:val="30"/>
          <w:szCs w:val="30"/>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w:t>
      </w:r>
      <w:r>
        <w:rPr>
          <w:rFonts w:hint="eastAsia" w:ascii="仿宋" w:hAnsi="华文楷体" w:eastAsia="仿宋" w:cs="Times New Roman"/>
          <w:b/>
          <w:kern w:val="2"/>
          <w:sz w:val="28"/>
          <w:szCs w:val="28"/>
          <w:lang w:val="en-US" w:eastAsia="zh-CN"/>
        </w:rPr>
        <w:t>关于呼图壁县交通运输局2025年收支预算情况的总体说明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按照全口径预算的原则，</w:t>
      </w:r>
      <w:r>
        <w:rPr>
          <w:rFonts w:hint="eastAsia" w:ascii="仿宋" w:hAnsi="微软雅黑" w:eastAsia="仿宋" w:cs="Times New Roman"/>
          <w:sz w:val="28"/>
          <w:szCs w:val="28"/>
          <w:lang w:eastAsia="zh-CN"/>
        </w:rPr>
        <w:t>呼图壁县交通运输局</w:t>
      </w:r>
      <w:r>
        <w:rPr>
          <w:rFonts w:hint="eastAsia" w:ascii="仿宋" w:hAnsi="微软雅黑" w:eastAsia="仿宋" w:cs="Times New Roman"/>
          <w:sz w:val="28"/>
          <w:szCs w:val="28"/>
          <w:lang w:val="en-US" w:eastAsia="zh-CN"/>
        </w:rPr>
        <w:t>2025</w:t>
      </w:r>
      <w:r>
        <w:rPr>
          <w:rFonts w:hint="eastAsia" w:ascii="仿宋" w:hAnsi="微软雅黑" w:eastAsia="仿宋" w:cs="Times New Roman"/>
          <w:sz w:val="28"/>
          <w:szCs w:val="28"/>
        </w:rPr>
        <w:t>年所有收入和支出均纳入</w:t>
      </w:r>
      <w:r>
        <w:rPr>
          <w:rFonts w:hint="eastAsia" w:ascii="仿宋" w:hAnsi="微软雅黑" w:eastAsia="仿宋" w:cs="Times New Roman"/>
          <w:sz w:val="28"/>
          <w:szCs w:val="28"/>
          <w:lang w:eastAsia="zh-CN"/>
        </w:rPr>
        <w:t>部门</w:t>
      </w:r>
      <w:r>
        <w:rPr>
          <w:rFonts w:hint="eastAsia" w:ascii="仿宋" w:hAnsi="微软雅黑" w:eastAsia="仿宋" w:cs="Times New Roman"/>
          <w:sz w:val="28"/>
          <w:szCs w:val="28"/>
        </w:rPr>
        <w:t>预算管理。收支总预算</w:t>
      </w:r>
      <w:r>
        <w:rPr>
          <w:rFonts w:hint="eastAsia" w:ascii="仿宋" w:hAnsi="微软雅黑" w:eastAsia="仿宋" w:cs="Times New Roman"/>
          <w:sz w:val="28"/>
          <w:szCs w:val="28"/>
          <w:lang w:val="en-US" w:eastAsia="zh-CN"/>
        </w:rPr>
        <w:t>9385.31</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收入预算包括：一般公共预算、</w:t>
      </w:r>
      <w:r>
        <w:rPr>
          <w:rFonts w:hint="eastAsia" w:ascii="仿宋" w:hAnsi="微软雅黑" w:eastAsia="仿宋" w:cs="Times New Roman"/>
          <w:sz w:val="28"/>
          <w:szCs w:val="28"/>
          <w:lang w:val="en-US" w:eastAsia="zh-Hans"/>
        </w:rPr>
        <w:t>单位资金、财政拨款结转结余</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支出预算包括：社会保障和就业支出、卫生健康支出、交通运输支出、资源勘探</w:t>
      </w:r>
      <w:r>
        <w:rPr>
          <w:rFonts w:hint="eastAsia" w:ascii="仿宋" w:hAnsi="微软雅黑" w:eastAsia="仿宋" w:cs="Times New Roman"/>
          <w:sz w:val="28"/>
          <w:szCs w:val="28"/>
          <w:lang w:val="en-US" w:eastAsia="zh-Hans"/>
        </w:rPr>
        <w:t>工业</w:t>
      </w:r>
      <w:r>
        <w:rPr>
          <w:rFonts w:hint="eastAsia" w:ascii="仿宋" w:hAnsi="微软雅黑" w:eastAsia="仿宋" w:cs="Times New Roman"/>
          <w:sz w:val="28"/>
          <w:szCs w:val="28"/>
        </w:rPr>
        <w:t>信息等支出、住房保障支出。</w:t>
      </w:r>
    </w:p>
    <w:p>
      <w:pPr>
        <w:pStyle w:val="3"/>
        <w:numPr>
          <w:ilvl w:val="0"/>
          <w:numId w:val="0"/>
        </w:numPr>
        <w:spacing w:before="0" w:after="0" w:line="560" w:lineRule="exact"/>
        <w:ind w:leftChars="201"/>
        <w:rPr>
          <w:rFonts w:hint="eastAsia" w:ascii="仿宋" w:hAnsi="华文楷体" w:eastAsia="仿宋" w:cs="Times New Roman"/>
          <w:sz w:val="28"/>
          <w:szCs w:val="28"/>
        </w:rPr>
      </w:pPr>
      <w:r>
        <w:rPr>
          <w:rFonts w:hint="eastAsia" w:ascii="仿宋" w:hAnsi="华文楷体" w:eastAsia="仿宋" w:cs="Times New Roman"/>
          <w:sz w:val="28"/>
          <w:szCs w:val="28"/>
        </w:rPr>
        <w:t>二、关于</w:t>
      </w:r>
      <w:r>
        <w:rPr>
          <w:rFonts w:hint="eastAsia" w:ascii="仿宋" w:hAnsi="华文楷体" w:eastAsia="仿宋" w:cs="Times New Roman"/>
          <w:sz w:val="28"/>
          <w:szCs w:val="28"/>
          <w:lang w:eastAsia="zh-CN"/>
        </w:rPr>
        <w:t>呼图壁县交通运输局</w:t>
      </w:r>
      <w:r>
        <w:rPr>
          <w:rFonts w:hint="eastAsia" w:ascii="仿宋" w:hAnsi="华文楷体" w:eastAsia="仿宋" w:cs="Times New Roman"/>
          <w:sz w:val="28"/>
          <w:szCs w:val="28"/>
          <w:lang w:val="en-US" w:eastAsia="zh-CN"/>
        </w:rPr>
        <w:t>2025</w:t>
      </w:r>
      <w:r>
        <w:rPr>
          <w:rFonts w:hint="eastAsia" w:ascii="仿宋" w:hAnsi="华文楷体" w:eastAsia="仿宋" w:cs="Times New Roman"/>
          <w:sz w:val="28"/>
          <w:szCs w:val="28"/>
        </w:rPr>
        <w:t>年收入预算情况说明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eastAsia="zh-CN"/>
        </w:rPr>
        <w:t>呼图壁县交通运输局</w:t>
      </w:r>
      <w:r>
        <w:rPr>
          <w:rFonts w:hint="eastAsia" w:ascii="仿宋" w:hAnsi="微软雅黑" w:eastAsia="仿宋" w:cs="Times New Roman"/>
          <w:sz w:val="28"/>
          <w:szCs w:val="28"/>
        </w:rPr>
        <w:t>收入预算</w:t>
      </w:r>
      <w:r>
        <w:rPr>
          <w:rFonts w:hint="eastAsia" w:ascii="仿宋" w:hAnsi="微软雅黑" w:eastAsia="仿宋" w:cs="Times New Roman"/>
          <w:sz w:val="28"/>
          <w:szCs w:val="28"/>
          <w:lang w:val="en-US" w:eastAsia="zh-CN"/>
        </w:rPr>
        <w:t>9385.31</w:t>
      </w:r>
      <w:r>
        <w:rPr>
          <w:rFonts w:hint="eastAsia" w:ascii="仿宋" w:hAnsi="微软雅黑" w:eastAsia="仿宋" w:cs="Times New Roman"/>
          <w:sz w:val="28"/>
          <w:szCs w:val="28"/>
          <w:lang w:eastAsia="zh-CN"/>
        </w:rPr>
        <w:t>万</w:t>
      </w:r>
      <w:r>
        <w:rPr>
          <w:rFonts w:hint="eastAsia" w:ascii="仿宋" w:hAnsi="微软雅黑" w:eastAsia="仿宋" w:cs="Times New Roman"/>
          <w:sz w:val="28"/>
          <w:szCs w:val="28"/>
        </w:rPr>
        <w:t>元，其中：</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一般公共预算</w:t>
      </w:r>
      <w:r>
        <w:rPr>
          <w:rFonts w:hint="eastAsia" w:ascii="仿宋" w:hAnsi="微软雅黑" w:eastAsia="仿宋" w:cs="Times New Roman"/>
          <w:sz w:val="28"/>
          <w:szCs w:val="28"/>
          <w:lang w:val="en-US" w:eastAsia="zh-CN"/>
        </w:rPr>
        <w:t>1541.63万元，</w:t>
      </w:r>
      <w:r>
        <w:rPr>
          <w:rFonts w:hint="eastAsia" w:ascii="仿宋" w:hAnsi="微软雅黑" w:eastAsia="仿宋" w:cs="Times New Roman"/>
          <w:sz w:val="28"/>
          <w:szCs w:val="28"/>
        </w:rPr>
        <w:t>占</w:t>
      </w:r>
      <w:r>
        <w:rPr>
          <w:rFonts w:hint="eastAsia" w:ascii="仿宋" w:hAnsi="微软雅黑" w:eastAsia="仿宋" w:cs="Times New Roman"/>
          <w:sz w:val="28"/>
          <w:szCs w:val="28"/>
          <w:lang w:val="en-US" w:eastAsia="zh-CN"/>
        </w:rPr>
        <w:t>16.43</w:t>
      </w:r>
      <w:r>
        <w:rPr>
          <w:rFonts w:hint="eastAsia" w:ascii="仿宋" w:hAnsi="微软雅黑" w:eastAsia="仿宋" w:cs="Times New Roman"/>
          <w:sz w:val="28"/>
          <w:szCs w:val="28"/>
        </w:rPr>
        <w:t>%，比上年预</w:t>
      </w:r>
      <w:r>
        <w:rPr>
          <w:rFonts w:hint="eastAsia" w:ascii="仿宋" w:hAnsi="微软雅黑" w:eastAsia="仿宋" w:cs="Times New Roman"/>
          <w:sz w:val="28"/>
          <w:szCs w:val="28"/>
          <w:lang w:eastAsia="zh-CN"/>
        </w:rPr>
        <w:t>减少</w:t>
      </w:r>
      <w:r>
        <w:rPr>
          <w:rFonts w:hint="eastAsia" w:ascii="仿宋" w:hAnsi="微软雅黑" w:eastAsia="仿宋" w:cs="Times New Roman"/>
          <w:sz w:val="28"/>
          <w:szCs w:val="28"/>
          <w:lang w:val="en-US" w:eastAsia="zh-CN"/>
        </w:rPr>
        <w:t>499.69</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下降</w:t>
      </w:r>
      <w:r>
        <w:rPr>
          <w:rFonts w:hint="eastAsia" w:ascii="仿宋" w:hAnsi="微软雅黑" w:eastAsia="仿宋" w:cs="Times New Roman"/>
          <w:sz w:val="28"/>
          <w:szCs w:val="28"/>
          <w:lang w:val="en-US" w:eastAsia="zh-CN"/>
        </w:rPr>
        <w:t>24.48%，</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eastAsia="zh-CN"/>
        </w:rPr>
        <w:t>其他支持中小企业发展和管理支出减少</w:t>
      </w:r>
      <w:r>
        <w:rPr>
          <w:rFonts w:hint="eastAsia" w:ascii="仿宋" w:hAnsi="微软雅黑" w:eastAsia="仿宋" w:cs="Times New Roman"/>
          <w:sz w:val="28"/>
          <w:szCs w:val="28"/>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w:t>
      </w:r>
      <w:r>
        <w:rPr>
          <w:rFonts w:hint="eastAsia" w:ascii="仿宋" w:hAnsi="微软雅黑" w:eastAsia="仿宋" w:cs="Times New Roman"/>
          <w:sz w:val="28"/>
          <w:szCs w:val="28"/>
        </w:rPr>
        <w:t>一般公共预算</w:t>
      </w:r>
      <w:r>
        <w:rPr>
          <w:rFonts w:hint="eastAsia" w:ascii="仿宋" w:hAnsi="微软雅黑" w:eastAsia="仿宋" w:cs="Times New Roman"/>
          <w:sz w:val="28"/>
          <w:szCs w:val="28"/>
          <w:lang w:val="en-US" w:eastAsia="zh-Hans"/>
        </w:rPr>
        <w:t>安排的转移支</w:t>
      </w:r>
      <w:r>
        <w:rPr>
          <w:rFonts w:hint="eastAsia" w:ascii="仿宋" w:hAnsi="微软雅黑" w:eastAsia="仿宋" w:cs="Times New Roman"/>
          <w:sz w:val="28"/>
          <w:szCs w:val="28"/>
          <w:lang w:val="en-US" w:eastAsia="zh-CN"/>
        </w:rPr>
        <w:t>1365.23</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14.55</w:t>
      </w:r>
      <w:r>
        <w:rPr>
          <w:rFonts w:hint="eastAsia" w:ascii="仿宋" w:hAnsi="微软雅黑" w:eastAsia="仿宋" w:cs="Times New Roman"/>
          <w:sz w:val="28"/>
          <w:szCs w:val="28"/>
        </w:rPr>
        <w:t>%，比上年预算减</w:t>
      </w:r>
      <w:r>
        <w:rPr>
          <w:rFonts w:hint="eastAsia" w:ascii="仿宋" w:hAnsi="微软雅黑" w:eastAsia="仿宋" w:cs="Times New Roman"/>
          <w:sz w:val="28"/>
          <w:szCs w:val="28"/>
          <w:lang w:eastAsia="zh-CN"/>
        </w:rPr>
        <w:t>少</w:t>
      </w:r>
      <w:r>
        <w:rPr>
          <w:rFonts w:hint="eastAsia" w:ascii="仿宋" w:hAnsi="微软雅黑" w:eastAsia="仿宋" w:cs="Times New Roman"/>
          <w:sz w:val="28"/>
          <w:szCs w:val="28"/>
          <w:lang w:val="en-US" w:eastAsia="zh-CN"/>
        </w:rPr>
        <w:t>1418.05</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下降</w:t>
      </w:r>
      <w:r>
        <w:rPr>
          <w:rFonts w:hint="eastAsia" w:ascii="仿宋" w:hAnsi="微软雅黑" w:eastAsia="仿宋" w:cs="Times New Roman"/>
          <w:sz w:val="28"/>
          <w:szCs w:val="28"/>
          <w:lang w:val="en-US" w:eastAsia="zh-CN"/>
        </w:rPr>
        <w:t>50.95%，</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eastAsia="zh-CN"/>
        </w:rPr>
        <w:t>上级下达</w:t>
      </w:r>
      <w:r>
        <w:rPr>
          <w:rFonts w:hint="eastAsia" w:ascii="仿宋" w:hAnsi="微软雅黑" w:eastAsia="仿宋" w:cs="Times New Roman"/>
          <w:sz w:val="28"/>
          <w:szCs w:val="28"/>
        </w:rPr>
        <w:t>公路建设</w:t>
      </w:r>
      <w:r>
        <w:rPr>
          <w:rFonts w:hint="eastAsia" w:ascii="仿宋" w:hAnsi="微软雅黑" w:eastAsia="仿宋" w:cs="Times New Roman"/>
          <w:sz w:val="28"/>
          <w:szCs w:val="28"/>
          <w:lang w:eastAsia="zh-CN"/>
        </w:rPr>
        <w:t>资金减少</w:t>
      </w:r>
      <w:r>
        <w:rPr>
          <w:rFonts w:hint="eastAsia" w:ascii="仿宋" w:hAnsi="微软雅黑" w:eastAsia="仿宋" w:cs="Times New Roman"/>
          <w:sz w:val="28"/>
          <w:szCs w:val="28"/>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政府性基金预算未安排。比上年预算减少</w:t>
      </w:r>
      <w:r>
        <w:rPr>
          <w:rFonts w:hint="eastAsia" w:ascii="仿宋" w:hAnsi="微软雅黑" w:eastAsia="仿宋" w:cs="Times New Roman"/>
          <w:sz w:val="28"/>
          <w:szCs w:val="28"/>
          <w:lang w:val="en-US" w:eastAsia="zh-CN"/>
        </w:rPr>
        <w:t>2064.75</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下降</w:t>
      </w:r>
      <w:r>
        <w:rPr>
          <w:rFonts w:hint="eastAsia" w:ascii="仿宋" w:hAnsi="微软雅黑" w:eastAsia="仿宋" w:cs="Times New Roman"/>
          <w:sz w:val="28"/>
          <w:szCs w:val="28"/>
          <w:lang w:val="en-US" w:eastAsia="zh-CN"/>
        </w:rPr>
        <w:t>100 %，</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eastAsia="zh-CN"/>
        </w:rPr>
        <w:t>本年无</w:t>
      </w:r>
      <w:r>
        <w:rPr>
          <w:rFonts w:hint="eastAsia" w:ascii="仿宋" w:hAnsi="微软雅黑" w:eastAsia="仿宋" w:cs="Times New Roman"/>
          <w:sz w:val="28"/>
          <w:szCs w:val="28"/>
        </w:rPr>
        <w:t>政府性基金预算</w:t>
      </w:r>
      <w:r>
        <w:rPr>
          <w:rFonts w:hint="eastAsia" w:ascii="仿宋" w:hAnsi="微软雅黑" w:eastAsia="仿宋" w:cs="Times New Roman"/>
          <w:sz w:val="28"/>
          <w:szCs w:val="28"/>
          <w:lang w:eastAsia="zh-CN"/>
        </w:rPr>
        <w:t>支出</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val="en-US" w:eastAsia="zh-Hans"/>
        </w:rPr>
        <w:t>上级政府性基金安排的转移支付资金</w:t>
      </w:r>
      <w:r>
        <w:rPr>
          <w:rFonts w:hint="eastAsia" w:ascii="仿宋" w:hAnsi="微软雅黑" w:eastAsia="仿宋" w:cs="Times New Roman"/>
          <w:sz w:val="28"/>
          <w:szCs w:val="28"/>
        </w:rPr>
        <w:t>未安排。比上年预算增加</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主</w:t>
      </w:r>
      <w:r>
        <w:rPr>
          <w:rFonts w:hint="eastAsia" w:ascii="仿宋" w:hAnsi="微软雅黑" w:eastAsia="仿宋" w:cs="Times New Roman"/>
          <w:sz w:val="28"/>
          <w:szCs w:val="28"/>
          <w:lang w:val="en-US" w:eastAsia="zh-Hans"/>
        </w:rPr>
        <w:t>要原因是2024年-2025年均未安排此项经费</w:t>
      </w:r>
      <w:r>
        <w:rPr>
          <w:rFonts w:hint="eastAsia" w:ascii="仿宋" w:hAnsi="微软雅黑" w:eastAsia="仿宋" w:cs="Times New Roman"/>
          <w:sz w:val="28"/>
          <w:szCs w:val="28"/>
          <w:lang w:val="en-US" w:eastAsia="zh-CN"/>
        </w:rPr>
        <w:t>。</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国有资本经营</w:t>
      </w:r>
      <w:r>
        <w:rPr>
          <w:rFonts w:hint="eastAsia" w:ascii="仿宋" w:hAnsi="微软雅黑" w:eastAsia="仿宋" w:cs="Times New Roman"/>
          <w:sz w:val="28"/>
          <w:szCs w:val="28"/>
        </w:rPr>
        <w:t>预算未安排。比上年预算增加</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 xml:space="preserve"> 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部门</w:t>
      </w:r>
      <w:r>
        <w:rPr>
          <w:rFonts w:hint="eastAsia" w:ascii="仿宋" w:hAnsi="微软雅黑" w:eastAsia="仿宋" w:cs="Times New Roman"/>
          <w:sz w:val="28"/>
          <w:szCs w:val="28"/>
        </w:rPr>
        <w:t>不存在国有资本经营</w:t>
      </w:r>
      <w:r>
        <w:rPr>
          <w:rFonts w:hint="eastAsia" w:ascii="仿宋" w:hAnsi="微软雅黑" w:eastAsia="仿宋" w:cs="Times New Roman"/>
          <w:sz w:val="28"/>
          <w:szCs w:val="28"/>
          <w:lang w:eastAsia="zh-CN"/>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上级国有资本经营预算安排的转移支付资金</w:t>
      </w:r>
      <w:r>
        <w:rPr>
          <w:rFonts w:hint="eastAsia" w:ascii="仿宋" w:hAnsi="微软雅黑" w:eastAsia="仿宋" w:cs="Times New Roman"/>
          <w:sz w:val="28"/>
          <w:szCs w:val="28"/>
        </w:rPr>
        <w:t>未安排。</w:t>
      </w:r>
      <w:r>
        <w:rPr>
          <w:rFonts w:hint="default" w:ascii="仿宋" w:hAnsi="微软雅黑" w:eastAsia="仿宋" w:cs="Times New Roman"/>
          <w:sz w:val="28"/>
          <w:szCs w:val="28"/>
          <w:lang w:eastAsia="zh-Hans"/>
        </w:rPr>
        <w:t xml:space="preserve"> </w:t>
      </w:r>
      <w:r>
        <w:rPr>
          <w:rFonts w:hint="eastAsia" w:ascii="仿宋" w:hAnsi="微软雅黑" w:eastAsia="仿宋" w:cs="Times New Roman"/>
          <w:sz w:val="28"/>
          <w:szCs w:val="28"/>
        </w:rPr>
        <w:t xml:space="preserve">  </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val="en-US" w:eastAsia="zh-Hans"/>
        </w:rPr>
        <w:t>单位资金</w:t>
      </w:r>
      <w:r>
        <w:rPr>
          <w:rFonts w:hint="eastAsia" w:ascii="仿宋" w:hAnsi="微软雅黑" w:eastAsia="仿宋" w:cs="Times New Roman"/>
          <w:sz w:val="28"/>
          <w:szCs w:val="28"/>
          <w:lang w:val="en-US" w:eastAsia="zh-CN"/>
        </w:rPr>
        <w:t>678.75</w:t>
      </w:r>
      <w:r>
        <w:rPr>
          <w:rFonts w:hint="eastAsia" w:ascii="仿宋" w:hAnsi="微软雅黑" w:eastAsia="仿宋" w:cs="Times New Roman"/>
          <w:sz w:val="28"/>
          <w:szCs w:val="28"/>
          <w:lang w:eastAsia="zh-CN"/>
        </w:rPr>
        <w:t>万元，占</w:t>
      </w:r>
      <w:r>
        <w:rPr>
          <w:rFonts w:hint="eastAsia" w:ascii="仿宋" w:hAnsi="微软雅黑" w:eastAsia="仿宋" w:cs="Times New Roman"/>
          <w:sz w:val="28"/>
          <w:szCs w:val="28"/>
          <w:lang w:val="en-US" w:eastAsia="zh-CN"/>
        </w:rPr>
        <w:t>7.23</w:t>
      </w:r>
      <w:r>
        <w:rPr>
          <w:rFonts w:hint="eastAsia" w:ascii="仿宋" w:hAnsi="微软雅黑" w:eastAsia="仿宋" w:cs="Times New Roman"/>
          <w:sz w:val="28"/>
          <w:szCs w:val="28"/>
          <w:lang w:eastAsia="zh-CN"/>
        </w:rPr>
        <w:t>%，比上年预算增加</w:t>
      </w:r>
      <w:r>
        <w:rPr>
          <w:rFonts w:hint="eastAsia" w:ascii="仿宋" w:hAnsi="微软雅黑" w:eastAsia="仿宋" w:cs="Times New Roman"/>
          <w:sz w:val="28"/>
          <w:szCs w:val="28"/>
          <w:lang w:val="en-US" w:eastAsia="zh-CN"/>
        </w:rPr>
        <w:t>46.45</w:t>
      </w:r>
      <w:r>
        <w:rPr>
          <w:rFonts w:hint="eastAsia" w:ascii="仿宋" w:hAnsi="微软雅黑" w:eastAsia="仿宋" w:cs="Times New Roman"/>
          <w:sz w:val="28"/>
          <w:szCs w:val="28"/>
          <w:lang w:eastAsia="zh-CN"/>
        </w:rPr>
        <w:t>万元，增长</w:t>
      </w:r>
      <w:r>
        <w:rPr>
          <w:rFonts w:hint="eastAsia" w:ascii="仿宋" w:hAnsi="微软雅黑" w:eastAsia="仿宋" w:cs="Times New Roman"/>
          <w:sz w:val="28"/>
          <w:szCs w:val="28"/>
          <w:lang w:val="en-US" w:eastAsia="zh-CN"/>
        </w:rPr>
        <w:t>7.35 %，</w:t>
      </w:r>
      <w:r>
        <w:rPr>
          <w:rFonts w:hint="eastAsia" w:ascii="仿宋" w:hAnsi="微软雅黑" w:eastAsia="仿宋" w:cs="Times New Roman"/>
          <w:sz w:val="28"/>
          <w:szCs w:val="28"/>
          <w:lang w:eastAsia="zh-CN"/>
        </w:rPr>
        <w:t>主要原因是农村公路建设自筹资金增加 ；</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val="en-US" w:eastAsia="zh-Hans"/>
        </w:rPr>
        <w:t>财政拨款结转</w:t>
      </w:r>
      <w:r>
        <w:rPr>
          <w:rFonts w:hint="eastAsia" w:ascii="仿宋" w:hAnsi="微软雅黑" w:eastAsia="仿宋" w:cs="Times New Roman"/>
          <w:sz w:val="28"/>
          <w:szCs w:val="28"/>
          <w:lang w:val="en-US" w:eastAsia="zh-CN"/>
        </w:rPr>
        <w:t>5799.7</w:t>
      </w:r>
      <w:r>
        <w:rPr>
          <w:rFonts w:hint="eastAsia" w:ascii="仿宋" w:hAnsi="微软雅黑" w:eastAsia="仿宋" w:cs="Times New Roman"/>
          <w:sz w:val="28"/>
          <w:szCs w:val="28"/>
          <w:lang w:eastAsia="zh-CN"/>
        </w:rPr>
        <w:t>万元，占</w:t>
      </w:r>
      <w:r>
        <w:rPr>
          <w:rFonts w:hint="eastAsia" w:ascii="仿宋" w:hAnsi="微软雅黑" w:eastAsia="仿宋" w:cs="Times New Roman"/>
          <w:sz w:val="28"/>
          <w:szCs w:val="28"/>
          <w:lang w:val="en-US" w:eastAsia="zh-CN"/>
        </w:rPr>
        <w:t>61.80</w:t>
      </w:r>
      <w:r>
        <w:rPr>
          <w:rFonts w:hint="eastAsia" w:ascii="仿宋" w:hAnsi="微软雅黑" w:eastAsia="仿宋" w:cs="Times New Roman"/>
          <w:sz w:val="28"/>
          <w:szCs w:val="28"/>
          <w:lang w:eastAsia="zh-CN"/>
        </w:rPr>
        <w:t>%，比上年预算增加</w:t>
      </w:r>
      <w:r>
        <w:rPr>
          <w:rFonts w:hint="eastAsia" w:ascii="仿宋" w:hAnsi="微软雅黑" w:eastAsia="仿宋" w:cs="Times New Roman"/>
          <w:sz w:val="28"/>
          <w:szCs w:val="28"/>
          <w:lang w:val="en-US" w:eastAsia="zh-CN"/>
        </w:rPr>
        <w:t>5651.06</w:t>
      </w:r>
      <w:r>
        <w:rPr>
          <w:rFonts w:hint="eastAsia" w:ascii="仿宋" w:hAnsi="微软雅黑" w:eastAsia="仿宋" w:cs="Times New Roman"/>
          <w:sz w:val="28"/>
          <w:szCs w:val="28"/>
          <w:lang w:eastAsia="zh-CN"/>
        </w:rPr>
        <w:t>万元，增长</w:t>
      </w:r>
      <w:r>
        <w:rPr>
          <w:rFonts w:hint="eastAsia" w:ascii="仿宋" w:hAnsi="微软雅黑" w:eastAsia="仿宋" w:cs="Times New Roman"/>
          <w:sz w:val="28"/>
          <w:szCs w:val="28"/>
          <w:lang w:val="en-US" w:eastAsia="zh-CN"/>
        </w:rPr>
        <w:t>3801.84 %，</w:t>
      </w:r>
      <w:r>
        <w:rPr>
          <w:rFonts w:hint="eastAsia" w:ascii="仿宋" w:hAnsi="微软雅黑" w:eastAsia="仿宋" w:cs="Times New Roman"/>
          <w:sz w:val="28"/>
          <w:szCs w:val="28"/>
          <w:lang w:eastAsia="zh-CN"/>
        </w:rPr>
        <w:t>主要原因是农村公路建设一般债券项目未完工及消费品以旧换新上级转移支付资金未发放完毕</w:t>
      </w:r>
      <w:r>
        <w:rPr>
          <w:rFonts w:hint="eastAsia" w:ascii="仿宋" w:hAnsi="微软雅黑" w:eastAsia="仿宋" w:cs="Times New Roman"/>
          <w:sz w:val="28"/>
          <w:szCs w:val="28"/>
          <w:lang w:val="en-US" w:eastAsia="zh-Hans"/>
        </w:rPr>
        <w:t>财政拨款结转</w:t>
      </w:r>
      <w:r>
        <w:rPr>
          <w:rFonts w:hint="eastAsia" w:ascii="仿宋" w:hAnsi="微软雅黑" w:eastAsia="仿宋" w:cs="Times New Roman"/>
          <w:sz w:val="28"/>
          <w:szCs w:val="28"/>
          <w:lang w:eastAsia="zh-CN"/>
        </w:rPr>
        <w:t>增加 ；</w:t>
      </w:r>
    </w:p>
    <w:p>
      <w:pPr>
        <w:pStyle w:val="3"/>
        <w:numPr>
          <w:ilvl w:val="0"/>
          <w:numId w:val="0"/>
        </w:numPr>
        <w:spacing w:before="0" w:after="0" w:line="560" w:lineRule="exact"/>
        <w:ind w:leftChars="201"/>
        <w:rPr>
          <w:rFonts w:hint="eastAsia" w:ascii="仿宋" w:hAnsi="华文楷体" w:eastAsia="仿宋" w:cs="Times New Roman"/>
          <w:sz w:val="28"/>
          <w:szCs w:val="28"/>
        </w:rPr>
      </w:pPr>
      <w:r>
        <w:rPr>
          <w:rFonts w:hint="eastAsia" w:ascii="仿宋" w:hAnsi="华文楷体" w:eastAsia="仿宋" w:cs="Times New Roman"/>
          <w:sz w:val="28"/>
          <w:szCs w:val="28"/>
        </w:rPr>
        <w:t>三、关于</w:t>
      </w:r>
      <w:r>
        <w:rPr>
          <w:rFonts w:hint="eastAsia" w:ascii="仿宋" w:hAnsi="华文楷体" w:eastAsia="仿宋" w:cs="Times New Roman"/>
          <w:sz w:val="28"/>
          <w:szCs w:val="28"/>
          <w:lang w:eastAsia="zh-CN"/>
        </w:rPr>
        <w:t>呼图壁县交通运输局</w:t>
      </w:r>
      <w:r>
        <w:rPr>
          <w:rFonts w:hint="eastAsia" w:ascii="仿宋" w:hAnsi="华文楷体" w:eastAsia="仿宋" w:cs="Times New Roman"/>
          <w:sz w:val="28"/>
          <w:szCs w:val="28"/>
          <w:lang w:val="en-US" w:eastAsia="zh-CN"/>
        </w:rPr>
        <w:t>2025</w:t>
      </w:r>
      <w:r>
        <w:rPr>
          <w:rFonts w:hint="eastAsia" w:ascii="仿宋" w:hAnsi="华文楷体" w:eastAsia="仿宋" w:cs="Times New Roman"/>
          <w:sz w:val="28"/>
          <w:szCs w:val="28"/>
        </w:rPr>
        <w:t>年支出预算情况说明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呼图壁县交通运输局2025年支出预算9385.31万元，其中：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基本支出515.18万元，占5.49%，比上年预算减少189.44万元，下降26.89%，主要原因是单位资金公用支出减少。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项目支出8870.13万元，占94.51%，比上年预算增加1904.46万元，增长27.34%，主要原因上年未完工项目资金结转至本年继续使用。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四、关于呼图壁县交通运输局2025年财政拨款收支预算情况的总体说明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2025年财政拨款收支总预算2906.86万元。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收入预算包括：一般公共预算拨款2906.86万元。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一般公共预算支出包括：</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45.43</w:t>
      </w:r>
      <w:r>
        <w:rPr>
          <w:rFonts w:hint="eastAsia" w:ascii="仿宋_GB2312" w:hAnsi="宋体" w:eastAsia="仿宋_GB2312" w:cs="宋体"/>
          <w:color w:val="auto"/>
          <w:kern w:val="0"/>
          <w:sz w:val="32"/>
          <w:szCs w:val="32"/>
          <w:highlight w:val="none"/>
        </w:rPr>
        <w:t>万元，主要用于在职人员社会保险；卫生健康支出</w:t>
      </w:r>
      <w:r>
        <w:rPr>
          <w:rFonts w:hint="eastAsia" w:ascii="仿宋_GB2312" w:hAnsi="宋体" w:eastAsia="仿宋_GB2312" w:cs="宋体"/>
          <w:color w:val="auto"/>
          <w:kern w:val="0"/>
          <w:sz w:val="32"/>
          <w:szCs w:val="32"/>
          <w:highlight w:val="none"/>
          <w:lang w:val="en-US" w:eastAsia="zh-CN"/>
        </w:rPr>
        <w:t>31.38</w:t>
      </w:r>
      <w:r>
        <w:rPr>
          <w:rFonts w:hint="eastAsia" w:ascii="仿宋_GB2312" w:hAnsi="宋体" w:eastAsia="仿宋_GB2312" w:cs="宋体"/>
          <w:color w:val="auto"/>
          <w:kern w:val="0"/>
          <w:sz w:val="32"/>
          <w:szCs w:val="32"/>
          <w:highlight w:val="none"/>
        </w:rPr>
        <w:t>万元，主要用于在职人员医疗保险；</w:t>
      </w:r>
      <w:r>
        <w:rPr>
          <w:rFonts w:hint="eastAsia" w:ascii="仿宋_GB2312" w:hAnsi="宋体" w:eastAsia="仿宋_GB2312" w:cs="宋体"/>
          <w:color w:val="auto"/>
          <w:kern w:val="0"/>
          <w:sz w:val="32"/>
          <w:szCs w:val="32"/>
          <w:highlight w:val="none"/>
          <w:lang w:val="en-US" w:eastAsia="zh-CN"/>
        </w:rPr>
        <w:t>交通运输</w:t>
      </w:r>
      <w:r>
        <w:rPr>
          <w:rFonts w:hint="eastAsia" w:ascii="仿宋_GB2312" w:hAnsi="宋体" w:eastAsia="仿宋_GB2312" w:cs="宋体"/>
          <w:color w:val="auto"/>
          <w:kern w:val="0"/>
          <w:sz w:val="32"/>
          <w:szCs w:val="32"/>
          <w:highlight w:val="none"/>
          <w:lang w:eastAsia="zh-CN"/>
        </w:rPr>
        <w:t>支出</w:t>
      </w:r>
      <w:r>
        <w:rPr>
          <w:rFonts w:hint="eastAsia" w:ascii="仿宋_GB2312" w:hAnsi="宋体" w:eastAsia="仿宋_GB2312" w:cs="宋体"/>
          <w:color w:val="auto"/>
          <w:kern w:val="0"/>
          <w:sz w:val="32"/>
          <w:szCs w:val="32"/>
          <w:highlight w:val="none"/>
          <w:lang w:val="en-US" w:eastAsia="zh-CN"/>
        </w:rPr>
        <w:t>2148.19万元，主要用于车购税项目；</w:t>
      </w:r>
      <w:r>
        <w:rPr>
          <w:rFonts w:hint="eastAsia" w:ascii="仿宋_GB2312" w:hAnsi="宋体" w:eastAsia="仿宋_GB2312" w:cs="宋体"/>
          <w:color w:val="auto"/>
          <w:kern w:val="0"/>
          <w:sz w:val="32"/>
          <w:szCs w:val="32"/>
          <w:highlight w:val="none"/>
        </w:rPr>
        <w:t>资源勘探</w:t>
      </w:r>
      <w:r>
        <w:rPr>
          <w:rFonts w:hint="eastAsia" w:ascii="仿宋_GB2312" w:hAnsi="宋体" w:eastAsia="仿宋_GB2312" w:cs="宋体"/>
          <w:color w:val="auto"/>
          <w:kern w:val="0"/>
          <w:sz w:val="32"/>
          <w:szCs w:val="32"/>
          <w:highlight w:val="none"/>
          <w:lang w:val="en-US" w:eastAsia="zh-Hans"/>
        </w:rPr>
        <w:t>工业</w:t>
      </w:r>
      <w:r>
        <w:rPr>
          <w:rFonts w:hint="eastAsia" w:ascii="仿宋_GB2312" w:hAnsi="宋体" w:eastAsia="仿宋_GB2312" w:cs="宋体"/>
          <w:color w:val="auto"/>
          <w:kern w:val="0"/>
          <w:sz w:val="32"/>
          <w:szCs w:val="32"/>
          <w:highlight w:val="none"/>
        </w:rPr>
        <w:t>信息等支出</w:t>
      </w:r>
      <w:r>
        <w:rPr>
          <w:rFonts w:hint="eastAsia" w:ascii="仿宋_GB2312" w:hAnsi="宋体" w:eastAsia="仿宋_GB2312" w:cs="宋体"/>
          <w:color w:val="auto"/>
          <w:kern w:val="0"/>
          <w:sz w:val="32"/>
          <w:szCs w:val="32"/>
          <w:highlight w:val="none"/>
          <w:lang w:val="en-US" w:eastAsia="zh-CN"/>
        </w:rPr>
        <w:t>647.2万元，主要用于</w:t>
      </w:r>
      <w:r>
        <w:rPr>
          <w:rFonts w:hint="eastAsia" w:ascii="仿宋_GB2312" w:hAnsi="宋体" w:eastAsia="仿宋_GB2312" w:cs="宋体"/>
          <w:color w:val="auto"/>
          <w:kern w:val="0"/>
          <w:sz w:val="32"/>
          <w:szCs w:val="32"/>
          <w:highlight w:val="none"/>
        </w:rPr>
        <w:t>公交公司成本规制费</w:t>
      </w:r>
      <w:r>
        <w:rPr>
          <w:rFonts w:hint="eastAsia" w:ascii="仿宋_GB2312" w:hAnsi="宋体" w:eastAsia="仿宋_GB2312" w:cs="宋体"/>
          <w:color w:val="auto"/>
          <w:kern w:val="0"/>
          <w:sz w:val="32"/>
          <w:szCs w:val="32"/>
          <w:highlight w:val="none"/>
          <w:lang w:val="en-US" w:eastAsia="zh-CN"/>
        </w:rPr>
        <w:t>和</w:t>
      </w:r>
      <w:r>
        <w:rPr>
          <w:rFonts w:hint="eastAsia" w:ascii="仿宋_GB2312" w:hAnsi="宋体" w:eastAsia="仿宋_GB2312" w:cs="宋体"/>
          <w:color w:val="auto"/>
          <w:kern w:val="0"/>
          <w:sz w:val="32"/>
          <w:szCs w:val="32"/>
          <w:highlight w:val="none"/>
        </w:rPr>
        <w:t>2023年更新10辆新能源公交车2024年分期支付车款</w:t>
      </w:r>
      <w:r>
        <w:rPr>
          <w:rFonts w:hint="eastAsia" w:ascii="仿宋_GB2312" w:hAnsi="宋体" w:eastAsia="仿宋_GB2312" w:cs="宋体"/>
          <w:color w:val="auto"/>
          <w:kern w:val="0"/>
          <w:sz w:val="32"/>
          <w:szCs w:val="32"/>
          <w:highlight w:val="none"/>
          <w:lang w:val="en-US" w:eastAsia="zh-CN"/>
        </w:rPr>
        <w:t>项目支出；</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34.66</w:t>
      </w:r>
      <w:r>
        <w:rPr>
          <w:rFonts w:hint="eastAsia" w:ascii="仿宋_GB2312" w:hAnsi="宋体" w:eastAsia="仿宋_GB2312" w:cs="宋体"/>
          <w:color w:val="auto"/>
          <w:kern w:val="0"/>
          <w:sz w:val="32"/>
          <w:szCs w:val="32"/>
          <w:highlight w:val="none"/>
        </w:rPr>
        <w:t>万元，主要用于在职人员住房公积金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五、关于呼图壁县交通运输局2025年一般公共预算当年拨款情况说明</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（一）一般公共预算当年拨款规模变化情况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呼图壁县交通运输局2025年一般公共预算拨款合计2906.86万元，其中：基本支出426.43万元，比上年预算减少30.79万元，下降6.73%。主要原因是：本年在职人员减少基本支出减少。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项目支出2480.43万元，比上年预算减少1886.85万元，下降43.20%。主要原因是：公路建设资金减少。</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（二）一般公共预算当年拨款结构情况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1.社会保障和就业支出（类）45.43万元，占1.56%。</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2.医疗卫生健康（类）31.38万元，占1.08%。</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3.交通运输（类）2148.2万元占73.90%。</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4.资源勘探工业信息等支出（类）647.2万占22.26%。</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5.住房保障（类）34.66万元占1.19%。</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（三）一般公共预算当年拨款具体使用情况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1.社会保障和就业支出（类）行政事业单位养老支出（款）行政单位离退休（项）:2025年预算数为3.93万元，比上年预算数增加3.58万元，增加1022.86%，主要原因是离退休人员增加离退休费支出增加。</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2.社会保障和就业支出（类）行政事业单位养老支出（款）机关事单位基本养老保险缴费支出（项）:2025年预算数为41.49 万元，比上年预算数减少3.81万元，减少8.41%，主要原因是人员减少因素，养老保险缴费支出减少。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3.卫生健康支出（类）行政事业单位医疗（款）行政单位医疗（项）:2025年预算数为16.19 万元，比上年预算数减少1.94万元，减少10.70%，主要原因是退休人员独生子女奖励金上年在此款项核算。</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4.卫生健康支出（类）行政事业单位医疗（款）事业单位医疗（项）:2025年预算数为4.56万元，比上年预算数增加0.04万元，增加0.88%，主要原因是调资，正升等医保基数增长，医疗保险缴费支出增加。</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5.卫生健康支出（类）行政事业单位医疗（款）公务员医疗补助（项）:2025年预算数为10.37万元，比上年预算数增加4.14万元，增加66.45%，主要原因是本年公务员医疗补助缴费比例调增。</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6. 卫生健康支出（类）行政事业单位医疗（款）其他行政事业单位医疗支出（项）:2025年预算数0.26万元，比上年预算数增加0.09万元，增加52.94%，主要原因是人员工资增资因素。</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7. 交通运输支出（类）公路水路运输（款）行政运行（项）：2025年初预算数为250.89万元，比上年预算数减少90.7万元，减少26.55%，主要原因是事业人员支出上年使用此款项核算，本年单独核算。</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8.交通运输支出（类）公路水路运输（款）公路建设（项）：2025年初预算数为1119.23万元，比上年预算数减少1346.21万元，减少54.60%，主要原因是本年公路建设项目资金减少。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9.交通运输支出（类）公路水路运输（款）公路养护（项）：2025年初预算数为714万元，比上年预算数增加128.16万元，增加21.88%，主要原因是本年上级提前下达公路养护专项资金增加。</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10.交通运输支出（类）公路水路运输（款）公路运输管理（项）：2025年初预算数为64.08万元，比上年预算数增加64.08万元，增加100%，主要原因是上年事业人员支出未单独使用此款项。</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11.资源勘探工业信息等支出（类）支持中小企业发展和管理支出（款）其他支持中小企业发展和管理支出（项）：2025年初预算数为647.2万元，比上年预算数减少668.8万元，减少50.82%，主要原因是新能源公交车购置费用减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12.住房保障支出（类）住房改革支出（款）住房公积金（项）：2025年初预算数为34.66万元，比上年预算数减少3.12万元，减少8.26%，主要原因是在职人员减少，住房公积金减少。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六、关于呼图壁县交通运输局2025年一般公共预算基本支出情况说明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呼图壁县交通运输局2025年一般公共预算基本支出426.43万元，其中：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人员经费408.07万元，主要包括：基本工资、津贴补贴、奖金、绩效工资、机关事业单位基本养老保险缴费、职工基本医疗保险缴费、公务员医疗补助缴费、其他社会保障缴费、住房公积金、其他工资福利支出、退休费、奖励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公用经费18.36万元，主要包括：办公费、印刷费、电费、邮电费、差旅费、工会经费、公务用车运行维护费。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七、关于呼图壁县交通运输局2025年一般公共预算项目支出情况说明</w:t>
      </w:r>
    </w:p>
    <w:p>
      <w:pPr>
        <w:widowControl/>
        <w:spacing w:line="560" w:lineRule="exact"/>
        <w:ind w:firstLine="560" w:firstLineChars="200"/>
        <w:rPr>
          <w:rFonts w:hint="eastAsia" w:ascii="仿宋_GB2312" w:hAnsi="仿宋_GB2312" w:eastAsia="仿宋_GB2312" w:cs="仿宋_GB2312"/>
          <w:color w:val="auto"/>
          <w:sz w:val="18"/>
          <w:szCs w:val="18"/>
          <w:highlight w:val="none"/>
        </w:rPr>
      </w:pPr>
      <w:r>
        <w:rPr>
          <w:rFonts w:hint="eastAsia" w:ascii="仿宋" w:hAnsi="微软雅黑" w:eastAsia="仿宋" w:cs="Times New Roman"/>
          <w:sz w:val="28"/>
          <w:szCs w:val="28"/>
          <w:lang w:val="en-US" w:eastAsia="zh-CN"/>
        </w:rPr>
        <w:t>1.项目名称：提前下达2025年交通运输领域专项资金[第一批]</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设立的政策依据：昌州财建【2024】144号《关于提前下达2025年交通运输领域专项资金预算[第一批]的通知》</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预算安排规模：1119.23万元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项目承担单位：呼图壁县交通运输局</w:t>
      </w:r>
    </w:p>
    <w:p>
      <w:pPr>
        <w:widowControl/>
        <w:spacing w:line="560" w:lineRule="exact"/>
        <w:ind w:firstLine="560" w:firstLineChars="200"/>
        <w:rPr>
          <w:rFonts w:hint="eastAsia" w:ascii="仿宋" w:hAnsi="微软雅黑" w:eastAsia="宋体" w:cs="Times New Roman"/>
          <w:sz w:val="28"/>
          <w:szCs w:val="28"/>
          <w:lang w:val="en-US" w:eastAsia="zh-CN"/>
        </w:rPr>
      </w:pPr>
      <w:r>
        <w:rPr>
          <w:rFonts w:hint="eastAsia" w:ascii="仿宋" w:hAnsi="微软雅黑" w:eastAsia="仿宋" w:cs="Times New Roman"/>
          <w:sz w:val="28"/>
          <w:szCs w:val="28"/>
          <w:lang w:val="en-US" w:eastAsia="zh-CN"/>
        </w:rPr>
        <w:t>资金分配情况：1119.23万元，主要用于2025年17.94公里农村公路建设项目</w:t>
      </w:r>
      <w:r>
        <w:rPr>
          <w:rFonts w:hint="eastAsia"/>
          <w:lang w:eastAsia="zh-CN"/>
        </w:rPr>
        <w:t>。</w:t>
      </w:r>
    </w:p>
    <w:p>
      <w:pPr>
        <w:widowControl/>
        <w:spacing w:line="560" w:lineRule="exact"/>
        <w:ind w:firstLine="560" w:firstLineChars="200"/>
        <w:rPr>
          <w:rFonts w:hint="eastAsia"/>
        </w:rPr>
      </w:pPr>
      <w:r>
        <w:rPr>
          <w:rFonts w:hint="eastAsia" w:ascii="仿宋" w:hAnsi="微软雅黑" w:eastAsia="仿宋" w:cs="Times New Roman"/>
          <w:sz w:val="28"/>
          <w:szCs w:val="28"/>
          <w:lang w:val="en-US" w:eastAsia="zh-CN"/>
        </w:rPr>
        <w:t>执行时间：2025年1月1日-2025年12月31日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2.项目名称：提前下达2025年中央对地方成品油税费改革转移支付用于农村公路养护支出</w:t>
      </w:r>
    </w:p>
    <w:p>
      <w:pPr>
        <w:widowControl/>
        <w:numPr>
          <w:ilvl w:val="0"/>
          <w:numId w:val="0"/>
        </w:numPr>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设立的政策依据：昌州财建【2024】145号《关于提前下达2025年中央对地方成品油税费改革转移支付用于农村公路养护支出预算的通知》</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预算安排规模：134万元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lang w:val="en-US" w:eastAsia="zh-CN"/>
        </w:rPr>
        <w:t>项目承担单位</w:t>
      </w:r>
      <w:r>
        <w:rPr>
          <w:rFonts w:hint="eastAsia" w:ascii="仿宋" w:hAnsi="微软雅黑" w:eastAsia="仿宋" w:cs="Times New Roman"/>
          <w:sz w:val="28"/>
          <w:szCs w:val="28"/>
          <w:highlight w:val="none"/>
          <w:lang w:val="en-US" w:eastAsia="zh-CN"/>
        </w:rPr>
        <w:t>：呼图壁县交通运输局</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default" w:ascii="仿宋" w:hAnsi="微软雅黑" w:eastAsia="仿宋" w:cs="Times New Roman"/>
          <w:sz w:val="28"/>
          <w:szCs w:val="28"/>
          <w:highlight w:val="none"/>
          <w:lang w:val="en-US" w:eastAsia="zh-CN"/>
        </w:rPr>
        <w:t>资金分配情况</w:t>
      </w:r>
      <w:r>
        <w:rPr>
          <w:rFonts w:hint="eastAsia" w:ascii="仿宋" w:hAnsi="微软雅黑" w:eastAsia="仿宋" w:cs="Times New Roman"/>
          <w:sz w:val="28"/>
          <w:szCs w:val="28"/>
          <w:highlight w:val="none"/>
          <w:lang w:val="en-US" w:eastAsia="zh-CN"/>
        </w:rPr>
        <w:t>：134万元，要用于2025年农村公路小修养护工程施工费用</w:t>
      </w:r>
    </w:p>
    <w:p>
      <w:pPr>
        <w:widowControl/>
        <w:spacing w:line="560" w:lineRule="exact"/>
        <w:ind w:firstLine="560" w:firstLineChars="200"/>
        <w:rPr>
          <w:rFonts w:hint="default" w:ascii="仿宋" w:hAnsi="微软雅黑" w:eastAsia="仿宋" w:cs="Times New Roman"/>
          <w:sz w:val="28"/>
          <w:szCs w:val="28"/>
          <w:lang w:val="en-US" w:eastAsia="zh-CN"/>
        </w:rPr>
      </w:pPr>
      <w:r>
        <w:rPr>
          <w:rFonts w:hint="default" w:ascii="仿宋" w:hAnsi="微软雅黑" w:eastAsia="仿宋" w:cs="Times New Roman"/>
          <w:sz w:val="28"/>
          <w:szCs w:val="28"/>
          <w:lang w:val="en-US" w:eastAsia="zh-CN"/>
        </w:rPr>
        <w:t>执行时间</w:t>
      </w:r>
      <w:r>
        <w:rPr>
          <w:rFonts w:hint="eastAsia" w:ascii="仿宋" w:hAnsi="微软雅黑" w:eastAsia="仿宋" w:cs="Times New Roman"/>
          <w:sz w:val="28"/>
          <w:szCs w:val="28"/>
          <w:lang w:val="en-US" w:eastAsia="zh-CN"/>
        </w:rPr>
        <w:t>：2025年1月1日-2025年12月31日</w:t>
      </w:r>
    </w:p>
    <w:p>
      <w:pPr>
        <w:widowControl/>
        <w:numPr>
          <w:ilvl w:val="0"/>
          <w:numId w:val="0"/>
        </w:numPr>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3.项目名称：提前下达2025年政府还贷二级公路取消收费后补助资金昌州财建[2024]147号</w:t>
      </w:r>
    </w:p>
    <w:p>
      <w:pPr>
        <w:widowControl/>
        <w:numPr>
          <w:ilvl w:val="0"/>
          <w:numId w:val="0"/>
        </w:numPr>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设立的政策依据：昌州财建【2024】147号《关于提前下达2025年政府还贷二级公路取消收费后补助资金预算的通知》</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预算安排规模：112万元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项目承担单位：呼图壁县交通运输局</w:t>
      </w:r>
    </w:p>
    <w:p>
      <w:pPr>
        <w:widowControl/>
        <w:spacing w:line="560" w:lineRule="exact"/>
        <w:ind w:firstLine="560" w:firstLineChars="200"/>
        <w:rPr>
          <w:rFonts w:hint="eastAsia" w:ascii="仿宋" w:hAnsi="微软雅黑" w:eastAsia="仿宋" w:cs="Times New Roman"/>
          <w:sz w:val="28"/>
          <w:szCs w:val="28"/>
          <w:highlight w:val="yellow"/>
          <w:lang w:val="en-US" w:eastAsia="zh-CN"/>
        </w:rPr>
      </w:pPr>
      <w:r>
        <w:rPr>
          <w:rFonts w:hint="default" w:ascii="仿宋" w:hAnsi="微软雅黑" w:eastAsia="仿宋" w:cs="Times New Roman"/>
          <w:sz w:val="28"/>
          <w:szCs w:val="28"/>
          <w:lang w:val="en-US" w:eastAsia="zh-CN"/>
        </w:rPr>
        <w:t>资金分</w:t>
      </w:r>
      <w:r>
        <w:rPr>
          <w:rFonts w:hint="default" w:ascii="仿宋" w:hAnsi="微软雅黑" w:eastAsia="仿宋" w:cs="Times New Roman"/>
          <w:sz w:val="28"/>
          <w:szCs w:val="28"/>
          <w:highlight w:val="none"/>
          <w:lang w:val="en-US" w:eastAsia="zh-CN"/>
        </w:rPr>
        <w:t>配情况</w:t>
      </w:r>
      <w:r>
        <w:rPr>
          <w:rFonts w:hint="eastAsia" w:ascii="仿宋" w:hAnsi="微软雅黑" w:eastAsia="仿宋" w:cs="Times New Roman"/>
          <w:sz w:val="28"/>
          <w:szCs w:val="28"/>
          <w:highlight w:val="none"/>
          <w:lang w:val="en-US" w:eastAsia="zh-CN"/>
        </w:rPr>
        <w:t>：112万元，主要用于2025年4.68公里农村公路养护大中修工程</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default" w:ascii="仿宋" w:hAnsi="微软雅黑" w:eastAsia="仿宋" w:cs="Times New Roman"/>
          <w:sz w:val="28"/>
          <w:szCs w:val="28"/>
          <w:lang w:val="en-US" w:eastAsia="zh-CN"/>
        </w:rPr>
        <w:t>执行时间</w:t>
      </w:r>
      <w:r>
        <w:rPr>
          <w:rFonts w:hint="eastAsia" w:ascii="仿宋" w:hAnsi="微软雅黑" w:eastAsia="仿宋" w:cs="Times New Roman"/>
          <w:sz w:val="28"/>
          <w:szCs w:val="28"/>
          <w:lang w:val="en-US" w:eastAsia="zh-CN"/>
        </w:rPr>
        <w:t>：2025年1月1日-2025年12月31日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4.项目名称：农村公路养护管理费（县级配套）项目</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设立的政策依据：呼财预【2025】8号 （自治州深化农村公路管理养护体制改革实施方案）2025年非定额</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预算安排规模：268万元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项目承担单位：呼图壁县交通运输局</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资金分配情况：该资金134万元，主要用于购置清雪设备,农村公路养护支出。</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资金执行时间：2025年1月1日-2025年12月31日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5.项目名称：国省干线交通信号灯电费、维修费（非定额）</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设立的政策依据：呼财预【2025】8号 国省干线呼图壁区域交通信号灯由地方管护</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预算安排规模：200万元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项目承担单位：呼图壁县交通运输局</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资金分配情况：该资金40万用于红绿灯电费，160万元用于维修维护支出。</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资金执行时间：2025年1月1日-2025年12月31日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6.项目名称：公交公司成本规制费项目（2024年非定额）</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设立的政策依据：呼财预【2025】8号 《呼图壁县城市公交成本与收入规制实施办法》及运营情况报告</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预算安排规模：480万元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项目承担单位：呼图壁县交通运输局</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资金分配情况：用于每月支付呼图壁县公共交通有限责任公40万元成本规制费</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资金执行时间：2025年1月1日-2025年12月31日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7.项目名称：2023年更新10辆新能源公交车2024年分期支付车款（非定额）</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设立的政策依据：呼财预【2025】8号 《呼图壁县公共交通有限责任公司与南京金龙客车制造公司购车合同》（2023年签订）县人民政府与昌吉公共交通集团有限公司签订合同中第六条注明，财政补贴资金列入年度本级财政预算安排</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预算安排规模：167.2万元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项目承担单位：呼图壁县交通运输局</w:t>
      </w:r>
    </w:p>
    <w:p>
      <w:pPr>
        <w:widowControl/>
        <w:spacing w:line="560" w:lineRule="exact"/>
        <w:ind w:firstLine="560" w:firstLineChars="200"/>
        <w:rPr>
          <w:rFonts w:hint="default" w:ascii="仿宋" w:hAnsi="微软雅黑" w:eastAsia="仿宋" w:cs="Times New Roman"/>
          <w:sz w:val="28"/>
          <w:szCs w:val="28"/>
          <w:lang w:val="en-US" w:eastAsia="zh-CN"/>
        </w:rPr>
      </w:pPr>
      <w:r>
        <w:rPr>
          <w:rFonts w:hint="default" w:ascii="仿宋" w:hAnsi="微软雅黑" w:eastAsia="仿宋" w:cs="Times New Roman"/>
          <w:sz w:val="28"/>
          <w:szCs w:val="28"/>
          <w:lang w:val="en-US" w:eastAsia="zh-CN"/>
        </w:rPr>
        <w:t>资金分配情况</w:t>
      </w:r>
      <w:r>
        <w:rPr>
          <w:rFonts w:hint="eastAsia" w:ascii="仿宋" w:hAnsi="微软雅黑" w:eastAsia="仿宋" w:cs="Times New Roman"/>
          <w:sz w:val="28"/>
          <w:szCs w:val="28"/>
          <w:lang w:val="en-US" w:eastAsia="zh-CN"/>
        </w:rPr>
        <w:t>：：167.2万元,全部用于支付2025年新能源公交车分期车款</w:t>
      </w:r>
    </w:p>
    <w:p>
      <w:pPr>
        <w:widowControl/>
        <w:spacing w:line="560" w:lineRule="exact"/>
        <w:ind w:firstLine="560" w:firstLineChars="200"/>
        <w:rPr>
          <w:rFonts w:hint="eastAsia" w:ascii="仿宋_GB2312" w:hAnsi="仿宋_GB2312" w:eastAsia="仿宋_GB2312" w:cs="仿宋_GB2312"/>
          <w:color w:val="auto"/>
          <w:kern w:val="0"/>
          <w:sz w:val="32"/>
          <w:szCs w:val="32"/>
          <w:highlight w:val="none"/>
        </w:rPr>
      </w:pPr>
      <w:r>
        <w:rPr>
          <w:rFonts w:hint="default" w:ascii="仿宋" w:hAnsi="微软雅黑" w:eastAsia="仿宋" w:cs="Times New Roman"/>
          <w:sz w:val="28"/>
          <w:szCs w:val="28"/>
          <w:lang w:val="en-US" w:eastAsia="zh-CN"/>
        </w:rPr>
        <w:t>执行时间</w:t>
      </w:r>
      <w:r>
        <w:rPr>
          <w:rFonts w:hint="eastAsia" w:ascii="仿宋" w:hAnsi="微软雅黑" w:eastAsia="仿宋" w:cs="Times New Roman"/>
          <w:sz w:val="28"/>
          <w:szCs w:val="28"/>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八</w:t>
      </w:r>
      <w:r>
        <w:rPr>
          <w:rFonts w:hint="eastAsia" w:ascii="仿宋" w:hAnsi="华文楷体" w:eastAsia="仿宋" w:cs="Times New Roman"/>
          <w:b/>
          <w:kern w:val="2"/>
          <w:sz w:val="28"/>
          <w:szCs w:val="28"/>
          <w:lang w:val="en-US" w:eastAsia="zh-CN" w:bidi="ar-SA"/>
        </w:rPr>
        <w:t>、关于呼图壁县交通运输局2025年政府性基金预算拨款情况说明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九、</w:t>
      </w:r>
      <w:r>
        <w:rPr>
          <w:rFonts w:hint="eastAsia" w:ascii="仿宋" w:hAnsi="华文楷体" w:eastAsia="仿宋" w:cs="Times New Roman"/>
          <w:b/>
          <w:kern w:val="2"/>
          <w:sz w:val="28"/>
          <w:szCs w:val="28"/>
          <w:lang w:val="en-US" w:eastAsia="zh-CN" w:bidi="ar-SA"/>
        </w:rPr>
        <w:t>关于呼图壁县交通运输局2025年国有资本经营预算拨款情况说明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十</w:t>
      </w:r>
      <w:r>
        <w:rPr>
          <w:rFonts w:hint="eastAsia" w:ascii="仿宋" w:hAnsi="华文楷体" w:eastAsia="仿宋" w:cs="Times New Roman"/>
          <w:b/>
          <w:kern w:val="2"/>
          <w:sz w:val="28"/>
          <w:szCs w:val="28"/>
          <w:lang w:val="en-US" w:eastAsia="zh-CN" w:bidi="ar-SA"/>
        </w:rPr>
        <w:t>、关于呼图壁县交通运输局2025年</w:t>
      </w:r>
      <w:r>
        <w:rPr>
          <w:rFonts w:hint="eastAsia" w:ascii="仿宋" w:hAnsi="华文楷体" w:eastAsia="仿宋" w:cs="Times New Roman"/>
          <w:b/>
          <w:kern w:val="2"/>
          <w:sz w:val="28"/>
          <w:szCs w:val="28"/>
          <w:lang w:val="en-US" w:eastAsia="zh-Hans" w:bidi="ar-SA"/>
        </w:rPr>
        <w:t>财政拨款</w:t>
      </w:r>
      <w:r>
        <w:rPr>
          <w:rFonts w:hint="eastAsia" w:ascii="仿宋" w:hAnsi="华文楷体" w:eastAsia="仿宋" w:cs="Times New Roman"/>
          <w:b/>
          <w:kern w:val="2"/>
          <w:sz w:val="28"/>
          <w:szCs w:val="28"/>
          <w:lang w:val="en-US" w:eastAsia="zh-CN" w:bidi="ar-SA"/>
        </w:rPr>
        <w:t>“三公”经费预算情况说明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“三公”经费数为8万元，其中：因公出国（境）费0万元，公务用车购置费0万元，公务用车运行费8万元，公务接待费0万元。</w:t>
      </w:r>
    </w:p>
    <w:p>
      <w:pPr>
        <w:pStyle w:val="5"/>
        <w:ind w:firstLine="560" w:firstLineChars="200"/>
        <w:rPr>
          <w:rFonts w:hint="eastAsia" w:ascii="仿宋" w:hAnsi="微软雅黑" w:eastAsia="仿宋" w:cs="Times New Roman"/>
          <w:kern w:val="2"/>
          <w:sz w:val="28"/>
          <w:szCs w:val="28"/>
          <w:lang w:val="en-US" w:eastAsia="zh-CN" w:bidi="ar-SA"/>
        </w:rPr>
      </w:pPr>
      <w:r>
        <w:rPr>
          <w:rFonts w:hint="eastAsia" w:ascii="仿宋" w:hAnsi="微软雅黑" w:eastAsia="仿宋" w:cs="Times New Roman"/>
          <w:kern w:val="2"/>
          <w:sz w:val="28"/>
          <w:szCs w:val="28"/>
          <w:lang w:val="en-US" w:eastAsia="zh-CN" w:bidi="ar-SA"/>
        </w:rPr>
        <w:t>2025年</w:t>
      </w:r>
      <w:r>
        <w:rPr>
          <w:rFonts w:hint="eastAsia" w:ascii="仿宋" w:hAnsi="微软雅黑" w:eastAsia="仿宋" w:cs="Times New Roman"/>
          <w:kern w:val="2"/>
          <w:sz w:val="28"/>
          <w:szCs w:val="28"/>
          <w:lang w:val="en-US" w:eastAsia="zh-Hans" w:bidi="ar-SA"/>
        </w:rPr>
        <w:t>财政拨款</w:t>
      </w:r>
      <w:r>
        <w:rPr>
          <w:rFonts w:hint="eastAsia" w:ascii="仿宋" w:hAnsi="微软雅黑" w:eastAsia="仿宋" w:cs="Times New Roman"/>
          <w:kern w:val="2"/>
          <w:sz w:val="28"/>
          <w:szCs w:val="28"/>
          <w:lang w:val="en-US" w:eastAsia="zh-CN" w:bidi="ar-SA"/>
        </w:rPr>
        <w:t>“三公”经费比上年</w:t>
      </w:r>
      <w:r>
        <w:rPr>
          <w:rFonts w:hint="eastAsia" w:ascii="仿宋" w:hAnsi="微软雅黑" w:eastAsia="仿宋" w:cs="Times New Roman"/>
          <w:kern w:val="2"/>
          <w:sz w:val="28"/>
          <w:szCs w:val="28"/>
          <w:lang w:val="en-US" w:eastAsia="zh-Hans" w:bidi="ar-SA"/>
        </w:rPr>
        <w:t>预算</w:t>
      </w:r>
      <w:r>
        <w:rPr>
          <w:rFonts w:hint="eastAsia" w:ascii="仿宋" w:hAnsi="微软雅黑" w:eastAsia="仿宋" w:cs="Times New Roman"/>
          <w:kern w:val="2"/>
          <w:sz w:val="28"/>
          <w:szCs w:val="28"/>
          <w:lang w:val="en-US" w:eastAsia="zh-CN" w:bidi="ar-SA"/>
        </w:rPr>
        <w:t>增加0万元，增长0%，其中：因公出国（境）费增加0万元，增长0 %，主要原因是2024年-2025年均未安排此项经费；公务用车购置费增加0万元，增长0% ，主要原因是2024年-2025年均未安排此项经费；公务用车运行费增加0万元，增长0 %，主要原因是2024年-2025年预算保持一致，无变动；公务接待费增加0万元，增长0%，主要原因是2024年-2025年均未安排此项经费。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十</w:t>
      </w:r>
      <w:r>
        <w:rPr>
          <w:rFonts w:hint="eastAsia" w:ascii="仿宋" w:hAnsi="华文楷体" w:eastAsia="仿宋" w:cs="Times New Roman"/>
          <w:b/>
          <w:kern w:val="2"/>
          <w:sz w:val="28"/>
          <w:szCs w:val="28"/>
          <w:lang w:val="en-US" w:eastAsia="zh-CN" w:bidi="ar-SA"/>
        </w:rPr>
        <w:t>一</w:t>
      </w:r>
      <w:r>
        <w:rPr>
          <w:rFonts w:hint="eastAsia" w:ascii="仿宋" w:hAnsi="华文楷体" w:eastAsia="仿宋" w:cs="Times New Roman"/>
          <w:b/>
          <w:kern w:val="2"/>
          <w:sz w:val="28"/>
          <w:szCs w:val="28"/>
          <w:lang w:val="en-US" w:eastAsia="zh-Hans" w:bidi="ar-SA"/>
        </w:rPr>
        <w:t>、关于</w:t>
      </w:r>
      <w:r>
        <w:rPr>
          <w:rFonts w:hint="eastAsia" w:ascii="仿宋" w:hAnsi="华文楷体" w:eastAsia="仿宋" w:cs="Times New Roman"/>
          <w:b/>
          <w:kern w:val="2"/>
          <w:sz w:val="28"/>
          <w:szCs w:val="28"/>
          <w:lang w:val="en-US" w:eastAsia="zh-CN" w:bidi="ar-SA"/>
        </w:rPr>
        <w:t>呼图壁县交通运输局2025</w:t>
      </w:r>
      <w:r>
        <w:rPr>
          <w:rFonts w:hint="eastAsia" w:ascii="仿宋" w:hAnsi="华文楷体" w:eastAsia="仿宋" w:cs="Times New Roman"/>
          <w:b/>
          <w:kern w:val="2"/>
          <w:sz w:val="28"/>
          <w:szCs w:val="28"/>
          <w:lang w:val="en-US" w:eastAsia="zh-Hans" w:bidi="ar-SA"/>
        </w:rPr>
        <w:t>年</w:t>
      </w:r>
      <w:r>
        <w:rPr>
          <w:rFonts w:hint="eastAsia" w:ascii="仿宋" w:hAnsi="华文楷体" w:eastAsia="仿宋" w:cs="Times New Roman"/>
          <w:b/>
          <w:kern w:val="2"/>
          <w:sz w:val="28"/>
          <w:szCs w:val="28"/>
          <w:lang w:val="en-US" w:eastAsia="zh-CN" w:bidi="ar-SA"/>
        </w:rPr>
        <w:t>上年结转结余</w:t>
      </w:r>
      <w:r>
        <w:rPr>
          <w:rFonts w:hint="eastAsia" w:ascii="仿宋" w:hAnsi="华文楷体" w:eastAsia="仿宋" w:cs="Times New Roman"/>
          <w:b/>
          <w:kern w:val="2"/>
          <w:sz w:val="28"/>
          <w:szCs w:val="28"/>
          <w:lang w:val="en-US" w:eastAsia="zh-Hans" w:bidi="ar-SA"/>
        </w:rPr>
        <w:t>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呼图壁县交通运输局2025年上年结转结余5799.7万元，包括：财政拨款5799.7万元，非财政拨款0万元，其中：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1.2023年度农村客运补贴资金及城市交通发展奖励资金73.8万元，主要用于农村客运补贴资金及城市交通发展奖励。</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 xml:space="preserve">2.交通运输领域消费品以旧换新支出61.9万元，主要用于老旧营运货车报废补助。 </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w:t>
      </w:r>
      <w:r>
        <w:rPr>
          <w:rFonts w:hint="default" w:ascii="仿宋" w:hAnsi="微软雅黑" w:eastAsia="仿宋" w:cs="Times New Roman"/>
          <w:sz w:val="28"/>
          <w:szCs w:val="28"/>
          <w:lang w:val="en-US" w:eastAsia="zh-CN"/>
        </w:rPr>
        <w:t>2024年自治区“乌-昌-石”区域大气环境整治奖补资金</w:t>
      </w:r>
      <w:r>
        <w:rPr>
          <w:rFonts w:hint="eastAsia" w:ascii="仿宋" w:hAnsi="微软雅黑" w:eastAsia="仿宋" w:cs="Times New Roman"/>
          <w:sz w:val="28"/>
          <w:szCs w:val="28"/>
          <w:lang w:val="en-US" w:eastAsia="zh-CN"/>
        </w:rPr>
        <w:t>264万元，主要用于老旧营运货车报废补助。</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4.呼图壁县联丰村-克孜勒塔斯村-西沟村公路建设工程1500万元 ，主要用于联丰村-克孜勒塔斯村-西沟村公路建设工程施工费用。</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CN"/>
        </w:rPr>
        <w:t>5.呼图壁县小泉村-大泉村-十三户村农村公路建设工程3900万元，主要用于小泉村-大泉村-十三户村农村公路建设工程施工费用。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十</w:t>
      </w:r>
      <w:r>
        <w:rPr>
          <w:rFonts w:hint="eastAsia" w:ascii="仿宋" w:hAnsi="华文楷体" w:eastAsia="仿宋" w:cs="Times New Roman"/>
          <w:b/>
          <w:kern w:val="2"/>
          <w:sz w:val="28"/>
          <w:szCs w:val="28"/>
          <w:lang w:val="en-US" w:eastAsia="zh-CN" w:bidi="ar-SA"/>
        </w:rPr>
        <w:t>二、其他重要事项的情况说明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楷体" w:hAnsi="Times New Roman" w:eastAsia="楷体" w:cs="Times New Roman"/>
          <w:b/>
          <w:kern w:val="2"/>
          <w:sz w:val="28"/>
          <w:szCs w:val="28"/>
          <w:lang w:val="en-US" w:eastAsia="zh-CN"/>
        </w:rPr>
      </w:pPr>
      <w:r>
        <w:rPr>
          <w:rFonts w:hint="eastAsia" w:ascii="楷体" w:hAnsi="Times New Roman" w:eastAsia="楷体" w:cs="Times New Roman"/>
          <w:b/>
          <w:kern w:val="2"/>
          <w:sz w:val="28"/>
          <w:szCs w:val="28"/>
          <w:lang w:val="en-US" w:eastAsia="zh-CN"/>
        </w:rPr>
        <w:t>（一）单位运行经费情况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呼图壁县交通运输局2025年的机关运行经费财政拨款预算18.36万元，比上年预算减少1.62万元，下降8.11%。主要原因是本年在职人员减少相应机关运行费减少。</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562" w:firstLineChars="200"/>
        <w:jc w:val="both"/>
        <w:textAlignment w:val="auto"/>
        <w:rPr>
          <w:rFonts w:hint="eastAsia" w:ascii="楷体" w:hAnsi="Times New Roman" w:eastAsia="楷体" w:cs="Times New Roman"/>
          <w:b/>
          <w:kern w:val="2"/>
          <w:sz w:val="28"/>
          <w:szCs w:val="28"/>
          <w:lang w:val="en-US" w:eastAsia="zh-CN"/>
        </w:rPr>
      </w:pPr>
      <w:r>
        <w:rPr>
          <w:rFonts w:hint="eastAsia" w:ascii="楷体" w:hAnsi="Times New Roman" w:eastAsia="楷体" w:cs="Times New Roman"/>
          <w:b/>
          <w:kern w:val="2"/>
          <w:sz w:val="28"/>
          <w:szCs w:val="28"/>
          <w:lang w:val="en-US" w:eastAsia="zh-CN"/>
        </w:rPr>
        <w:t>政府采购情况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2025年，呼图壁县交通运输局政府采购预算2269.29万元，其中：政府采购货物预算268.84万元，政府采购工程预算 1232.22万元，政府采购服务预算768.23万元。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2025年，呼图壁县交通运输局面向中小企业预留政府采购项目预算金额2269.29万元，小微企业预留政府采购项目预算金额2269.29万元。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both"/>
        <w:textAlignment w:val="auto"/>
        <w:rPr>
          <w:rFonts w:hint="eastAsia" w:ascii="楷体" w:hAnsi="Times New Roman" w:eastAsia="楷体" w:cs="Times New Roman"/>
          <w:b/>
          <w:kern w:val="2"/>
          <w:sz w:val="28"/>
          <w:szCs w:val="28"/>
          <w:lang w:val="en-US" w:eastAsia="zh-CN"/>
        </w:rPr>
      </w:pPr>
      <w:r>
        <w:rPr>
          <w:rFonts w:hint="eastAsia" w:ascii="楷体" w:hAnsi="Times New Roman" w:eastAsia="楷体" w:cs="Times New Roman"/>
          <w:b/>
          <w:kern w:val="2"/>
          <w:sz w:val="28"/>
          <w:szCs w:val="28"/>
          <w:lang w:val="en-US" w:eastAsia="zh-CN"/>
        </w:rPr>
        <w:t>（三）国有资产占用使用情况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截至2024年底，呼图壁县交通运输局占用使用国有资产总体情况为：</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1.房屋456平方米，价值13.44万元。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2.车辆8辆，价值270.36万元；其中：一般公务用车3辆，价值27.54万元；执法执勤用车2辆，价值16.82万元；其他车辆3辆，价值226万元。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3.办公家具价值9.57万元。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4.其他资产价值105.37万元。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部门价值50万元以上大型设备0台，部门价值100万元以上大型设备0台。</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2025年部门预算未安排购置车辆经费，安排购置50万元以上大型设备0台，单位价值100万元以上大型设备0台。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both"/>
        <w:textAlignment w:val="auto"/>
        <w:rPr>
          <w:rFonts w:hint="default" w:ascii="楷体" w:hAnsi="Times New Roman" w:eastAsia="楷体" w:cs="Times New Roman"/>
          <w:b/>
          <w:kern w:val="2"/>
          <w:sz w:val="28"/>
          <w:szCs w:val="28"/>
          <w:lang w:val="en-US" w:eastAsia="zh-CN"/>
        </w:rPr>
      </w:pPr>
      <w:r>
        <w:rPr>
          <w:rFonts w:hint="eastAsia" w:ascii="楷体" w:hAnsi="Times New Roman" w:eastAsia="楷体" w:cs="Times New Roman"/>
          <w:b/>
          <w:kern w:val="2"/>
          <w:sz w:val="28"/>
          <w:szCs w:val="28"/>
          <w:lang w:val="en-US" w:eastAsia="zh-Hans"/>
        </w:rPr>
        <w:t>（四）</w:t>
      </w:r>
      <w:r>
        <w:rPr>
          <w:rFonts w:hint="eastAsia" w:ascii="楷体" w:hAnsi="Times New Roman" w:eastAsia="楷体" w:cs="Times New Roman"/>
          <w:b/>
          <w:kern w:val="2"/>
          <w:sz w:val="28"/>
          <w:szCs w:val="28"/>
          <w:lang w:val="en-US" w:eastAsia="zh-CN"/>
        </w:rPr>
        <w:t>预算绩效情况</w:t>
      </w:r>
    </w:p>
    <w:p>
      <w:pPr>
        <w:widowControl/>
        <w:spacing w:line="560" w:lineRule="exact"/>
        <w:ind w:firstLine="560" w:firstLineChars="200"/>
        <w:rPr>
          <w:rFonts w:hint="eastAsia" w:ascii="仿宋" w:hAnsi="微软雅黑" w:eastAsia="仿宋" w:cs="Times New Roman"/>
          <w:sz w:val="28"/>
          <w:szCs w:val="28"/>
          <w:lang w:val="en-US" w:eastAsia="zh-CN"/>
        </w:rPr>
      </w:pPr>
      <w:bookmarkStart w:id="0" w:name="OLE_LINK1"/>
      <w:r>
        <w:rPr>
          <w:rFonts w:hint="default" w:ascii="仿宋" w:hAnsi="微软雅黑" w:eastAsia="仿宋" w:cs="Times New Roman"/>
          <w:sz w:val="28"/>
          <w:szCs w:val="28"/>
          <w:lang w:val="en-US" w:eastAsia="zh-CN"/>
        </w:rPr>
        <w:t>2025</w:t>
      </w:r>
      <w:r>
        <w:rPr>
          <w:rFonts w:hint="eastAsia" w:ascii="仿宋" w:hAnsi="微软雅黑" w:eastAsia="仿宋" w:cs="Times New Roman"/>
          <w:sz w:val="28"/>
          <w:szCs w:val="28"/>
          <w:lang w:val="en-US" w:eastAsia="zh-CN"/>
        </w:rPr>
        <w:t>年，本部门预算绩效管理整体预算绩效目标1个，涉及预算金额9385.31万元；当年预算安排项目共7个，其中:</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项目涉及预算金额2480.43万元；</w:t>
      </w:r>
      <w:r>
        <w:rPr>
          <w:rFonts w:hint="eastAsia" w:ascii="仿宋" w:hAnsi="微软雅黑" w:eastAsia="仿宋" w:cs="Times New Roman"/>
          <w:sz w:val="28"/>
          <w:szCs w:val="28"/>
          <w:lang w:val="en-US" w:eastAsia="zh-Hans"/>
        </w:rPr>
        <w:t>非财政拨款项目</w:t>
      </w:r>
      <w:r>
        <w:rPr>
          <w:rFonts w:hint="eastAsia" w:ascii="仿宋" w:hAnsi="微软雅黑" w:eastAsia="仿宋" w:cs="Times New Roman"/>
          <w:sz w:val="28"/>
          <w:szCs w:val="28"/>
          <w:lang w:val="en-US" w:eastAsia="zh-CN"/>
        </w:rPr>
        <w:t>涉及预算金额590万元。具体情况见下表：</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10"/>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玛合帕丽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4510025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加强交通安全生产监管，检查基础设施与运输安全状况，排查治理隐患，防范事故发生，依据城市发展与呼图壁县经济需求，建设基础交通，改善运输环境。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7341.33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1365.23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678.75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数量指标</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质量指标</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新增农村公路建设里程新增农村公路建设里程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&gt;=34.5公里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呼图壁县交通运输局 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农村公路大中小修养护工程面积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&gt;=28000平方米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呼图壁县交通运输局 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ascii="Arial" w:hAnsi="Arial" w:eastAsia="宋体" w:cs="Arial"/>
                <w:i w:val="0"/>
                <w:caps w:val="0"/>
                <w:color w:val="2B2B2B"/>
                <w:spacing w:val="0"/>
                <w:sz w:val="19"/>
                <w:szCs w:val="19"/>
                <w:shd w:val="clear" w:fill="EDEDED"/>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新增非现场执法点位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呼图壁县交通运输局 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公路验收合格率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呼图壁县交通运输局 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公路改建完工及时率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呼图壁县交通运输局 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2023年更新10辆新能源公交车2024年分期支付车款项目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胥新宇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167.2</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167.2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ind w:firstLine="360" w:firstLineChars="20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总体工作任务为偿还2023年在南京金龙客车有限责任公司购买的10辆新能源公交车车款；购买价格为83.6万元每辆，与其签订了分期付款协议，2025年本次支付167.2万元。通过项目的实施，推动生态文明建设，改善空气质量，推动我县绿色发展，有利于促进环境保护，改善城市空气质量，提高全县各族群众绿色出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更新新能源公交车数量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&gt;=10辆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=10辆</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偿还准确率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车辆车款覆盖率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车辆购买及时率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分期支付车款的标准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&lt;=16.72万元/辆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=18.3万/辆</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保障公共交通绿色出行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持续改善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持续改善</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企业满意度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FF"/>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FF"/>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FF"/>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2025年交通运输领域专项资金项目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贾娜尔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rPr>
            </w:pPr>
            <w:r>
              <w:rPr>
                <w:rFonts w:hint="default" w:ascii="宋体" w:hAnsi="宋体" w:eastAsia="宋体" w:cs="宋体"/>
                <w:i w:val="0"/>
                <w:iCs w:val="0"/>
                <w:color w:val="000000"/>
                <w:sz w:val="16"/>
                <w:szCs w:val="16"/>
                <w:highlight w:val="none"/>
                <w:u w:val="none"/>
              </w:rPr>
              <w:t>1119.23</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rPr>
            </w:pPr>
            <w:r>
              <w:rPr>
                <w:rFonts w:hint="default" w:ascii="宋体" w:hAnsi="宋体" w:eastAsia="宋体" w:cs="宋体"/>
                <w:i w:val="0"/>
                <w:iCs w:val="0"/>
                <w:color w:val="000000"/>
                <w:sz w:val="16"/>
                <w:szCs w:val="16"/>
                <w:highlight w:val="none"/>
                <w:u w:val="none"/>
              </w:rPr>
              <w:t>1119.23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本项目涉及呼图壁县石梯子乡、大丰镇、雀尔沟镇、五工台镇、二十里店镇、园户村镇6个乡镇，全长20km，其中，三级公路 15km,设计速度 30km/h，采用双车道，路基宽度8.0m/7.5 m，路面宽度 7.0 m /6.5m；四级公路 5km，设计速度 20km/h，采用单车道，路基宽度 6.5m/4.5m,路面宽度 6.0m/4.0m。结合呼图壁县实际情况，本项目计划投入1119.23万元用于完成16.939公里路基路面、桥涵及安全附属设施，通过项目的实施，促进大丰镇、二十里店镇的发展，完善呼图壁县农村道路路网结构，提高道路通行能力，减少道路拥堵，消除路面安全隐患，保障群众出行安全，实施该改建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完成公里数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&lt;=16.90公里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=35.48公里</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工程质量合格率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开工及时率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工程验收及时率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完成三级公路总成本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&lt;=1052.38万元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完成四级公路总成本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&lt;=66.85万元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改善出行条件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公交车成本规制费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袁军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480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480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给呼图壁县的公交公司按照每月40万元的标准发放补贴，主要用二个方面，一是公交公司的司机工资的发放，保障公交公司的司机的基本生活，提高其工作积极性；二是对公交公司的80辆公交车的日常养护，主要为燃油费，日常修理费，通过对车辆及时检查与维修，保障司机与乘客的人身安全。通过项目的实施，推动绿色出行，改善空气质量，保障了公共交通工具正常运行，构建安全、方便、快捷、经济、舒适、低碳、环保的公共交通体系，满足城乡居民出行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公交车数量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&lt;=80辆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=80辆</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补贴发放完成率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=83.3%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公交车正常运行率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车辆维修及时率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成本规制拨付成本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&lt;=40万元/月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=40万/月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改善出行条件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良好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良好</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公交公司的司机满意度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公路养护项目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贾娜尔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514</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514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本项目涉及呼图壁县石梯子乡、大丰镇、雀尔沟镇、五工台镇、二十里店镇、园户村镇6个乡镇，主要为俩个部分，一是小修养护主要建设，建设内容有:坑槽修补，灌缝填缝，挖补处理，路面病害严重路段需路面翻新，改善路基路面排水设施等，二是大中修工程主要建设，建设内容有:特殊路基处理，路面填缝处理、坑处理，翻浆沉陷处理，涵洞清理与修复等。结合呼图壁县实际情况，完成4.68公里四级公路路基路面及安全附属设施，设计速度20Km/h、30Km/h，对县乡村道路开展日常养护，修补道路坑槽，完善道路交通安全附属设施。通过项目的实施，促进各乡镇县乡村道路的发展，完善呼图壁县农村道路路网结构，提高道路通行能力，减少道路拥堵，消除路面安全隐患，保障群众出行安全，实施该改建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完成坑槽修补面积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&lt;=2.80万平方米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2.3万平方米</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完成公里数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&lt;=4.68公里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工程质量合格率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开工及时率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工程验收及时率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完成坑槽修补总成本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&lt;=402万元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=402万元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完成养护工程总成本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&lt;=112万元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公路安全水平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国省干线交通信号灯电费、维修费项目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贾娜尔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提高道路通行能力，减少道路拥堵，消除平交路口安全隐患，保障群众出行安全，对过国省干线道路开展日常维修，按时缴纳电费，确保平交路口信号灯正常使用。本项目根据《新疆维吾尔自治区农村公路条例》中“养护建设”的要求开展本项目工作，按照《中华人民共和国道路交通安全法》相关规定，对道路交通信号灯开展维修养护工作;项目计划完成完成国省干线平交路口信号灯电费缴纳、日常维修工作内容，通过项目的实施平交路口电费缴纳、完成日常维护;本项目拟投入200(项目预算)万元用于完成国省干线信号灯维修及电费缴纳，通过项目的实施，促进国省干线道路通行的发展,完善道路交通安全附属设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红绿灯修复维护数量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&gt;=25处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红绿灯修复的覆盖率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电费缴纳及时率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红绿灯维修及时率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电费缴纳总成本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&lt;=40万元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维修费用总成本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&lt;=160万元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提高公路安全水平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良好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both"/>
        <w:textAlignment w:val="auto"/>
        <w:rPr>
          <w:rFonts w:hint="eastAsia" w:ascii="楷体" w:hAnsi="Times New Roman" w:eastAsia="楷体" w:cs="Times New Roman"/>
          <w:b/>
          <w:kern w:val="2"/>
          <w:sz w:val="28"/>
          <w:szCs w:val="28"/>
          <w:lang w:val="en-US" w:eastAsia="zh-Hans"/>
        </w:rPr>
      </w:pPr>
      <w:r>
        <w:rPr>
          <w:rFonts w:hint="eastAsia" w:ascii="楷体" w:hAnsi="Times New Roman" w:eastAsia="楷体" w:cs="Times New Roman"/>
          <w:b/>
          <w:kern w:val="2"/>
          <w:sz w:val="28"/>
          <w:szCs w:val="28"/>
          <w:lang w:val="en-US" w:eastAsia="zh-Hans"/>
        </w:rPr>
        <w:t>（五）其他需说明的事项</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当年预算安排的同类3个项目绩效目标进行了合并，因此只有5个项目绩效目标。</w:t>
      </w:r>
      <w:r>
        <w:rPr>
          <w:rFonts w:hint="eastAsia" w:ascii="仿宋" w:hAnsi="微软雅黑" w:eastAsia="仿宋" w:cs="Times New Roman"/>
          <w:sz w:val="28"/>
          <w:szCs w:val="28"/>
          <w:lang w:eastAsia="zh-CN"/>
        </w:rPr>
        <w:t>涉及非财政拨款项目</w:t>
      </w:r>
      <w:r>
        <w:rPr>
          <w:rFonts w:hint="eastAsia" w:ascii="仿宋" w:hAnsi="微软雅黑" w:eastAsia="仿宋" w:cs="Times New Roman"/>
          <w:sz w:val="28"/>
          <w:szCs w:val="28"/>
          <w:lang w:val="en-US" w:eastAsia="zh-CN"/>
        </w:rPr>
        <w:t>1个，涉及预算资金590万元，</w:t>
      </w:r>
      <w:bookmarkStart w:id="1" w:name="_GoBack"/>
      <w:bookmarkEnd w:id="1"/>
      <w:r>
        <w:rPr>
          <w:rFonts w:hint="eastAsia" w:ascii="仿宋" w:hAnsi="微软雅黑" w:eastAsia="仿宋" w:cs="Times New Roman"/>
          <w:sz w:val="28"/>
          <w:szCs w:val="28"/>
          <w:lang w:val="en-US" w:eastAsia="zh-CN"/>
        </w:rPr>
        <w:t>为基本户资金因此不做绩效。</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758" w:leftChars="304" w:hanging="5120" w:hangingChars="160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呼图壁县交通运输局</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2025年2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footerReference r:id="rId5" w:type="default"/>
      <w:pgSz w:w="11906" w:h="16838"/>
      <w:pgMar w:top="1134" w:right="1134" w:bottom="992" w:left="1134"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p>
                  <w:p>
                    <w:pPr>
                      <w:pStyle w:val="6"/>
                    </w:pPr>
                    <w:r>
                      <w:fldChar w:fldCharType="begin"/>
                    </w:r>
                    <w:r>
                      <w:instrText xml:space="preserve"> PAGE  \* MERGEFORMAT </w:instrText>
                    </w:r>
                    <w:r>
                      <w:fldChar w:fldCharType="separate"/>
                    </w:r>
                    <w:r>
                      <w:t>4</w:t>
                    </w:r>
                    <w:r>
                      <w:fldChar w:fldCharType="end"/>
                    </w:r>
                  </w:p>
                </w:txbxContent>
              </v:textbox>
            </v:shape>
          </w:pict>
        </mc:Fallback>
      </mc:AlternateContent>
    </w:r>
  </w:p>
  <w:p>
    <w:pPr>
      <w:pStyle w:val="6"/>
      <w:jc w:val="right"/>
      <w:rPr>
        <w:rFonts w:ascii="宋体" w:hAnsi="宋体" w:eastAsia="宋体"/>
        <w:sz w:val="28"/>
        <w:szCs w:val="28"/>
      </w:rPr>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77624E"/>
    <w:multiLevelType w:val="singleLevel"/>
    <w:tmpl w:val="6277624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7E0068"/>
    <w:rsid w:val="00B233EA"/>
    <w:rsid w:val="00E41A1F"/>
    <w:rsid w:val="00EA6A38"/>
    <w:rsid w:val="01055753"/>
    <w:rsid w:val="017B2F92"/>
    <w:rsid w:val="020E507E"/>
    <w:rsid w:val="02732F8E"/>
    <w:rsid w:val="02CB7F49"/>
    <w:rsid w:val="03265C11"/>
    <w:rsid w:val="037800D1"/>
    <w:rsid w:val="04267087"/>
    <w:rsid w:val="04267B2D"/>
    <w:rsid w:val="04404666"/>
    <w:rsid w:val="044C330C"/>
    <w:rsid w:val="05397FD9"/>
    <w:rsid w:val="057A5F58"/>
    <w:rsid w:val="05CA273A"/>
    <w:rsid w:val="06AF2DCF"/>
    <w:rsid w:val="070E6657"/>
    <w:rsid w:val="07427346"/>
    <w:rsid w:val="075D68FB"/>
    <w:rsid w:val="0797213D"/>
    <w:rsid w:val="07C52A4A"/>
    <w:rsid w:val="080E3E4F"/>
    <w:rsid w:val="084451C2"/>
    <w:rsid w:val="08450B28"/>
    <w:rsid w:val="08762705"/>
    <w:rsid w:val="088F5575"/>
    <w:rsid w:val="08E81855"/>
    <w:rsid w:val="090026FA"/>
    <w:rsid w:val="09CC046D"/>
    <w:rsid w:val="0A4168EC"/>
    <w:rsid w:val="0AD672A7"/>
    <w:rsid w:val="0B247F12"/>
    <w:rsid w:val="0B7C3034"/>
    <w:rsid w:val="0B841FFD"/>
    <w:rsid w:val="0BD56A2F"/>
    <w:rsid w:val="0C0A3890"/>
    <w:rsid w:val="0C35650C"/>
    <w:rsid w:val="0CB435EE"/>
    <w:rsid w:val="0CD20198"/>
    <w:rsid w:val="0CEC568C"/>
    <w:rsid w:val="0D3401E6"/>
    <w:rsid w:val="0D6E5FD0"/>
    <w:rsid w:val="0D766414"/>
    <w:rsid w:val="0D960A08"/>
    <w:rsid w:val="0E320E7D"/>
    <w:rsid w:val="0E3B78AD"/>
    <w:rsid w:val="0E9208E7"/>
    <w:rsid w:val="0ED06E00"/>
    <w:rsid w:val="0EED03FF"/>
    <w:rsid w:val="10225F15"/>
    <w:rsid w:val="10587512"/>
    <w:rsid w:val="105D0E37"/>
    <w:rsid w:val="10916BDA"/>
    <w:rsid w:val="11036B00"/>
    <w:rsid w:val="11301FEB"/>
    <w:rsid w:val="11B6451D"/>
    <w:rsid w:val="121E62E8"/>
    <w:rsid w:val="128E33CB"/>
    <w:rsid w:val="15796AD1"/>
    <w:rsid w:val="159F0F4B"/>
    <w:rsid w:val="1697741D"/>
    <w:rsid w:val="17027831"/>
    <w:rsid w:val="17640702"/>
    <w:rsid w:val="19A215AC"/>
    <w:rsid w:val="1A132B78"/>
    <w:rsid w:val="1A1A1FA8"/>
    <w:rsid w:val="1AA77B3D"/>
    <w:rsid w:val="1AC437A4"/>
    <w:rsid w:val="1B153D26"/>
    <w:rsid w:val="1BEB54C3"/>
    <w:rsid w:val="1C3C6084"/>
    <w:rsid w:val="1C8C02F2"/>
    <w:rsid w:val="1D3E1AFE"/>
    <w:rsid w:val="1E0C7530"/>
    <w:rsid w:val="1E6432D4"/>
    <w:rsid w:val="1E89232D"/>
    <w:rsid w:val="1EB61656"/>
    <w:rsid w:val="1F680804"/>
    <w:rsid w:val="20407429"/>
    <w:rsid w:val="20CF3CE4"/>
    <w:rsid w:val="20DD55C0"/>
    <w:rsid w:val="21080A99"/>
    <w:rsid w:val="216616B2"/>
    <w:rsid w:val="22922CB8"/>
    <w:rsid w:val="22DB78DD"/>
    <w:rsid w:val="22E50016"/>
    <w:rsid w:val="244D65B8"/>
    <w:rsid w:val="2492221D"/>
    <w:rsid w:val="24B42D8E"/>
    <w:rsid w:val="250855AF"/>
    <w:rsid w:val="25357010"/>
    <w:rsid w:val="258B383C"/>
    <w:rsid w:val="25C61A61"/>
    <w:rsid w:val="25DB3534"/>
    <w:rsid w:val="25DD1AE5"/>
    <w:rsid w:val="262A7E9A"/>
    <w:rsid w:val="263B7010"/>
    <w:rsid w:val="26B4291F"/>
    <w:rsid w:val="26BD282A"/>
    <w:rsid w:val="26E769FA"/>
    <w:rsid w:val="26E95C15"/>
    <w:rsid w:val="281E387C"/>
    <w:rsid w:val="286D65BC"/>
    <w:rsid w:val="28730C14"/>
    <w:rsid w:val="28D9041B"/>
    <w:rsid w:val="293B2E83"/>
    <w:rsid w:val="299D791A"/>
    <w:rsid w:val="2A1B05EA"/>
    <w:rsid w:val="2AB066A0"/>
    <w:rsid w:val="2AFC4894"/>
    <w:rsid w:val="2B3A05DE"/>
    <w:rsid w:val="2B6901C6"/>
    <w:rsid w:val="2C4D3CE3"/>
    <w:rsid w:val="2D480265"/>
    <w:rsid w:val="2D977453"/>
    <w:rsid w:val="2E2943BA"/>
    <w:rsid w:val="2EEC1779"/>
    <w:rsid w:val="2EF22236"/>
    <w:rsid w:val="2F437F16"/>
    <w:rsid w:val="2FED29FE"/>
    <w:rsid w:val="300E1D4A"/>
    <w:rsid w:val="30541A08"/>
    <w:rsid w:val="30B05F05"/>
    <w:rsid w:val="30C50B84"/>
    <w:rsid w:val="31060E52"/>
    <w:rsid w:val="310F3573"/>
    <w:rsid w:val="31E04898"/>
    <w:rsid w:val="322A1905"/>
    <w:rsid w:val="322E56F3"/>
    <w:rsid w:val="323D5C34"/>
    <w:rsid w:val="32D560F7"/>
    <w:rsid w:val="33A76F60"/>
    <w:rsid w:val="33F5548A"/>
    <w:rsid w:val="341B7C5C"/>
    <w:rsid w:val="341E7629"/>
    <w:rsid w:val="34CE2DFE"/>
    <w:rsid w:val="35F117C8"/>
    <w:rsid w:val="363E67E4"/>
    <w:rsid w:val="364441A3"/>
    <w:rsid w:val="38284F1B"/>
    <w:rsid w:val="384336F1"/>
    <w:rsid w:val="39B0409D"/>
    <w:rsid w:val="3B051A66"/>
    <w:rsid w:val="3B113420"/>
    <w:rsid w:val="3BC46451"/>
    <w:rsid w:val="3BE45FB7"/>
    <w:rsid w:val="3BF21AC7"/>
    <w:rsid w:val="3C013037"/>
    <w:rsid w:val="3E0D4EA6"/>
    <w:rsid w:val="3EAF69C0"/>
    <w:rsid w:val="3EF7532F"/>
    <w:rsid w:val="3F257E1E"/>
    <w:rsid w:val="3F944529"/>
    <w:rsid w:val="3FDF4D23"/>
    <w:rsid w:val="40557B10"/>
    <w:rsid w:val="41083B3B"/>
    <w:rsid w:val="410B72BC"/>
    <w:rsid w:val="41270465"/>
    <w:rsid w:val="416F3F03"/>
    <w:rsid w:val="41DB2FFE"/>
    <w:rsid w:val="41ED24CE"/>
    <w:rsid w:val="429772AB"/>
    <w:rsid w:val="42F779C3"/>
    <w:rsid w:val="43502DA9"/>
    <w:rsid w:val="438A1CF7"/>
    <w:rsid w:val="43C26223"/>
    <w:rsid w:val="43D8307E"/>
    <w:rsid w:val="44507CD3"/>
    <w:rsid w:val="44AF5181"/>
    <w:rsid w:val="45465EAB"/>
    <w:rsid w:val="455A018C"/>
    <w:rsid w:val="455A6FF1"/>
    <w:rsid w:val="457754C0"/>
    <w:rsid w:val="46B02CAB"/>
    <w:rsid w:val="46CE3131"/>
    <w:rsid w:val="493059DD"/>
    <w:rsid w:val="494E00B2"/>
    <w:rsid w:val="494F7907"/>
    <w:rsid w:val="49A40179"/>
    <w:rsid w:val="4A06706E"/>
    <w:rsid w:val="4A4272BC"/>
    <w:rsid w:val="4ADF73DC"/>
    <w:rsid w:val="4B1B26BD"/>
    <w:rsid w:val="4B315A3D"/>
    <w:rsid w:val="4C0055E5"/>
    <w:rsid w:val="4C13043E"/>
    <w:rsid w:val="4C3677AE"/>
    <w:rsid w:val="4C706B3A"/>
    <w:rsid w:val="4CD336F7"/>
    <w:rsid w:val="4D50559D"/>
    <w:rsid w:val="4D8F0C9A"/>
    <w:rsid w:val="4DCA0293"/>
    <w:rsid w:val="4F3B332E"/>
    <w:rsid w:val="51C15CED"/>
    <w:rsid w:val="52285DEB"/>
    <w:rsid w:val="52AD62F0"/>
    <w:rsid w:val="52CF5B6A"/>
    <w:rsid w:val="53A94D0A"/>
    <w:rsid w:val="53F36919"/>
    <w:rsid w:val="53FF59EF"/>
    <w:rsid w:val="546308FE"/>
    <w:rsid w:val="546337A6"/>
    <w:rsid w:val="558F3A11"/>
    <w:rsid w:val="56FE59C9"/>
    <w:rsid w:val="570D735E"/>
    <w:rsid w:val="571B2674"/>
    <w:rsid w:val="57736D30"/>
    <w:rsid w:val="578A3EBD"/>
    <w:rsid w:val="589917F1"/>
    <w:rsid w:val="59B241EC"/>
    <w:rsid w:val="5A5E27F6"/>
    <w:rsid w:val="5A704801"/>
    <w:rsid w:val="5A8C5E4D"/>
    <w:rsid w:val="5AD43910"/>
    <w:rsid w:val="5AED2A9A"/>
    <w:rsid w:val="5BAD5E28"/>
    <w:rsid w:val="5C9F330B"/>
    <w:rsid w:val="5CAA3EFA"/>
    <w:rsid w:val="5CD21543"/>
    <w:rsid w:val="5D7631F1"/>
    <w:rsid w:val="5D9E1657"/>
    <w:rsid w:val="5E225DE5"/>
    <w:rsid w:val="5E257683"/>
    <w:rsid w:val="5E7802BC"/>
    <w:rsid w:val="5EE078B0"/>
    <w:rsid w:val="5F0D5523"/>
    <w:rsid w:val="5F2346ED"/>
    <w:rsid w:val="5F2D293C"/>
    <w:rsid w:val="5FAC7F16"/>
    <w:rsid w:val="60F54035"/>
    <w:rsid w:val="61086613"/>
    <w:rsid w:val="61686204"/>
    <w:rsid w:val="61963A83"/>
    <w:rsid w:val="62673F65"/>
    <w:rsid w:val="62917095"/>
    <w:rsid w:val="62971C6B"/>
    <w:rsid w:val="630E06E5"/>
    <w:rsid w:val="63CA644B"/>
    <w:rsid w:val="6408782B"/>
    <w:rsid w:val="64B25366"/>
    <w:rsid w:val="65312260"/>
    <w:rsid w:val="65322CBF"/>
    <w:rsid w:val="65670201"/>
    <w:rsid w:val="65B35574"/>
    <w:rsid w:val="65C658ED"/>
    <w:rsid w:val="667679BA"/>
    <w:rsid w:val="66CA67F7"/>
    <w:rsid w:val="679800F0"/>
    <w:rsid w:val="67980EC5"/>
    <w:rsid w:val="686C223E"/>
    <w:rsid w:val="68CC52CB"/>
    <w:rsid w:val="68DE4FFE"/>
    <w:rsid w:val="691B0000"/>
    <w:rsid w:val="694B58D7"/>
    <w:rsid w:val="69CE4E15"/>
    <w:rsid w:val="6AA31A6A"/>
    <w:rsid w:val="6B3E7E06"/>
    <w:rsid w:val="6B7F3246"/>
    <w:rsid w:val="6BF904A6"/>
    <w:rsid w:val="6C2C4562"/>
    <w:rsid w:val="6C395FCA"/>
    <w:rsid w:val="6CB5251A"/>
    <w:rsid w:val="6CD429A0"/>
    <w:rsid w:val="6E3761FA"/>
    <w:rsid w:val="6E5B2635"/>
    <w:rsid w:val="6EF07839"/>
    <w:rsid w:val="6F63000B"/>
    <w:rsid w:val="6FCF0C72"/>
    <w:rsid w:val="700A1153"/>
    <w:rsid w:val="71500A63"/>
    <w:rsid w:val="717C1858"/>
    <w:rsid w:val="717E41D3"/>
    <w:rsid w:val="72B56DCF"/>
    <w:rsid w:val="72E964BC"/>
    <w:rsid w:val="73543CEF"/>
    <w:rsid w:val="735C7C42"/>
    <w:rsid w:val="73D43E36"/>
    <w:rsid w:val="73E91410"/>
    <w:rsid w:val="74156B02"/>
    <w:rsid w:val="746418F9"/>
    <w:rsid w:val="74B95CB2"/>
    <w:rsid w:val="74D07EF1"/>
    <w:rsid w:val="75B570E6"/>
    <w:rsid w:val="75BF3AC1"/>
    <w:rsid w:val="75D4777D"/>
    <w:rsid w:val="75F112AE"/>
    <w:rsid w:val="75F96FF6"/>
    <w:rsid w:val="7706409E"/>
    <w:rsid w:val="7797777E"/>
    <w:rsid w:val="780A1873"/>
    <w:rsid w:val="787D11B8"/>
    <w:rsid w:val="78A771BA"/>
    <w:rsid w:val="78AC6820"/>
    <w:rsid w:val="792C5912"/>
    <w:rsid w:val="7A605236"/>
    <w:rsid w:val="7CBA4FE2"/>
    <w:rsid w:val="7D06612B"/>
    <w:rsid w:val="7E880152"/>
    <w:rsid w:val="7E8B30DA"/>
    <w:rsid w:val="7FA7373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hint="eastAsia" w:ascii="Arial" w:hAnsi="Arial" w:eastAsia="黑体"/>
      <w:b/>
      <w:sz w:val="21"/>
      <w:szCs w:val="24"/>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font11"/>
    <w:basedOn w:val="12"/>
    <w:qFormat/>
    <w:uiPriority w:val="0"/>
    <w:rPr>
      <w:rFonts w:hint="eastAsia" w:ascii="宋体" w:hAnsi="宋体" w:eastAsia="宋体" w:cs="宋体"/>
      <w:color w:val="000000"/>
      <w:sz w:val="24"/>
      <w:szCs w:val="24"/>
      <w:u w:val="none"/>
    </w:rPr>
  </w:style>
  <w:style w:type="character" w:customStyle="1" w:styleId="14">
    <w:name w:val="font51"/>
    <w:basedOn w:val="12"/>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41</Pages>
  <Words>4328</Words>
  <Characters>6099</Characters>
  <Lines>0</Lines>
  <Paragraphs>0</Paragraphs>
  <TotalTime>20</TotalTime>
  <ScaleCrop>false</ScaleCrop>
  <LinksUpToDate>false</LinksUpToDate>
  <CharactersWithSpaces>6894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2025-07-21T08:53:05Z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eyJoZGlkIjoiMDljYzUzMWQ4OWI0YzBkYjYzMDRhZTY5ZjZkYmFmYTgiLCJ1c2VySWQiOiI1ODMzMjMyMTIifQ==</vt:lpwstr>
  </property>
</Properties>
</file>