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shd w:val="clear"/>
        <w:rPr>
          <w:rFonts w:hint="default"/>
          <w:highlight w:val="none"/>
        </w:rPr>
      </w:pP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eastAsia="zh-CN"/>
        </w:rPr>
        <w:t>呼图壁县人力资源和社会保障局</w:t>
      </w: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highlight w:val="none"/>
          <w:lang w:val="en-US" w:eastAsia="zh-CN"/>
        </w:rPr>
        <w:t>2025</w:t>
      </w:r>
      <w:r>
        <w:rPr>
          <w:rFonts w:hint="eastAsia" w:ascii="方正小标宋_GBK" w:hAnsi="宋体" w:eastAsia="方正小标宋_GBK"/>
          <w:kern w:val="0"/>
          <w:sz w:val="44"/>
          <w:szCs w:val="44"/>
          <w:highlight w:val="none"/>
        </w:rPr>
        <w:t>年</w:t>
      </w:r>
      <w:r>
        <w:rPr>
          <w:rFonts w:hint="eastAsia" w:ascii="方正小标宋_GBK" w:hAnsi="宋体" w:eastAsia="方正小标宋_GBK"/>
          <w:kern w:val="0"/>
          <w:sz w:val="44"/>
          <w:szCs w:val="44"/>
          <w:highlight w:val="none"/>
          <w:lang w:val="en-US" w:eastAsia="zh-CN"/>
        </w:rPr>
        <w:t>部门</w:t>
      </w:r>
      <w:r>
        <w:rPr>
          <w:rFonts w:hint="eastAsia" w:ascii="方正小标宋_GBK" w:hAnsi="宋体" w:eastAsia="方正小标宋_GBK"/>
          <w:kern w:val="0"/>
          <w:sz w:val="44"/>
          <w:szCs w:val="44"/>
          <w:highlight w:val="none"/>
        </w:rPr>
        <w:t>预算公开</w:t>
      </w: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宋体" w:eastAsia="仿宋_GB2312"/>
          <w:b/>
          <w:kern w:val="0"/>
          <w:sz w:val="32"/>
          <w:szCs w:val="32"/>
          <w:highlight w:val="none"/>
          <w:lang w:eastAsia="zh-CN"/>
        </w:rPr>
        <w:t>呼图壁县人力资源和社会保障局</w:t>
      </w:r>
      <w:r>
        <w:rPr>
          <w:rFonts w:hint="eastAsia" w:ascii="仿宋_GB2312" w:hAnsi="宋体" w:eastAsia="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highlight w:val="none"/>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年呼图壁县人力资源和社会保障局</w:t>
      </w:r>
      <w:r>
        <w:rPr>
          <w:rFonts w:hint="eastAsia" w:ascii="黑体" w:hAnsi="黑体" w:eastAsia="黑体"/>
          <w:color w:val="auto"/>
          <w:kern w:val="0"/>
          <w:sz w:val="32"/>
          <w:szCs w:val="32"/>
          <w:highlight w:val="none"/>
        </w:rPr>
        <w:t>概况</w:t>
      </w: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hd w:val="clear"/>
        <w:spacing w:line="560" w:lineRule="exact"/>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kern w:val="0"/>
          <w:sz w:val="32"/>
          <w:szCs w:val="32"/>
          <w:highlight w:val="none"/>
        </w:rPr>
        <w:t>部门职能为加强统筹全县机关企事业单位人员管理职责；统筹全县城乡就业和社会保障政策职责；统筹全县人才市场与劳动力市场整合职责；统筹全县机关企事业单位及农村基本养老保险职责；加强促进就业职责，健全全县公共就业服务体系，落实城乡劳动者平等就业制度和创业政策；加强在全县组织实施劳动、社会保障监察和协调农民工工作职责，切实维护劳动者合法权益。</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hd w:val="clear"/>
        <w:spacing w:line="560" w:lineRule="exact"/>
        <w:ind w:firstLine="640" w:firstLineChars="20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呼图壁县人力资源和社会保障局无</w:t>
      </w:r>
      <w:r>
        <w:rPr>
          <w:rFonts w:hint="eastAsia" w:ascii="仿宋_GB2312" w:hAnsi="宋体" w:eastAsia="仿宋_GB2312" w:cs="宋体"/>
          <w:color w:val="auto"/>
          <w:kern w:val="0"/>
          <w:sz w:val="32"/>
          <w:szCs w:val="32"/>
          <w:highlight w:val="none"/>
        </w:rPr>
        <w:t>下属预算单位</w:t>
      </w:r>
      <w:r>
        <w:rPr>
          <w:rFonts w:hint="eastAsia" w:ascii="仿宋_GB2312" w:hAnsi="宋体" w:eastAsia="仿宋_GB2312" w:cs="宋体"/>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下设</w:t>
      </w:r>
      <w:r>
        <w:rPr>
          <w:rFonts w:hint="eastAsia" w:ascii="仿宋_GB2312" w:hAnsi="黑体" w:eastAsia="仿宋_GB2312" w:cs="宋体"/>
          <w:bCs/>
          <w:color w:val="auto"/>
          <w:kern w:val="0"/>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ascii="仿宋_GB2312" w:hAnsi="仿宋" w:eastAsia="仿宋_GB2312"/>
          <w:color w:val="auto"/>
          <w:sz w:val="32"/>
          <w:szCs w:val="32"/>
          <w:highlight w:val="none"/>
          <w:lang w:eastAsia="zh-CN"/>
        </w:rPr>
        <w:t>综合</w:t>
      </w:r>
      <w:r>
        <w:rPr>
          <w:rFonts w:hint="eastAsia" w:ascii="仿宋_GB2312" w:hAnsi="仿宋" w:eastAsia="仿宋_GB2312"/>
          <w:color w:val="auto"/>
          <w:sz w:val="32"/>
          <w:szCs w:val="32"/>
          <w:highlight w:val="none"/>
        </w:rPr>
        <w:t>办公室、劳动</w:t>
      </w:r>
      <w:r>
        <w:rPr>
          <w:rFonts w:hint="eastAsia" w:ascii="仿宋_GB2312" w:hAnsi="仿宋" w:eastAsia="仿宋_GB2312"/>
          <w:color w:val="auto"/>
          <w:sz w:val="32"/>
          <w:szCs w:val="32"/>
          <w:highlight w:val="none"/>
          <w:lang w:eastAsia="zh-CN"/>
        </w:rPr>
        <w:t>人事</w:t>
      </w:r>
      <w:r>
        <w:rPr>
          <w:rFonts w:hint="eastAsia" w:ascii="仿宋_GB2312" w:hAnsi="仿宋" w:eastAsia="仿宋_GB2312"/>
          <w:color w:val="auto"/>
          <w:sz w:val="32"/>
          <w:szCs w:val="32"/>
          <w:highlight w:val="none"/>
        </w:rPr>
        <w:t>争议仲裁院</w:t>
      </w:r>
      <w:r>
        <w:rPr>
          <w:rFonts w:hint="eastAsia" w:ascii="仿宋_GB2312" w:hAnsi="仿宋" w:eastAsia="仿宋_GB2312"/>
          <w:color w:val="auto"/>
          <w:sz w:val="32"/>
          <w:szCs w:val="32"/>
          <w:highlight w:val="none"/>
          <w:lang w:eastAsia="zh-CN"/>
        </w:rPr>
        <w:t>、事业单位管理办公室、就业办公室、档案室、社会保障办公室、财务办公室</w:t>
      </w:r>
      <w:r>
        <w:rPr>
          <w:rFonts w:hint="eastAsia" w:ascii="仿宋_GB2312" w:hAnsi="宋体" w:eastAsia="仿宋_GB2312" w:cs="宋体"/>
          <w:color w:val="auto"/>
          <w:kern w:val="0"/>
          <w:sz w:val="32"/>
          <w:szCs w:val="32"/>
          <w:highlight w:val="none"/>
        </w:rPr>
        <w:t>。</w:t>
      </w:r>
    </w:p>
    <w:p>
      <w:pPr>
        <w:widowControl/>
        <w:shd w:val="clear"/>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呼图壁县人力资源和社会保障局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42</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27</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收支总体情况表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3551.90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2936.90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1939.03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997.88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lang w:eastAsia="zh-CN"/>
              </w:rPr>
            </w:pPr>
            <w:r>
              <w:rPr>
                <w:rFonts w:hint="eastAsia" w:ascii="仿宋_GB2312" w:hAnsi="宋体" w:eastAsia="仿宋_GB2312" w:cs="宋体"/>
                <w:b/>
                <w:bCs/>
                <w:color w:val="auto"/>
                <w:kern w:val="0"/>
                <w:sz w:val="18"/>
                <w:szCs w:val="18"/>
                <w:highlight w:val="none"/>
                <w:shd w:val="clear" w:color="auto" w:fill="auto"/>
              </w:rPr>
              <w:t>2.</w:t>
            </w:r>
            <w:r>
              <w:rPr>
                <w:rFonts w:hint="eastAsia" w:ascii="仿宋_GB2312" w:hAnsi="宋体" w:eastAsia="仿宋_GB2312" w:cs="宋体"/>
                <w:b/>
                <w:bCs/>
                <w:color w:val="auto"/>
                <w:kern w:val="0"/>
                <w:sz w:val="18"/>
                <w:szCs w:val="18"/>
                <w:highlight w:val="none"/>
                <w:shd w:val="clear" w:color="auto" w:fill="auto"/>
                <w:lang w:val="en-US" w:eastAsia="zh-CN"/>
              </w:rPr>
              <w:t>政府性</w:t>
            </w:r>
            <w:r>
              <w:rPr>
                <w:rFonts w:hint="eastAsia" w:ascii="仿宋_GB2312" w:hAnsi="宋体" w:eastAsia="仿宋_GB2312" w:cs="宋体"/>
                <w:b/>
                <w:bCs/>
                <w:color w:val="auto"/>
                <w:kern w:val="0"/>
                <w:sz w:val="18"/>
                <w:szCs w:val="18"/>
                <w:highlight w:val="none"/>
                <w:shd w:val="clear" w:color="auto" w:fill="auto"/>
              </w:rPr>
              <w:t>基金预算拨款</w:t>
            </w:r>
            <w:r>
              <w:rPr>
                <w:rFonts w:hint="eastAsia" w:ascii="仿宋_GB2312" w:hAnsi="宋体" w:eastAsia="仿宋_GB2312" w:cs="宋体"/>
                <w:b/>
                <w:bCs/>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21"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3492.31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33.72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615.00</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615.00</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11.09</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11.09</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11.09</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36.98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44" w:hRule="atLeast"/>
        </w:trPr>
        <w:tc>
          <w:tcPr>
            <w:tcW w:w="3165" w:type="dxa"/>
            <w:tcBorders>
              <w:top w:val="nil"/>
              <w:left w:val="single" w:color="auto" w:sz="4" w:space="0"/>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3563.00</w:t>
            </w:r>
          </w:p>
        </w:tc>
        <w:tc>
          <w:tcPr>
            <w:tcW w:w="2693" w:type="dxa"/>
            <w:tcBorders>
              <w:top w:val="nil"/>
              <w:left w:val="nil"/>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3563.00　</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收入总体情况表</w:t>
      </w: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呼图壁县人力资源和社会保障局</w:t>
      </w:r>
      <w:r>
        <w:rPr>
          <w:rFonts w:hint="eastAsia" w:ascii="仿宋_GB2312" w:hAnsi="宋体" w:eastAsia="仿宋_GB2312"/>
          <w:color w:val="auto"/>
          <w:kern w:val="0"/>
          <w:sz w:val="24"/>
          <w:highlight w:val="none"/>
        </w:rPr>
        <w:t xml:space="preserve">                     单位：万元</w:t>
      </w:r>
    </w:p>
    <w:tbl>
      <w:tblPr>
        <w:tblStyle w:val="10"/>
        <w:tblW w:w="13653" w:type="dxa"/>
        <w:tblInd w:w="-450" w:type="dxa"/>
        <w:tblLayout w:type="fixed"/>
        <w:tblCellMar>
          <w:top w:w="0" w:type="dxa"/>
          <w:left w:w="108" w:type="dxa"/>
          <w:bottom w:w="0" w:type="dxa"/>
          <w:right w:w="108" w:type="dxa"/>
        </w:tblCellMar>
      </w:tblPr>
      <w:tblGrid>
        <w:gridCol w:w="548"/>
        <w:gridCol w:w="470"/>
        <w:gridCol w:w="470"/>
        <w:gridCol w:w="1950"/>
        <w:gridCol w:w="1065"/>
        <w:gridCol w:w="915"/>
        <w:gridCol w:w="1065"/>
        <w:gridCol w:w="1020"/>
        <w:gridCol w:w="645"/>
        <w:gridCol w:w="855"/>
        <w:gridCol w:w="705"/>
        <w:gridCol w:w="1035"/>
        <w:gridCol w:w="705"/>
        <w:gridCol w:w="765"/>
        <w:gridCol w:w="720"/>
        <w:gridCol w:w="720"/>
      </w:tblGrid>
      <w:tr>
        <w:tblPrEx>
          <w:tblCellMar>
            <w:top w:w="0" w:type="dxa"/>
            <w:left w:w="108" w:type="dxa"/>
            <w:bottom w:w="0" w:type="dxa"/>
            <w:right w:w="108" w:type="dxa"/>
          </w:tblCellMar>
        </w:tblPrEx>
        <w:trPr>
          <w:trHeight w:val="567" w:hRule="atLeast"/>
        </w:trPr>
        <w:tc>
          <w:tcPr>
            <w:tcW w:w="1488" w:type="dxa"/>
            <w:gridSpan w:val="3"/>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95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6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240" w:type="dxa"/>
            <w:gridSpan w:val="7"/>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446" w:hRule="atLeast"/>
        </w:trPr>
        <w:tc>
          <w:tcPr>
            <w:tcW w:w="548" w:type="dxa"/>
            <w:tcBorders>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70"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70"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950"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1065"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91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6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102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3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05"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470" w:type="dxa"/>
            <w:tcBorders>
              <w:top w:val="nil"/>
              <w:left w:val="nil"/>
              <w:bottom w:val="single" w:color="auto" w:sz="4" w:space="0"/>
              <w:right w:val="single" w:color="auto" w:sz="4" w:space="0"/>
            </w:tcBorders>
            <w:shd w:val="clear" w:color="auto" w:fill="auto"/>
            <w:noWrap w:val="0"/>
            <w:vAlign w:val="center"/>
          </w:tcPr>
          <w:p>
            <w:pPr>
              <w:shd w:val="clear"/>
              <w:jc w:val="center"/>
              <w:rPr>
                <w:rFonts w:ascii="仿宋_GB2312" w:hAnsi="宋体" w:eastAsia="仿宋_GB2312" w:cs="宋体"/>
                <w:b/>
                <w:bCs/>
                <w:color w:val="auto"/>
                <w:sz w:val="18"/>
                <w:szCs w:val="18"/>
                <w:highlight w:val="none"/>
              </w:rPr>
            </w:pPr>
          </w:p>
        </w:tc>
        <w:tc>
          <w:tcPr>
            <w:tcW w:w="470" w:type="dxa"/>
            <w:tcBorders>
              <w:top w:val="nil"/>
              <w:left w:val="nil"/>
              <w:bottom w:val="single" w:color="auto" w:sz="4" w:space="0"/>
              <w:right w:val="single" w:color="auto" w:sz="4" w:space="0"/>
            </w:tcBorders>
            <w:shd w:val="clear" w:color="auto" w:fill="auto"/>
            <w:noWrap w:val="0"/>
            <w:vAlign w:val="center"/>
          </w:tcPr>
          <w:p>
            <w:pPr>
              <w:shd w:val="clear"/>
              <w:jc w:val="center"/>
              <w:rPr>
                <w:rFonts w:ascii="仿宋_GB2312" w:hAnsi="宋体" w:eastAsia="仿宋_GB2312" w:cs="宋体"/>
                <w:b/>
                <w:bCs/>
                <w:color w:val="auto"/>
                <w:sz w:val="18"/>
                <w:szCs w:val="18"/>
                <w:highlight w:val="none"/>
              </w:rPr>
            </w:pPr>
          </w:p>
        </w:tc>
        <w:tc>
          <w:tcPr>
            <w:tcW w:w="1950" w:type="dxa"/>
            <w:tcBorders>
              <w:top w:val="nil"/>
              <w:left w:val="nil"/>
              <w:bottom w:val="single" w:color="auto" w:sz="4" w:space="0"/>
              <w:right w:val="single" w:color="auto" w:sz="4" w:space="0"/>
            </w:tcBorders>
            <w:shd w:val="clear" w:color="auto" w:fill="auto"/>
            <w:noWrap w:val="0"/>
            <w:vAlign w:val="center"/>
          </w:tcPr>
          <w:p>
            <w:pPr>
              <w:shd w:val="clea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社会保障和就业支出</w:t>
            </w:r>
          </w:p>
        </w:tc>
        <w:tc>
          <w:tcPr>
            <w:tcW w:w="106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3492.31</w:t>
            </w:r>
          </w:p>
        </w:tc>
        <w:tc>
          <w:tcPr>
            <w:tcW w:w="91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2866.21</w:t>
            </w:r>
          </w:p>
        </w:tc>
        <w:tc>
          <w:tcPr>
            <w:tcW w:w="106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1868.34</w:t>
            </w:r>
          </w:p>
        </w:tc>
        <w:tc>
          <w:tcPr>
            <w:tcW w:w="1020"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997.88</w:t>
            </w:r>
          </w:p>
        </w:tc>
        <w:tc>
          <w:tcPr>
            <w:tcW w:w="64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p>
        </w:tc>
        <w:tc>
          <w:tcPr>
            <w:tcW w:w="85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p>
        </w:tc>
        <w:tc>
          <w:tcPr>
            <w:tcW w:w="103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615.00</w:t>
            </w:r>
          </w:p>
        </w:tc>
        <w:tc>
          <w:tcPr>
            <w:tcW w:w="720"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11.09</w:t>
            </w:r>
          </w:p>
        </w:tc>
        <w:tc>
          <w:tcPr>
            <w:tcW w:w="720"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01</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人力资源和社会保障管理事务</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1755.99</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1129.90</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1056.02</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73.88</w:t>
            </w: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eastAsia="仿宋_GB2312"/>
                <w:b/>
                <w:bCs/>
                <w:color w:val="auto"/>
                <w:sz w:val="18"/>
                <w:szCs w:val="18"/>
                <w:highlight w:val="none"/>
              </w:rPr>
              <w:t>615.00</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eastAsia="仿宋_GB2312"/>
                <w:b/>
                <w:bCs/>
                <w:color w:val="auto"/>
                <w:sz w:val="18"/>
                <w:szCs w:val="18"/>
                <w:highlight w:val="none"/>
              </w:rPr>
              <w:t>11.09</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行政运行</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932.70</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347.70</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347.70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585.00</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508.39</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505.00</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505.00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3.39</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劳动保障监察</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12</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劳动人事争议调解仲裁</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50</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事业运行</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226.32</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196.32</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196.32</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30.00</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其他人力资源和社会保障管理事务支出</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81.58</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73.88</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sz w:val="18"/>
                <w:szCs w:val="18"/>
                <w:highlight w:val="none"/>
                <w:lang w:eastAsia="zh-CN"/>
              </w:rPr>
            </w:pPr>
            <w:r>
              <w:rPr>
                <w:rFonts w:hint="eastAsia" w:ascii="仿宋_GB2312" w:eastAsia="仿宋_GB2312"/>
                <w:color w:val="auto"/>
                <w:sz w:val="18"/>
                <w:szCs w:val="18"/>
                <w:highlight w:val="none"/>
                <w:lang w:val="en-US" w:eastAsia="zh-CN"/>
              </w:rPr>
              <w:t>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73.88</w:t>
            </w: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7.70</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05</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行政事业单位养老支出</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54.31</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54.31</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54.31</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05</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01</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行政单位离退休</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9.73</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9.73</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9.73</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lang w:val="en-US" w:eastAsia="zh-CN"/>
              </w:rPr>
              <w:t>05</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44.58</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44.58</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44.58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07</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就业补助</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1682.00</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1682.00</w:t>
            </w:r>
          </w:p>
        </w:tc>
        <w:tc>
          <w:tcPr>
            <w:tcW w:w="1065"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758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924.00</w:t>
            </w: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07</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职业培训补贴</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103.00</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103.00</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103.00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07</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04</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社会保险补贴</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1515.30</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1515.30</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615.86</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899.44</w:t>
            </w: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07</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公益性岗位补贴</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46.14</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46.14</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lang w:val="en-US" w:eastAsia="zh-CN"/>
              </w:rPr>
              <w:t>22.68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23.46</w:t>
            </w: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07</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09</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职业技能评价补贴</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07</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业见习补贴</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1.86</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1.86</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1.86</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208</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07</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求职和创业补贴</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10.70</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10.70</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9.60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1.10</w:t>
            </w: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210</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卫生健康支出</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33.72</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33.72</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33.72</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210</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11</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行政事业单位医疗</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33.72</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33.72</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33.72</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行政单位医疗</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8.28</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8.28</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8.28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事业单位医疗</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14.01</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14.01</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14.01</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公务员医疗补助</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11.15</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11.15</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11.15</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w:t>
            </w: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其他行政事业单位医疗支出</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0.28</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0.28</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221</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住房保障支出</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36.98</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36.98</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36.98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lang w:val="en-US" w:eastAsia="zh-CN"/>
              </w:rPr>
              <w:t>221</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02</w:t>
            </w:r>
          </w:p>
        </w:tc>
        <w:tc>
          <w:tcPr>
            <w:tcW w:w="47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住房改革支出</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36.98</w:t>
            </w:r>
          </w:p>
        </w:tc>
        <w:tc>
          <w:tcPr>
            <w:tcW w:w="91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36.98</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36.98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70" w:type="dxa"/>
            <w:tcBorders>
              <w:top w:val="nil"/>
              <w:left w:val="nil"/>
              <w:bottom w:val="single" w:color="auto" w:sz="4" w:space="0"/>
              <w:right w:val="single" w:color="auto" w:sz="4" w:space="0"/>
            </w:tcBorders>
            <w:noWrap w:val="0"/>
            <w:vAlign w:val="center"/>
          </w:tcPr>
          <w:p>
            <w:pPr>
              <w:shd w:val="clea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36.98</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36.98</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36.98</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47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18"/>
                <w:szCs w:val="18"/>
                <w:highlight w:val="none"/>
              </w:rPr>
            </w:pPr>
          </w:p>
        </w:tc>
        <w:tc>
          <w:tcPr>
            <w:tcW w:w="195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合  计</w:t>
            </w:r>
          </w:p>
        </w:tc>
        <w:tc>
          <w:tcPr>
            <w:tcW w:w="106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3563.00</w:t>
            </w:r>
          </w:p>
        </w:tc>
        <w:tc>
          <w:tcPr>
            <w:tcW w:w="9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2936.90</w:t>
            </w:r>
          </w:p>
        </w:tc>
        <w:tc>
          <w:tcPr>
            <w:tcW w:w="1065" w:type="dxa"/>
            <w:tcBorders>
              <w:top w:val="nil"/>
              <w:left w:val="nil"/>
              <w:bottom w:val="single" w:color="auto" w:sz="4" w:space="0"/>
              <w:right w:val="single" w:color="auto" w:sz="4" w:space="0"/>
            </w:tcBorders>
            <w:noWrap w:val="0"/>
            <w:vAlign w:val="center"/>
          </w:tcPr>
          <w:p>
            <w:pPr>
              <w:shd w:val="clear"/>
              <w:jc w:val="center"/>
              <w:rPr>
                <w:rFonts w:hint="eastAsia" w:ascii="仿宋_GB2312" w:hAnsi="宋体" w:eastAsia="仿宋_GB2312" w:cs="宋体"/>
                <w:b/>
                <w:bCs/>
                <w:color w:val="auto"/>
                <w:sz w:val="18"/>
                <w:szCs w:val="18"/>
                <w:highlight w:val="none"/>
                <w:lang w:eastAsia="zh-CN"/>
              </w:rPr>
            </w:pPr>
            <w:r>
              <w:rPr>
                <w:rFonts w:hint="eastAsia" w:ascii="仿宋_GB2312" w:hAnsi="宋体" w:eastAsia="仿宋_GB2312" w:cs="宋体"/>
                <w:b/>
                <w:bCs/>
                <w:color w:val="auto"/>
                <w:sz w:val="18"/>
                <w:szCs w:val="18"/>
                <w:highlight w:val="none"/>
                <w:lang w:val="en-US" w:eastAsia="zh-CN"/>
              </w:rPr>
              <w:t>1939.03</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997.88</w:t>
            </w:r>
          </w:p>
        </w:tc>
        <w:tc>
          <w:tcPr>
            <w:tcW w:w="64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85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103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18"/>
                <w:szCs w:val="18"/>
                <w:highlight w:val="none"/>
              </w:rPr>
            </w:pPr>
          </w:p>
        </w:tc>
        <w:tc>
          <w:tcPr>
            <w:tcW w:w="70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c>
          <w:tcPr>
            <w:tcW w:w="765"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615.00</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11.09</w:t>
            </w:r>
          </w:p>
        </w:tc>
        <w:tc>
          <w:tcPr>
            <w:tcW w:w="720"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b/>
                <w:bCs/>
                <w:color w:val="auto"/>
                <w:sz w:val="18"/>
                <w:szCs w:val="18"/>
                <w:highlight w:val="none"/>
              </w:rPr>
            </w:pP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支出总体情况表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呼图壁县人力资源和社会保障局</w:t>
      </w:r>
      <w:r>
        <w:rPr>
          <w:rFonts w:hint="eastAsia" w:ascii="仿宋_GB2312" w:hAnsi="宋体" w:eastAsia="仿宋_GB2312"/>
          <w:color w:val="auto"/>
          <w:kern w:val="0"/>
          <w:sz w:val="24"/>
          <w:highlight w:val="none"/>
        </w:rPr>
        <w:t xml:space="preserve">               单位：万元</w:t>
      </w:r>
    </w:p>
    <w:tbl>
      <w:tblPr>
        <w:tblStyle w:val="10"/>
        <w:tblW w:w="9420" w:type="dxa"/>
        <w:tblInd w:w="-240" w:type="dxa"/>
        <w:tblLayout w:type="fixed"/>
        <w:tblCellMar>
          <w:top w:w="0" w:type="dxa"/>
          <w:left w:w="108" w:type="dxa"/>
          <w:bottom w:w="0" w:type="dxa"/>
          <w:right w:w="108" w:type="dxa"/>
        </w:tblCellMar>
      </w:tblPr>
      <w:tblGrid>
        <w:gridCol w:w="555"/>
        <w:gridCol w:w="495"/>
        <w:gridCol w:w="420"/>
        <w:gridCol w:w="3030"/>
        <w:gridCol w:w="1725"/>
        <w:gridCol w:w="1311"/>
        <w:gridCol w:w="1884"/>
      </w:tblGrid>
      <w:tr>
        <w:tblPrEx>
          <w:tblCellMar>
            <w:top w:w="0" w:type="dxa"/>
            <w:left w:w="108" w:type="dxa"/>
            <w:bottom w:w="0" w:type="dxa"/>
            <w:right w:w="108" w:type="dxa"/>
          </w:tblCellMar>
        </w:tblPrEx>
        <w:trPr>
          <w:trHeight w:val="328" w:hRule="atLeast"/>
        </w:trPr>
        <w:tc>
          <w:tcPr>
            <w:tcW w:w="4500"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科</w:t>
            </w:r>
            <w:r>
              <w:rPr>
                <w:rFonts w:hint="eastAsia" w:ascii="仿宋_GB2312" w:hAnsi="仿宋_GB2312" w:eastAsia="仿宋_GB2312" w:cs="仿宋_GB2312"/>
                <w:b/>
                <w:bCs/>
                <w:color w:val="auto"/>
                <w:kern w:val="0"/>
                <w:sz w:val="21"/>
                <w:szCs w:val="21"/>
                <w:highlight w:val="none"/>
              </w:rPr>
              <w:t xml:space="preserve">    目</w:t>
            </w:r>
          </w:p>
        </w:tc>
        <w:tc>
          <w:tcPr>
            <w:tcW w:w="4920" w:type="dxa"/>
            <w:gridSpan w:val="3"/>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支出预算</w:t>
            </w:r>
          </w:p>
        </w:tc>
      </w:tr>
      <w:tr>
        <w:tblPrEx>
          <w:tblCellMar>
            <w:top w:w="0" w:type="dxa"/>
            <w:left w:w="108" w:type="dxa"/>
            <w:bottom w:w="0" w:type="dxa"/>
            <w:right w:w="108" w:type="dxa"/>
          </w:tblCellMar>
        </w:tblPrEx>
        <w:trPr>
          <w:trHeight w:val="480" w:hRule="atLeast"/>
        </w:trPr>
        <w:tc>
          <w:tcPr>
            <w:tcW w:w="1470"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功能分类科目编码</w:t>
            </w:r>
          </w:p>
        </w:tc>
        <w:tc>
          <w:tcPr>
            <w:tcW w:w="3030"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功能分类科目名称</w:t>
            </w:r>
          </w:p>
        </w:tc>
        <w:tc>
          <w:tcPr>
            <w:tcW w:w="1725"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合  计</w:t>
            </w:r>
          </w:p>
        </w:tc>
        <w:tc>
          <w:tcPr>
            <w:tcW w:w="1311"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项目支出</w:t>
            </w:r>
          </w:p>
        </w:tc>
      </w:tr>
      <w:tr>
        <w:tblPrEx>
          <w:tblCellMar>
            <w:top w:w="0" w:type="dxa"/>
            <w:left w:w="108" w:type="dxa"/>
            <w:bottom w:w="0" w:type="dxa"/>
            <w:right w:w="108" w:type="dxa"/>
          </w:tblCellMar>
        </w:tblPrEx>
        <w:trPr>
          <w:trHeight w:val="270"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030"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725"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311"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70"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社会保障和就业支出　</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3492.31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1159.02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596.97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人力资源和社会保障管理事务　</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1755.99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1159.02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596.97</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行政运行　</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932.70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932.70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02</w:t>
            </w:r>
            <w:r>
              <w:rPr>
                <w:rFonts w:hint="eastAsia" w:ascii="宋体" w:hAnsi="宋体" w:cs="宋体"/>
                <w:b w:val="0"/>
                <w:bCs w:val="0"/>
                <w:color w:val="auto"/>
                <w:kern w:val="0"/>
                <w:sz w:val="18"/>
                <w:szCs w:val="18"/>
                <w:highlight w:val="none"/>
              </w:rPr>
              <w:t>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一般行政管理事务　</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508.39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508.39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r>
              <w:rPr>
                <w:rFonts w:hint="eastAsia" w:ascii="宋体" w:hAnsi="宋体" w:cs="宋体"/>
                <w:b w:val="0"/>
                <w:bCs w:val="0"/>
                <w:color w:val="auto"/>
                <w:kern w:val="0"/>
                <w:sz w:val="18"/>
                <w:szCs w:val="18"/>
                <w:highlight w:val="none"/>
              </w:rPr>
              <w:t>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劳动保障监察　</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2.00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2.00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12</w:t>
            </w:r>
            <w:r>
              <w:rPr>
                <w:rFonts w:hint="eastAsia" w:ascii="宋体" w:hAnsi="宋体" w:cs="宋体"/>
                <w:b w:val="0"/>
                <w:bCs w:val="0"/>
                <w:color w:val="auto"/>
                <w:kern w:val="0"/>
                <w:sz w:val="18"/>
                <w:szCs w:val="18"/>
                <w:highlight w:val="none"/>
              </w:rPr>
              <w:t>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劳动人事争议调解仲裁　</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5.00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99</w:t>
            </w:r>
            <w:r>
              <w:rPr>
                <w:rFonts w:hint="eastAsia" w:ascii="宋体" w:hAnsi="宋体" w:cs="宋体"/>
                <w:b w:val="0"/>
                <w:bCs w:val="0"/>
                <w:color w:val="auto"/>
                <w:kern w:val="0"/>
                <w:sz w:val="18"/>
                <w:szCs w:val="18"/>
                <w:highlight w:val="none"/>
              </w:rPr>
              <w:t>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其他人力资源和社会保障管理事务支出　</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81.58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81.58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05　</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　行政事业单位养老支出</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54.31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54.31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05　</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01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　行政单位离退休</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9.73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9.73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05　</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05</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机关事业单位基本养老保险缴费支出</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44.58</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44.58</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07</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就业补助</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1682.00</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1682.00</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07</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　职业培训补贴</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103.00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103.00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07</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04</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社会保险补贴</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1515.30</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1515.30</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07</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05</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公益性岗位补贴</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46.14</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46.14</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07</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09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　职业技能评价补贴</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5.00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5.00　</w:t>
            </w:r>
          </w:p>
        </w:tc>
      </w:tr>
      <w:tr>
        <w:tblPrEx>
          <w:tblCellMar>
            <w:top w:w="0" w:type="dxa"/>
            <w:left w:w="108" w:type="dxa"/>
            <w:bottom w:w="0" w:type="dxa"/>
            <w:right w:w="108" w:type="dxa"/>
          </w:tblCellMar>
        </w:tblPrEx>
        <w:trPr>
          <w:trHeight w:val="394"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07</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　业见习补贴</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1.86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1.86　</w:t>
            </w:r>
          </w:p>
        </w:tc>
      </w:tr>
      <w:tr>
        <w:tblPrEx>
          <w:tblCellMar>
            <w:top w:w="0" w:type="dxa"/>
            <w:left w:w="108" w:type="dxa"/>
            <w:bottom w:w="0" w:type="dxa"/>
            <w:right w:w="108" w:type="dxa"/>
          </w:tblCellMar>
        </w:tblPrEx>
        <w:trPr>
          <w:trHeight w:val="394"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07</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13</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求职和创业补贴</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10.70</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10.70</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卫生健康支出</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33.72</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33.72</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行政事业单位医疗</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33.72</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33.72</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行政单位医疗</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8.28</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8.28</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事业单位医疗</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14.01</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14.01</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03</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公务员医疗补助</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11.15</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11.15</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99</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其他行政事业单位医疗支出</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0.28</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0.28</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住房保障支出</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36.98</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36.98</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住房改革支出</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rPr>
              <w:t>36.98</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36.98</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221</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　住房公积金</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rPr>
              <w:t>36.98　</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36.98　</w:t>
            </w:r>
          </w:p>
        </w:tc>
        <w:tc>
          <w:tcPr>
            <w:tcW w:w="1884" w:type="dxa"/>
            <w:tcBorders>
              <w:top w:val="nil"/>
              <w:left w:val="nil"/>
              <w:bottom w:val="single" w:color="auto" w:sz="4" w:space="0"/>
              <w:right w:val="single" w:color="auto" w:sz="4" w:space="0"/>
            </w:tcBorders>
            <w:noWrap w:val="0"/>
            <w:vAlign w:val="center"/>
          </w:tcPr>
          <w:p>
            <w:pPr>
              <w:shd w:val="clear"/>
              <w:rPr>
                <w:b w:val="0"/>
                <w:bCs w:val="0"/>
                <w:color w:val="auto"/>
                <w:sz w:val="18"/>
                <w:szCs w:val="1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495"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42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303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2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3563.00</w:t>
            </w:r>
          </w:p>
        </w:tc>
        <w:tc>
          <w:tcPr>
            <w:tcW w:w="131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1284.03</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2278.97</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hd w:val="clear"/>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hd w:val="clear"/>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呼图壁县人力资源和社会保障局</w:t>
      </w:r>
      <w:r>
        <w:rPr>
          <w:rFonts w:hint="eastAsia" w:ascii="仿宋_GB2312" w:hAnsi="宋体" w:eastAsia="仿宋_GB2312"/>
          <w:color w:val="auto"/>
          <w:kern w:val="0"/>
          <w:sz w:val="24"/>
          <w:szCs w:val="24"/>
          <w:highlight w:val="none"/>
        </w:rPr>
        <w:t xml:space="preserve">                     单位：万元</w:t>
      </w:r>
    </w:p>
    <w:tbl>
      <w:tblPr>
        <w:tblStyle w:val="10"/>
        <w:tblW w:w="9449" w:type="dxa"/>
        <w:tblInd w:w="-240" w:type="dxa"/>
        <w:tblLayout w:type="fixed"/>
        <w:tblCellMar>
          <w:top w:w="0" w:type="dxa"/>
          <w:left w:w="108" w:type="dxa"/>
          <w:bottom w:w="0" w:type="dxa"/>
          <w:right w:w="108" w:type="dxa"/>
        </w:tblCellMar>
      </w:tblPr>
      <w:tblGrid>
        <w:gridCol w:w="1933"/>
        <w:gridCol w:w="922"/>
        <w:gridCol w:w="2577"/>
        <w:gridCol w:w="900"/>
        <w:gridCol w:w="851"/>
        <w:gridCol w:w="1133"/>
        <w:gridCol w:w="1133"/>
      </w:tblGrid>
      <w:tr>
        <w:tblPrEx>
          <w:tblCellMar>
            <w:top w:w="0" w:type="dxa"/>
            <w:left w:w="108" w:type="dxa"/>
            <w:bottom w:w="0" w:type="dxa"/>
            <w:right w:w="108" w:type="dxa"/>
          </w:tblCellMar>
        </w:tblPrEx>
        <w:trPr>
          <w:trHeight w:val="285" w:hRule="atLeast"/>
        </w:trPr>
        <w:tc>
          <w:tcPr>
            <w:tcW w:w="2855" w:type="dxa"/>
            <w:gridSpan w:val="2"/>
            <w:tcBorders>
              <w:top w:val="single" w:color="auto" w:sz="4" w:space="0"/>
              <w:left w:val="single" w:color="auto" w:sz="4" w:space="0"/>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4" w:type="dxa"/>
            <w:gridSpan w:val="5"/>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7"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Hans"/>
              </w:rPr>
              <w:t>一、</w:t>
            </w:r>
            <w:r>
              <w:rPr>
                <w:rFonts w:hint="eastAsia" w:ascii="仿宋_GB2312" w:hAnsi="宋体" w:eastAsia="仿宋_GB2312" w:cs="宋体"/>
                <w:b/>
                <w:bCs/>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2936.9</w:t>
            </w:r>
            <w:r>
              <w:rPr>
                <w:rFonts w:hint="eastAsia" w:ascii="仿宋_GB2312" w:hAnsi="宋体" w:eastAsia="仿宋_GB2312" w:cs="宋体"/>
                <w:b/>
                <w:bCs/>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ind w:firstLine="181" w:firstLineChars="100"/>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2936.9</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2866.21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2866.21</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33.72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33.72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36.98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36.98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1034" w:hRule="exact"/>
        </w:trPr>
        <w:tc>
          <w:tcPr>
            <w:tcW w:w="193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lang w:val="en-US" w:eastAsia="zh-CN"/>
              </w:rPr>
              <w:t>2936.9</w:t>
            </w:r>
          </w:p>
        </w:tc>
        <w:tc>
          <w:tcPr>
            <w:tcW w:w="257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2936.9</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2936.9　</w:t>
            </w:r>
          </w:p>
        </w:tc>
        <w:tc>
          <w:tcPr>
            <w:tcW w:w="2266" w:type="dxa"/>
            <w:gridSpan w:val="2"/>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r>
    </w:tbl>
    <w:p>
      <w:pPr>
        <w:keepNext w:val="0"/>
        <w:keepLines w:val="0"/>
        <w:widowControl/>
        <w:suppressLineNumbers w:val="0"/>
        <w:shd w:val="clear"/>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shd w:val="clear"/>
        <w:rPr>
          <w:rFonts w:hint="default"/>
          <w:highlight w:val="none"/>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shd w:val="clear"/>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呼图壁县人力资源和社会保障局</w:t>
            </w:r>
          </w:p>
        </w:tc>
        <w:tc>
          <w:tcPr>
            <w:tcW w:w="660"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3327" w:type="dxa"/>
            <w:gridSpan w:val="2"/>
            <w:tcBorders>
              <w:top w:val="nil"/>
              <w:left w:val="nil"/>
              <w:bottom w:val="nil"/>
              <w:right w:val="nil"/>
            </w:tcBorders>
            <w:noWrap w:val="0"/>
            <w:vAlign w:val="center"/>
          </w:tcPr>
          <w:p>
            <w:pPr>
              <w:widowControl/>
              <w:shd w:val="clear"/>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社会保障和就业支出　</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2877.31</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598.34</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2267.88</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人力资源和社会保障管理事务　</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1140.99</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544.02</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585.88</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行政运行　</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347.70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347.70</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一般行政管理事务　</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508.39</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505</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劳动保障监察　</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12</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劳动人事争议调解仲裁　</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5.00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5.00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eastAsia="zh-CN"/>
              </w:rPr>
            </w:pPr>
            <w:r>
              <w:rPr>
                <w:rFonts w:hint="eastAsia" w:ascii="宋体" w:hAnsi="宋体" w:cs="宋体"/>
                <w:b w:val="0"/>
                <w:bCs w:val="0"/>
                <w:color w:val="auto"/>
                <w:kern w:val="0"/>
                <w:sz w:val="16"/>
                <w:szCs w:val="16"/>
                <w:highlight w:val="none"/>
                <w:lang w:eastAsia="zh-CN"/>
              </w:rPr>
              <w:t>事业运行</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196.32</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196.32</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其他人力资源和社会保障管理事务支出　</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81.58</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73.88</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05　</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　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54.31</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54.31</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　</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行政单位离退休</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9.73</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9.73</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　</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44.58</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44.58</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就业补助</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1682.00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1682.00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职业培训补贴</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103.00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103.00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社会保险补贴</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1515.30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1515.30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公益性岗位补贴</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46.14</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46.14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09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职业技能评价补贴</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5.00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5.00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业见习补贴</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1.86</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1.86</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　</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13</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求职和创业补贴</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10.70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10.70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33.72</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33.72</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33.72</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33.72</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行政单位医疗</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8.28</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8.28</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eastAsia"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14.01</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14.01</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03</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11.15</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11.15</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0.28</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0.28</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36.98</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36.98</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36.98</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36.98</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　</w:t>
            </w:r>
          </w:p>
        </w:tc>
        <w:tc>
          <w:tcPr>
            <w:tcW w:w="2510"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住房公积金</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36.98</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36.98</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b w:val="0"/>
                <w:bCs w:val="0"/>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b w:val="0"/>
                <w:bCs w:val="0"/>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b w:val="0"/>
                <w:bCs w:val="0"/>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2936.90</w:t>
            </w:r>
          </w:p>
        </w:tc>
        <w:tc>
          <w:tcPr>
            <w:tcW w:w="1842" w:type="dxa"/>
            <w:gridSpan w:val="2"/>
            <w:tcBorders>
              <w:top w:val="nil"/>
              <w:left w:val="nil"/>
              <w:bottom w:val="single" w:color="auto"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rPr>
              <w:t>669.0</w:t>
            </w:r>
            <w:r>
              <w:rPr>
                <w:rFonts w:hint="eastAsia" w:ascii="仿宋_GB2312" w:hAnsi="宋体" w:eastAsia="仿宋_GB2312" w:cs="宋体"/>
                <w:b/>
                <w:bCs/>
                <w:color w:val="auto"/>
                <w:kern w:val="0"/>
                <w:sz w:val="20"/>
                <w:szCs w:val="20"/>
                <w:highlight w:val="none"/>
                <w:lang w:val="en-US" w:eastAsia="zh-CN"/>
              </w:rPr>
              <w:t>2</w:t>
            </w:r>
          </w:p>
        </w:tc>
        <w:tc>
          <w:tcPr>
            <w:tcW w:w="1701"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2267.88</w:t>
            </w:r>
          </w:p>
        </w:tc>
      </w:tr>
    </w:tbl>
    <w:p>
      <w:pPr>
        <w:keepNext w:val="0"/>
        <w:keepLines w:val="0"/>
        <w:widowControl/>
        <w:suppressLineNumbers w:val="0"/>
        <w:shd w:val="clear"/>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tblInd w:w="-148" w:type="dxa"/>
        <w:tblLayout w:type="fixed"/>
        <w:tblCellMar>
          <w:top w:w="0" w:type="dxa"/>
          <w:left w:w="108" w:type="dxa"/>
          <w:bottom w:w="0" w:type="dxa"/>
          <w:right w:w="108" w:type="dxa"/>
        </w:tblCellMar>
      </w:tblPr>
      <w:tblGrid>
        <w:gridCol w:w="757"/>
        <w:gridCol w:w="577"/>
        <w:gridCol w:w="3160"/>
        <w:gridCol w:w="726"/>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494" w:type="dxa"/>
            <w:gridSpan w:val="3"/>
            <w:tcBorders>
              <w:top w:val="nil"/>
              <w:left w:val="nil"/>
              <w:bottom w:val="nil"/>
              <w:right w:val="nil"/>
            </w:tcBorders>
            <w:noWrap w:val="0"/>
            <w:vAlign w:val="center"/>
          </w:tcPr>
          <w:p>
            <w:pPr>
              <w:widowControl/>
              <w:shd w:val="clear"/>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呼图壁县人力资源和社会保障局</w:t>
            </w:r>
          </w:p>
        </w:tc>
        <w:tc>
          <w:tcPr>
            <w:tcW w:w="726"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shd w:val="clear"/>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494"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34"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60"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32"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60"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p>
        </w:tc>
        <w:tc>
          <w:tcPr>
            <w:tcW w:w="1432"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bCs/>
                <w:color w:val="auto"/>
                <w:kern w:val="0"/>
                <w:sz w:val="20"/>
                <w:szCs w:val="20"/>
                <w:highlight w:val="none"/>
                <w:lang w:val="en-US" w:eastAsia="zh-CN"/>
              </w:rPr>
            </w:pP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工资福利支出</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r>
              <w:rPr>
                <w:rFonts w:hint="eastAsia" w:ascii="仿宋" w:hAnsi="仿宋" w:eastAsia="仿宋" w:cs="仿宋"/>
                <w:b/>
                <w:bCs/>
                <w:color w:val="auto"/>
                <w:kern w:val="0"/>
                <w:sz w:val="20"/>
                <w:szCs w:val="20"/>
                <w:highlight w:val="none"/>
                <w:lang w:val="en-US" w:eastAsia="zh-CN"/>
              </w:rPr>
              <w:t>504.28</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r>
              <w:rPr>
                <w:rFonts w:hint="eastAsia" w:ascii="仿宋" w:hAnsi="仿宋" w:eastAsia="仿宋" w:cs="仿宋"/>
                <w:b/>
                <w:bCs/>
                <w:color w:val="auto"/>
                <w:kern w:val="0"/>
                <w:sz w:val="20"/>
                <w:szCs w:val="20"/>
                <w:highlight w:val="none"/>
                <w:lang w:val="en-US" w:eastAsia="zh-CN"/>
              </w:rPr>
              <w:t>504.28</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基本工资</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rPr>
              <w:t>　</w:t>
            </w:r>
            <w:r>
              <w:rPr>
                <w:rFonts w:hint="eastAsia" w:ascii="仿宋" w:hAnsi="仿宋" w:eastAsia="仿宋" w:cs="仿宋"/>
                <w:b w:val="0"/>
                <w:bCs w:val="0"/>
                <w:color w:val="auto"/>
                <w:kern w:val="0"/>
                <w:sz w:val="20"/>
                <w:szCs w:val="20"/>
                <w:highlight w:val="none"/>
                <w:lang w:val="en-US" w:eastAsia="zh-CN"/>
              </w:rPr>
              <w:t>112.12</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kern w:val="2"/>
                <w:sz w:val="21"/>
                <w:szCs w:val="24"/>
                <w:highlight w:val="none"/>
                <w:lang w:val="en-US" w:eastAsia="zh-CN" w:bidi="ar-SA"/>
              </w:rPr>
            </w:pPr>
            <w:r>
              <w:rPr>
                <w:rFonts w:hint="eastAsia" w:ascii="仿宋" w:hAnsi="仿宋" w:eastAsia="仿宋" w:cs="仿宋"/>
                <w:b w:val="0"/>
                <w:bCs w:val="0"/>
                <w:highlight w:val="none"/>
              </w:rPr>
              <w:t>　</w:t>
            </w:r>
            <w:r>
              <w:rPr>
                <w:rFonts w:hint="eastAsia" w:ascii="仿宋" w:hAnsi="仿宋" w:eastAsia="仿宋" w:cs="仿宋"/>
                <w:b w:val="0"/>
                <w:bCs w:val="0"/>
                <w:color w:val="auto"/>
                <w:kern w:val="0"/>
                <w:sz w:val="20"/>
                <w:szCs w:val="20"/>
                <w:highlight w:val="none"/>
                <w:lang w:val="en-US" w:eastAsia="zh-CN"/>
              </w:rPr>
              <w:t>112.12</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02</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津贴补贴</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61.63</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61.63</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03</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奖金</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88.13</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88.13</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07</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绩效工资</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46.25</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46.25</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08</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机关事业单位基本养老保险缴费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44.58</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44.58</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10</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职工基本医疗保险缴费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22.29</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22.29</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公务员医疗补助缴费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11.15</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11.15</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12</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其他社会保障缴费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2.27</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2.27</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13</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住房公积金</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36.98</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36.98</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99</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其他工资福利支出</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78.88</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78.88</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bCs/>
                <w:color w:val="auto"/>
                <w:kern w:val="0"/>
                <w:sz w:val="20"/>
                <w:szCs w:val="20"/>
                <w:highlight w:val="none"/>
              </w:rPr>
            </w:pP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商品和服务支出</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r>
              <w:rPr>
                <w:rFonts w:hint="eastAsia" w:ascii="仿宋" w:hAnsi="仿宋" w:eastAsia="仿宋" w:cs="仿宋"/>
                <w:b/>
                <w:bCs/>
                <w:color w:val="auto"/>
                <w:kern w:val="0"/>
                <w:sz w:val="20"/>
                <w:szCs w:val="20"/>
                <w:highlight w:val="none"/>
                <w:lang w:val="en-US" w:eastAsia="zh-CN"/>
              </w:rPr>
              <w:t>37.4</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bidi="ar-SA"/>
              </w:rPr>
            </w:pPr>
            <w:r>
              <w:rPr>
                <w:rFonts w:hint="eastAsia" w:ascii="仿宋" w:hAnsi="仿宋" w:eastAsia="仿宋" w:cs="仿宋"/>
                <w:b/>
                <w:bCs/>
                <w:color w:val="auto"/>
                <w:kern w:val="0"/>
                <w:sz w:val="20"/>
                <w:szCs w:val="20"/>
                <w:highlight w:val="none"/>
              </w:rPr>
              <w:t>　</w:t>
            </w:r>
            <w:r>
              <w:rPr>
                <w:rFonts w:hint="eastAsia" w:ascii="仿宋" w:hAnsi="仿宋" w:eastAsia="仿宋" w:cs="仿宋"/>
                <w:b/>
                <w:bCs/>
                <w:color w:val="auto"/>
                <w:kern w:val="0"/>
                <w:sz w:val="20"/>
                <w:szCs w:val="20"/>
                <w:highlight w:val="none"/>
                <w:lang w:val="en-US" w:eastAsia="zh-CN"/>
              </w:rPr>
              <w:t>37.4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办公费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1.62</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1.62</w:t>
            </w:r>
          </w:p>
        </w:tc>
      </w:tr>
      <w:tr>
        <w:tblPrEx>
          <w:tblCellMar>
            <w:top w:w="0" w:type="dxa"/>
            <w:left w:w="108" w:type="dxa"/>
            <w:bottom w:w="0" w:type="dxa"/>
            <w:right w:w="108" w:type="dxa"/>
          </w:tblCellMar>
        </w:tblPrEx>
        <w:trPr>
          <w:trHeight w:val="390"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 xml:space="preserve"> 水费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0.8</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07</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eastAsia="zh-CN"/>
              </w:rPr>
              <w:t>邮电费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1.8</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rPr>
              <w:t>　</w:t>
            </w:r>
            <w:r>
              <w:rPr>
                <w:rFonts w:hint="eastAsia" w:ascii="仿宋" w:hAnsi="仿宋" w:eastAsia="仿宋" w:cs="仿宋"/>
                <w:b w:val="0"/>
                <w:bCs w:val="0"/>
                <w:color w:val="auto"/>
                <w:kern w:val="0"/>
                <w:sz w:val="20"/>
                <w:szCs w:val="20"/>
                <w:highlight w:val="none"/>
                <w:lang w:val="en-US" w:eastAsia="zh-CN"/>
              </w:rPr>
              <w:t>1.8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08</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eastAsia="zh-CN"/>
              </w:rPr>
            </w:pPr>
            <w:r>
              <w:rPr>
                <w:rFonts w:hint="eastAsia" w:ascii="仿宋" w:hAnsi="仿宋" w:eastAsia="仿宋" w:cs="仿宋"/>
                <w:b w:val="0"/>
                <w:bCs w:val="0"/>
                <w:color w:val="auto"/>
                <w:kern w:val="0"/>
                <w:sz w:val="20"/>
                <w:szCs w:val="20"/>
                <w:highlight w:val="none"/>
                <w:lang w:eastAsia="zh-CN"/>
              </w:rPr>
              <w:t>取暖费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23.59</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rPr>
              <w:t>23.59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eastAsia="zh-CN"/>
              </w:rPr>
            </w:pPr>
            <w:r>
              <w:rPr>
                <w:rFonts w:hint="eastAsia" w:ascii="仿宋" w:hAnsi="仿宋" w:eastAsia="仿宋" w:cs="仿宋"/>
                <w:b w:val="0"/>
                <w:bCs w:val="0"/>
                <w:color w:val="auto"/>
                <w:kern w:val="0"/>
                <w:sz w:val="20"/>
                <w:szCs w:val="20"/>
                <w:highlight w:val="none"/>
                <w:lang w:eastAsia="zh-CN"/>
              </w:rPr>
              <w:t>差旅费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rPr>
              <w:t>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28</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eastAsia="zh-CN"/>
              </w:rPr>
            </w:pPr>
            <w:r>
              <w:rPr>
                <w:rFonts w:hint="eastAsia" w:ascii="仿宋" w:hAnsi="仿宋" w:eastAsia="仿宋" w:cs="仿宋"/>
                <w:b w:val="0"/>
                <w:bCs w:val="0"/>
                <w:color w:val="auto"/>
                <w:kern w:val="0"/>
                <w:sz w:val="20"/>
                <w:szCs w:val="20"/>
                <w:highlight w:val="none"/>
                <w:lang w:eastAsia="zh-CN"/>
              </w:rPr>
              <w:t>工会经费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5.39</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rPr>
              <w:t>5.39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31</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eastAsia="zh-CN"/>
              </w:rPr>
            </w:pPr>
            <w:r>
              <w:rPr>
                <w:rFonts w:hint="eastAsia" w:ascii="仿宋" w:hAnsi="仿宋" w:eastAsia="仿宋" w:cs="仿宋"/>
                <w:b w:val="0"/>
                <w:bCs w:val="0"/>
                <w:color w:val="auto"/>
                <w:kern w:val="0"/>
                <w:sz w:val="20"/>
                <w:szCs w:val="20"/>
                <w:highlight w:val="none"/>
                <w:lang w:eastAsia="zh-CN"/>
              </w:rPr>
              <w:t>公务用车运行维护费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3.2</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rPr>
              <w:t>3.2</w:t>
            </w:r>
          </w:p>
        </w:tc>
      </w:tr>
      <w:tr>
        <w:tblPrEx>
          <w:tblCellMar>
            <w:top w:w="0" w:type="dxa"/>
            <w:left w:w="108" w:type="dxa"/>
            <w:bottom w:w="0" w:type="dxa"/>
            <w:right w:w="108" w:type="dxa"/>
          </w:tblCellMar>
        </w:tblPrEx>
        <w:trPr>
          <w:trHeight w:val="386"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bCs/>
                <w:color w:val="auto"/>
                <w:kern w:val="0"/>
                <w:sz w:val="20"/>
                <w:szCs w:val="20"/>
                <w:highlight w:val="none"/>
              </w:rPr>
            </w:pP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对个人和家庭的补助</w:t>
            </w:r>
            <w:r>
              <w:rPr>
                <w:rFonts w:hint="eastAsia" w:ascii="仿宋" w:hAnsi="仿宋" w:eastAsia="仿宋" w:cs="仿宋"/>
                <w:b/>
                <w:bCs/>
                <w:color w:val="auto"/>
                <w:kern w:val="0"/>
                <w:sz w:val="20"/>
                <w:szCs w:val="20"/>
                <w:highlight w:val="none"/>
                <w:lang w:val="en-US" w:eastAsia="zh-CN"/>
              </w:rPr>
              <w:t xml:space="preserve"> </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127.35</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bidi="ar-SA"/>
              </w:rPr>
            </w:pPr>
            <w:r>
              <w:rPr>
                <w:rFonts w:hint="eastAsia" w:ascii="仿宋" w:hAnsi="仿宋" w:eastAsia="仿宋" w:cs="仿宋"/>
                <w:b/>
                <w:bCs/>
                <w:color w:val="auto"/>
                <w:kern w:val="0"/>
                <w:sz w:val="20"/>
                <w:szCs w:val="20"/>
                <w:highlight w:val="none"/>
                <w:lang w:val="en-US" w:eastAsia="zh-CN"/>
              </w:rPr>
              <w:t>127.35</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eastAsia="zh-CN"/>
              </w:rPr>
            </w:pPr>
            <w:r>
              <w:rPr>
                <w:rFonts w:hint="eastAsia" w:ascii="仿宋" w:hAnsi="仿宋" w:eastAsia="仿宋" w:cs="仿宋"/>
                <w:b w:val="0"/>
                <w:bCs w:val="0"/>
                <w:color w:val="auto"/>
                <w:kern w:val="0"/>
                <w:sz w:val="20"/>
                <w:szCs w:val="20"/>
                <w:highlight w:val="none"/>
                <w:lang w:eastAsia="zh-CN"/>
              </w:rPr>
              <w:t>退休费</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9.73</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rPr>
              <w:t>9.73</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eastAsia="zh-CN"/>
              </w:rPr>
            </w:pPr>
            <w:r>
              <w:rPr>
                <w:rFonts w:hint="eastAsia" w:ascii="仿宋" w:hAnsi="仿宋" w:eastAsia="仿宋" w:cs="仿宋"/>
                <w:b w:val="0"/>
                <w:bCs w:val="0"/>
                <w:color w:val="auto"/>
                <w:kern w:val="0"/>
                <w:sz w:val="20"/>
                <w:szCs w:val="20"/>
                <w:highlight w:val="none"/>
                <w:lang w:eastAsia="zh-CN"/>
              </w:rPr>
              <w:t>生活补助</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115.84</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rPr>
              <w:t>115.84</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09</w:t>
            </w:r>
          </w:p>
        </w:tc>
        <w:tc>
          <w:tcPr>
            <w:tcW w:w="3160"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eastAsia="zh-CN"/>
              </w:rPr>
            </w:pPr>
            <w:r>
              <w:rPr>
                <w:rFonts w:hint="eastAsia" w:ascii="仿宋" w:hAnsi="仿宋" w:eastAsia="仿宋" w:cs="仿宋"/>
                <w:b w:val="0"/>
                <w:bCs w:val="0"/>
                <w:color w:val="auto"/>
                <w:kern w:val="0"/>
                <w:sz w:val="20"/>
                <w:szCs w:val="20"/>
                <w:highlight w:val="none"/>
                <w:lang w:eastAsia="zh-CN"/>
              </w:rPr>
              <w:t>奖励金</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1.79</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lang w:val="en-US" w:eastAsia="zh-CN" w:bidi="ar-SA"/>
              </w:rPr>
            </w:pPr>
            <w:r>
              <w:rPr>
                <w:rFonts w:hint="eastAsia" w:ascii="仿宋" w:hAnsi="仿宋" w:eastAsia="仿宋" w:cs="仿宋"/>
                <w:b w:val="0"/>
                <w:bCs w:val="0"/>
                <w:color w:val="auto"/>
                <w:kern w:val="0"/>
                <w:sz w:val="20"/>
                <w:szCs w:val="20"/>
                <w:highlight w:val="none"/>
                <w:lang w:val="en-US" w:eastAsia="zh-CN"/>
              </w:rPr>
              <w:t>1.79</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3160" w:type="dxa"/>
            <w:tcBorders>
              <w:top w:val="nil"/>
              <w:left w:val="nil"/>
              <w:bottom w:val="single" w:color="auto" w:sz="4" w:space="0"/>
              <w:right w:val="single" w:color="auto" w:sz="4" w:space="0"/>
            </w:tcBorders>
            <w:noWrap w:val="0"/>
            <w:vAlign w:val="center"/>
          </w:tcPr>
          <w:p>
            <w:pPr>
              <w:widowControl/>
              <w:shd w:val="clear"/>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432"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r>
              <w:rPr>
                <w:rFonts w:hint="eastAsia" w:ascii="仿宋" w:hAnsi="仿宋" w:eastAsia="仿宋" w:cs="仿宋"/>
                <w:b/>
                <w:bCs/>
                <w:color w:val="auto"/>
                <w:kern w:val="0"/>
                <w:sz w:val="20"/>
                <w:szCs w:val="20"/>
                <w:highlight w:val="none"/>
                <w:lang w:val="en-US" w:eastAsia="zh-CN"/>
              </w:rPr>
              <w:t>669.03</w:t>
            </w:r>
          </w:p>
        </w:tc>
        <w:tc>
          <w:tcPr>
            <w:tcW w:w="1701" w:type="dxa"/>
            <w:gridSpan w:val="2"/>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r>
              <w:rPr>
                <w:rFonts w:hint="eastAsia" w:ascii="仿宋" w:hAnsi="仿宋" w:eastAsia="仿宋" w:cs="仿宋"/>
                <w:b/>
                <w:bCs/>
                <w:color w:val="auto"/>
                <w:kern w:val="0"/>
                <w:sz w:val="20"/>
                <w:szCs w:val="20"/>
                <w:highlight w:val="none"/>
                <w:lang w:val="en-US" w:eastAsia="zh-CN"/>
              </w:rPr>
              <w:t>631.63</w:t>
            </w:r>
          </w:p>
        </w:tc>
        <w:tc>
          <w:tcPr>
            <w:tcW w:w="1701" w:type="dxa"/>
            <w:tcBorders>
              <w:top w:val="nil"/>
              <w:left w:val="nil"/>
              <w:bottom w:val="single" w:color="auto" w:sz="4" w:space="0"/>
              <w:right w:val="single" w:color="auto" w:sz="4" w:space="0"/>
            </w:tcBorders>
            <w:noWrap w:val="0"/>
            <w:vAlign w:val="center"/>
          </w:tcPr>
          <w:p>
            <w:pPr>
              <w:widowControl/>
              <w:shd w:val="clear"/>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37.4</w:t>
            </w:r>
            <w:r>
              <w:rPr>
                <w:rFonts w:hint="eastAsia" w:ascii="仿宋" w:hAnsi="仿宋" w:eastAsia="仿宋" w:cs="仿宋"/>
                <w:b/>
                <w:bCs/>
                <w:color w:val="auto"/>
                <w:kern w:val="0"/>
                <w:sz w:val="20"/>
                <w:szCs w:val="20"/>
                <w:highlight w:val="none"/>
              </w:rPr>
              <w:t>　</w:t>
            </w:r>
          </w:p>
        </w:tc>
      </w:tr>
    </w:tbl>
    <w:p>
      <w:pPr>
        <w:keepNext w:val="0"/>
        <w:keepLines w:val="0"/>
        <w:pageBreakBefore w:val="0"/>
        <w:widowControl/>
        <w:shd w:val="clear"/>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13245" w:type="dxa"/>
        <w:tblInd w:w="-360" w:type="dxa"/>
        <w:tblLayout w:type="fixed"/>
        <w:tblCellMar>
          <w:top w:w="0" w:type="dxa"/>
          <w:left w:w="108" w:type="dxa"/>
          <w:bottom w:w="0" w:type="dxa"/>
          <w:right w:w="108" w:type="dxa"/>
        </w:tblCellMar>
      </w:tblPr>
      <w:tblGrid>
        <w:gridCol w:w="244"/>
        <w:gridCol w:w="242"/>
        <w:gridCol w:w="440"/>
        <w:gridCol w:w="440"/>
        <w:gridCol w:w="1172"/>
        <w:gridCol w:w="1500"/>
        <w:gridCol w:w="960"/>
        <w:gridCol w:w="780"/>
        <w:gridCol w:w="855"/>
        <w:gridCol w:w="855"/>
        <w:gridCol w:w="675"/>
        <w:gridCol w:w="795"/>
        <w:gridCol w:w="600"/>
        <w:gridCol w:w="825"/>
        <w:gridCol w:w="785"/>
        <w:gridCol w:w="1016"/>
        <w:gridCol w:w="87"/>
        <w:gridCol w:w="974"/>
      </w:tblGrid>
      <w:tr>
        <w:tblPrEx>
          <w:tblCellMar>
            <w:top w:w="0" w:type="dxa"/>
            <w:left w:w="108" w:type="dxa"/>
            <w:bottom w:w="0" w:type="dxa"/>
            <w:right w:w="108" w:type="dxa"/>
          </w:tblCellMar>
        </w:tblPrEx>
        <w:trPr>
          <w:gridBefore w:val="1"/>
          <w:gridAfter w:val="1"/>
          <w:wBefore w:w="244" w:type="dxa"/>
          <w:wAfter w:w="974" w:type="dxa"/>
          <w:trHeight w:val="375" w:hRule="atLeast"/>
        </w:trPr>
        <w:tc>
          <w:tcPr>
            <w:tcW w:w="12027" w:type="dxa"/>
            <w:gridSpan w:val="16"/>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244" w:type="dxa"/>
          <w:wAfter w:w="974" w:type="dxa"/>
          <w:trHeight w:val="405" w:hRule="atLeast"/>
        </w:trPr>
        <w:tc>
          <w:tcPr>
            <w:tcW w:w="4754" w:type="dxa"/>
            <w:gridSpan w:val="6"/>
            <w:tcBorders>
              <w:top w:val="nil"/>
              <w:left w:val="nil"/>
              <w:bottom w:val="nil"/>
              <w:right w:val="nil"/>
            </w:tcBorders>
            <w:noWrap w:val="0"/>
            <w:vAlign w:val="center"/>
          </w:tcPr>
          <w:p>
            <w:pPr>
              <w:widowControl/>
              <w:shd w:val="clear"/>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1"/>
                <w:szCs w:val="21"/>
                <w:highlight w:val="none"/>
              </w:rPr>
              <w:t>编制</w:t>
            </w:r>
            <w:r>
              <w:rPr>
                <w:rFonts w:hint="eastAsia" w:ascii="仿宋_GB2312" w:hAnsi="宋体" w:eastAsia="仿宋_GB2312" w:cs="宋体"/>
                <w:color w:val="auto"/>
                <w:kern w:val="0"/>
                <w:sz w:val="21"/>
                <w:szCs w:val="21"/>
                <w:highlight w:val="none"/>
                <w:lang w:eastAsia="zh-CN"/>
              </w:rPr>
              <w:t>部门</w:t>
            </w:r>
            <w:r>
              <w:rPr>
                <w:rFonts w:hint="eastAsia" w:ascii="仿宋_GB2312" w:hAnsi="宋体" w:eastAsia="仿宋_GB2312" w:cs="宋体"/>
                <w:color w:val="auto"/>
                <w:kern w:val="0"/>
                <w:sz w:val="21"/>
                <w:szCs w:val="21"/>
                <w:highlight w:val="none"/>
              </w:rPr>
              <w:t>：</w:t>
            </w:r>
            <w:r>
              <w:rPr>
                <w:rFonts w:hint="eastAsia" w:ascii="仿宋_GB2312" w:hAnsi="宋体" w:eastAsia="仿宋_GB2312" w:cs="宋体"/>
                <w:color w:val="auto"/>
                <w:kern w:val="0"/>
                <w:sz w:val="21"/>
                <w:szCs w:val="21"/>
                <w:highlight w:val="none"/>
                <w:lang w:eastAsia="zh-CN"/>
              </w:rPr>
              <w:t>呼图壁县人力资源和社会保障局</w:t>
            </w:r>
          </w:p>
        </w:tc>
        <w:tc>
          <w:tcPr>
            <w:tcW w:w="1635"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855"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4783" w:type="dxa"/>
            <w:gridSpan w:val="7"/>
            <w:tcBorders>
              <w:top w:val="nil"/>
              <w:left w:val="nil"/>
              <w:bottom w:val="nil"/>
              <w:right w:val="nil"/>
            </w:tcBorders>
            <w:noWrap w:val="0"/>
            <w:vAlign w:val="center"/>
          </w:tcPr>
          <w:p>
            <w:pPr>
              <w:widowControl/>
              <w:shd w:val="clear"/>
              <w:ind w:firstLine="2940" w:firstLineChars="1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1"/>
                <w:szCs w:val="21"/>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66" w:type="dxa"/>
            <w:gridSpan w:val="4"/>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科 目 编 码</w:t>
            </w:r>
          </w:p>
        </w:tc>
        <w:tc>
          <w:tcPr>
            <w:tcW w:w="1172" w:type="dxa"/>
            <w:vMerge w:val="restart"/>
            <w:noWrap w:val="0"/>
            <w:vAlign w:val="center"/>
          </w:tcPr>
          <w:p>
            <w:pPr>
              <w:widowControl/>
              <w:shd w:val="clear"/>
              <w:jc w:val="center"/>
              <w:outlineLvl w:val="1"/>
              <w:rPr>
                <w:rFonts w:hint="eastAsia"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科目</w:t>
            </w:r>
          </w:p>
          <w:p>
            <w:pPr>
              <w:widowControl/>
              <w:shd w:val="clear"/>
              <w:jc w:val="center"/>
              <w:outlineLvl w:val="1"/>
              <w:rPr>
                <w:rFonts w:hint="eastAsia" w:ascii="仿宋_GB2312" w:hAnsi="宋体" w:eastAsia="仿宋_GB2312"/>
                <w:b/>
                <w:color w:val="auto"/>
                <w:kern w:val="0"/>
                <w:sz w:val="21"/>
                <w:szCs w:val="21"/>
                <w:highlight w:val="none"/>
                <w:lang w:eastAsia="zh-CN"/>
              </w:rPr>
            </w:pPr>
            <w:r>
              <w:rPr>
                <w:rFonts w:hint="eastAsia" w:ascii="仿宋_GB2312" w:hAnsi="宋体" w:eastAsia="仿宋_GB2312"/>
                <w:b/>
                <w:color w:val="auto"/>
                <w:kern w:val="0"/>
                <w:sz w:val="21"/>
                <w:szCs w:val="21"/>
                <w:highlight w:val="none"/>
                <w:lang w:eastAsia="zh-CN"/>
              </w:rPr>
              <w:t>名称</w:t>
            </w:r>
          </w:p>
        </w:tc>
        <w:tc>
          <w:tcPr>
            <w:tcW w:w="1500" w:type="dxa"/>
            <w:vMerge w:val="restart"/>
            <w:noWrap w:val="0"/>
            <w:vAlign w:val="center"/>
          </w:tcPr>
          <w:p>
            <w:pPr>
              <w:shd w:val="clear"/>
              <w:jc w:val="center"/>
              <w:rPr>
                <w:rFonts w:ascii="Calibri" w:hAnsi="Calibri"/>
                <w:color w:val="auto"/>
                <w:sz w:val="21"/>
                <w:szCs w:val="21"/>
                <w:highlight w:val="none"/>
              </w:rPr>
            </w:pPr>
            <w:r>
              <w:rPr>
                <w:rFonts w:hint="eastAsia" w:ascii="仿宋_GB2312" w:hAnsi="宋体" w:eastAsia="仿宋_GB2312"/>
                <w:b/>
                <w:color w:val="auto"/>
                <w:kern w:val="0"/>
                <w:sz w:val="21"/>
                <w:szCs w:val="21"/>
                <w:highlight w:val="none"/>
              </w:rPr>
              <w:t>项目名称</w:t>
            </w:r>
          </w:p>
        </w:tc>
        <w:tc>
          <w:tcPr>
            <w:tcW w:w="960"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项目支出合计</w:t>
            </w:r>
          </w:p>
        </w:tc>
        <w:tc>
          <w:tcPr>
            <w:tcW w:w="780"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工资福利支出</w:t>
            </w:r>
          </w:p>
        </w:tc>
        <w:tc>
          <w:tcPr>
            <w:tcW w:w="855"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商品和服务支出</w:t>
            </w:r>
          </w:p>
        </w:tc>
        <w:tc>
          <w:tcPr>
            <w:tcW w:w="855"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对个人和家庭的补助</w:t>
            </w:r>
          </w:p>
        </w:tc>
        <w:tc>
          <w:tcPr>
            <w:tcW w:w="675"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债务利息及费用支出</w:t>
            </w:r>
          </w:p>
        </w:tc>
        <w:tc>
          <w:tcPr>
            <w:tcW w:w="795"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资本性支出（基本建设）</w:t>
            </w:r>
          </w:p>
        </w:tc>
        <w:tc>
          <w:tcPr>
            <w:tcW w:w="600"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资本性支出</w:t>
            </w:r>
          </w:p>
        </w:tc>
        <w:tc>
          <w:tcPr>
            <w:tcW w:w="825"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对企业补助（基本建设）</w:t>
            </w:r>
          </w:p>
        </w:tc>
        <w:tc>
          <w:tcPr>
            <w:tcW w:w="785"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对企业补助</w:t>
            </w:r>
          </w:p>
        </w:tc>
        <w:tc>
          <w:tcPr>
            <w:tcW w:w="1016" w:type="dxa"/>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对社会保障基金补助</w:t>
            </w:r>
          </w:p>
        </w:tc>
        <w:tc>
          <w:tcPr>
            <w:tcW w:w="1061" w:type="dxa"/>
            <w:gridSpan w:val="2"/>
            <w:vMerge w:val="restart"/>
            <w:noWrap w:val="0"/>
            <w:vAlign w:val="center"/>
          </w:tcPr>
          <w:p>
            <w:pPr>
              <w:widowControl/>
              <w:shd w:val="clear"/>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类</w:t>
            </w:r>
          </w:p>
        </w:tc>
        <w:tc>
          <w:tcPr>
            <w:tcW w:w="440"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款</w:t>
            </w:r>
          </w:p>
        </w:tc>
        <w:tc>
          <w:tcPr>
            <w:tcW w:w="440"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项</w:t>
            </w:r>
          </w:p>
        </w:tc>
        <w:tc>
          <w:tcPr>
            <w:tcW w:w="1172" w:type="dxa"/>
            <w:vMerge w:val="continue"/>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p>
        </w:tc>
        <w:tc>
          <w:tcPr>
            <w:tcW w:w="150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96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79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0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82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78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1016"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1061"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Hans" w:bidi="ar-SA"/>
              </w:rPr>
            </w:pPr>
          </w:p>
        </w:tc>
        <w:tc>
          <w:tcPr>
            <w:tcW w:w="44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p>
        </w:tc>
        <w:tc>
          <w:tcPr>
            <w:tcW w:w="1172"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rPr>
              <w:t>社会保障和就业支出</w:t>
            </w:r>
          </w:p>
        </w:tc>
        <w:tc>
          <w:tcPr>
            <w:tcW w:w="1500" w:type="dxa"/>
            <w:noWrap w:val="0"/>
            <w:vAlign w:val="center"/>
          </w:tcPr>
          <w:p>
            <w:pPr>
              <w:widowControl/>
              <w:shd w:val="clear"/>
              <w:jc w:val="center"/>
              <w:outlineLvl w:val="1"/>
              <w:rPr>
                <w:rFonts w:hint="eastAsia" w:ascii="仿宋" w:hAnsi="仿宋" w:eastAsia="仿宋" w:cs="仿宋"/>
                <w:b/>
                <w:bCs/>
                <w:color w:val="auto"/>
                <w:kern w:val="0"/>
                <w:sz w:val="18"/>
                <w:szCs w:val="18"/>
                <w:highlight w:val="none"/>
              </w:rPr>
            </w:pPr>
          </w:p>
        </w:tc>
        <w:tc>
          <w:tcPr>
            <w:tcW w:w="96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2267.88</w:t>
            </w:r>
          </w:p>
        </w:tc>
        <w:tc>
          <w:tcPr>
            <w:tcW w:w="78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515.39</w:t>
            </w:r>
          </w:p>
        </w:tc>
        <w:tc>
          <w:tcPr>
            <w:tcW w:w="85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907.58</w:t>
            </w:r>
          </w:p>
        </w:tc>
        <w:tc>
          <w:tcPr>
            <w:tcW w:w="67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856.00</w:t>
            </w:r>
          </w:p>
        </w:tc>
        <w:tc>
          <w:tcPr>
            <w:tcW w:w="1016"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486" w:type="dxa"/>
            <w:gridSpan w:val="2"/>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01</w:t>
            </w:r>
          </w:p>
        </w:tc>
        <w:tc>
          <w:tcPr>
            <w:tcW w:w="44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p>
        </w:tc>
        <w:tc>
          <w:tcPr>
            <w:tcW w:w="1172"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rPr>
              <w:t>人力资源和社会保障管理事务</w:t>
            </w:r>
          </w:p>
        </w:tc>
        <w:tc>
          <w:tcPr>
            <w:tcW w:w="1500" w:type="dxa"/>
            <w:noWrap w:val="0"/>
            <w:vAlign w:val="center"/>
          </w:tcPr>
          <w:p>
            <w:pPr>
              <w:widowControl/>
              <w:shd w:val="clear"/>
              <w:jc w:val="center"/>
              <w:outlineLvl w:val="1"/>
              <w:rPr>
                <w:rFonts w:hint="eastAsia" w:ascii="仿宋" w:hAnsi="仿宋" w:eastAsia="仿宋" w:cs="仿宋"/>
                <w:b/>
                <w:bCs/>
                <w:color w:val="auto"/>
                <w:kern w:val="0"/>
                <w:sz w:val="18"/>
                <w:szCs w:val="18"/>
                <w:highlight w:val="none"/>
              </w:rPr>
            </w:pPr>
          </w:p>
        </w:tc>
        <w:tc>
          <w:tcPr>
            <w:tcW w:w="960" w:type="dxa"/>
            <w:noWrap w:val="0"/>
            <w:vAlign w:val="center"/>
          </w:tcPr>
          <w:p>
            <w:pPr>
              <w:widowControl/>
              <w:shd w:val="clear"/>
              <w:spacing w:line="280" w:lineRule="exact"/>
              <w:jc w:val="center"/>
              <w:rPr>
                <w:rFonts w:hint="default"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585.88</w:t>
            </w:r>
          </w:p>
        </w:tc>
        <w:tc>
          <w:tcPr>
            <w:tcW w:w="78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55" w:type="dxa"/>
            <w:shd w:val="clear" w:color="auto" w:fill="auto"/>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585.88</w:t>
            </w:r>
          </w:p>
        </w:tc>
        <w:tc>
          <w:tcPr>
            <w:tcW w:w="85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907.58</w:t>
            </w:r>
          </w:p>
        </w:tc>
        <w:tc>
          <w:tcPr>
            <w:tcW w:w="67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856.00</w:t>
            </w:r>
          </w:p>
        </w:tc>
        <w:tc>
          <w:tcPr>
            <w:tcW w:w="1016"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01</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02</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一般行政管理事务</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2025年档案管理经费（非定额）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5.00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5.00</w:t>
            </w: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01</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02</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一般行政管理事务</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2025年农民工工资周转金（非定额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500.00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500.00</w:t>
            </w: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01</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05</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劳动保障监察</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2025年监察工作经费（非定额）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2.00</w:t>
            </w: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01</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12</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劳动人事争议调解仲裁</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2025年劳动争议仲裁经费（非定额）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5.00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5.00</w:t>
            </w: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01</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99</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其他人力资源和社会保障管理事务支出</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2025年高校毕业生“三支一扶”计划中央财政</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73.88</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73.88</w:t>
            </w: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p>
        </w:tc>
        <w:tc>
          <w:tcPr>
            <w:tcW w:w="1172"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rPr>
              <w:t>就业补助</w:t>
            </w:r>
          </w:p>
        </w:tc>
        <w:tc>
          <w:tcPr>
            <w:tcW w:w="1500" w:type="dxa"/>
            <w:noWrap w:val="0"/>
            <w:vAlign w:val="center"/>
          </w:tcPr>
          <w:p>
            <w:pPr>
              <w:widowControl/>
              <w:shd w:val="clear"/>
              <w:jc w:val="center"/>
              <w:outlineLvl w:val="1"/>
              <w:rPr>
                <w:rFonts w:hint="eastAsia" w:ascii="仿宋" w:hAnsi="仿宋" w:eastAsia="仿宋" w:cs="仿宋"/>
                <w:b/>
                <w:bCs/>
                <w:color w:val="auto"/>
                <w:kern w:val="0"/>
                <w:sz w:val="18"/>
                <w:szCs w:val="18"/>
                <w:highlight w:val="none"/>
              </w:rPr>
            </w:pPr>
          </w:p>
        </w:tc>
        <w:tc>
          <w:tcPr>
            <w:tcW w:w="96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1682.00</w:t>
            </w:r>
          </w:p>
        </w:tc>
        <w:tc>
          <w:tcPr>
            <w:tcW w:w="78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826</w:t>
            </w:r>
          </w:p>
        </w:tc>
        <w:tc>
          <w:tcPr>
            <w:tcW w:w="67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856.00</w:t>
            </w:r>
          </w:p>
        </w:tc>
        <w:tc>
          <w:tcPr>
            <w:tcW w:w="1016"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02</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职业培训补贴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2025年就业补助资金县级配套（非定额）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103.00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103.00</w:t>
            </w: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04</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社会保险补贴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2025年就业补助资金县级配套（非定额）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615.86</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315.86</w:t>
            </w: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300.00</w:t>
            </w: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04</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社会保险补贴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2025年中央财政就业补助资金</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899.44</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499.44</w:t>
            </w: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400.00</w:t>
            </w: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05</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公益性岗位补贴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2025年中央财政就业补助资金</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23.46</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23.46</w:t>
            </w: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05</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公益性岗位补贴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2025年就业补助资金县级配套（非定额）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22.68</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22.68</w:t>
            </w: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09</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职业技能评价补贴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2025年就业补助资金县级配套（非定额）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5.00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5.00</w:t>
            </w: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11</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业见习补贴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2025年就业补助资金县级配套（非定额）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1.86</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1.86</w:t>
            </w: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13</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求职和创业补贴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2025年就业补助资金县级配套（非定额）</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9.60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9.60</w:t>
            </w: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208</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07</w:t>
            </w: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13</w:t>
            </w: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求职和创业补贴</w:t>
            </w:r>
          </w:p>
        </w:tc>
        <w:tc>
          <w:tcPr>
            <w:tcW w:w="1500" w:type="dxa"/>
            <w:noWrap w:val="0"/>
            <w:vAlign w:val="center"/>
          </w:tcPr>
          <w:p>
            <w:pPr>
              <w:widowControl/>
              <w:shd w:val="clear"/>
              <w:jc w:val="center"/>
              <w:outlineLvl w:val="1"/>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rPr>
              <w:t>2025年中央财政就业补助资金</w:t>
            </w:r>
          </w:p>
        </w:tc>
        <w:tc>
          <w:tcPr>
            <w:tcW w:w="96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1.10</w:t>
            </w:r>
          </w:p>
        </w:tc>
        <w:tc>
          <w:tcPr>
            <w:tcW w:w="78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bidi="ar-SA"/>
              </w:rPr>
            </w:pPr>
            <w:r>
              <w:rPr>
                <w:rFonts w:hint="eastAsia" w:ascii="仿宋" w:hAnsi="仿宋" w:eastAsia="仿宋" w:cs="仿宋"/>
                <w:b w:val="0"/>
                <w:bCs w:val="0"/>
                <w:color w:val="auto"/>
                <w:kern w:val="0"/>
                <w:sz w:val="18"/>
                <w:szCs w:val="18"/>
                <w:highlight w:val="none"/>
                <w:lang w:val="en-US" w:eastAsia="zh-CN"/>
              </w:rPr>
              <w:t>1.10</w:t>
            </w:r>
          </w:p>
        </w:tc>
        <w:tc>
          <w:tcPr>
            <w:tcW w:w="67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16"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p>
        </w:tc>
        <w:tc>
          <w:tcPr>
            <w:tcW w:w="440"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lang w:val="en-US" w:eastAsia="zh-CN"/>
              </w:rPr>
            </w:pPr>
          </w:p>
        </w:tc>
        <w:tc>
          <w:tcPr>
            <w:tcW w:w="1172" w:type="dxa"/>
            <w:noWrap w:val="0"/>
            <w:vAlign w:val="center"/>
          </w:tcPr>
          <w:p>
            <w:pPr>
              <w:widowControl/>
              <w:shd w:val="clear"/>
              <w:spacing w:line="280" w:lineRule="exact"/>
              <w:jc w:val="center"/>
              <w:rPr>
                <w:rFonts w:hint="eastAsia" w:ascii="仿宋" w:hAnsi="仿宋" w:eastAsia="仿宋" w:cs="仿宋"/>
                <w:b w:val="0"/>
                <w:bCs w:val="0"/>
                <w:color w:val="auto"/>
                <w:kern w:val="0"/>
                <w:sz w:val="18"/>
                <w:szCs w:val="18"/>
                <w:highlight w:val="none"/>
              </w:rPr>
            </w:pPr>
          </w:p>
        </w:tc>
        <w:tc>
          <w:tcPr>
            <w:tcW w:w="1500" w:type="dxa"/>
            <w:noWrap w:val="0"/>
            <w:vAlign w:val="center"/>
          </w:tcPr>
          <w:p>
            <w:pPr>
              <w:widowControl/>
              <w:shd w:val="clear"/>
              <w:jc w:val="center"/>
              <w:outlineLvl w:val="1"/>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96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color w:val="auto"/>
                <w:kern w:val="0"/>
                <w:sz w:val="18"/>
                <w:szCs w:val="18"/>
                <w:highlight w:val="none"/>
                <w:lang w:val="en-US" w:eastAsia="zh-CN"/>
              </w:rPr>
              <w:t>2267.88</w:t>
            </w:r>
          </w:p>
        </w:tc>
        <w:tc>
          <w:tcPr>
            <w:tcW w:w="78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5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515.39</w:t>
            </w:r>
          </w:p>
        </w:tc>
        <w:tc>
          <w:tcPr>
            <w:tcW w:w="85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907.58</w:t>
            </w:r>
          </w:p>
        </w:tc>
        <w:tc>
          <w:tcPr>
            <w:tcW w:w="67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9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600"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82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785"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856.00</w:t>
            </w:r>
          </w:p>
        </w:tc>
        <w:tc>
          <w:tcPr>
            <w:tcW w:w="1016" w:type="dxa"/>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c>
          <w:tcPr>
            <w:tcW w:w="1061" w:type="dxa"/>
            <w:gridSpan w:val="2"/>
            <w:noWrap w:val="0"/>
            <w:vAlign w:val="center"/>
          </w:tcPr>
          <w:p>
            <w:pPr>
              <w:widowControl/>
              <w:shd w:val="clear"/>
              <w:spacing w:line="280" w:lineRule="exact"/>
              <w:jc w:val="center"/>
              <w:rPr>
                <w:rFonts w:hint="eastAsia" w:ascii="仿宋" w:hAnsi="仿宋" w:eastAsia="仿宋" w:cs="仿宋"/>
                <w:b/>
                <w:bCs/>
                <w:color w:val="auto"/>
                <w:kern w:val="0"/>
                <w:sz w:val="18"/>
                <w:szCs w:val="18"/>
                <w:highlight w:val="none"/>
              </w:rPr>
            </w:pP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shd w:val="clear"/>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hint="default" w:ascii="仿宋_GB2312" w:hAnsi="宋体" w:eastAsia="仿宋_GB2312"/>
          <w:b w:val="0"/>
          <w:bCs/>
          <w:color w:val="auto"/>
          <w:kern w:val="0"/>
          <w:sz w:val="24"/>
          <w:szCs w:val="24"/>
          <w:highlight w:val="none"/>
          <w:lang w:val="en-US" w:eastAsia="zh-CN"/>
        </w:rPr>
      </w:pPr>
      <w:r>
        <w:rPr>
          <w:rFonts w:hint="eastAsia" w:ascii="仿宋_GB2312" w:hAnsi="宋体" w:eastAsia="仿宋_GB2312"/>
          <w:b w:val="0"/>
          <w:bCs/>
          <w:color w:val="auto"/>
          <w:kern w:val="0"/>
          <w:sz w:val="24"/>
          <w:szCs w:val="24"/>
          <w:highlight w:val="none"/>
          <w:lang w:val="en-US" w:eastAsia="zh-CN"/>
        </w:rPr>
        <w:t>呼图壁县人力资源和社会保障局2025年没有使用政府性基金预算拨款安排的支出，政府性基金预算支出情况表为空表。</w:t>
      </w:r>
    </w:p>
    <w:p>
      <w:pPr>
        <w:widowControl/>
        <w:shd w:val="clear"/>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hint="default" w:ascii="仿宋_GB2312" w:hAnsi="宋体" w:eastAsia="仿宋_GB2312"/>
          <w:b w:val="0"/>
          <w:bCs w:val="0"/>
          <w:color w:val="auto"/>
          <w:kern w:val="0"/>
          <w:sz w:val="24"/>
          <w:szCs w:val="24"/>
          <w:highlight w:val="none"/>
          <w:lang w:val="en-US" w:eastAsia="zh-CN"/>
        </w:rPr>
      </w:pPr>
      <w:r>
        <w:rPr>
          <w:rFonts w:hint="eastAsia" w:ascii="仿宋_GB2312" w:hAnsi="宋体" w:eastAsia="仿宋_GB2312"/>
          <w:b w:val="0"/>
          <w:bCs w:val="0"/>
          <w:color w:val="auto"/>
          <w:kern w:val="0"/>
          <w:sz w:val="24"/>
          <w:highlight w:val="none"/>
          <w:lang w:eastAsia="zh-CN"/>
        </w:rPr>
        <w:t>呼图壁县人力资源和社会保障局</w:t>
      </w:r>
      <w:r>
        <w:rPr>
          <w:rFonts w:hint="eastAsia" w:ascii="仿宋_GB2312" w:hAnsi="宋体" w:eastAsia="仿宋_GB2312"/>
          <w:b w:val="0"/>
          <w:bCs w:val="0"/>
          <w:color w:val="auto"/>
          <w:kern w:val="0"/>
          <w:sz w:val="24"/>
          <w:szCs w:val="24"/>
          <w:highlight w:val="none"/>
          <w:lang w:val="en-US" w:eastAsia="zh-CN"/>
        </w:rPr>
        <w:t>2025年没有使用国有资本经营预算拨款支出，国有资本经营预算支出情况表为空表。</w:t>
      </w:r>
    </w:p>
    <w:p>
      <w:pPr>
        <w:widowControl/>
        <w:shd w:val="clear"/>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shd w:val="clear"/>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呼图壁县人力资源和社会保障局</w:t>
      </w:r>
      <w:r>
        <w:rPr>
          <w:rFonts w:hint="eastAsia" w:ascii="仿宋_GB2312" w:hAnsi="宋体" w:eastAsia="仿宋_GB2312"/>
          <w:color w:val="auto"/>
          <w:kern w:val="0"/>
          <w:sz w:val="24"/>
          <w:highlight w:val="none"/>
        </w:rPr>
        <w:t xml:space="preserve">                  单位：万元</w:t>
      </w:r>
    </w:p>
    <w:tbl>
      <w:tblPr>
        <w:tblStyle w:val="11"/>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合计</w:t>
            </w:r>
          </w:p>
        </w:tc>
        <w:tc>
          <w:tcPr>
            <w:tcW w:w="1215" w:type="dxa"/>
            <w:noWrap w:val="0"/>
            <w:vAlign w:val="center"/>
          </w:tcPr>
          <w:p>
            <w:pPr>
              <w:widowControl/>
              <w:shd w:val="clear"/>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3.2</w:t>
            </w:r>
          </w:p>
        </w:tc>
        <w:tc>
          <w:tcPr>
            <w:tcW w:w="1314" w:type="dxa"/>
            <w:noWrap w:val="0"/>
            <w:vAlign w:val="center"/>
          </w:tcPr>
          <w:p>
            <w:pPr>
              <w:widowControl/>
              <w:shd w:val="clear"/>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3.2</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noWrap w:val="0"/>
            <w:vAlign w:val="center"/>
          </w:tcPr>
          <w:p>
            <w:pPr>
              <w:widowControl/>
              <w:shd w:val="clear"/>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center"/>
          </w:tcPr>
          <w:p>
            <w:pPr>
              <w:widowControl/>
              <w:shd w:val="clear"/>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noWrap w:val="0"/>
            <w:vAlign w:val="center"/>
          </w:tcPr>
          <w:p>
            <w:pPr>
              <w:widowControl/>
              <w:shd w:val="clear"/>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center"/>
          </w:tcPr>
          <w:p>
            <w:pPr>
              <w:widowControl/>
              <w:shd w:val="clear"/>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公务用车购置及运行费</w:t>
            </w:r>
          </w:p>
          <w:p>
            <w:pPr>
              <w:widowControl/>
              <w:shd w:val="clear"/>
              <w:jc w:val="center"/>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（小计）</w:t>
            </w:r>
          </w:p>
        </w:tc>
        <w:tc>
          <w:tcPr>
            <w:tcW w:w="1215" w:type="dxa"/>
            <w:noWrap w:val="0"/>
            <w:vAlign w:val="center"/>
          </w:tcPr>
          <w:p>
            <w:pPr>
              <w:widowControl/>
              <w:shd w:val="clear"/>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3.2</w:t>
            </w:r>
          </w:p>
        </w:tc>
        <w:tc>
          <w:tcPr>
            <w:tcW w:w="1314" w:type="dxa"/>
            <w:noWrap w:val="0"/>
            <w:vAlign w:val="center"/>
          </w:tcPr>
          <w:p>
            <w:pPr>
              <w:widowControl/>
              <w:shd w:val="clear"/>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3.2</w:t>
            </w:r>
          </w:p>
        </w:tc>
        <w:tc>
          <w:tcPr>
            <w:tcW w:w="1595" w:type="dxa"/>
            <w:noWrap w:val="0"/>
            <w:vAlign w:val="top"/>
          </w:tcPr>
          <w:p>
            <w:pPr>
              <w:widowControl/>
              <w:shd w:val="clear"/>
              <w:outlineLvl w:val="1"/>
              <w:rPr>
                <w:rFonts w:hint="eastAsia" w:ascii="仿宋_GB2312" w:hAnsi="宋体" w:eastAsia="仿宋_GB2312"/>
                <w:b/>
                <w:bCs w:val="0"/>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bCs w:val="0"/>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noWrap w:val="0"/>
            <w:vAlign w:val="center"/>
          </w:tcPr>
          <w:p>
            <w:pPr>
              <w:widowControl/>
              <w:shd w:val="clear"/>
              <w:jc w:val="center"/>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center"/>
          </w:tcPr>
          <w:p>
            <w:pPr>
              <w:widowControl/>
              <w:shd w:val="clear"/>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noWrap w:val="0"/>
            <w:vAlign w:val="center"/>
          </w:tcPr>
          <w:p>
            <w:pPr>
              <w:widowControl/>
              <w:shd w:val="clear"/>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314" w:type="dxa"/>
            <w:noWrap w:val="0"/>
            <w:vAlign w:val="center"/>
          </w:tcPr>
          <w:p>
            <w:pPr>
              <w:widowControl/>
              <w:shd w:val="clear"/>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bl>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pStyle w:val="2"/>
        <w:shd w:val="clear"/>
        <w:rPr>
          <w:rFonts w:hint="eastAsia" w:ascii="仿宋" w:hAnsi="仿宋" w:eastAsia="仿宋" w:cs="仿宋_GB2312"/>
          <w:bCs/>
          <w:color w:val="auto"/>
          <w:kern w:val="0"/>
          <w:sz w:val="28"/>
          <w:szCs w:val="28"/>
          <w:highlight w:val="none"/>
        </w:rPr>
      </w:pPr>
    </w:p>
    <w:p>
      <w:pPr>
        <w:shd w:val="clear"/>
        <w:rPr>
          <w:rFonts w:hint="eastAsia" w:ascii="仿宋" w:hAnsi="仿宋" w:eastAsia="仿宋" w:cs="仿宋_GB2312"/>
          <w:bCs/>
          <w:color w:val="auto"/>
          <w:kern w:val="0"/>
          <w:sz w:val="28"/>
          <w:szCs w:val="28"/>
          <w:highlight w:val="none"/>
        </w:rPr>
      </w:pPr>
    </w:p>
    <w:p>
      <w:pPr>
        <w:pStyle w:val="2"/>
        <w:shd w:val="clear"/>
        <w:rPr>
          <w:rFonts w:hint="eastAsia" w:ascii="仿宋" w:hAnsi="仿宋" w:eastAsia="仿宋" w:cs="仿宋_GB2312"/>
          <w:bCs/>
          <w:color w:val="auto"/>
          <w:kern w:val="0"/>
          <w:sz w:val="28"/>
          <w:szCs w:val="28"/>
          <w:highlight w:val="none"/>
        </w:rPr>
      </w:pPr>
    </w:p>
    <w:p>
      <w:pPr>
        <w:shd w:val="clear"/>
        <w:rPr>
          <w:rFonts w:hint="eastAsia"/>
          <w:highlight w:val="none"/>
        </w:rPr>
      </w:pPr>
    </w:p>
    <w:p>
      <w:pPr>
        <w:shd w:val="clea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shd w:val="clear"/>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hd w:val="clea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shd w:val="clear"/>
        <w:spacing w:line="600" w:lineRule="exact"/>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呼图壁县人力资源和社会保障局</w:t>
      </w:r>
      <w:r>
        <w:rPr>
          <w:rFonts w:hint="eastAsia" w:ascii="仿宋_GB2312" w:hAnsi="宋体" w:eastAsia="仿宋_GB2312"/>
          <w:color w:val="auto"/>
          <w:kern w:val="0"/>
          <w:sz w:val="24"/>
          <w:highlight w:val="none"/>
        </w:rPr>
        <w:t xml:space="preserve">            单位：万元</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870"/>
        <w:gridCol w:w="855"/>
        <w:gridCol w:w="1140"/>
        <w:gridCol w:w="1065"/>
        <w:gridCol w:w="1035"/>
        <w:gridCol w:w="468"/>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70"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70" w:type="dxa"/>
            <w:vMerge w:val="restart"/>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095" w:type="dxa"/>
            <w:gridSpan w:val="4"/>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283" w:type="dxa"/>
            <w:gridSpan w:val="4"/>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70"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7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5"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205"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35"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468" w:type="dxa"/>
            <w:vMerge w:val="restart"/>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7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5"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140"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065"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35"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468"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70" w:type="dxa"/>
            <w:noWrap w:val="0"/>
            <w:vAlign w:val="top"/>
          </w:tcPr>
          <w:p>
            <w:pPr>
              <w:shd w:val="clear"/>
              <w:spacing w:line="600" w:lineRule="exact"/>
              <w:jc w:val="both"/>
              <w:rPr>
                <w:rFonts w:ascii="仿宋" w:hAnsi="仿宋" w:eastAsia="仿宋" w:cs="仿宋_GB2312"/>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2024年为民办实事经费</w:t>
            </w:r>
          </w:p>
        </w:tc>
        <w:tc>
          <w:tcPr>
            <w:tcW w:w="870"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3.39</w:t>
            </w:r>
          </w:p>
        </w:tc>
        <w:tc>
          <w:tcPr>
            <w:tcW w:w="855" w:type="dxa"/>
            <w:noWrap w:val="0"/>
            <w:vAlign w:val="center"/>
          </w:tcPr>
          <w:p>
            <w:pPr>
              <w:shd w:val="clear"/>
              <w:spacing w:line="600" w:lineRule="exact"/>
              <w:jc w:val="center"/>
              <w:rPr>
                <w:rFonts w:hint="default"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lang w:val="en-US" w:eastAsia="zh-CN"/>
              </w:rPr>
              <w:t>3.39</w:t>
            </w:r>
          </w:p>
        </w:tc>
        <w:tc>
          <w:tcPr>
            <w:tcW w:w="114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065"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035" w:type="dxa"/>
            <w:noWrap w:val="0"/>
            <w:vAlign w:val="center"/>
          </w:tcPr>
          <w:p>
            <w:pPr>
              <w:shd w:val="clear"/>
              <w:spacing w:line="60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3.39</w:t>
            </w:r>
          </w:p>
        </w:tc>
        <w:tc>
          <w:tcPr>
            <w:tcW w:w="468" w:type="dxa"/>
            <w:noWrap w:val="0"/>
            <w:vAlign w:val="center"/>
          </w:tcPr>
          <w:p>
            <w:pPr>
              <w:shd w:val="clear"/>
              <w:spacing w:line="600" w:lineRule="exact"/>
              <w:jc w:val="both"/>
              <w:rPr>
                <w:rFonts w:hint="eastAsia" w:ascii="仿宋_GB2312" w:hAnsi="宋体" w:eastAsia="仿宋_GB2312" w:cs="宋体"/>
                <w:b w:val="0"/>
                <w:bCs w:val="0"/>
                <w:color w:val="auto"/>
                <w:kern w:val="0"/>
                <w:sz w:val="18"/>
                <w:szCs w:val="18"/>
                <w:highlight w:val="none"/>
                <w:lang w:val="en-US" w:eastAsia="zh-CN"/>
              </w:rPr>
            </w:pPr>
          </w:p>
        </w:tc>
        <w:tc>
          <w:tcPr>
            <w:tcW w:w="723"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p>
        </w:tc>
        <w:tc>
          <w:tcPr>
            <w:tcW w:w="881"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p>
        </w:tc>
        <w:tc>
          <w:tcPr>
            <w:tcW w:w="1211"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70"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2024年高校毕业生“三支一扶”计划中央财政补助资金</w:t>
            </w:r>
          </w:p>
        </w:tc>
        <w:tc>
          <w:tcPr>
            <w:tcW w:w="870"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7.7</w:t>
            </w:r>
          </w:p>
        </w:tc>
        <w:tc>
          <w:tcPr>
            <w:tcW w:w="855" w:type="dxa"/>
            <w:noWrap w:val="0"/>
            <w:vAlign w:val="center"/>
          </w:tcPr>
          <w:p>
            <w:pPr>
              <w:shd w:val="clear"/>
              <w:spacing w:line="600" w:lineRule="exact"/>
              <w:jc w:val="center"/>
              <w:rPr>
                <w:rFonts w:hint="default" w:ascii="仿宋" w:hAnsi="仿宋" w:eastAsia="仿宋" w:cs="仿宋_GB2312"/>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lang w:val="en-US" w:eastAsia="zh-CN"/>
              </w:rPr>
              <w:t>7.7</w:t>
            </w:r>
          </w:p>
        </w:tc>
        <w:tc>
          <w:tcPr>
            <w:tcW w:w="1140"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065" w:type="dxa"/>
            <w:noWrap w:val="0"/>
            <w:vAlign w:val="center"/>
          </w:tcPr>
          <w:p>
            <w:pPr>
              <w:widowControl/>
              <w:shd w:val="clear"/>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035" w:type="dxa"/>
            <w:noWrap w:val="0"/>
            <w:vAlign w:val="center"/>
          </w:tcPr>
          <w:p>
            <w:pPr>
              <w:shd w:val="clear"/>
              <w:spacing w:line="600" w:lineRule="exact"/>
              <w:jc w:val="center"/>
              <w:rPr>
                <w:rFonts w:hint="default" w:ascii="仿宋" w:hAnsi="仿宋" w:eastAsia="仿宋" w:cs="仿宋_GB2312"/>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w:t>
            </w:r>
          </w:p>
        </w:tc>
        <w:tc>
          <w:tcPr>
            <w:tcW w:w="468"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p>
        </w:tc>
        <w:tc>
          <w:tcPr>
            <w:tcW w:w="723"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p>
        </w:tc>
        <w:tc>
          <w:tcPr>
            <w:tcW w:w="881"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p>
        </w:tc>
        <w:tc>
          <w:tcPr>
            <w:tcW w:w="1211" w:type="dxa"/>
            <w:noWrap w:val="0"/>
            <w:vAlign w:val="center"/>
          </w:tcPr>
          <w:p>
            <w:pPr>
              <w:shd w:val="clear"/>
              <w:spacing w:line="600" w:lineRule="exact"/>
              <w:jc w:val="center"/>
              <w:rPr>
                <w:rFonts w:ascii="仿宋" w:hAnsi="仿宋" w:eastAsia="仿宋" w:cs="仿宋_GB2312"/>
                <w:b w:val="0"/>
                <w:bCs w:val="0"/>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70"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70"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5"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14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65"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35"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468"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70"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870" w:type="dxa"/>
            <w:noWrap w:val="0"/>
            <w:vAlign w:val="center"/>
          </w:tcPr>
          <w:p>
            <w:pPr>
              <w:shd w:val="clea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11.09</w:t>
            </w:r>
          </w:p>
        </w:tc>
        <w:tc>
          <w:tcPr>
            <w:tcW w:w="855" w:type="dxa"/>
            <w:noWrap w:val="0"/>
            <w:vAlign w:val="center"/>
          </w:tcPr>
          <w:p>
            <w:pPr>
              <w:shd w:val="clea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11.09</w:t>
            </w:r>
          </w:p>
        </w:tc>
        <w:tc>
          <w:tcPr>
            <w:tcW w:w="114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65"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35"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11.09</w:t>
            </w:r>
          </w:p>
        </w:tc>
        <w:tc>
          <w:tcPr>
            <w:tcW w:w="468"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rPr>
            </w:pPr>
          </w:p>
        </w:tc>
      </w:tr>
    </w:tbl>
    <w:p>
      <w:pPr>
        <w:widowControl/>
        <w:shd w:val="clear"/>
        <w:spacing w:line="280" w:lineRule="exact"/>
        <w:jc w:val="left"/>
        <w:outlineLvl w:val="1"/>
        <w:rPr>
          <w:rFonts w:ascii="仿宋_GB2312" w:hAnsi="宋体" w:eastAsia="仿宋_GB2312"/>
          <w:color w:val="FF0000"/>
          <w:kern w:val="0"/>
          <w:sz w:val="32"/>
          <w:szCs w:val="32"/>
          <w:highlight w:val="none"/>
        </w:rPr>
      </w:pPr>
    </w:p>
    <w:p>
      <w:pPr>
        <w:widowControl/>
        <w:shd w:val="clear"/>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numPr>
          <w:ilvl w:val="0"/>
          <w:numId w:val="1"/>
        </w:numPr>
        <w:shd w:val="clear"/>
        <w:kinsoku/>
        <w:wordWrap/>
        <w:overflowPunct/>
        <w:topLinePunct w:val="0"/>
        <w:autoSpaceDE/>
        <w:autoSpaceDN/>
        <w:bidi w:val="0"/>
        <w:adjustRightInd/>
        <w:snapToGrid/>
        <w:spacing w:line="600" w:lineRule="exact"/>
        <w:ind w:left="0" w:leftChars="0" w:firstLine="0" w:firstLineChars="0"/>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highlight w:val="none"/>
        </w:rPr>
        <w:t>呼图壁县人力资源和社会保障局</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highlight w:val="none"/>
        </w:rPr>
        <w:t>呼图壁县人力资源和社会保障局</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3563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支出预算包括：社会保障和就业支出、卫生健康支出、住房保障支出。</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highlight w:val="none"/>
        </w:rPr>
        <w:t>呼图壁县人力资源和社会保障局</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呼图壁县人力资源和社会保障局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3563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1939.03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54.42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584.49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43.15%，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2025年就业资金县级配套增加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安排的转移支付资金997.88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28.01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142.12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12.47 %，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上级安排的转移支付就业专项资金减少</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17.26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19.5</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3.27%，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人员增加，相应费用有所增加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11.09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7.67 %，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专项资金结转有所增加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呼图壁县人力资源和社会保障局</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kern w:val="0"/>
          <w:sz w:val="32"/>
          <w:szCs w:val="32"/>
          <w:highlight w:val="none"/>
          <w:lang w:val="en-US" w:eastAsia="zh-CN"/>
        </w:rPr>
        <w:t>3563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1284.03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36.04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40.99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人员增加相应费用增加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2278.97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63.96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314.83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16.03 %，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主要是就业资金预算有所增加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spacing w:val="-4"/>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2936.9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2936.9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2866.21</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highlight w:val="none"/>
        </w:rPr>
        <w:t>人员经费及公用经费、编制外人员费用、缴纳养老保险；卫生健康支出33.72</w:t>
      </w:r>
      <w:r>
        <w:rPr>
          <w:rFonts w:hint="eastAsia" w:ascii="仿宋_GB2312" w:hAnsi="宋体" w:eastAsia="仿宋_GB2312" w:cs="宋体"/>
          <w:kern w:val="0"/>
          <w:sz w:val="32"/>
          <w:szCs w:val="32"/>
          <w:highlight w:val="none"/>
          <w:lang w:eastAsia="zh-CN"/>
        </w:rPr>
        <w:t>万，</w:t>
      </w:r>
      <w:r>
        <w:rPr>
          <w:rFonts w:hint="eastAsia" w:ascii="仿宋_GB2312" w:hAnsi="宋体" w:eastAsia="仿宋_GB2312" w:cs="宋体"/>
          <w:kern w:val="0"/>
          <w:sz w:val="32"/>
          <w:szCs w:val="32"/>
          <w:highlight w:val="none"/>
        </w:rPr>
        <w:t>主要用于缴纳医疗保险；住房保障支出36.98</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主要用于缴纳住房公积金。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宋体" w:eastAsia="仿宋_GB2312" w:cs="宋体"/>
          <w:color w:val="auto"/>
          <w:kern w:val="0"/>
          <w:sz w:val="32"/>
          <w:szCs w:val="32"/>
          <w:highlight w:val="none"/>
          <w:lang w:val="en-US" w:eastAsia="zh-CN"/>
        </w:rPr>
        <w:t>2936.9</w:t>
      </w:r>
      <w:r>
        <w:rPr>
          <w:rFonts w:hint="eastAsia" w:ascii="仿宋_GB2312" w:hAnsi="宋体" w:eastAsia="仿宋_GB2312" w:cs="宋体"/>
          <w:kern w:val="0"/>
          <w:sz w:val="32"/>
          <w:szCs w:val="32"/>
          <w:highlight w:val="none"/>
        </w:rPr>
        <w:t>万</w:t>
      </w:r>
      <w:r>
        <w:rPr>
          <w:rFonts w:hint="eastAsia" w:ascii="仿宋_GB2312" w:hAnsi="仿宋_GB2312" w:eastAsia="仿宋_GB2312" w:cs="仿宋_GB2312"/>
          <w:color w:val="auto"/>
          <w:kern w:val="0"/>
          <w:sz w:val="32"/>
          <w:szCs w:val="32"/>
          <w:highlight w:val="none"/>
        </w:rPr>
        <w:t>元，其中：基本支出669.03万元，比上年预算增加</w:t>
      </w:r>
      <w:r>
        <w:rPr>
          <w:rFonts w:hint="eastAsia" w:ascii="仿宋_GB2312" w:hAnsi="仿宋_GB2312" w:eastAsia="仿宋_GB2312" w:cs="仿宋_GB2312"/>
          <w:color w:val="auto"/>
          <w:kern w:val="0"/>
          <w:sz w:val="32"/>
          <w:szCs w:val="32"/>
          <w:highlight w:val="none"/>
          <w:lang w:val="en-US" w:eastAsia="zh-CN"/>
        </w:rPr>
        <w:t>21.49</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3.32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eastAsia="zh-CN"/>
        </w:rPr>
        <w:t>人员增加以及公用经费增加</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2267.88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421.67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22.7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：就业专项资金增加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hd w:val="clea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1.社会保障和就业支出（类）</w:t>
      </w:r>
      <w:r>
        <w:rPr>
          <w:rFonts w:hint="eastAsia" w:ascii="仿宋_GB2312" w:eastAsia="仿宋_GB2312"/>
          <w:sz w:val="32"/>
          <w:szCs w:val="32"/>
          <w:highlight w:val="none"/>
          <w:lang w:val="en-US" w:eastAsia="zh-CN"/>
        </w:rPr>
        <w:t>2866.21</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97.59</w:t>
      </w:r>
      <w:r>
        <w:rPr>
          <w:rFonts w:hint="eastAsia" w:ascii="仿宋_GB2312" w:eastAsia="仿宋_GB2312"/>
          <w:sz w:val="32"/>
          <w:szCs w:val="32"/>
          <w:highlight w:val="none"/>
        </w:rPr>
        <w:t>%；</w:t>
      </w:r>
    </w:p>
    <w:p>
      <w:pPr>
        <w:pStyle w:val="2"/>
        <w:shd w:val="clear"/>
        <w:ind w:left="0" w:firstLine="641"/>
        <w:rPr>
          <w:rFonts w:hint="eastAsia" w:hAnsi="Calibri" w:cs="Times New Roman"/>
          <w:b w:val="0"/>
          <w:bCs w:val="0"/>
          <w:highlight w:val="none"/>
          <w:lang w:val="en-US" w:bidi="ar-SA"/>
        </w:rPr>
      </w:pPr>
      <w:r>
        <w:rPr>
          <w:rFonts w:hint="eastAsia" w:hAnsi="Calibri" w:cs="Times New Roman"/>
          <w:b w:val="0"/>
          <w:bCs w:val="0"/>
          <w:highlight w:val="none"/>
          <w:lang w:val="en-US" w:bidi="ar-SA"/>
        </w:rPr>
        <w:t>2.卫生健康支出（类）</w:t>
      </w:r>
      <w:r>
        <w:rPr>
          <w:rFonts w:hint="eastAsia" w:hAnsi="Calibri" w:cs="Times New Roman"/>
          <w:b w:val="0"/>
          <w:bCs w:val="0"/>
          <w:highlight w:val="none"/>
          <w:lang w:val="en-US" w:eastAsia="zh-CN" w:bidi="ar-SA"/>
        </w:rPr>
        <w:t>33.72</w:t>
      </w:r>
      <w:r>
        <w:rPr>
          <w:rFonts w:hint="eastAsia" w:hAnsi="Calibri" w:cs="Times New Roman"/>
          <w:b w:val="0"/>
          <w:bCs w:val="0"/>
          <w:highlight w:val="none"/>
          <w:lang w:val="en-US" w:bidi="ar-SA"/>
        </w:rPr>
        <w:t>万元，占</w:t>
      </w:r>
      <w:r>
        <w:rPr>
          <w:rFonts w:hint="eastAsia" w:hAnsi="Calibri" w:cs="Times New Roman"/>
          <w:b w:val="0"/>
          <w:bCs w:val="0"/>
          <w:highlight w:val="none"/>
          <w:lang w:val="en-US" w:eastAsia="zh-CN" w:bidi="ar-SA"/>
        </w:rPr>
        <w:t>1.15</w:t>
      </w:r>
      <w:r>
        <w:rPr>
          <w:rFonts w:hint="eastAsia" w:hAnsi="Calibri" w:cs="Times New Roman"/>
          <w:b w:val="0"/>
          <w:bCs w:val="0"/>
          <w:highlight w:val="none"/>
          <w:lang w:val="en-US" w:bidi="ar-SA"/>
        </w:rPr>
        <w:t>%；</w:t>
      </w:r>
    </w:p>
    <w:p>
      <w:pPr>
        <w:pStyle w:val="2"/>
        <w:shd w:val="clear"/>
        <w:ind w:left="0"/>
        <w:rPr>
          <w:rFonts w:hAnsi="Calibri" w:cs="Times New Roman"/>
          <w:b w:val="0"/>
          <w:bCs w:val="0"/>
          <w:highlight w:val="none"/>
          <w:lang w:val="en-US" w:bidi="ar-SA"/>
        </w:rPr>
      </w:pPr>
      <w:r>
        <w:rPr>
          <w:rFonts w:hint="eastAsia"/>
          <w:highlight w:val="none"/>
          <w:lang w:val="en-US"/>
        </w:rPr>
        <w:t xml:space="preserve">   </w:t>
      </w:r>
      <w:r>
        <w:rPr>
          <w:rFonts w:hint="eastAsia" w:hAnsi="Calibri" w:cs="Times New Roman"/>
          <w:b w:val="0"/>
          <w:bCs w:val="0"/>
          <w:highlight w:val="none"/>
          <w:lang w:val="en-US" w:bidi="ar-SA"/>
        </w:rPr>
        <w:t xml:space="preserve"> </w:t>
      </w:r>
      <w:r>
        <w:rPr>
          <w:rFonts w:hint="eastAsia" w:hAnsi="Calibri" w:cs="Times New Roman"/>
          <w:b w:val="0"/>
          <w:bCs w:val="0"/>
          <w:highlight w:val="none"/>
          <w:lang w:val="en-US" w:eastAsia="zh-CN" w:bidi="ar-SA"/>
        </w:rPr>
        <w:t>3</w:t>
      </w:r>
      <w:r>
        <w:rPr>
          <w:rFonts w:hint="eastAsia" w:hAnsi="Calibri" w:cs="Times New Roman"/>
          <w:b w:val="0"/>
          <w:bCs w:val="0"/>
          <w:highlight w:val="none"/>
          <w:lang w:val="en-US" w:bidi="ar-SA"/>
        </w:rPr>
        <w:t>.住房保障支出（类）</w:t>
      </w:r>
      <w:r>
        <w:rPr>
          <w:rFonts w:hint="eastAsia" w:hAnsi="Calibri" w:cs="Times New Roman"/>
          <w:b w:val="0"/>
          <w:bCs w:val="0"/>
          <w:highlight w:val="none"/>
          <w:lang w:val="en-US" w:eastAsia="zh-CN" w:bidi="ar-SA"/>
        </w:rPr>
        <w:t>36.98</w:t>
      </w:r>
      <w:r>
        <w:rPr>
          <w:rFonts w:hint="eastAsia" w:hAnsi="Calibri" w:cs="Times New Roman"/>
          <w:b w:val="0"/>
          <w:bCs w:val="0"/>
          <w:highlight w:val="none"/>
          <w:lang w:val="en-US" w:bidi="ar-SA"/>
        </w:rPr>
        <w:t>万元，占</w:t>
      </w:r>
      <w:r>
        <w:rPr>
          <w:rFonts w:hint="eastAsia" w:hAnsi="Calibri" w:cs="Times New Roman"/>
          <w:b w:val="0"/>
          <w:bCs w:val="0"/>
          <w:highlight w:val="none"/>
          <w:lang w:val="en-US" w:eastAsia="zh-CN" w:bidi="ar-SA"/>
        </w:rPr>
        <w:t>1.26</w:t>
      </w:r>
      <w:r>
        <w:rPr>
          <w:rFonts w:hint="eastAsia" w:hAnsi="Calibri" w:cs="Times New Roman"/>
          <w:b w:val="0"/>
          <w:bCs w:val="0"/>
          <w:highlight w:val="none"/>
          <w:lang w:val="en-US" w:bidi="ar-SA"/>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宋体" w:eastAsia="仿宋_GB2312" w:cs="宋体"/>
          <w:kern w:val="0"/>
          <w:sz w:val="32"/>
          <w:szCs w:val="32"/>
          <w:highlight w:val="none"/>
        </w:rPr>
        <w:t>1.</w:t>
      </w:r>
      <w:r>
        <w:rPr>
          <w:rFonts w:hint="eastAsia" w:ascii="仿宋_GB2312" w:hAnsi="仿宋_GB2312" w:eastAsia="仿宋_GB2312" w:cs="仿宋_GB2312"/>
          <w:sz w:val="32"/>
          <w:szCs w:val="32"/>
          <w:highlight w:val="none"/>
        </w:rPr>
        <w:t>社会保障和就业支出（类）人力资源和社会保障管理事务（款）行政运行（项）：202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347.7</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8.5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增长</w:t>
      </w:r>
      <w:r>
        <w:rPr>
          <w:rFonts w:hint="eastAsia" w:ascii="仿宋_GB2312" w:hAnsi="仿宋_GB2312" w:eastAsia="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人员类支出增加</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rPr>
        <w:t>2.社会保障和就业支出（类）人力资源和社会保障管理事务（款）</w:t>
      </w:r>
      <w:r>
        <w:rPr>
          <w:rFonts w:hint="eastAsia" w:ascii="仿宋_GB2312" w:hAnsi="仿宋_GB2312" w:eastAsia="仿宋_GB2312" w:cs="仿宋_GB2312"/>
          <w:sz w:val="32"/>
          <w:szCs w:val="32"/>
          <w:highlight w:val="none"/>
          <w:lang w:eastAsia="zh-CN"/>
        </w:rPr>
        <w:t>一般行政管理事务</w:t>
      </w:r>
      <w:r>
        <w:rPr>
          <w:rFonts w:hint="eastAsia" w:ascii="仿宋_GB2312" w:hAnsi="仿宋_GB2312" w:eastAsia="仿宋_GB2312" w:cs="仿宋_GB2312"/>
          <w:sz w:val="32"/>
          <w:szCs w:val="32"/>
          <w:highlight w:val="none"/>
        </w:rPr>
        <w:t>（项）：202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505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比上年预算增加</w:t>
      </w:r>
      <w:r>
        <w:rPr>
          <w:rFonts w:hint="eastAsia" w:ascii="仿宋_GB2312" w:hAnsi="仿宋_GB2312" w:eastAsia="仿宋_GB2312" w:cs="仿宋_GB2312"/>
          <w:sz w:val="32"/>
          <w:szCs w:val="32"/>
          <w:highlight w:val="none"/>
          <w:lang w:val="en-US" w:eastAsia="zh-CN"/>
        </w:rPr>
        <w:t>0万元，增长0%，主要原因是此科目所列支出为2025年监察工作经费，此项经费为每年全县刚性安排，所以2024预算金额和2025预算金额相同。</w:t>
      </w:r>
    </w:p>
    <w:p>
      <w:pPr>
        <w:shd w:val="clea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社会保障和就业支出（类）人力资源和社会保障管理事务（款）劳动保障监察（项）：202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年预算数为2万元，</w:t>
      </w:r>
      <w:r>
        <w:rPr>
          <w:rFonts w:hint="eastAsia" w:ascii="仿宋_GB2312" w:hAnsi="仿宋_GB2312" w:eastAsia="仿宋_GB2312" w:cs="仿宋_GB2312"/>
          <w:sz w:val="32"/>
          <w:szCs w:val="32"/>
          <w:highlight w:val="none"/>
          <w:lang w:eastAsia="zh-CN"/>
        </w:rPr>
        <w:t>比上年预算增加</w:t>
      </w:r>
      <w:r>
        <w:rPr>
          <w:rFonts w:hint="eastAsia" w:ascii="仿宋_GB2312" w:hAnsi="仿宋_GB2312" w:eastAsia="仿宋_GB2312" w:cs="仿宋_GB2312"/>
          <w:sz w:val="32"/>
          <w:szCs w:val="32"/>
          <w:highlight w:val="none"/>
          <w:lang w:val="en-US" w:eastAsia="zh-CN"/>
        </w:rPr>
        <w:t>0万元，增长0%，主要原因是此科目所列支出为2025年监察工作经费，此项经费为每年全县刚性安排，所以2024预算金额和2025预算金额相同</w:t>
      </w:r>
      <w:r>
        <w:rPr>
          <w:rFonts w:hint="eastAsia" w:ascii="仿宋_GB2312" w:hAnsi="仿宋_GB2312" w:eastAsia="仿宋_GB2312" w:cs="仿宋_GB2312"/>
          <w:sz w:val="32"/>
          <w:szCs w:val="32"/>
          <w:highlight w:val="none"/>
        </w:rPr>
        <w:t>。</w:t>
      </w:r>
    </w:p>
    <w:p>
      <w:pPr>
        <w:shd w:val="clear"/>
        <w:spacing w:line="560" w:lineRule="exact"/>
        <w:ind w:firstLine="640" w:firstLineChars="200"/>
        <w:rPr>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社会保障和就业支出（类）人力资源和社会保障管理事务（款）劳动人事争议调解仲裁（项）：202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比上年预算增加</w:t>
      </w:r>
      <w:r>
        <w:rPr>
          <w:rFonts w:hint="eastAsia" w:ascii="仿宋_GB2312" w:hAnsi="仿宋_GB2312" w:eastAsia="仿宋_GB2312" w:cs="仿宋_GB2312"/>
          <w:sz w:val="32"/>
          <w:szCs w:val="32"/>
          <w:highlight w:val="none"/>
          <w:lang w:val="en-US" w:eastAsia="zh-CN"/>
        </w:rPr>
        <w:t>5万元，增长100%，主要原因是上年度无此项支出</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.社会保障和就业支出（类）人力资源和社会保障管理事务（款）事业运行（项）：202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196.32</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11.25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增长</w:t>
      </w:r>
      <w:r>
        <w:rPr>
          <w:rFonts w:hint="eastAsia" w:ascii="仿宋_GB2312" w:hAnsi="仿宋_GB2312" w:eastAsia="仿宋_GB2312" w:cs="仿宋_GB2312"/>
          <w:sz w:val="32"/>
          <w:szCs w:val="32"/>
          <w:highlight w:val="none"/>
          <w:lang w:val="en-US" w:eastAsia="zh-CN"/>
        </w:rPr>
        <w:t>6.08</w:t>
      </w:r>
      <w:r>
        <w:rPr>
          <w:rFonts w:hint="eastAsia" w:ascii="仿宋_GB2312" w:hAnsi="仿宋_GB2312" w:eastAsia="仿宋_GB2312" w:cs="仿宋_GB2312"/>
          <w:sz w:val="32"/>
          <w:szCs w:val="32"/>
          <w:highlight w:val="none"/>
        </w:rPr>
        <w:t>%，主要原因是调整基本工资</w:t>
      </w:r>
      <w:r>
        <w:rPr>
          <w:rFonts w:hint="eastAsia" w:ascii="仿宋_GB2312" w:hAnsi="仿宋_GB2312" w:eastAsia="仿宋_GB2312" w:cs="仿宋_GB2312"/>
          <w:sz w:val="32"/>
          <w:szCs w:val="32"/>
          <w:highlight w:val="none"/>
          <w:lang w:eastAsia="zh-CN"/>
        </w:rPr>
        <w:t>、调入人员费用支出增加</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.社会保障和就业支出（类）人力资源和社会保障管理事务（款）其他人力资源和社会保障管理事务支出（项）：202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81.58</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12.72</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下降</w:t>
      </w:r>
      <w:r>
        <w:rPr>
          <w:rFonts w:hint="eastAsia" w:ascii="仿宋_GB2312" w:hAnsi="仿宋_GB2312" w:eastAsia="仿宋_GB2312" w:cs="仿宋_GB2312"/>
          <w:sz w:val="32"/>
          <w:szCs w:val="32"/>
          <w:highlight w:val="none"/>
          <w:lang w:val="en-US" w:eastAsia="zh-CN"/>
        </w:rPr>
        <w:t>13.47</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较上年度编制外人员减少</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default" w:eastAsia="仿宋_GB2312"/>
          <w:highlight w:val="none"/>
          <w:lang w:val="en-US" w:eastAsia="zh-CN"/>
        </w:rPr>
      </w:pPr>
      <w:r>
        <w:rPr>
          <w:rFonts w:hint="eastAsia" w:cs="仿宋_GB2312"/>
          <w:sz w:val="32"/>
          <w:szCs w:val="32"/>
          <w:highlight w:val="none"/>
          <w:lang w:val="en-US" w:eastAsia="zh-CN"/>
        </w:rPr>
        <w:t xml:space="preserve"> 7.</w:t>
      </w:r>
      <w:r>
        <w:rPr>
          <w:rFonts w:hint="eastAsia" w:ascii="仿宋_GB2312" w:hAnsi="仿宋_GB2312" w:eastAsia="仿宋_GB2312" w:cs="仿宋_GB2312"/>
          <w:sz w:val="32"/>
          <w:szCs w:val="32"/>
          <w:highlight w:val="none"/>
        </w:rPr>
        <w:t>社会保障和就业支出（类）行政事业单位养老支出（款）行政单位离退休</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rPr>
        <w:t>（项）：</w:t>
      </w:r>
      <w:r>
        <w:rPr>
          <w:rFonts w:hint="eastAsia" w:ascii="仿宋_GB2312" w:hAnsi="仿宋_GB2312" w:eastAsia="仿宋_GB2312" w:cs="仿宋_GB2312"/>
          <w:sz w:val="32"/>
          <w:szCs w:val="32"/>
          <w:highlight w:val="none"/>
          <w:lang w:val="en-US" w:eastAsia="zh-CN"/>
        </w:rPr>
        <w:t>2025年预算数为9.73万元，比上年预算减少1.1万元，下降10.16%，主要原因是2024年因预算科目错误，错误将退休人员列至</w:t>
      </w:r>
      <w:r>
        <w:rPr>
          <w:rFonts w:hint="eastAsia" w:ascii="仿宋_GB2312" w:hAnsi="仿宋_GB2312" w:eastAsia="仿宋_GB2312" w:cs="仿宋_GB2312"/>
          <w:sz w:val="32"/>
          <w:szCs w:val="32"/>
          <w:highlight w:val="none"/>
        </w:rPr>
        <w:t>行政单位离退休</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lang w:val="en-US" w:eastAsia="zh-CN"/>
        </w:rPr>
        <w:t>科目中，导致2024年预算金额偏大，2025年精准安排预算科目，所以2025年金额有减少。</w:t>
      </w:r>
    </w:p>
    <w:p>
      <w:pPr>
        <w:shd w:val="clea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.社会保障和就业支出（类）行政事业单位养老支出（款）机关事业单位基本养老保险缴费支出（项）：</w:t>
      </w:r>
      <w:r>
        <w:rPr>
          <w:rFonts w:hint="eastAsia" w:ascii="仿宋_GB2312" w:hAnsi="仿宋_GB2312" w:eastAsia="仿宋_GB2312" w:cs="仿宋_GB2312"/>
          <w:sz w:val="32"/>
          <w:szCs w:val="32"/>
          <w:highlight w:val="none"/>
          <w:lang w:val="en-US" w:eastAsia="zh-CN"/>
        </w:rPr>
        <w:t>2025年预算数为44.58万元，比上年预算减少9.73万元，下降17.92%，主要原因是人员变动。</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.社会保障和就业支出（类）就业补助（款）</w:t>
      </w:r>
      <w:r>
        <w:rPr>
          <w:rFonts w:hint="eastAsia" w:ascii="仿宋_GB2312" w:hAnsi="仿宋_GB2312" w:eastAsia="仿宋_GB2312" w:cs="仿宋_GB2312"/>
          <w:sz w:val="32"/>
          <w:szCs w:val="32"/>
          <w:highlight w:val="none"/>
          <w:lang w:eastAsia="zh-CN"/>
        </w:rPr>
        <w:t>职业培训补贴</w:t>
      </w:r>
      <w:r>
        <w:rPr>
          <w:rFonts w:hint="eastAsia" w:ascii="仿宋_GB2312" w:hAnsi="仿宋_GB2312" w:eastAsia="仿宋_GB2312" w:cs="仿宋_GB2312"/>
          <w:sz w:val="32"/>
          <w:szCs w:val="32"/>
          <w:highlight w:val="none"/>
        </w:rPr>
        <w:t>（项）：202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103</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67</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下降</w:t>
      </w:r>
      <w:r>
        <w:rPr>
          <w:rFonts w:hint="eastAsia" w:ascii="仿宋_GB2312" w:hAnsi="仿宋_GB2312" w:eastAsia="仿宋_GB2312" w:cs="仿宋_GB2312"/>
          <w:sz w:val="32"/>
          <w:szCs w:val="32"/>
          <w:highlight w:val="none"/>
          <w:lang w:val="en-US" w:eastAsia="zh-CN"/>
        </w:rPr>
        <w:t>39.41</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较上年度上级下达培训补贴减少</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.社会保障和就业支出（类）</w:t>
      </w:r>
      <w:r>
        <w:rPr>
          <w:rFonts w:hint="eastAsia" w:ascii="仿宋_GB2312" w:hAnsi="仿宋_GB2312" w:eastAsia="仿宋_GB2312" w:cs="仿宋_GB2312"/>
          <w:sz w:val="32"/>
          <w:szCs w:val="32"/>
          <w:highlight w:val="none"/>
        </w:rPr>
        <w:t>就业补助</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社会保险补贴</w:t>
      </w:r>
      <w:r>
        <w:rPr>
          <w:rFonts w:hint="eastAsia" w:ascii="仿宋_GB2312" w:hAnsi="仿宋_GB2312" w:eastAsia="仿宋_GB2312" w:cs="仿宋_GB2312"/>
          <w:sz w:val="32"/>
          <w:szCs w:val="32"/>
          <w:highlight w:val="none"/>
        </w:rPr>
        <w:t>（项）：202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1515.3</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增长</w:t>
      </w:r>
      <w:r>
        <w:rPr>
          <w:rFonts w:hint="eastAsia" w:ascii="仿宋_GB2312" w:hAnsi="仿宋_GB2312" w:eastAsia="仿宋_GB2312" w:cs="仿宋_GB2312"/>
          <w:sz w:val="32"/>
          <w:szCs w:val="32"/>
          <w:highlight w:val="none"/>
          <w:lang w:val="en-US" w:eastAsia="zh-CN"/>
        </w:rPr>
        <w:t>498.3</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49</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较上年度上级下达社会保险补贴增加</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.社会保障和就业支出（类）</w:t>
      </w:r>
      <w:r>
        <w:rPr>
          <w:rFonts w:hint="eastAsia" w:ascii="仿宋_GB2312" w:hAnsi="仿宋_GB2312" w:eastAsia="仿宋_GB2312" w:cs="仿宋_GB2312"/>
          <w:sz w:val="32"/>
          <w:szCs w:val="32"/>
          <w:highlight w:val="none"/>
        </w:rPr>
        <w:t>就业补助（</w:t>
      </w:r>
      <w:r>
        <w:rPr>
          <w:rFonts w:hint="eastAsia" w:ascii="仿宋_GB2312" w:hAnsi="仿宋_GB2312" w:eastAsia="仿宋_GB2312" w:cs="仿宋_GB2312"/>
          <w:sz w:val="32"/>
          <w:szCs w:val="32"/>
          <w:highlight w:val="none"/>
        </w:rPr>
        <w:t>07款）</w:t>
      </w:r>
      <w:r>
        <w:rPr>
          <w:rFonts w:hint="eastAsia" w:ascii="仿宋_GB2312" w:hAnsi="仿宋_GB2312" w:eastAsia="仿宋_GB2312" w:cs="仿宋_GB2312"/>
          <w:sz w:val="32"/>
          <w:szCs w:val="32"/>
          <w:highlight w:val="none"/>
          <w:lang w:eastAsia="zh-CN"/>
        </w:rPr>
        <w:t>公益性岗位补贴</w:t>
      </w:r>
      <w:r>
        <w:rPr>
          <w:rFonts w:hint="eastAsia" w:ascii="仿宋_GB2312" w:hAnsi="仿宋_GB2312" w:eastAsia="仿宋_GB2312" w:cs="仿宋_GB2312"/>
          <w:sz w:val="32"/>
          <w:szCs w:val="32"/>
          <w:highlight w:val="none"/>
        </w:rPr>
        <w:t>（项）：202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46.14</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970.86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95.46</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较上年度减少了公益岗岗位补贴专项资金</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pStyle w:val="2"/>
        <w:shd w:val="clear"/>
        <w:ind w:left="0" w:leftChars="0" w:firstLine="640" w:firstLineChars="200"/>
        <w:rPr>
          <w:rFonts w:hint="eastAsia" w:cs="仿宋_GB2312"/>
          <w:b w:val="0"/>
          <w:bCs w:val="0"/>
          <w:kern w:val="2"/>
          <w:sz w:val="32"/>
          <w:szCs w:val="32"/>
          <w:highlight w:val="none"/>
          <w:lang w:val="en-US" w:eastAsia="zh-CN" w:bidi="ar-SA"/>
        </w:rPr>
      </w:pPr>
      <w:r>
        <w:rPr>
          <w:rFonts w:hint="eastAsia" w:cs="仿宋_GB2312"/>
          <w:b w:val="0"/>
          <w:bCs w:val="0"/>
          <w:kern w:val="2"/>
          <w:sz w:val="32"/>
          <w:szCs w:val="32"/>
          <w:highlight w:val="none"/>
          <w:lang w:val="en-US" w:eastAsia="zh-CN" w:bidi="ar-SA"/>
        </w:rPr>
        <w:t>12</w:t>
      </w:r>
      <w:r>
        <w:rPr>
          <w:rFonts w:hint="eastAsia" w:ascii="仿宋_GB2312" w:hAnsi="仿宋_GB2312" w:eastAsia="仿宋_GB2312" w:cs="仿宋_GB2312"/>
          <w:b w:val="0"/>
          <w:bCs w:val="0"/>
          <w:kern w:val="2"/>
          <w:sz w:val="32"/>
          <w:szCs w:val="32"/>
          <w:highlight w:val="none"/>
          <w:lang w:val="en-US" w:eastAsia="zh-CN" w:bidi="ar-SA"/>
        </w:rPr>
        <w:t>.社会保障和就业支出（类）就业补助（款）</w:t>
      </w:r>
      <w:r>
        <w:rPr>
          <w:rFonts w:hint="eastAsia" w:cs="仿宋_GB2312"/>
          <w:b w:val="0"/>
          <w:bCs w:val="0"/>
          <w:kern w:val="2"/>
          <w:sz w:val="32"/>
          <w:szCs w:val="32"/>
          <w:highlight w:val="none"/>
          <w:lang w:val="en-US" w:eastAsia="zh-CN" w:bidi="ar-SA"/>
        </w:rPr>
        <w:t>职业技能鉴定</w:t>
      </w:r>
      <w:r>
        <w:rPr>
          <w:rFonts w:hint="eastAsia" w:ascii="仿宋_GB2312" w:hAnsi="仿宋_GB2312" w:eastAsia="仿宋_GB2312" w:cs="仿宋_GB2312"/>
          <w:b w:val="0"/>
          <w:bCs w:val="0"/>
          <w:kern w:val="2"/>
          <w:sz w:val="32"/>
          <w:szCs w:val="32"/>
          <w:highlight w:val="none"/>
          <w:lang w:val="en-US" w:eastAsia="zh-CN" w:bidi="ar-SA"/>
        </w:rPr>
        <w:t>补贴（项）：202</w:t>
      </w:r>
      <w:r>
        <w:rPr>
          <w:rFonts w:hint="eastAsia" w:cs="仿宋_GB2312"/>
          <w:b w:val="0"/>
          <w:bCs w:val="0"/>
          <w:kern w:val="2"/>
          <w:sz w:val="32"/>
          <w:szCs w:val="32"/>
          <w:highlight w:val="none"/>
          <w:lang w:val="en-US" w:eastAsia="zh-CN" w:bidi="ar-SA"/>
        </w:rPr>
        <w:t>5</w:t>
      </w:r>
      <w:r>
        <w:rPr>
          <w:rFonts w:hint="eastAsia" w:ascii="仿宋_GB2312" w:hAnsi="仿宋_GB2312" w:eastAsia="仿宋_GB2312" w:cs="仿宋_GB2312"/>
          <w:b w:val="0"/>
          <w:bCs w:val="0"/>
          <w:kern w:val="2"/>
          <w:sz w:val="32"/>
          <w:szCs w:val="32"/>
          <w:highlight w:val="none"/>
          <w:lang w:val="en-US" w:eastAsia="zh-CN" w:bidi="ar-SA"/>
        </w:rPr>
        <w:t>年预算数为</w:t>
      </w:r>
      <w:r>
        <w:rPr>
          <w:rFonts w:hint="eastAsia" w:cs="仿宋_GB2312"/>
          <w:b w:val="0"/>
          <w:bCs w:val="0"/>
          <w:kern w:val="2"/>
          <w:sz w:val="32"/>
          <w:szCs w:val="32"/>
          <w:highlight w:val="none"/>
          <w:lang w:val="en-US" w:eastAsia="zh-CN" w:bidi="ar-SA"/>
        </w:rPr>
        <w:t>5</w:t>
      </w:r>
      <w:r>
        <w:rPr>
          <w:rFonts w:hint="eastAsia" w:ascii="仿宋_GB2312" w:hAnsi="仿宋_GB2312" w:eastAsia="仿宋_GB2312" w:cs="仿宋_GB2312"/>
          <w:b w:val="0"/>
          <w:bCs w:val="0"/>
          <w:kern w:val="2"/>
          <w:sz w:val="32"/>
          <w:szCs w:val="32"/>
          <w:highlight w:val="none"/>
          <w:lang w:val="en-US" w:eastAsia="zh-CN" w:bidi="ar-SA"/>
        </w:rPr>
        <w:t>万元，比上年预算</w:t>
      </w:r>
      <w:r>
        <w:rPr>
          <w:rFonts w:hint="eastAsia" w:cs="仿宋_GB2312"/>
          <w:b w:val="0"/>
          <w:bCs w:val="0"/>
          <w:kern w:val="2"/>
          <w:sz w:val="32"/>
          <w:szCs w:val="32"/>
          <w:highlight w:val="none"/>
          <w:lang w:val="en-US" w:eastAsia="zh-CN" w:bidi="ar-SA"/>
        </w:rPr>
        <w:t>减少5</w:t>
      </w:r>
      <w:r>
        <w:rPr>
          <w:rFonts w:hint="eastAsia" w:ascii="仿宋_GB2312" w:hAnsi="仿宋_GB2312" w:eastAsia="仿宋_GB2312" w:cs="仿宋_GB2312"/>
          <w:b w:val="0"/>
          <w:bCs w:val="0"/>
          <w:kern w:val="2"/>
          <w:sz w:val="32"/>
          <w:szCs w:val="32"/>
          <w:highlight w:val="none"/>
          <w:lang w:val="en-US" w:eastAsia="zh-CN" w:bidi="ar-SA"/>
        </w:rPr>
        <w:t>万元，</w:t>
      </w:r>
      <w:r>
        <w:rPr>
          <w:rFonts w:hint="eastAsia" w:cs="仿宋_GB2312"/>
          <w:b w:val="0"/>
          <w:bCs w:val="0"/>
          <w:kern w:val="2"/>
          <w:sz w:val="32"/>
          <w:szCs w:val="32"/>
          <w:highlight w:val="none"/>
          <w:lang w:val="en-US" w:eastAsia="zh-CN" w:bidi="ar-SA"/>
        </w:rPr>
        <w:t>减少50</w:t>
      </w:r>
      <w:r>
        <w:rPr>
          <w:rFonts w:hint="eastAsia" w:ascii="仿宋_GB2312" w:hAnsi="仿宋_GB2312" w:eastAsia="仿宋_GB2312" w:cs="仿宋_GB2312"/>
          <w:b w:val="0"/>
          <w:bCs w:val="0"/>
          <w:kern w:val="2"/>
          <w:sz w:val="32"/>
          <w:szCs w:val="32"/>
          <w:highlight w:val="none"/>
          <w:lang w:val="en-US" w:eastAsia="zh-CN" w:bidi="ar-SA"/>
        </w:rPr>
        <w:t>%，主要原因是</w:t>
      </w:r>
      <w:r>
        <w:rPr>
          <w:rFonts w:hint="eastAsia" w:cs="仿宋_GB2312"/>
          <w:b w:val="0"/>
          <w:bCs w:val="0"/>
          <w:kern w:val="2"/>
          <w:sz w:val="32"/>
          <w:szCs w:val="32"/>
          <w:highlight w:val="none"/>
          <w:lang w:val="en-US" w:eastAsia="zh-CN" w:bidi="ar-SA"/>
        </w:rPr>
        <w:t>较</w:t>
      </w:r>
      <w:r>
        <w:rPr>
          <w:rFonts w:hint="eastAsia" w:ascii="仿宋_GB2312" w:hAnsi="仿宋_GB2312" w:eastAsia="仿宋_GB2312" w:cs="仿宋_GB2312"/>
          <w:b w:val="0"/>
          <w:bCs w:val="0"/>
          <w:kern w:val="2"/>
          <w:sz w:val="32"/>
          <w:szCs w:val="32"/>
          <w:highlight w:val="none"/>
          <w:lang w:val="en-US" w:eastAsia="zh-CN" w:bidi="ar-SA"/>
        </w:rPr>
        <w:t>上年度</w:t>
      </w:r>
      <w:r>
        <w:rPr>
          <w:rFonts w:hint="eastAsia" w:cs="仿宋_GB2312"/>
          <w:b w:val="0"/>
          <w:bCs w:val="0"/>
          <w:kern w:val="2"/>
          <w:sz w:val="32"/>
          <w:szCs w:val="32"/>
          <w:highlight w:val="none"/>
          <w:lang w:val="en-US" w:eastAsia="zh-CN" w:bidi="ar-SA"/>
        </w:rPr>
        <w:t>上级下达职业技能鉴定补贴减少。</w:t>
      </w:r>
    </w:p>
    <w:p>
      <w:pPr>
        <w:shd w:val="clear"/>
        <w:spacing w:line="56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cs="仿宋_GB2312"/>
          <w:b w:val="0"/>
          <w:bCs w:val="0"/>
          <w:kern w:val="2"/>
          <w:sz w:val="32"/>
          <w:szCs w:val="32"/>
          <w:highlight w:val="none"/>
          <w:lang w:val="en-US" w:eastAsia="zh-CN" w:bidi="ar-SA"/>
        </w:rPr>
        <w:t>13</w:t>
      </w:r>
      <w:r>
        <w:rPr>
          <w:rFonts w:hint="eastAsia" w:ascii="仿宋_GB2312" w:hAnsi="仿宋_GB2312" w:eastAsia="仿宋_GB2312" w:cs="仿宋_GB2312"/>
          <w:b w:val="0"/>
          <w:bCs w:val="0"/>
          <w:kern w:val="2"/>
          <w:sz w:val="32"/>
          <w:szCs w:val="32"/>
          <w:highlight w:val="none"/>
          <w:lang w:val="en-US" w:eastAsia="zh-CN" w:bidi="ar-SA"/>
        </w:rPr>
        <w:t>.社会保障和就业支出（类）</w:t>
      </w:r>
      <w:r>
        <w:rPr>
          <w:rFonts w:hint="eastAsia" w:ascii="仿宋_GB2312" w:hAnsi="仿宋_GB2312" w:eastAsia="仿宋_GB2312" w:cs="仿宋_GB2312"/>
          <w:sz w:val="32"/>
          <w:szCs w:val="32"/>
          <w:highlight w:val="none"/>
        </w:rPr>
        <w:t>就业补助</w:t>
      </w:r>
      <w:r>
        <w:rPr>
          <w:rFonts w:hint="eastAsia" w:ascii="仿宋_GB2312" w:hAnsi="仿宋_GB2312" w:eastAsia="仿宋_GB2312" w:cs="仿宋_GB2312"/>
          <w:b w:val="0"/>
          <w:bCs w:val="0"/>
          <w:kern w:val="2"/>
          <w:sz w:val="32"/>
          <w:szCs w:val="32"/>
          <w:highlight w:val="none"/>
          <w:lang w:val="en-US" w:eastAsia="zh-CN" w:bidi="ar-SA"/>
        </w:rPr>
        <w:t>（款）就业见习补贴（项）：2025年预算数为1.86万元，比上年预算增加1.86元，增加100%，主要原因是上年度此科目无预算。</w:t>
      </w:r>
    </w:p>
    <w:p>
      <w:pPr>
        <w:shd w:val="clear"/>
        <w:rPr>
          <w:rFonts w:hint="eastAsia"/>
          <w:highlight w:val="none"/>
          <w:lang w:val="en-US" w:eastAsia="zh-CN"/>
        </w:rPr>
      </w:pPr>
    </w:p>
    <w:p>
      <w:pPr>
        <w:shd w:val="clear"/>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14.社会保障和就业支出（类）</w:t>
      </w:r>
      <w:r>
        <w:rPr>
          <w:rFonts w:hint="eastAsia" w:ascii="仿宋_GB2312" w:hAnsi="仿宋_GB2312" w:eastAsia="仿宋_GB2312" w:cs="仿宋_GB2312"/>
          <w:sz w:val="32"/>
          <w:szCs w:val="32"/>
          <w:highlight w:val="none"/>
        </w:rPr>
        <w:t>就业补助</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款）促进创业补贴（项）：2025年预算数为10.7万元，比上年预算增加9.7万元，增长90.65%，主要原因是本年度上级下达促进创业补贴增加。</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.卫生健康支出（类）行政事业单位医疗（款）行政单位医疗（项）：202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8.28</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1.29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下降</w:t>
      </w:r>
      <w:r>
        <w:rPr>
          <w:rFonts w:hint="eastAsia" w:ascii="仿宋_GB2312" w:hAnsi="仿宋_GB2312" w:eastAsia="仿宋_GB2312" w:cs="仿宋_GB2312"/>
          <w:sz w:val="32"/>
          <w:szCs w:val="32"/>
          <w:highlight w:val="none"/>
          <w:lang w:val="en-US" w:eastAsia="zh-CN"/>
        </w:rPr>
        <w:t>13.48</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人员较上年有所变动</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16</w:t>
      </w:r>
      <w:r>
        <w:rPr>
          <w:rFonts w:hint="eastAsia" w:ascii="仿宋_GB2312" w:hAnsi="仿宋_GB2312" w:eastAsia="仿宋_GB2312" w:cs="仿宋_GB2312"/>
          <w:sz w:val="32"/>
          <w:szCs w:val="32"/>
          <w:highlight w:val="none"/>
        </w:rPr>
        <w:t>卫生健康支出（类）行政事业单位医疗（款）</w:t>
      </w:r>
      <w:r>
        <w:rPr>
          <w:rFonts w:hint="eastAsia" w:ascii="仿宋_GB2312" w:hAnsi="仿宋_GB2312" w:eastAsia="仿宋_GB2312" w:cs="仿宋_GB2312"/>
          <w:sz w:val="32"/>
          <w:szCs w:val="32"/>
          <w:highlight w:val="none"/>
          <w:lang w:eastAsia="zh-CN"/>
        </w:rPr>
        <w:t>事业</w:t>
      </w:r>
      <w:r>
        <w:rPr>
          <w:rFonts w:hint="eastAsia" w:ascii="仿宋_GB2312" w:hAnsi="仿宋_GB2312" w:eastAsia="仿宋_GB2312" w:cs="仿宋_GB2312"/>
          <w:sz w:val="32"/>
          <w:szCs w:val="32"/>
          <w:highlight w:val="none"/>
        </w:rPr>
        <w:t>单位医疗（项）：202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14.01</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0.81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增长</w:t>
      </w:r>
      <w:r>
        <w:rPr>
          <w:rFonts w:hint="eastAsia" w:ascii="仿宋_GB2312" w:hAnsi="仿宋_GB2312" w:eastAsia="仿宋_GB2312" w:cs="仿宋_GB2312"/>
          <w:sz w:val="32"/>
          <w:szCs w:val="32"/>
          <w:highlight w:val="none"/>
          <w:lang w:val="en-US" w:eastAsia="zh-CN"/>
        </w:rPr>
        <w:t>6.14</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人员较上年有所变动</w:t>
      </w:r>
      <w:r>
        <w:rPr>
          <w:rFonts w:hint="eastAsia" w:ascii="仿宋_GB2312" w:hAnsi="仿宋_GB2312" w:eastAsia="仿宋_GB2312" w:cs="仿宋_GB2312"/>
          <w:sz w:val="32"/>
          <w:szCs w:val="32"/>
          <w:highlight w:val="none"/>
        </w:rPr>
        <w:t>。</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rPr>
        <w:t>.卫生健康支出（类）行政事业单位医疗（款）公务员医疗补助（项）：202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11.15</w:t>
      </w:r>
      <w:r>
        <w:rPr>
          <w:rFonts w:hint="eastAsia" w:ascii="仿宋_GB2312" w:hAnsi="仿宋_GB2312" w:eastAsia="仿宋_GB2312" w:cs="仿宋_GB2312"/>
          <w:sz w:val="32"/>
          <w:szCs w:val="32"/>
          <w:highlight w:val="none"/>
        </w:rPr>
        <w:t>万元，比上年预算</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4.89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增</w:t>
      </w:r>
      <w:r>
        <w:rPr>
          <w:rFonts w:hint="eastAsia" w:ascii="仿宋_GB2312" w:hAnsi="仿宋_GB2312" w:eastAsia="仿宋_GB2312" w:cs="仿宋_GB2312"/>
          <w:sz w:val="32"/>
          <w:szCs w:val="32"/>
          <w:highlight w:val="none"/>
          <w:lang w:val="en-US" w:eastAsia="zh-CN"/>
        </w:rPr>
        <w:t>长43.86</w:t>
      </w:r>
      <w:r>
        <w:rPr>
          <w:rFonts w:hint="eastAsia" w:ascii="仿宋_GB2312" w:hAnsi="仿宋_GB2312" w:eastAsia="仿宋_GB2312" w:cs="仿宋_GB2312"/>
          <w:sz w:val="32"/>
          <w:szCs w:val="32"/>
          <w:highlight w:val="none"/>
        </w:rPr>
        <w:t>%，主要原因是在职人员工资调标以及人员调动。</w:t>
      </w:r>
    </w:p>
    <w:p>
      <w:pPr>
        <w:shd w:val="clea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18.卫生健康支出（类）行政事业单位医疗（款）其他行政事业单位医疗支出（项）：2025年预算数为0.28万元，比上年预算增加0.12万元，增长75%，主要原因是在职人员工资调标以及人员调动。</w:t>
      </w:r>
    </w:p>
    <w:p>
      <w:pPr>
        <w:pStyle w:val="2"/>
        <w:shd w:val="clear"/>
        <w:spacing w:line="560" w:lineRule="exact"/>
        <w:ind w:left="0" w:firstLine="640" w:firstLineChars="200"/>
        <w:rPr>
          <w:rFonts w:hint="eastAsia"/>
          <w:b w:val="0"/>
          <w:bCs w:val="0"/>
          <w:highlight w:val="none"/>
          <w:lang w:val="en-US" w:bidi="ar-SA"/>
        </w:rPr>
      </w:pPr>
      <w:r>
        <w:rPr>
          <w:rFonts w:hint="eastAsia"/>
          <w:b w:val="0"/>
          <w:bCs w:val="0"/>
          <w:highlight w:val="none"/>
          <w:lang w:val="en-US" w:bidi="ar-SA"/>
        </w:rPr>
        <w:t>1</w:t>
      </w:r>
      <w:r>
        <w:rPr>
          <w:rFonts w:hint="eastAsia"/>
          <w:b w:val="0"/>
          <w:bCs w:val="0"/>
          <w:highlight w:val="none"/>
          <w:lang w:val="en-US" w:eastAsia="zh-CN" w:bidi="ar-SA"/>
        </w:rPr>
        <w:t>9</w:t>
      </w:r>
      <w:r>
        <w:rPr>
          <w:rFonts w:hint="eastAsia"/>
          <w:b w:val="0"/>
          <w:bCs w:val="0"/>
          <w:highlight w:val="none"/>
          <w:lang w:val="en-US" w:bidi="ar-SA"/>
        </w:rPr>
        <w:t>.住房保障支出（类）住房改革支出（款）住房公积金（</w:t>
      </w:r>
      <w:r>
        <w:rPr>
          <w:rFonts w:hint="eastAsia"/>
          <w:b w:val="0"/>
          <w:bCs w:val="0"/>
          <w:highlight w:val="none"/>
          <w:lang w:val="en-US" w:eastAsia="zh-CN" w:bidi="ar-SA"/>
        </w:rPr>
        <w:t>项</w:t>
      </w:r>
      <w:r>
        <w:rPr>
          <w:rFonts w:hint="eastAsia"/>
          <w:b w:val="0"/>
          <w:bCs w:val="0"/>
          <w:highlight w:val="none"/>
          <w:lang w:val="en-US" w:bidi="ar-SA"/>
        </w:rPr>
        <w:t>）：202</w:t>
      </w:r>
      <w:r>
        <w:rPr>
          <w:rFonts w:hint="eastAsia"/>
          <w:b w:val="0"/>
          <w:bCs w:val="0"/>
          <w:highlight w:val="none"/>
          <w:lang w:val="en-US" w:eastAsia="zh-CN" w:bidi="ar-SA"/>
        </w:rPr>
        <w:t>5</w:t>
      </w:r>
      <w:r>
        <w:rPr>
          <w:rFonts w:hint="eastAsia"/>
          <w:b w:val="0"/>
          <w:bCs w:val="0"/>
          <w:highlight w:val="none"/>
          <w:lang w:val="en-US" w:bidi="ar-SA"/>
        </w:rPr>
        <w:t>年预算数为</w:t>
      </w:r>
      <w:r>
        <w:rPr>
          <w:rFonts w:hint="eastAsia"/>
          <w:b w:val="0"/>
          <w:bCs w:val="0"/>
          <w:highlight w:val="none"/>
          <w:lang w:val="en-US" w:eastAsia="zh-CN" w:bidi="ar-SA"/>
        </w:rPr>
        <w:t>36.98</w:t>
      </w:r>
      <w:r>
        <w:rPr>
          <w:rFonts w:hint="eastAsia"/>
          <w:b w:val="0"/>
          <w:bCs w:val="0"/>
          <w:highlight w:val="none"/>
          <w:lang w:val="en-US" w:bidi="ar-SA"/>
        </w:rPr>
        <w:t>万元，比上年预算</w:t>
      </w:r>
      <w:r>
        <w:rPr>
          <w:rFonts w:hint="eastAsia"/>
          <w:b w:val="0"/>
          <w:bCs w:val="0"/>
          <w:highlight w:val="none"/>
          <w:lang w:val="en-US" w:eastAsia="zh-CN" w:bidi="ar-SA"/>
        </w:rPr>
        <w:t>减少0.72</w:t>
      </w:r>
      <w:r>
        <w:rPr>
          <w:rFonts w:hint="eastAsia"/>
          <w:b w:val="0"/>
          <w:bCs w:val="0"/>
          <w:highlight w:val="none"/>
          <w:lang w:val="en-US" w:bidi="ar-SA"/>
        </w:rPr>
        <w:t>万元，</w:t>
      </w:r>
      <w:r>
        <w:rPr>
          <w:rFonts w:hint="eastAsia"/>
          <w:b w:val="0"/>
          <w:bCs w:val="0"/>
          <w:highlight w:val="none"/>
          <w:lang w:val="en-US" w:eastAsia="zh-CN" w:bidi="ar-SA"/>
        </w:rPr>
        <w:t>下降1.9</w:t>
      </w:r>
      <w:r>
        <w:rPr>
          <w:rFonts w:hint="eastAsia"/>
          <w:b w:val="0"/>
          <w:bCs w:val="0"/>
          <w:highlight w:val="none"/>
          <w:lang w:val="en-US" w:bidi="ar-SA"/>
        </w:rPr>
        <w:t>%，主要原因是在职人员调动。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rPr>
        <w:t>呼图壁县人力资源和社会保障局</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spacing w:val="-6"/>
          <w:kern w:val="0"/>
          <w:sz w:val="32"/>
          <w:szCs w:val="32"/>
          <w:highlight w:val="none"/>
        </w:rPr>
        <w:t>呼图壁县人力资源和社会保障局</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年一般公共预算基本支出669.03万元， 其中：</w:t>
      </w:r>
    </w:p>
    <w:p>
      <w:pPr>
        <w:pStyle w:val="8"/>
        <w:keepNext w:val="0"/>
        <w:keepLines w:val="0"/>
        <w:widowControl/>
        <w:suppressLineNumbers w:val="0"/>
        <w:shd w:val="clear"/>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人员经费631.63万元，主要包括：基本工资、津贴补贴、奖金、绩效工资、机关事业单位基本养老保险缴费、职工基本医疗保险缴费、公务员医疗补助缴费、其他社会保障缴费、住房公积金、其他工资福利支出。</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公用经费37.4万元，主要包括：办公费、水费、邮电费、取暖费、差旅费、工会经费、公务用车运行维护费。</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hd w:val="clear"/>
        <w:spacing w:line="56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：2025年监察工作经费（非定额）</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：呼图壁县十八届人大五次会议《呼图壁县2024年财政预算执行情况和2025年财政预算（草案）的报告》</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：2万元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：呼图壁县人力资源和社会保障局</w:t>
      </w:r>
    </w:p>
    <w:p>
      <w:pPr>
        <w:shd w:val="clear"/>
        <w:spacing w:line="560" w:lineRule="exact"/>
        <w:ind w:firstLine="640" w:firstLineChars="200"/>
        <w:rPr>
          <w:rFonts w:hint="default" w:ascii="仿宋_GB2312" w:hAnsi="黑体" w:eastAsia="宋体"/>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劳动保障监察车辆运行费用</w:t>
      </w:r>
      <w:r>
        <w:rPr>
          <w:rFonts w:hint="eastAsia" w:ascii="仿宋_GB2312" w:hAnsi="黑体" w:eastAsia="仿宋_GB2312"/>
          <w:sz w:val="32"/>
          <w:szCs w:val="32"/>
          <w:highlight w:val="none"/>
          <w:lang w:val="en-US" w:eastAsia="zh-CN"/>
        </w:rPr>
        <w:t>1万元、劳动保障监察办公费用0.6万元、案件办理费用0.4万元，</w:t>
      </w:r>
      <w:bookmarkStart w:id="1" w:name="_GoBack"/>
      <w:bookmarkEnd w:id="1"/>
      <w:r>
        <w:rPr>
          <w:rFonts w:hint="eastAsia" w:ascii="仿宋_GB2312" w:hAnsi="黑体" w:eastAsia="仿宋_GB2312"/>
          <w:sz w:val="32"/>
          <w:szCs w:val="32"/>
          <w:highlight w:val="none"/>
          <w:lang w:val="en-US" w:eastAsia="zh-CN"/>
        </w:rPr>
        <w:t>共计2万元。</w:t>
      </w:r>
    </w:p>
    <w:p>
      <w:pPr>
        <w:shd w:val="clear"/>
        <w:spacing w:line="560" w:lineRule="exact"/>
        <w:ind w:firstLine="640" w:firstLineChars="200"/>
        <w:rPr>
          <w:rFonts w:hint="eastAsia"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年12月31日</w:t>
      </w:r>
    </w:p>
    <w:p>
      <w:pPr>
        <w:shd w:val="clear"/>
        <w:spacing w:line="56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：2025年档案管理经费（非定额）</w:t>
      </w:r>
    </w:p>
    <w:p>
      <w:pPr>
        <w:shd w:val="clear"/>
        <w:spacing w:line="560" w:lineRule="exact"/>
        <w:ind w:firstLine="640" w:firstLineChars="200"/>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呼图壁县十八届人大五次会议《呼图壁县2024年财政预算执行情况和2025年财政预算（草案）的报告》</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：呼图壁县人力资源和社会保障局</w:t>
      </w:r>
    </w:p>
    <w:p>
      <w:pPr>
        <w:shd w:val="clear"/>
        <w:spacing w:line="560" w:lineRule="exact"/>
        <w:ind w:firstLine="640" w:firstLineChars="200"/>
        <w:rPr>
          <w:rFonts w:hint="default" w:ascii="仿宋_GB2312" w:hAnsi="黑体" w:eastAsia="宋体"/>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流动人员人事档案管理、档案相关办公用品支出</w:t>
      </w:r>
      <w:r>
        <w:rPr>
          <w:rFonts w:hint="eastAsia" w:ascii="仿宋_GB2312" w:hAnsi="黑体" w:eastAsia="仿宋_GB2312"/>
          <w:sz w:val="32"/>
          <w:szCs w:val="32"/>
          <w:highlight w:val="none"/>
          <w:lang w:val="en-US" w:eastAsia="zh-CN"/>
        </w:rPr>
        <w:t>共计5万元。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年12月31日</w:t>
      </w:r>
    </w:p>
    <w:p>
      <w:pPr>
        <w:shd w:val="clear"/>
        <w:spacing w:line="56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：2025年农民工工资周转金（非定额</w:t>
      </w:r>
      <w:r>
        <w:rPr>
          <w:rFonts w:hint="eastAsia" w:ascii="仿宋_GB2312" w:hAnsi="黑体" w:eastAsia="仿宋_GB2312"/>
          <w:sz w:val="32"/>
          <w:szCs w:val="32"/>
          <w:highlight w:val="none"/>
          <w:lang w:val="en-US" w:eastAsia="zh-CN"/>
        </w:rPr>
        <w:t xml:space="preserve">         </w:t>
      </w: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eastAsia="zh-CN"/>
        </w:rPr>
        <w:t>呼图壁县农民工工资应急周转金管理办法、呼图壁县十八届人大五次会议《呼图壁县2024年财政预算执行情况和2025年财政预算（草案）的报告》</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500</w:t>
      </w:r>
      <w:r>
        <w:rPr>
          <w:rFonts w:hint="eastAsia" w:ascii="仿宋_GB2312" w:hAnsi="黑体" w:eastAsia="仿宋_GB2312"/>
          <w:sz w:val="32"/>
          <w:szCs w:val="32"/>
          <w:highlight w:val="none"/>
        </w:rPr>
        <w:t>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：呼图壁县人力资源和社会保障局</w:t>
      </w:r>
    </w:p>
    <w:p>
      <w:pPr>
        <w:shd w:val="clea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用于政府投资类项目各用人单位拖欠农民工工资</w:t>
      </w:r>
      <w:r>
        <w:rPr>
          <w:rFonts w:hint="eastAsia" w:ascii="仿宋_GB2312" w:hAnsi="黑体" w:eastAsia="仿宋_GB2312"/>
          <w:sz w:val="32"/>
          <w:szCs w:val="32"/>
          <w:highlight w:val="none"/>
          <w:lang w:val="en-US" w:eastAsia="zh-CN"/>
        </w:rPr>
        <w:t>500万元。</w:t>
      </w:r>
    </w:p>
    <w:p>
      <w:pPr>
        <w:shd w:val="clear"/>
        <w:spacing w:line="560" w:lineRule="exact"/>
        <w:ind w:firstLine="640" w:firstLineChars="200"/>
        <w:rPr>
          <w:rFonts w:hint="eastAsia"/>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numPr>
          <w:ilvl w:val="0"/>
          <w:numId w:val="0"/>
        </w:numPr>
        <w:shd w:val="clear"/>
        <w:spacing w:line="560" w:lineRule="exact"/>
        <w:ind w:firstLine="640" w:firstLineChars="200"/>
        <w:rPr>
          <w:rFonts w:hint="eastAsia" w:ascii="仿宋_GB2312" w:hAnsi="黑体" w:eastAsia="仿宋_GB2312"/>
          <w:b/>
          <w:sz w:val="32"/>
          <w:szCs w:val="32"/>
          <w:highlight w:val="none"/>
          <w:lang w:eastAsia="zh-CN"/>
        </w:rPr>
      </w:pP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2025年劳动争议仲裁经费</w:t>
      </w:r>
    </w:p>
    <w:p>
      <w:pPr>
        <w:shd w:val="clea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《中华人民共和国劳动争议调解仲裁法》</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：呼图壁县人力资源和社会保障局</w:t>
      </w:r>
    </w:p>
    <w:p>
      <w:pPr>
        <w:shd w:val="clear"/>
        <w:spacing w:line="560" w:lineRule="exact"/>
        <w:ind w:firstLine="640" w:firstLineChars="200"/>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办公及设备购置费用</w:t>
      </w:r>
      <w:r>
        <w:rPr>
          <w:rFonts w:hint="eastAsia" w:ascii="仿宋_GB2312" w:hAnsi="黑体" w:eastAsia="仿宋_GB2312"/>
          <w:sz w:val="32"/>
          <w:szCs w:val="32"/>
          <w:highlight w:val="none"/>
          <w:lang w:val="en-US" w:eastAsia="zh-CN"/>
        </w:rPr>
        <w:t>2万元</w:t>
      </w:r>
      <w:r>
        <w:rPr>
          <w:rFonts w:hint="eastAsia" w:ascii="仿宋_GB2312" w:hAnsi="黑体" w:eastAsia="仿宋_GB2312"/>
          <w:sz w:val="32"/>
          <w:szCs w:val="32"/>
          <w:highlight w:val="none"/>
          <w:lang w:eastAsia="zh-CN"/>
        </w:rPr>
        <w:t>、案件处理费用</w:t>
      </w:r>
      <w:r>
        <w:rPr>
          <w:rFonts w:hint="eastAsia" w:ascii="仿宋_GB2312" w:hAnsi="黑体" w:eastAsia="仿宋_GB2312"/>
          <w:sz w:val="32"/>
          <w:szCs w:val="32"/>
          <w:highlight w:val="none"/>
          <w:lang w:val="en-US" w:eastAsia="zh-CN"/>
        </w:rPr>
        <w:t>1万元</w:t>
      </w:r>
      <w:r>
        <w:rPr>
          <w:rFonts w:hint="eastAsia" w:ascii="仿宋_GB2312" w:hAnsi="黑体" w:eastAsia="仿宋_GB2312"/>
          <w:sz w:val="32"/>
          <w:szCs w:val="32"/>
          <w:highlight w:val="none"/>
          <w:lang w:eastAsia="zh-CN"/>
        </w:rPr>
        <w:t>、信息化建设费用</w:t>
      </w:r>
      <w:r>
        <w:rPr>
          <w:rFonts w:hint="eastAsia" w:ascii="仿宋_GB2312" w:hAnsi="黑体" w:eastAsia="仿宋_GB2312"/>
          <w:sz w:val="32"/>
          <w:szCs w:val="32"/>
          <w:highlight w:val="none"/>
          <w:lang w:val="en-US" w:eastAsia="zh-CN"/>
        </w:rPr>
        <w:t>1万元</w:t>
      </w:r>
      <w:r>
        <w:rPr>
          <w:rFonts w:hint="eastAsia" w:ascii="仿宋_GB2312" w:hAnsi="黑体" w:eastAsia="仿宋_GB2312"/>
          <w:sz w:val="32"/>
          <w:szCs w:val="32"/>
          <w:highlight w:val="none"/>
          <w:lang w:eastAsia="zh-CN"/>
        </w:rPr>
        <w:t>、宣传培训费用</w:t>
      </w:r>
      <w:r>
        <w:rPr>
          <w:rFonts w:hint="eastAsia" w:ascii="仿宋_GB2312" w:hAnsi="黑体" w:eastAsia="仿宋_GB2312"/>
          <w:sz w:val="32"/>
          <w:szCs w:val="32"/>
          <w:highlight w:val="none"/>
          <w:lang w:val="en-US" w:eastAsia="zh-CN"/>
        </w:rPr>
        <w:t>1万元</w:t>
      </w:r>
      <w:r>
        <w:rPr>
          <w:rFonts w:hint="eastAsia" w:ascii="仿宋_GB2312" w:hAnsi="黑体" w:eastAsia="仿宋_GB2312"/>
          <w:sz w:val="32"/>
          <w:szCs w:val="32"/>
          <w:highlight w:val="none"/>
          <w:lang w:eastAsia="zh-CN"/>
        </w:rPr>
        <w:t>。</w:t>
      </w:r>
    </w:p>
    <w:p>
      <w:pPr>
        <w:shd w:val="clea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年12月31日</w:t>
      </w:r>
    </w:p>
    <w:p>
      <w:pPr>
        <w:numPr>
          <w:ilvl w:val="0"/>
          <w:numId w:val="0"/>
        </w:numPr>
        <w:shd w:val="clear"/>
        <w:spacing w:line="56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：2025年高校毕业生“三支一扶”计划中央财政补助资金</w:t>
      </w:r>
    </w:p>
    <w:p>
      <w:pPr>
        <w:shd w:val="clea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完成年度“三支一扶”中央财政补助名额招募计划，为基层输送一批急需紧缺人才，开展“三支一扶”人员能力提升专项培训，提升“三支一扶”人员服务基层能力素质。《关于提前下达</w:t>
      </w:r>
      <w:r>
        <w:rPr>
          <w:rFonts w:hint="eastAsia" w:ascii="仿宋_GB2312" w:hAnsi="黑体" w:eastAsia="仿宋_GB2312"/>
          <w:sz w:val="32"/>
          <w:szCs w:val="32"/>
          <w:highlight w:val="none"/>
          <w:lang w:val="en-US" w:eastAsia="zh-CN"/>
        </w:rPr>
        <w:t>2025年高校毕业生“三支一扶”计划中央财政补助资金预算的通知》昌州财社【2024】113号。</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73.88</w:t>
      </w:r>
      <w:r>
        <w:rPr>
          <w:rFonts w:hint="eastAsia" w:ascii="仿宋_GB2312" w:hAnsi="黑体" w:eastAsia="仿宋_GB2312"/>
          <w:sz w:val="32"/>
          <w:szCs w:val="32"/>
          <w:highlight w:val="none"/>
        </w:rPr>
        <w:t>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：呼图壁县人力资源和社会保障局</w:t>
      </w:r>
    </w:p>
    <w:p>
      <w:pPr>
        <w:shd w:val="clear"/>
        <w:spacing w:line="560" w:lineRule="exact"/>
        <w:ind w:firstLine="640" w:firstLineChars="200"/>
        <w:rPr>
          <w:rFonts w:hint="default" w:ascii="仿宋_GB2312" w:hAnsi="黑体" w:eastAsia="宋体"/>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全县“三支一扶”人员工作生活补助支出</w:t>
      </w:r>
      <w:r>
        <w:rPr>
          <w:rFonts w:hint="eastAsia" w:ascii="仿宋_GB2312" w:hAnsi="黑体" w:eastAsia="仿宋_GB2312"/>
          <w:sz w:val="32"/>
          <w:szCs w:val="32"/>
          <w:highlight w:val="none"/>
          <w:lang w:val="en-US" w:eastAsia="zh-CN"/>
        </w:rPr>
        <w:t>2500元/人/月</w:t>
      </w:r>
      <w:r>
        <w:rPr>
          <w:rFonts w:hint="eastAsia" w:ascii="仿宋_GB2312" w:hAnsi="黑体" w:eastAsia="仿宋_GB2312"/>
          <w:sz w:val="32"/>
          <w:szCs w:val="32"/>
          <w:highlight w:val="none"/>
          <w:lang w:eastAsia="zh-CN"/>
        </w:rPr>
        <w:t>、一次性安家费支出</w:t>
      </w:r>
      <w:r>
        <w:rPr>
          <w:rFonts w:hint="eastAsia" w:ascii="仿宋_GB2312" w:hAnsi="黑体" w:eastAsia="仿宋_GB2312"/>
          <w:sz w:val="32"/>
          <w:szCs w:val="32"/>
          <w:highlight w:val="none"/>
          <w:lang w:val="en-US" w:eastAsia="zh-CN"/>
        </w:rPr>
        <w:t>3000元/人。</w:t>
      </w:r>
    </w:p>
    <w:p>
      <w:pPr>
        <w:pStyle w:val="2"/>
        <w:shd w:val="clear"/>
        <w:ind w:left="0" w:leftChars="0" w:firstLine="640" w:firstLineChars="200"/>
        <w:rPr>
          <w:rFonts w:hint="eastAsia" w:ascii="仿宋_GB2312" w:hAnsi="黑体" w:eastAsia="仿宋_GB2312" w:cs="Times New Roman"/>
          <w:b w:val="0"/>
          <w:bCs w:val="0"/>
          <w:kern w:val="2"/>
          <w:sz w:val="32"/>
          <w:szCs w:val="32"/>
          <w:highlight w:val="none"/>
          <w:lang w:val="en-US" w:eastAsia="zh-CN" w:bidi="ar-SA"/>
        </w:rPr>
      </w:pPr>
      <w:r>
        <w:rPr>
          <w:rFonts w:ascii="仿宋_GB2312" w:hAnsi="黑体" w:eastAsia="仿宋_GB2312" w:cs="Times New Roman"/>
          <w:b w:val="0"/>
          <w:bCs w:val="0"/>
          <w:kern w:val="2"/>
          <w:sz w:val="32"/>
          <w:szCs w:val="32"/>
          <w:highlight w:val="none"/>
          <w:lang w:val="en-US" w:eastAsia="zh-CN" w:bidi="ar-SA"/>
        </w:rPr>
        <w:t>资金执行时间</w:t>
      </w:r>
      <w:r>
        <w:rPr>
          <w:rFonts w:hint="eastAsia" w:ascii="仿宋_GB2312" w:hAnsi="黑体" w:eastAsia="仿宋_GB2312" w:cs="Times New Roman"/>
          <w:b w:val="0"/>
          <w:bCs w:val="0"/>
          <w:kern w:val="2"/>
          <w:sz w:val="32"/>
          <w:szCs w:val="32"/>
          <w:highlight w:val="none"/>
          <w:lang w:val="en-US" w:eastAsia="zh-CN" w:bidi="ar-SA"/>
        </w:rPr>
        <w:t>：202</w:t>
      </w:r>
      <w:r>
        <w:rPr>
          <w:rFonts w:hint="eastAsia" w:hAnsi="黑体" w:cs="Times New Roman"/>
          <w:b w:val="0"/>
          <w:bCs w:val="0"/>
          <w:kern w:val="2"/>
          <w:sz w:val="32"/>
          <w:szCs w:val="32"/>
          <w:highlight w:val="none"/>
          <w:lang w:val="en-US" w:eastAsia="zh-CN" w:bidi="ar-SA"/>
        </w:rPr>
        <w:t>5</w:t>
      </w:r>
      <w:r>
        <w:rPr>
          <w:rFonts w:hint="eastAsia" w:ascii="仿宋_GB2312" w:hAnsi="黑体" w:eastAsia="仿宋_GB2312" w:cs="Times New Roman"/>
          <w:b w:val="0"/>
          <w:bCs w:val="0"/>
          <w:kern w:val="2"/>
          <w:sz w:val="32"/>
          <w:szCs w:val="32"/>
          <w:highlight w:val="none"/>
          <w:lang w:val="en-US" w:eastAsia="zh-CN" w:bidi="ar-SA"/>
        </w:rPr>
        <w:t>年1月1日-202</w:t>
      </w:r>
      <w:r>
        <w:rPr>
          <w:rFonts w:hint="eastAsia" w:hAnsi="黑体" w:cs="Times New Roman"/>
          <w:b w:val="0"/>
          <w:bCs w:val="0"/>
          <w:kern w:val="2"/>
          <w:sz w:val="32"/>
          <w:szCs w:val="32"/>
          <w:highlight w:val="none"/>
          <w:lang w:val="en-US" w:eastAsia="zh-CN" w:bidi="ar-SA"/>
        </w:rPr>
        <w:t>5</w:t>
      </w:r>
      <w:r>
        <w:rPr>
          <w:rFonts w:hint="eastAsia" w:ascii="仿宋_GB2312" w:hAnsi="黑体" w:eastAsia="仿宋_GB2312" w:cs="Times New Roman"/>
          <w:b w:val="0"/>
          <w:bCs w:val="0"/>
          <w:kern w:val="2"/>
          <w:sz w:val="32"/>
          <w:szCs w:val="32"/>
          <w:highlight w:val="none"/>
          <w:lang w:val="en-US" w:eastAsia="zh-CN" w:bidi="ar-SA"/>
        </w:rPr>
        <w:t>年12月31日</w:t>
      </w:r>
    </w:p>
    <w:p>
      <w:pPr>
        <w:numPr>
          <w:ilvl w:val="0"/>
          <w:numId w:val="0"/>
        </w:numPr>
        <w:shd w:val="clear"/>
        <w:spacing w:line="56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年中央财政就业补助资金项目</w:t>
      </w:r>
    </w:p>
    <w:p>
      <w:pPr>
        <w:numPr>
          <w:ilvl w:val="0"/>
          <w:numId w:val="0"/>
        </w:numPr>
        <w:shd w:val="clea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设立的政策依据：昌州财社（202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80</w:t>
      </w:r>
      <w:r>
        <w:rPr>
          <w:rFonts w:hint="eastAsia" w:ascii="仿宋_GB2312" w:hAnsi="黑体" w:eastAsia="仿宋_GB2312"/>
          <w:sz w:val="32"/>
          <w:szCs w:val="32"/>
          <w:highlight w:val="none"/>
        </w:rPr>
        <w:t>号</w:t>
      </w:r>
      <w:r>
        <w:rPr>
          <w:rFonts w:hint="eastAsia" w:ascii="仿宋_GB2312" w:hAnsi="黑体" w:eastAsia="仿宋_GB2312"/>
          <w:sz w:val="32"/>
          <w:szCs w:val="32"/>
          <w:highlight w:val="none"/>
          <w:lang w:eastAsia="zh-CN"/>
        </w:rPr>
        <w:t>关于提前下达</w:t>
      </w:r>
      <w:r>
        <w:rPr>
          <w:rFonts w:hint="eastAsia" w:ascii="仿宋_GB2312" w:hAnsi="黑体" w:eastAsia="仿宋_GB2312"/>
          <w:sz w:val="32"/>
          <w:szCs w:val="32"/>
          <w:highlight w:val="none"/>
          <w:lang w:val="en-US" w:eastAsia="zh-CN"/>
        </w:rPr>
        <w:t>2025年中央财政就业补助资金预算的通知</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1682</w:t>
      </w:r>
      <w:r>
        <w:rPr>
          <w:rFonts w:hint="eastAsia" w:ascii="仿宋_GB2312" w:hAnsi="黑体" w:eastAsia="仿宋_GB2312"/>
          <w:sz w:val="32"/>
          <w:szCs w:val="32"/>
          <w:highlight w:val="none"/>
        </w:rPr>
        <w:t>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：呼图壁县人力资源和社会保障局</w:t>
      </w:r>
    </w:p>
    <w:p>
      <w:pPr>
        <w:shd w:val="clear"/>
        <w:spacing w:line="560" w:lineRule="exact"/>
        <w:ind w:firstLine="640" w:firstLineChars="200"/>
        <w:rPr>
          <w:rFonts w:hint="default" w:ascii="仿宋_GB2312" w:hAnsi="黑体" w:eastAsia="仿宋_GB2312"/>
          <w:sz w:val="32"/>
          <w:szCs w:val="32"/>
          <w:highlight w:val="none"/>
          <w:lang w:val="en-US"/>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灵活就业社会保险补贴、自主创业社会保险补贴、企业吸纳高校毕业生社会保险补贴、企业吸纳一般劳动者社会保险补贴、企业吸纳困难员工社会保险补贴、企业吸纳见习人员生活补贴、公益岗社会保险补贴及岗位补贴，高校毕业生求职创业补贴共计</w:t>
      </w:r>
      <w:r>
        <w:rPr>
          <w:rFonts w:hint="eastAsia" w:ascii="仿宋_GB2312" w:hAnsi="黑体" w:eastAsia="仿宋_GB2312"/>
          <w:sz w:val="32"/>
          <w:szCs w:val="32"/>
          <w:highlight w:val="none"/>
          <w:lang w:val="en-US" w:eastAsia="zh-CN"/>
        </w:rPr>
        <w:t>1682万元。</w:t>
      </w:r>
    </w:p>
    <w:p>
      <w:pPr>
        <w:shd w:val="clea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kern w:val="0"/>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13.51%，</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主要原因2024年-2025年均未安排此项经费</w:t>
      </w:r>
      <w:r>
        <w:rPr>
          <w:rFonts w:hint="eastAsia" w:ascii="仿宋_GB2312" w:hAnsi="宋体" w:eastAsia="仿宋_GB2312" w:cs="宋体"/>
          <w:kern w:val="0"/>
          <w:sz w:val="32"/>
          <w:szCs w:val="32"/>
          <w:highlight w:val="none"/>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是2024年-2025年均未安排此项经费；</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主要原因是按照上级关于政府部门过紧日子相关部署及预算资金只减不增相关要求，严格控制车辆运行费用；公务接待费减少</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主要原因是厉行节约，严格控制公务接待支出。</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highlight w:val="none"/>
        </w:rPr>
        <w:t>呼图壁县人力资源和社会保障局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上年结转结余11.09万元，包括：财政拨款11.09万元，非财政拨款0万元，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1.2024年为民办实事经费3.39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主要用于：“访惠聚”工作队为民办实事相关费用支出。</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2.2024年高校毕业生“三支一扶”计划中央财政补助资金7.7万元，主要用于高校毕业生“三支一扶”工作生活补助、一次性安家费补助支出等。</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37.4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 xml:space="preserve">1.02 </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2.83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单位人员增加公用经费增加、单位公用暖气费用上调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rPr>
        <w:t>政府采购预</w:t>
      </w:r>
      <w:r>
        <w:rPr>
          <w:rFonts w:hint="eastAsia" w:ascii="仿宋_GB2312" w:hAnsi="仿宋_GB2312" w:eastAsia="仿宋_GB2312" w:cs="仿宋_GB2312"/>
          <w:sz w:val="32"/>
          <w:szCs w:val="32"/>
          <w:highlight w:val="none"/>
        </w:rPr>
        <w:t xml:space="preserve">算 </w:t>
      </w:r>
      <w:r>
        <w:rPr>
          <w:rFonts w:hint="eastAsia" w:ascii="仿宋_GB2312" w:hAnsi="仿宋_GB2312" w:eastAsia="仿宋_GB2312" w:cs="仿宋_GB2312"/>
          <w:sz w:val="32"/>
          <w:szCs w:val="32"/>
          <w:highlight w:val="none"/>
          <w:lang w:val="en-US" w:eastAsia="zh-CN"/>
        </w:rPr>
        <w:t>63.32</w:t>
      </w:r>
      <w:r>
        <w:rPr>
          <w:rFonts w:hint="eastAsia" w:ascii="仿宋_GB2312" w:hAnsi="仿宋_GB2312" w:eastAsia="仿宋_GB2312" w:cs="仿宋_GB2312"/>
          <w:sz w:val="32"/>
          <w:szCs w:val="32"/>
          <w:highlight w:val="none"/>
        </w:rPr>
        <w:t>万元，其中：政府采购货物预算</w:t>
      </w:r>
      <w:r>
        <w:rPr>
          <w:rFonts w:hint="eastAsia" w:ascii="仿宋_GB2312" w:hAnsi="仿宋_GB2312" w:eastAsia="仿宋_GB2312" w:cs="仿宋_GB2312"/>
          <w:sz w:val="32"/>
          <w:szCs w:val="32"/>
          <w:highlight w:val="none"/>
          <w:lang w:val="en-US" w:eastAsia="zh-CN"/>
        </w:rPr>
        <w:t>63.32</w:t>
      </w:r>
      <w:r>
        <w:rPr>
          <w:rFonts w:hint="eastAsia" w:ascii="仿宋_GB2312" w:hAnsi="仿宋_GB2312" w:eastAsia="仿宋_GB2312" w:cs="仿宋_GB2312"/>
          <w:sz w:val="32"/>
          <w:szCs w:val="32"/>
          <w:highlight w:val="none"/>
        </w:rPr>
        <w:t>万元，政府采</w:t>
      </w:r>
      <w:r>
        <w:rPr>
          <w:rFonts w:hint="eastAsia" w:ascii="仿宋_GB2312" w:hAnsi="仿宋_GB2312" w:eastAsia="仿宋_GB2312" w:cs="仿宋_GB2312"/>
          <w:color w:val="auto"/>
          <w:kern w:val="0"/>
          <w:sz w:val="32"/>
          <w:szCs w:val="32"/>
          <w:highlight w:val="none"/>
        </w:rPr>
        <w:t xml:space="preserve">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50.27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highlight w:val="none"/>
        </w:rPr>
        <w:t>呼图壁县人力资源和社会保障局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63.32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63.32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sz w:val="32"/>
          <w:szCs w:val="32"/>
          <w:highlight w:val="none"/>
        </w:rPr>
        <w:t>呼图壁县人力资源和社会保障局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kern w:val="0"/>
          <w:sz w:val="32"/>
          <w:szCs w:val="32"/>
          <w:highlight w:val="none"/>
        </w:rPr>
        <w:t>20.16</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5.16</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59.12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154.02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仿宋_GB2312" w:hAnsi="仿宋_GB2312" w:eastAsia="仿宋_GB2312" w:cs="仿宋_GB2312"/>
          <w:color w:val="auto"/>
          <w:kern w:val="0"/>
          <w:sz w:val="32"/>
          <w:szCs w:val="32"/>
          <w:highlight w:val="none"/>
        </w:rPr>
        <w:t>202</w:t>
      </w:r>
      <w:r>
        <w:rPr>
          <w:rFonts w:hint="default"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整体预算绩效目标1个，涉及预算金额3563万元；当年预算安排项目共5个，其中: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val="en-US" w:eastAsia="zh-CN"/>
        </w:rPr>
        <w:t>项目涉及预算金额2267.88万元；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0"/>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585"/>
        <w:gridCol w:w="13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val="0"/>
                <w:bCs/>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张梅梅</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18109946860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tabs>
                <w:tab w:val="left" w:pos="1228"/>
              </w:tabs>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构建就业服务、社保服务、人才服务、劳动维权服务、人社公共服务“五大服务体系”，实施“五大行动”狠抓工作各项工作落实。大力实施高质量抓就业创业稳岗促增收行动、大力实施城乡劳动力精准培训促就业行动、政策资金落实促稳岗、实施社会保障全覆盖行动、实施根治农民工工资“安薪”行动。把握“稳中求进、以进促稳、先立后破”的新要求，落实就业优先战略，推动实现更高质量和更充分就业，着力健全多层次社会保障体系，创新人事人才工作新格局，构建和谐稳定的劳动关系；思想解放和深化改革贯彻落实并举，高质量完成保障和改善民生的各项任务，奋力开创人社事业发展新局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997.88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1950.12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享受社会保险补贴的人数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&gt;=1750人次</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新增城镇就业人数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&gt;=3000人</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就业困难人员就业人数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&gt;=200人</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为企业招聘引才实现就业人数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&gt;=655人</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开展各类职业技能培训人数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&gt;=4000人</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开展补贴性职业技能培训人数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&gt;=2000人</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取得职业技能等级证书人数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&gt;=200人</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企业劳动合同签订率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&gt;=95%</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劳动仲裁调解及时率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呼图壁县人力资源和社会保障局 2024 年工作总结和 2025 年工作计划</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bl>
    <w:p>
      <w:pPr>
        <w:keepNext w:val="0"/>
        <w:keepLines w:val="0"/>
        <w:pageBreakBefore w:val="0"/>
        <w:widowControl w:val="0"/>
        <w:shd w:val="clea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shd w:val="clear"/>
        <w:rPr>
          <w:rFonts w:hint="eastAsia" w:ascii="仿宋_GB2312" w:hAnsi="仿宋_GB2312" w:eastAsia="仿宋_GB2312" w:cs="仿宋_GB2312"/>
          <w:b/>
          <w:kern w:val="0"/>
          <w:sz w:val="32"/>
          <w:szCs w:val="32"/>
          <w:highlight w:val="none"/>
        </w:rPr>
      </w:pPr>
    </w:p>
    <w:p>
      <w:pPr>
        <w:shd w:val="clear"/>
        <w:rPr>
          <w:rFonts w:hint="eastAsia" w:ascii="仿宋_GB2312" w:hAnsi="仿宋_GB2312" w:eastAsia="仿宋_GB2312" w:cs="仿宋_GB2312"/>
          <w:b/>
          <w:kern w:val="0"/>
          <w:sz w:val="32"/>
          <w:szCs w:val="32"/>
          <w:highlight w:val="none"/>
        </w:rPr>
      </w:pPr>
    </w:p>
    <w:p>
      <w:pPr>
        <w:pStyle w:val="2"/>
        <w:shd w:val="clear"/>
        <w:rPr>
          <w:rFonts w:hint="eastAsia" w:ascii="仿宋_GB2312" w:hAnsi="仿宋_GB2312" w:eastAsia="仿宋_GB2312" w:cs="仿宋_GB2312"/>
          <w:b/>
          <w:kern w:val="0"/>
          <w:sz w:val="32"/>
          <w:szCs w:val="32"/>
          <w:highlight w:val="none"/>
        </w:rPr>
      </w:pPr>
    </w:p>
    <w:p>
      <w:pPr>
        <w:shd w:val="clear"/>
        <w:rPr>
          <w:rFonts w:hint="eastAsia" w:ascii="仿宋_GB2312" w:hAnsi="仿宋_GB2312" w:eastAsia="仿宋_GB2312" w:cs="仿宋_GB2312"/>
          <w:b/>
          <w:kern w:val="0"/>
          <w:sz w:val="32"/>
          <w:szCs w:val="32"/>
          <w:highlight w:val="none"/>
        </w:rPr>
      </w:pPr>
    </w:p>
    <w:p>
      <w:pPr>
        <w:pStyle w:val="2"/>
        <w:shd w:val="clear"/>
        <w:rPr>
          <w:rFonts w:hint="eastAsia" w:ascii="仿宋_GB2312" w:hAnsi="仿宋_GB2312" w:eastAsia="仿宋_GB2312" w:cs="仿宋_GB2312"/>
          <w:b/>
          <w:kern w:val="0"/>
          <w:sz w:val="32"/>
          <w:szCs w:val="32"/>
          <w:highlight w:val="none"/>
        </w:rPr>
      </w:pPr>
    </w:p>
    <w:p>
      <w:pPr>
        <w:shd w:val="clear"/>
        <w:rPr>
          <w:rFonts w:hint="eastAsia" w:ascii="仿宋_GB2312" w:hAnsi="仿宋_GB2312" w:eastAsia="仿宋_GB2312" w:cs="仿宋_GB2312"/>
          <w:b/>
          <w:kern w:val="0"/>
          <w:sz w:val="32"/>
          <w:szCs w:val="32"/>
          <w:highlight w:val="none"/>
        </w:rPr>
      </w:pPr>
    </w:p>
    <w:p>
      <w:pPr>
        <w:pStyle w:val="2"/>
        <w:shd w:val="clear"/>
        <w:rPr>
          <w:rFonts w:hint="eastAsia"/>
          <w:highlight w:val="none"/>
        </w:rPr>
      </w:pPr>
    </w:p>
    <w:tbl>
      <w:tblPr>
        <w:tblStyle w:val="10"/>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1117"/>
        <w:gridCol w:w="1022"/>
        <w:gridCol w:w="1200"/>
        <w:gridCol w:w="834"/>
        <w:gridCol w:w="855"/>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val="0"/>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b w:val="0"/>
                <w:bCs/>
                <w:i w:val="0"/>
                <w:iCs w:val="0"/>
                <w:color w:val="000000"/>
                <w:sz w:val="24"/>
                <w:szCs w:val="24"/>
                <w:highlight w:val="none"/>
                <w:u w:val="none"/>
                <w:lang w:eastAsia="zh-Hans"/>
              </w:rPr>
            </w:pPr>
            <w:r>
              <w:rPr>
                <w:rFonts w:hint="eastAsia" w:ascii="宋体" w:hAnsi="宋体" w:eastAsia="宋体" w:cs="宋体"/>
                <w:b w:val="0"/>
                <w:bCs/>
                <w:color w:val="000000"/>
                <w:kern w:val="2"/>
                <w:sz w:val="22"/>
                <w:szCs w:val="22"/>
                <w:highlight w:val="none"/>
                <w:lang w:val="en-US" w:eastAsia="zh-Hans" w:bidi="ar-SA"/>
              </w:rPr>
              <w:t>（</w:t>
            </w:r>
            <w:r>
              <w:rPr>
                <w:rFonts w:hint="default" w:ascii="宋体" w:hAnsi="宋体" w:eastAsia="宋体" w:cs="宋体"/>
                <w:b w:val="0"/>
                <w:bCs/>
                <w:color w:val="000000"/>
                <w:kern w:val="2"/>
                <w:sz w:val="22"/>
                <w:szCs w:val="22"/>
                <w:highlight w:val="none"/>
                <w:lang w:eastAsia="zh-Hans" w:bidi="ar-SA"/>
              </w:rPr>
              <w:t>202</w:t>
            </w:r>
            <w:r>
              <w:rPr>
                <w:rFonts w:hint="eastAsia" w:ascii="宋体" w:hAnsi="宋体" w:cs="宋体"/>
                <w:b w:val="0"/>
                <w:bCs/>
                <w:color w:val="000000"/>
                <w:kern w:val="2"/>
                <w:sz w:val="22"/>
                <w:szCs w:val="22"/>
                <w:highlight w:val="none"/>
                <w:lang w:val="en-US" w:eastAsia="zh-CN" w:bidi="ar-SA"/>
              </w:rPr>
              <w:t>5</w:t>
            </w:r>
            <w:r>
              <w:rPr>
                <w:rFonts w:hint="eastAsia" w:ascii="宋体" w:hAnsi="宋体" w:eastAsia="宋体" w:cs="宋体"/>
                <w:b w:val="0"/>
                <w:bCs/>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项目名称</w:t>
            </w:r>
          </w:p>
        </w:tc>
        <w:tc>
          <w:tcPr>
            <w:tcW w:w="3446"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202</w:t>
            </w:r>
            <w:r>
              <w:rPr>
                <w:rFonts w:hint="eastAsia" w:ascii="宋体" w:hAnsi="宋体" w:eastAsia="宋体" w:cs="宋体"/>
                <w:b w:val="0"/>
                <w:bCs/>
                <w:i w:val="0"/>
                <w:iCs w:val="0"/>
                <w:color w:val="000000"/>
                <w:sz w:val="18"/>
                <w:szCs w:val="18"/>
                <w:highlight w:val="none"/>
                <w:u w:val="none"/>
                <w:lang w:val="en-US" w:eastAsia="zh-CN"/>
              </w:rPr>
              <w:t>5</w:t>
            </w:r>
            <w:r>
              <w:rPr>
                <w:rFonts w:hint="eastAsia" w:ascii="宋体" w:hAnsi="宋体" w:eastAsia="宋体" w:cs="宋体"/>
                <w:b w:val="0"/>
                <w:bCs/>
                <w:i w:val="0"/>
                <w:iCs w:val="0"/>
                <w:color w:val="000000"/>
                <w:sz w:val="18"/>
                <w:szCs w:val="18"/>
                <w:highlight w:val="none"/>
                <w:u w:val="none"/>
              </w:rPr>
              <w:t>年劳动监察工作经费</w:t>
            </w:r>
          </w:p>
        </w:tc>
        <w:tc>
          <w:tcPr>
            <w:tcW w:w="20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年度预算总额：</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i w:val="0"/>
                <w:iCs w:val="0"/>
                <w:color w:val="000000"/>
                <w:sz w:val="18"/>
                <w:szCs w:val="18"/>
                <w:highlight w:val="none"/>
                <w:u w:val="none"/>
                <w:lang w:val="en-US" w:eastAsia="zh-CN"/>
              </w:rPr>
              <w:t>2</w:t>
            </w:r>
          </w:p>
        </w:tc>
        <w:tc>
          <w:tcPr>
            <w:tcW w:w="102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其中：财政拨款</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i w:val="0"/>
                <w:iCs w:val="0"/>
                <w:color w:val="000000"/>
                <w:sz w:val="18"/>
                <w:szCs w:val="18"/>
                <w:highlight w:val="none"/>
                <w:u w:val="none"/>
                <w:lang w:val="en-US" w:eastAsia="zh-CN"/>
              </w:rPr>
              <w:t>2</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有效化解我县各类单位拖欠农民工工资工资的开展，及时维护劳动者合法权益，维护我县社会稳定大局。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三级指标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指标值</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指标值设置依据</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上年完成值</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劳动监察受理案件数</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color w:val="000000"/>
                <w:sz w:val="18"/>
                <w:szCs w:val="18"/>
                <w:highlight w:val="none"/>
                <w:lang w:val="en-US" w:eastAsia="zh-CN"/>
              </w:rPr>
              <w:t>≥300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lang w:val="en-US" w:eastAsia="zh-CN"/>
              </w:rPr>
              <w:t>300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color w:val="000000"/>
                <w:sz w:val="18"/>
                <w:szCs w:val="18"/>
                <w:highlight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highlight w:val="none"/>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劳动监察部门结案率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lang w:eastAsia="zh-CN"/>
              </w:rPr>
              <w:t>＝</w:t>
            </w:r>
            <w:r>
              <w:rPr>
                <w:rFonts w:hint="eastAsia" w:ascii="宋体" w:hAnsi="宋体" w:cs="宋体"/>
                <w:b w:val="0"/>
                <w:bCs/>
                <w:color w:val="000000"/>
                <w:sz w:val="18"/>
                <w:szCs w:val="18"/>
                <w:highlight w:val="none"/>
              </w:rPr>
              <w:t>100%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100%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color w:val="000000"/>
                <w:sz w:val="18"/>
                <w:szCs w:val="18"/>
                <w:highlight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highlight w:val="none"/>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widowControl/>
              <w:shd w:val="clear"/>
              <w:jc w:val="center"/>
              <w:textAlignment w:val="center"/>
              <w:rPr>
                <w:rFonts w:hint="eastAsia" w:ascii="宋体" w:hAnsi="宋体" w:cs="宋体"/>
                <w:b w:val="0"/>
                <w:bCs/>
                <w:color w:val="000000"/>
                <w:kern w:val="0"/>
                <w:sz w:val="18"/>
                <w:szCs w:val="18"/>
                <w:highlight w:val="none"/>
                <w:lang w:bidi="ar"/>
              </w:rPr>
            </w:pPr>
            <w:r>
              <w:rPr>
                <w:rFonts w:hint="eastAsia" w:ascii="宋体" w:hAnsi="宋体" w:cs="宋体"/>
                <w:b w:val="0"/>
                <w:bCs/>
                <w:color w:val="000000"/>
                <w:kern w:val="0"/>
                <w:sz w:val="18"/>
                <w:szCs w:val="18"/>
                <w:highlight w:val="none"/>
                <w:lang w:bidi="ar"/>
              </w:rPr>
              <w:t>时效指标</w:t>
            </w:r>
          </w:p>
          <w:p>
            <w:pPr>
              <w:widowControl/>
              <w:shd w:val="clear"/>
              <w:jc w:val="center"/>
              <w:textAlignment w:val="center"/>
              <w:rPr>
                <w:rFonts w:hint="eastAsia" w:ascii="宋体" w:hAnsi="宋体" w:cs="宋体"/>
                <w:b w:val="0"/>
                <w:bCs/>
                <w:color w:val="000000"/>
                <w:kern w:val="0"/>
                <w:sz w:val="18"/>
                <w:szCs w:val="18"/>
                <w:highlight w:val="none"/>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项目执行及时率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lang w:eastAsia="zh-CN"/>
              </w:rPr>
              <w:t>＝</w:t>
            </w:r>
            <w:r>
              <w:rPr>
                <w:rFonts w:hint="eastAsia" w:ascii="宋体" w:hAnsi="宋体" w:cs="宋体"/>
                <w:b w:val="0"/>
                <w:bCs/>
                <w:color w:val="000000"/>
                <w:sz w:val="18"/>
                <w:szCs w:val="18"/>
                <w:highlight w:val="none"/>
              </w:rPr>
              <w:t>100%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100%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color w:val="000000"/>
                <w:sz w:val="18"/>
                <w:szCs w:val="18"/>
                <w:highlight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highlight w:val="none"/>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cs="宋体"/>
                <w:b w:val="0"/>
                <w:bCs/>
                <w:color w:val="000000"/>
                <w:kern w:val="0"/>
                <w:sz w:val="18"/>
                <w:szCs w:val="18"/>
                <w:highlight w:val="none"/>
                <w:lang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cs="宋体"/>
                <w:b w:val="0"/>
                <w:bCs/>
                <w:color w:val="000000"/>
                <w:kern w:val="0"/>
                <w:sz w:val="18"/>
                <w:szCs w:val="18"/>
                <w:highlight w:val="none"/>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cs="宋体"/>
                <w:b w:val="0"/>
                <w:bCs/>
                <w:color w:val="000000"/>
                <w:sz w:val="18"/>
                <w:szCs w:val="18"/>
                <w:highlight w:val="none"/>
              </w:rPr>
            </w:pPr>
            <w:r>
              <w:rPr>
                <w:rFonts w:hint="eastAsia" w:ascii="宋体" w:hAnsi="宋体" w:cs="宋体"/>
                <w:b w:val="0"/>
                <w:bCs/>
                <w:color w:val="000000"/>
                <w:sz w:val="18"/>
                <w:szCs w:val="18"/>
                <w:highlight w:val="none"/>
              </w:rPr>
              <w:t>劳动监察受理案件结案及时率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highlight w:val="none"/>
                <w:lang w:eastAsia="zh-CN"/>
              </w:rPr>
              <w:t>＝</w:t>
            </w:r>
            <w:r>
              <w:rPr>
                <w:rFonts w:hint="eastAsia" w:ascii="宋体" w:hAnsi="宋体" w:cs="宋体"/>
                <w:b w:val="0"/>
                <w:bCs/>
                <w:color w:val="000000"/>
                <w:sz w:val="18"/>
                <w:szCs w:val="18"/>
                <w:highlight w:val="none"/>
              </w:rPr>
              <w:t>100%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highlight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highlight w:val="none"/>
              </w:rPr>
              <w:t>100%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kern w:val="2"/>
                <w:sz w:val="18"/>
                <w:szCs w:val="18"/>
                <w:highlight w:val="none"/>
                <w:u w:val="none"/>
                <w:lang w:val="en-US" w:eastAsia="zh-CN" w:bidi="ar-SA"/>
              </w:rPr>
            </w:pPr>
            <w:r>
              <w:rPr>
                <w:rFonts w:hint="eastAsia" w:ascii="宋体" w:hAnsi="宋体" w:eastAsia="宋体" w:cs="宋体"/>
                <w:b w:val="0"/>
                <w:bCs/>
                <w:color w:val="000000"/>
                <w:sz w:val="18"/>
                <w:szCs w:val="18"/>
                <w:highlight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kern w:val="0"/>
                <w:sz w:val="20"/>
                <w:szCs w:val="20"/>
                <w:highlight w:val="none"/>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cs="宋体"/>
                <w:b w:val="0"/>
                <w:bCs/>
                <w:color w:val="000000"/>
                <w:sz w:val="18"/>
                <w:szCs w:val="18"/>
                <w:highlight w:val="none"/>
              </w:rPr>
            </w:pPr>
            <w:r>
              <w:rPr>
                <w:rFonts w:hint="eastAsia" w:ascii="宋体" w:hAnsi="宋体" w:cs="宋体"/>
                <w:b w:val="0"/>
                <w:bCs/>
                <w:color w:val="000000"/>
                <w:sz w:val="18"/>
                <w:szCs w:val="18"/>
                <w:highlight w:val="none"/>
              </w:rPr>
              <w:t>劳动监察工作经费支出成本控制率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cs="宋体"/>
                <w:b w:val="0"/>
                <w:bCs/>
                <w:color w:val="000000"/>
                <w:sz w:val="18"/>
                <w:szCs w:val="18"/>
                <w:highlight w:val="none"/>
              </w:rPr>
            </w:pPr>
            <w:r>
              <w:rPr>
                <w:rFonts w:hint="eastAsia" w:ascii="宋体" w:hAnsi="宋体" w:cs="宋体"/>
                <w:b w:val="0"/>
                <w:bCs/>
                <w:color w:val="000000"/>
                <w:sz w:val="18"/>
                <w:szCs w:val="18"/>
                <w:highlight w:val="none"/>
              </w:rPr>
              <w:t>≤100%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100%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color w:val="000000"/>
                <w:sz w:val="18"/>
                <w:szCs w:val="18"/>
                <w:highlight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highlight w:val="none"/>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highlight w:val="none"/>
              </w:rPr>
              <w:t>有效化解用工企业拖欠工资等问题</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有效解决</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有效解决</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color w:val="000000"/>
                <w:sz w:val="18"/>
                <w:szCs w:val="18"/>
                <w:highlight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highlight w:val="none"/>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highlight w:val="none"/>
                <w:lang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被拖欠工资的农民工满意度</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≥9</w:t>
            </w:r>
            <w:r>
              <w:rPr>
                <w:rFonts w:hint="eastAsia" w:ascii="宋体" w:hAnsi="宋体" w:cs="宋体"/>
                <w:b w:val="0"/>
                <w:bCs/>
                <w:color w:val="000000"/>
                <w:sz w:val="18"/>
                <w:szCs w:val="18"/>
                <w:highlight w:val="none"/>
                <w:lang w:val="en-US" w:eastAsia="zh-CN"/>
              </w:rPr>
              <w:t>2</w:t>
            </w:r>
            <w:r>
              <w:rPr>
                <w:rFonts w:hint="eastAsia" w:ascii="宋体" w:hAnsi="宋体" w:cs="宋体"/>
                <w:b w:val="0"/>
                <w:bCs/>
                <w:color w:val="000000"/>
                <w:sz w:val="18"/>
                <w:szCs w:val="18"/>
                <w:highlight w:val="none"/>
              </w:rPr>
              <w:t>%</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≥9</w:t>
            </w:r>
            <w:r>
              <w:rPr>
                <w:rFonts w:hint="eastAsia" w:ascii="宋体" w:hAnsi="宋体" w:cs="宋体"/>
                <w:b w:val="0"/>
                <w:bCs/>
                <w:color w:val="000000"/>
                <w:sz w:val="18"/>
                <w:szCs w:val="18"/>
                <w:highlight w:val="none"/>
                <w:lang w:val="en-US" w:eastAsia="zh-CN"/>
              </w:rPr>
              <w:t>2</w:t>
            </w:r>
            <w:r>
              <w:rPr>
                <w:rFonts w:hint="eastAsia" w:ascii="宋体" w:hAnsi="宋体" w:cs="宋体"/>
                <w:b w:val="0"/>
                <w:bCs/>
                <w:color w:val="000000"/>
                <w:sz w:val="18"/>
                <w:szCs w:val="18"/>
                <w:highlight w:val="none"/>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≥9</w:t>
            </w:r>
            <w:r>
              <w:rPr>
                <w:rFonts w:hint="eastAsia" w:ascii="宋体" w:hAnsi="宋体" w:cs="宋体"/>
                <w:b w:val="0"/>
                <w:bCs/>
                <w:color w:val="000000"/>
                <w:sz w:val="18"/>
                <w:szCs w:val="18"/>
                <w:highlight w:val="none"/>
                <w:lang w:val="en-US" w:eastAsia="zh-CN"/>
              </w:rPr>
              <w:t>2</w:t>
            </w:r>
            <w:r>
              <w:rPr>
                <w:rFonts w:hint="eastAsia" w:ascii="宋体" w:hAnsi="宋体" w:cs="宋体"/>
                <w:b w:val="0"/>
                <w:bCs/>
                <w:color w:val="000000"/>
                <w:sz w:val="18"/>
                <w:szCs w:val="18"/>
                <w:highlight w:val="none"/>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color w:val="000000"/>
                <w:sz w:val="18"/>
                <w:szCs w:val="18"/>
                <w:highlight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highlight w:val="none"/>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highlight w:val="none"/>
              </w:rPr>
              <w:t>原始凭证</w:t>
            </w:r>
          </w:p>
        </w:tc>
      </w:tr>
    </w:tbl>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2"/>
        <w:shd w:val="clear"/>
        <w:rPr>
          <w:rFonts w:hint="eastAsia" w:ascii="楷体_GB2312" w:hAnsi="宋体" w:eastAsia="楷体_GB2312" w:cs="宋体"/>
          <w:b/>
          <w:kern w:val="0"/>
          <w:sz w:val="32"/>
          <w:szCs w:val="32"/>
          <w:highlight w:val="none"/>
        </w:rPr>
      </w:pPr>
    </w:p>
    <w:p>
      <w:pPr>
        <w:shd w:val="clear"/>
        <w:rPr>
          <w:rFonts w:hint="eastAsia" w:ascii="楷体_GB2312" w:hAnsi="宋体" w:eastAsia="楷体_GB2312" w:cs="宋体"/>
          <w:b/>
          <w:kern w:val="0"/>
          <w:sz w:val="32"/>
          <w:szCs w:val="32"/>
          <w:highlight w:val="none"/>
        </w:rPr>
      </w:pPr>
    </w:p>
    <w:p>
      <w:pPr>
        <w:pStyle w:val="2"/>
        <w:shd w:val="clear"/>
        <w:rPr>
          <w:rFonts w:hint="eastAsia" w:ascii="楷体_GB2312" w:hAnsi="宋体" w:eastAsia="楷体_GB2312" w:cs="宋体"/>
          <w:b/>
          <w:kern w:val="0"/>
          <w:sz w:val="32"/>
          <w:szCs w:val="32"/>
          <w:highlight w:val="none"/>
        </w:rPr>
      </w:pPr>
    </w:p>
    <w:tbl>
      <w:tblPr>
        <w:tblStyle w:val="10"/>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1117"/>
        <w:gridCol w:w="1022"/>
        <w:gridCol w:w="1200"/>
        <w:gridCol w:w="834"/>
        <w:gridCol w:w="855"/>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46"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2024年档案管理经费</w:t>
            </w:r>
          </w:p>
        </w:tc>
        <w:tc>
          <w:tcPr>
            <w:tcW w:w="20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102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做好我县的人事档案的整理管理科学化、规范化水平工作，为全县人民提供好人事档案的服务，进一步提高服务水平。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享受人事档案基本公共服务的人数</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&gt;=2万人</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高</w:t>
            </w:r>
            <w:r>
              <w:rPr>
                <w:rFonts w:hint="eastAsia" w:ascii="宋体" w:hAnsi="宋体" w:eastAsia="宋体" w:cs="宋体"/>
                <w:i w:val="0"/>
                <w:iCs w:val="0"/>
                <w:color w:val="000000"/>
                <w:sz w:val="18"/>
                <w:szCs w:val="18"/>
                <w:highlight w:val="none"/>
                <w:u w:val="none"/>
              </w:rPr>
              <w:t>校毕业生转递档案人数</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&gt;=1000人</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2"/>
                <w:sz w:val="18"/>
                <w:szCs w:val="18"/>
                <w:highlight w:val="none"/>
                <w:u w:val="none"/>
                <w:lang w:val="en-US" w:eastAsia="zh-CN" w:bidi="ar-SA"/>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企业职工查、借阅档案数量</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&gt;=500人</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2"/>
                <w:sz w:val="18"/>
                <w:szCs w:val="18"/>
                <w:highlight w:val="none"/>
                <w:u w:val="none"/>
                <w:lang w:val="en-US" w:eastAsia="zh-CN" w:bidi="ar-SA"/>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事业干部人事档案查阅人次</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&gt;=2500人次</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2"/>
                <w:sz w:val="18"/>
                <w:szCs w:val="18"/>
                <w:highlight w:val="none"/>
                <w:u w:val="none"/>
                <w:lang w:val="en-US" w:eastAsia="zh-CN" w:bidi="ar-SA"/>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档案管理经费保障的准确率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2"/>
                <w:sz w:val="18"/>
                <w:szCs w:val="18"/>
                <w:highlight w:val="none"/>
                <w:u w:val="none"/>
                <w:lang w:val="en-US" w:eastAsia="zh-CN" w:bidi="ar-SA"/>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kern w:val="2"/>
                <w:sz w:val="18"/>
                <w:szCs w:val="18"/>
                <w:highlight w:val="none"/>
                <w:u w:val="none"/>
                <w:lang w:val="en-US" w:eastAsia="zh-CN" w:bidi="ar-SA"/>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确保人才流动和档案管理工作的整体稳定</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效果明显</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人事档案基本公共服务对象满意度</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90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pStyle w:val="2"/>
        <w:shd w:val="clear"/>
        <w:ind w:left="0" w:leftChars="0" w:firstLine="0" w:firstLineChars="0"/>
        <w:rPr>
          <w:rFonts w:hint="eastAsia"/>
          <w:highlight w:val="none"/>
        </w:rPr>
      </w:pPr>
    </w:p>
    <w:tbl>
      <w:tblPr>
        <w:tblStyle w:val="10"/>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1117"/>
        <w:gridCol w:w="1022"/>
        <w:gridCol w:w="1200"/>
        <w:gridCol w:w="834"/>
        <w:gridCol w:w="855"/>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46"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高校毕业生“三支一扶”计划项目资金</w:t>
            </w:r>
          </w:p>
        </w:tc>
        <w:tc>
          <w:tcPr>
            <w:tcW w:w="20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73.88</w:t>
            </w:r>
          </w:p>
        </w:tc>
        <w:tc>
          <w:tcPr>
            <w:tcW w:w="102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73.88</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rPr>
            </w:pPr>
            <w:r>
              <w:rPr>
                <w:rFonts w:hint="eastAsia"/>
                <w:highlight w:val="none"/>
              </w:rPr>
              <w:t>本项目拟投入73.875万元用于完成三支一扶工资以及安家费发放，通过项目的实施，为基层输送一批急需紧缺人才，开展“三支一扶”人员能力提升专项培训，提升“三支一扶”人员服务基层能力素质。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享受三支一扶补助人数</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eastAsia="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rPr>
              <w:t>0人</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29人</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岗前培训效果达标率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94</w:t>
            </w:r>
            <w:r>
              <w:rPr>
                <w:rFonts w:hint="eastAsia" w:ascii="宋体" w:hAnsi="宋体" w:eastAsia="宋体" w:cs="宋体"/>
                <w:i w:val="0"/>
                <w:iCs w:val="0"/>
                <w:color w:val="000000"/>
                <w:sz w:val="18"/>
                <w:szCs w:val="18"/>
                <w:highlight w:val="none"/>
                <w:u w:val="none"/>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11</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服务期内人员年度考核合格率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eastAsia="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8</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年度三支一扶人员招募计划完成及时率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9</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三支一扶人员生活补助月标准</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2500元/人</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2500元/人</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三支一扶人员安家费标准</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3000元/人</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3000元/人</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促进高校毕业生就业创业</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作用较显著</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作用较显著</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三支一扶人员对三支一扶工作办公室服务满意度</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shd w:val="clear"/>
        <w:rPr>
          <w:rFonts w:hint="eastAsia"/>
          <w:highlight w:val="none"/>
        </w:rPr>
      </w:pPr>
    </w:p>
    <w:tbl>
      <w:tblPr>
        <w:tblStyle w:val="10"/>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1117"/>
        <w:gridCol w:w="956"/>
        <w:gridCol w:w="1134"/>
        <w:gridCol w:w="863"/>
        <w:gridCol w:w="958"/>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年中央财政就业补助资金项目</w:t>
            </w:r>
          </w:p>
        </w:tc>
        <w:tc>
          <w:tcPr>
            <w:tcW w:w="19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1682</w:t>
            </w:r>
          </w:p>
        </w:tc>
        <w:tc>
          <w:tcPr>
            <w:tcW w:w="95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758</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rPr>
            </w:pPr>
            <w:r>
              <w:rPr>
                <w:rFonts w:hint="eastAsia"/>
                <w:highlight w:val="none"/>
              </w:rPr>
              <w:t>根据《关于提前下达2025年中央财政就业补助资金的通知》（昌州财社【2024】80号）文件附带的区域目标，结合呼图壁县实际情况，2025年该项目计划资金924万元，主要用于发放各类就业补贴资金以及工作室补贴资金。通过项目的实施，提高呼图壁县困难群体和高校毕业生的就业率，确保全县就业局势的整体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享受社会保险补贴的人数</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w:t>
            </w:r>
            <w:r>
              <w:rPr>
                <w:rFonts w:hint="eastAsia" w:ascii="宋体" w:hAnsi="宋体" w:eastAsia="宋体" w:cs="宋体"/>
                <w:i w:val="0"/>
                <w:iCs w:val="0"/>
                <w:color w:val="000000"/>
                <w:sz w:val="18"/>
                <w:szCs w:val="18"/>
                <w:highlight w:val="none"/>
                <w:u w:val="none"/>
                <w:lang w:val="en-US" w:eastAsia="zh-CN"/>
              </w:rPr>
              <w:t>75</w:t>
            </w:r>
            <w:r>
              <w:rPr>
                <w:rFonts w:hint="eastAsia" w:ascii="宋体" w:hAnsi="宋体" w:eastAsia="宋体" w:cs="宋体"/>
                <w:i w:val="0"/>
                <w:iCs w:val="0"/>
                <w:color w:val="000000"/>
                <w:sz w:val="18"/>
                <w:szCs w:val="18"/>
                <w:highlight w:val="none"/>
                <w:u w:val="none"/>
              </w:rPr>
              <w:t>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val="en-US" w:eastAsia="zh-CN"/>
              </w:rPr>
              <w:t>1750人</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享受公益岗岗位补贴的人数</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eastAsia="宋体" w:cs="宋体"/>
                <w:i w:val="0"/>
                <w:iCs w:val="0"/>
                <w:color w:val="000000"/>
                <w:sz w:val="18"/>
                <w:szCs w:val="18"/>
                <w:highlight w:val="none"/>
                <w:u w:val="none"/>
                <w:lang w:val="en-US" w:eastAsia="zh-CN"/>
              </w:rPr>
              <w:t>25</w:t>
            </w:r>
            <w:r>
              <w:rPr>
                <w:rFonts w:hint="eastAsia" w:ascii="宋体" w:hAnsi="宋体" w:eastAsia="宋体" w:cs="宋体"/>
                <w:i w:val="0"/>
                <w:iCs w:val="0"/>
                <w:color w:val="000000"/>
                <w:sz w:val="18"/>
                <w:szCs w:val="18"/>
                <w:highlight w:val="none"/>
                <w:u w:val="none"/>
              </w:rPr>
              <w:t>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val="en-US" w:eastAsia="zh-CN"/>
              </w:rPr>
              <w:t>25人</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6</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享受求职创业补贴的人数</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eastAsia="宋体" w:cs="宋体"/>
                <w:i w:val="0"/>
                <w:iCs w:val="0"/>
                <w:color w:val="000000"/>
                <w:sz w:val="18"/>
                <w:szCs w:val="18"/>
                <w:highlight w:val="none"/>
                <w:u w:val="none"/>
                <w:lang w:val="en-US" w:eastAsia="zh-CN"/>
              </w:rPr>
              <w:t>10</w:t>
            </w:r>
            <w:r>
              <w:rPr>
                <w:rFonts w:hint="eastAsia" w:ascii="宋体" w:hAnsi="宋体" w:eastAsia="宋体" w:cs="宋体"/>
                <w:i w:val="0"/>
                <w:iCs w:val="0"/>
                <w:color w:val="000000"/>
                <w:sz w:val="18"/>
                <w:szCs w:val="18"/>
                <w:highlight w:val="none"/>
                <w:u w:val="none"/>
              </w:rPr>
              <w:t>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＝7人</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6</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社会保险补贴发放准确率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=98%</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8</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公益岗岗位补贴发放准确率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=98%</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3</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求职创业补贴发放准确率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=98%</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4</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就业补贴发放及时率</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20"/>
                <w:szCs w:val="20"/>
                <w:highlight w:val="none"/>
                <w:lang w:bidi="ar"/>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20"/>
                <w:szCs w:val="20"/>
                <w:highlight w:val="none"/>
                <w:lang w:bidi="ar"/>
              </w:rPr>
              <w:t>5</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rPr>
              <w:t>公益岗岗位补贴标准</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rPr>
              <w:t>≤1700元/人/月</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20"/>
                <w:szCs w:val="20"/>
                <w:highlight w:val="none"/>
                <w:lang w:bidi="ar"/>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rPr>
              <w:t>1700元/人/月</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提升就业水平</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20"/>
                <w:szCs w:val="20"/>
                <w:highlight w:val="none"/>
                <w:lang w:bidi="ar"/>
              </w:rPr>
              <w:t>有效提升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20"/>
                <w:szCs w:val="20"/>
                <w:highlight w:val="none"/>
                <w:lang w:bidi="ar"/>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有效提升</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highlight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480" w:lineRule="exact"/>
              <w:jc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sz w:val="18"/>
                <w:szCs w:val="18"/>
                <w:highlight w:val="none"/>
              </w:rPr>
              <w:t>公共就业服务满意度</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480" w:lineRule="exact"/>
              <w:jc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22"/>
                <w:szCs w:val="22"/>
                <w:highlight w:val="none"/>
                <w:lang w:bidi="ar"/>
              </w:rPr>
              <w:t>≥</w:t>
            </w:r>
            <w:r>
              <w:rPr>
                <w:rFonts w:hint="eastAsia" w:ascii="宋体" w:hAnsi="宋体" w:cs="宋体"/>
                <w:color w:val="000000"/>
                <w:kern w:val="0"/>
                <w:sz w:val="22"/>
                <w:szCs w:val="22"/>
                <w:highlight w:val="none"/>
                <w:lang w:val="en-US" w:eastAsia="zh-CN" w:bidi="ar"/>
              </w:rPr>
              <w:t>9</w:t>
            </w:r>
            <w:r>
              <w:rPr>
                <w:rFonts w:hint="eastAsia" w:ascii="宋体" w:hAnsi="宋体" w:cs="宋体"/>
                <w:color w:val="000000"/>
                <w:kern w:val="0"/>
                <w:sz w:val="22"/>
                <w:szCs w:val="22"/>
                <w:highlight w:val="none"/>
                <w:lang w:bidi="ar"/>
              </w:rPr>
              <w:t>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20"/>
                <w:szCs w:val="20"/>
                <w:highlight w:val="none"/>
                <w:lang w:bidi="ar"/>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val="en-US" w:eastAsia="zh-CN"/>
              </w:rPr>
              <w:t>95%</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480" w:lineRule="exact"/>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就业扶持政策经办服务满意度</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480" w:lineRule="exact"/>
              <w:jc w:val="center"/>
              <w:rPr>
                <w:rFonts w:hint="eastAsia" w:ascii="宋体" w:hAnsi="宋体" w:eastAsia="宋体" w:cs="宋体"/>
                <w:kern w:val="2"/>
                <w:sz w:val="18"/>
                <w:szCs w:val="18"/>
                <w:highlight w:val="none"/>
                <w:lang w:val="en-US" w:eastAsia="zh-CN" w:bidi="ar-SA"/>
              </w:rPr>
            </w:pPr>
            <w:r>
              <w:rPr>
                <w:rFonts w:hint="eastAsia" w:ascii="宋体" w:hAnsi="宋体" w:cs="宋体"/>
                <w:color w:val="000000"/>
                <w:kern w:val="0"/>
                <w:sz w:val="22"/>
                <w:szCs w:val="22"/>
                <w:highlight w:val="none"/>
                <w:lang w:bidi="ar"/>
              </w:rPr>
              <w:t>≥</w:t>
            </w:r>
            <w:r>
              <w:rPr>
                <w:rFonts w:hint="eastAsia" w:ascii="宋体" w:hAnsi="宋体" w:cs="宋体"/>
                <w:color w:val="000000"/>
                <w:kern w:val="0"/>
                <w:sz w:val="22"/>
                <w:szCs w:val="22"/>
                <w:highlight w:val="none"/>
                <w:lang w:val="en-US" w:eastAsia="zh-CN" w:bidi="ar"/>
              </w:rPr>
              <w:t>9</w:t>
            </w:r>
            <w:r>
              <w:rPr>
                <w:rFonts w:hint="eastAsia" w:ascii="宋体" w:hAnsi="宋体" w:cs="宋体"/>
                <w:color w:val="000000"/>
                <w:kern w:val="0"/>
                <w:sz w:val="22"/>
                <w:szCs w:val="22"/>
                <w:highlight w:val="none"/>
                <w:lang w:bidi="ar"/>
              </w:rPr>
              <w:t>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kern w:val="2"/>
                <w:sz w:val="18"/>
                <w:szCs w:val="18"/>
                <w:highlight w:val="none"/>
                <w:lang w:val="en-US" w:eastAsia="zh-CN" w:bidi="ar-SA"/>
              </w:rPr>
            </w:pPr>
            <w:r>
              <w:rPr>
                <w:rFonts w:hint="eastAsia" w:ascii="宋体" w:hAnsi="宋体" w:cs="宋体"/>
                <w:color w:val="000000"/>
                <w:kern w:val="0"/>
                <w:sz w:val="20"/>
                <w:szCs w:val="20"/>
                <w:highlight w:val="none"/>
                <w:lang w:bidi="ar"/>
              </w:rPr>
              <w:t>计划标准</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val="en-US" w:eastAsia="zh-CN"/>
              </w:rPr>
              <w:t>95%</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0"/>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212"/>
        <w:gridCol w:w="1069"/>
        <w:gridCol w:w="844"/>
        <w:gridCol w:w="1042"/>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pStyle w:val="2"/>
              <w:shd w:val="clear"/>
              <w:rPr>
                <w:rFonts w:hint="eastAsia" w:ascii="仿宋_GB2312" w:hAnsi="宋体" w:eastAsia="仿宋_GB2312" w:cs="仿宋_GB2312"/>
                <w:b/>
                <w:color w:val="000000"/>
                <w:kern w:val="0"/>
                <w:sz w:val="32"/>
                <w:szCs w:val="32"/>
                <w:highlight w:val="none"/>
                <w:lang w:val="en-US" w:eastAsia="zh-CN" w:bidi="ar"/>
              </w:rPr>
            </w:pPr>
          </w:p>
          <w:p>
            <w:pPr>
              <w:shd w:val="clear"/>
              <w:rPr>
                <w:rFonts w:hint="eastAsia" w:ascii="仿宋_GB2312" w:hAnsi="宋体" w:eastAsia="仿宋_GB2312" w:cs="仿宋_GB2312"/>
                <w:b/>
                <w:color w:val="000000"/>
                <w:kern w:val="0"/>
                <w:sz w:val="32"/>
                <w:szCs w:val="32"/>
                <w:highlight w:val="none"/>
                <w:lang w:val="en-US" w:eastAsia="zh-CN" w:bidi="ar"/>
              </w:rPr>
            </w:pPr>
          </w:p>
          <w:p>
            <w:pPr>
              <w:pStyle w:val="2"/>
              <w:shd w:val="clear"/>
              <w:rPr>
                <w:rFonts w:hint="eastAsia"/>
                <w:highlight w:val="none"/>
                <w:lang w:val="en-US" w:eastAsia="zh-CN"/>
              </w:rPr>
            </w:pPr>
          </w:p>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年拖欠农民工工资应急周转金</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21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为切实保障农民工的合法权益，妥善解决因欠薪引发的突发事件，维护社会稳定和长治久安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应急资金涉及乡镇个数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7个</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资金支出合规率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查出农民工工资违法案件结案率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资金兑现及时率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&lt;=100%</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有效解决和预防拖欠或克扣农民工工资情况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有效解决</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农民工满意度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无</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呼图壁县人力资源和社会保障局</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hd w:val="clear"/>
        <w:rPr>
          <w:highlight w:val="none"/>
        </w:rPr>
      </w:pPr>
    </w:p>
    <w:p>
      <w:pPr>
        <w:shd w:val="clea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92EFB4"/>
    <w:multiLevelType w:val="singleLevel"/>
    <w:tmpl w:val="2C92EFB4"/>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1A00C4B"/>
    <w:rsid w:val="01D84888"/>
    <w:rsid w:val="020E507E"/>
    <w:rsid w:val="02732F8E"/>
    <w:rsid w:val="02CB7F49"/>
    <w:rsid w:val="033E071B"/>
    <w:rsid w:val="034A3564"/>
    <w:rsid w:val="037800D1"/>
    <w:rsid w:val="04267087"/>
    <w:rsid w:val="04267B2D"/>
    <w:rsid w:val="044C330C"/>
    <w:rsid w:val="04846602"/>
    <w:rsid w:val="04AD1DD2"/>
    <w:rsid w:val="04F31F10"/>
    <w:rsid w:val="05397FD9"/>
    <w:rsid w:val="056976DC"/>
    <w:rsid w:val="057A5F58"/>
    <w:rsid w:val="05CA273A"/>
    <w:rsid w:val="05F652DD"/>
    <w:rsid w:val="0696484E"/>
    <w:rsid w:val="070E6657"/>
    <w:rsid w:val="080E3E4F"/>
    <w:rsid w:val="084451C2"/>
    <w:rsid w:val="08450B28"/>
    <w:rsid w:val="08762705"/>
    <w:rsid w:val="088F5575"/>
    <w:rsid w:val="08D15B8E"/>
    <w:rsid w:val="08E81855"/>
    <w:rsid w:val="091D0CA0"/>
    <w:rsid w:val="0A2E4617"/>
    <w:rsid w:val="0A4168EC"/>
    <w:rsid w:val="0A6C1340"/>
    <w:rsid w:val="0AD672A7"/>
    <w:rsid w:val="0ADC54DE"/>
    <w:rsid w:val="0AE26D89"/>
    <w:rsid w:val="0B247F12"/>
    <w:rsid w:val="0B7C3034"/>
    <w:rsid w:val="0B841FFD"/>
    <w:rsid w:val="0BD56A2F"/>
    <w:rsid w:val="0BE279FD"/>
    <w:rsid w:val="0BFF2A12"/>
    <w:rsid w:val="0C0A3890"/>
    <w:rsid w:val="0C9910B8"/>
    <w:rsid w:val="0CD20198"/>
    <w:rsid w:val="0CEC568C"/>
    <w:rsid w:val="0D4444F4"/>
    <w:rsid w:val="0D6E5FD0"/>
    <w:rsid w:val="0E320E7D"/>
    <w:rsid w:val="0E9208E7"/>
    <w:rsid w:val="0F07055B"/>
    <w:rsid w:val="0FFE29CA"/>
    <w:rsid w:val="103233B6"/>
    <w:rsid w:val="10587512"/>
    <w:rsid w:val="105D0E37"/>
    <w:rsid w:val="10916BDA"/>
    <w:rsid w:val="11036B00"/>
    <w:rsid w:val="112528E5"/>
    <w:rsid w:val="11301FEB"/>
    <w:rsid w:val="11B6451D"/>
    <w:rsid w:val="121E62E8"/>
    <w:rsid w:val="13CD5BAD"/>
    <w:rsid w:val="13EB633D"/>
    <w:rsid w:val="147A17CF"/>
    <w:rsid w:val="1697741D"/>
    <w:rsid w:val="16F969DB"/>
    <w:rsid w:val="17C650CD"/>
    <w:rsid w:val="17CC3B87"/>
    <w:rsid w:val="18C03904"/>
    <w:rsid w:val="19682339"/>
    <w:rsid w:val="19A215AC"/>
    <w:rsid w:val="1A132B78"/>
    <w:rsid w:val="1AC437A4"/>
    <w:rsid w:val="1AEB43DB"/>
    <w:rsid w:val="1AF347AC"/>
    <w:rsid w:val="1B153D26"/>
    <w:rsid w:val="1BEB54C3"/>
    <w:rsid w:val="1C3C6084"/>
    <w:rsid w:val="1C8C02F2"/>
    <w:rsid w:val="1C986C96"/>
    <w:rsid w:val="1D3E1AFE"/>
    <w:rsid w:val="1DF7098F"/>
    <w:rsid w:val="1E6432D4"/>
    <w:rsid w:val="1E89232D"/>
    <w:rsid w:val="1EB61656"/>
    <w:rsid w:val="1EBD52E2"/>
    <w:rsid w:val="1F333137"/>
    <w:rsid w:val="20407429"/>
    <w:rsid w:val="20B004E5"/>
    <w:rsid w:val="20CF3CE4"/>
    <w:rsid w:val="20DD55C0"/>
    <w:rsid w:val="218477E9"/>
    <w:rsid w:val="22922CB8"/>
    <w:rsid w:val="22DB78DD"/>
    <w:rsid w:val="242D5F16"/>
    <w:rsid w:val="244D65B8"/>
    <w:rsid w:val="2492221D"/>
    <w:rsid w:val="24B42D8E"/>
    <w:rsid w:val="24DE4FCD"/>
    <w:rsid w:val="2503479B"/>
    <w:rsid w:val="250855AF"/>
    <w:rsid w:val="258B383C"/>
    <w:rsid w:val="26086C3B"/>
    <w:rsid w:val="263B7010"/>
    <w:rsid w:val="26B4291F"/>
    <w:rsid w:val="26BD282A"/>
    <w:rsid w:val="26E50D2A"/>
    <w:rsid w:val="26E769FA"/>
    <w:rsid w:val="27392E24"/>
    <w:rsid w:val="27F751B9"/>
    <w:rsid w:val="286D65BC"/>
    <w:rsid w:val="28BE1833"/>
    <w:rsid w:val="28D9041B"/>
    <w:rsid w:val="293B2E83"/>
    <w:rsid w:val="2AFC4894"/>
    <w:rsid w:val="2B3A05DE"/>
    <w:rsid w:val="2B6901C6"/>
    <w:rsid w:val="2BEF0635"/>
    <w:rsid w:val="2C8E776E"/>
    <w:rsid w:val="2CD14B6B"/>
    <w:rsid w:val="2D480265"/>
    <w:rsid w:val="2D977453"/>
    <w:rsid w:val="2DE0224B"/>
    <w:rsid w:val="2E2943BA"/>
    <w:rsid w:val="2EF22236"/>
    <w:rsid w:val="2F8F1631"/>
    <w:rsid w:val="2FB41BE1"/>
    <w:rsid w:val="2FED29FE"/>
    <w:rsid w:val="300E1D4A"/>
    <w:rsid w:val="30B05F05"/>
    <w:rsid w:val="310F3573"/>
    <w:rsid w:val="322A1CE7"/>
    <w:rsid w:val="32996D48"/>
    <w:rsid w:val="32D560F7"/>
    <w:rsid w:val="32D700C1"/>
    <w:rsid w:val="33092244"/>
    <w:rsid w:val="33A76F60"/>
    <w:rsid w:val="341E7629"/>
    <w:rsid w:val="34D739B9"/>
    <w:rsid w:val="35F117C8"/>
    <w:rsid w:val="37841442"/>
    <w:rsid w:val="378F0B16"/>
    <w:rsid w:val="38284F1B"/>
    <w:rsid w:val="38D66725"/>
    <w:rsid w:val="38ED6A91"/>
    <w:rsid w:val="390F7E89"/>
    <w:rsid w:val="39B0409D"/>
    <w:rsid w:val="3A485400"/>
    <w:rsid w:val="3A500759"/>
    <w:rsid w:val="3A804B9A"/>
    <w:rsid w:val="3BE45FB7"/>
    <w:rsid w:val="3BF21AC7"/>
    <w:rsid w:val="3C013037"/>
    <w:rsid w:val="3D635019"/>
    <w:rsid w:val="3D8449A1"/>
    <w:rsid w:val="3FDF4D23"/>
    <w:rsid w:val="3FE74507"/>
    <w:rsid w:val="400D6CDA"/>
    <w:rsid w:val="41083B3B"/>
    <w:rsid w:val="411E5D51"/>
    <w:rsid w:val="41270465"/>
    <w:rsid w:val="418036D2"/>
    <w:rsid w:val="41CE268F"/>
    <w:rsid w:val="41DB2FFE"/>
    <w:rsid w:val="427B4D61"/>
    <w:rsid w:val="42F779C3"/>
    <w:rsid w:val="43502DA9"/>
    <w:rsid w:val="43C26223"/>
    <w:rsid w:val="43D8307E"/>
    <w:rsid w:val="44507CD3"/>
    <w:rsid w:val="44AF5181"/>
    <w:rsid w:val="455A018C"/>
    <w:rsid w:val="459F69EF"/>
    <w:rsid w:val="46123A50"/>
    <w:rsid w:val="46390B44"/>
    <w:rsid w:val="46B02CAB"/>
    <w:rsid w:val="46C027C2"/>
    <w:rsid w:val="46C710E7"/>
    <w:rsid w:val="46CE3131"/>
    <w:rsid w:val="48446875"/>
    <w:rsid w:val="48BD16AF"/>
    <w:rsid w:val="493059DD"/>
    <w:rsid w:val="494F7907"/>
    <w:rsid w:val="4A5606C1"/>
    <w:rsid w:val="4ADF73DC"/>
    <w:rsid w:val="4B1B26BD"/>
    <w:rsid w:val="4B315A3D"/>
    <w:rsid w:val="4B5D2CD5"/>
    <w:rsid w:val="4BB92D0D"/>
    <w:rsid w:val="4BCE07EF"/>
    <w:rsid w:val="4C0055E5"/>
    <w:rsid w:val="4C3677AE"/>
    <w:rsid w:val="4C706B3A"/>
    <w:rsid w:val="4DA05C97"/>
    <w:rsid w:val="4E3F66C2"/>
    <w:rsid w:val="4F3B332E"/>
    <w:rsid w:val="4F756840"/>
    <w:rsid w:val="5043693E"/>
    <w:rsid w:val="504C354E"/>
    <w:rsid w:val="50555229"/>
    <w:rsid w:val="50AD025B"/>
    <w:rsid w:val="51624BA2"/>
    <w:rsid w:val="51730B5D"/>
    <w:rsid w:val="51C15CED"/>
    <w:rsid w:val="52285DEB"/>
    <w:rsid w:val="52AD62F0"/>
    <w:rsid w:val="53A94D0A"/>
    <w:rsid w:val="53B6570C"/>
    <w:rsid w:val="53C5564F"/>
    <w:rsid w:val="546308FE"/>
    <w:rsid w:val="54AE05D9"/>
    <w:rsid w:val="56727FAC"/>
    <w:rsid w:val="56BC3847"/>
    <w:rsid w:val="56FE59C9"/>
    <w:rsid w:val="570D735E"/>
    <w:rsid w:val="571B2674"/>
    <w:rsid w:val="589917F1"/>
    <w:rsid w:val="5934151A"/>
    <w:rsid w:val="59B241EC"/>
    <w:rsid w:val="5A5E27F6"/>
    <w:rsid w:val="5A704801"/>
    <w:rsid w:val="5A8C5E4D"/>
    <w:rsid w:val="5AED2A9A"/>
    <w:rsid w:val="5D375134"/>
    <w:rsid w:val="5D3D4740"/>
    <w:rsid w:val="5D5E6B65"/>
    <w:rsid w:val="5D9E1657"/>
    <w:rsid w:val="5DBC7D30"/>
    <w:rsid w:val="5E225DE5"/>
    <w:rsid w:val="5E257683"/>
    <w:rsid w:val="5E6E3C6E"/>
    <w:rsid w:val="5E7802BC"/>
    <w:rsid w:val="5EE078B0"/>
    <w:rsid w:val="5F0D5523"/>
    <w:rsid w:val="5F182317"/>
    <w:rsid w:val="5F2346ED"/>
    <w:rsid w:val="5FD255E8"/>
    <w:rsid w:val="61086613"/>
    <w:rsid w:val="61686204"/>
    <w:rsid w:val="61AE7EC8"/>
    <w:rsid w:val="61C24CE3"/>
    <w:rsid w:val="62917095"/>
    <w:rsid w:val="62CB5A89"/>
    <w:rsid w:val="630E06E5"/>
    <w:rsid w:val="63F40DF7"/>
    <w:rsid w:val="6408782B"/>
    <w:rsid w:val="65322CBF"/>
    <w:rsid w:val="65B35574"/>
    <w:rsid w:val="65C658ED"/>
    <w:rsid w:val="688F6A36"/>
    <w:rsid w:val="68CC52CB"/>
    <w:rsid w:val="68DE4FFE"/>
    <w:rsid w:val="691B0000"/>
    <w:rsid w:val="694B58D7"/>
    <w:rsid w:val="698536CB"/>
    <w:rsid w:val="69CE4E15"/>
    <w:rsid w:val="6B3E7E06"/>
    <w:rsid w:val="6B4D1FC7"/>
    <w:rsid w:val="6B7F3246"/>
    <w:rsid w:val="6BF904A6"/>
    <w:rsid w:val="6C303DC2"/>
    <w:rsid w:val="6CA16A6E"/>
    <w:rsid w:val="6CB5251A"/>
    <w:rsid w:val="6CD429A0"/>
    <w:rsid w:val="6E1B7FB8"/>
    <w:rsid w:val="6EF07839"/>
    <w:rsid w:val="6F63000B"/>
    <w:rsid w:val="6FCF0C72"/>
    <w:rsid w:val="6FD8630F"/>
    <w:rsid w:val="71500A63"/>
    <w:rsid w:val="71580DE6"/>
    <w:rsid w:val="717C1858"/>
    <w:rsid w:val="717E2965"/>
    <w:rsid w:val="71EC078C"/>
    <w:rsid w:val="723A347C"/>
    <w:rsid w:val="72536115"/>
    <w:rsid w:val="72732B8D"/>
    <w:rsid w:val="72952BD1"/>
    <w:rsid w:val="72B56DCF"/>
    <w:rsid w:val="72E964BC"/>
    <w:rsid w:val="735C7C42"/>
    <w:rsid w:val="74AF403D"/>
    <w:rsid w:val="74D07EF1"/>
    <w:rsid w:val="75B570E6"/>
    <w:rsid w:val="75BF3AC1"/>
    <w:rsid w:val="76D333B1"/>
    <w:rsid w:val="7706409E"/>
    <w:rsid w:val="7797777E"/>
    <w:rsid w:val="780A1873"/>
    <w:rsid w:val="787D11B8"/>
    <w:rsid w:val="78A771BA"/>
    <w:rsid w:val="78AC6820"/>
    <w:rsid w:val="792C5912"/>
    <w:rsid w:val="7B4604D8"/>
    <w:rsid w:val="7CBA4FE2"/>
    <w:rsid w:val="7D06612B"/>
    <w:rsid w:val="7D6939CA"/>
    <w:rsid w:val="7D6F4D1E"/>
    <w:rsid w:val="7E3644E5"/>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4"/>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43</Pages>
  <Words>1768</Words>
  <Characters>2122</Characters>
  <Lines>0</Lines>
  <Paragraphs>0</Paragraphs>
  <TotalTime>1</TotalTime>
  <ScaleCrop>false</ScaleCrop>
  <LinksUpToDate>false</LinksUpToDate>
  <CharactersWithSpaces>2309</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2025-06-03T02:23:02Z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56CBC7DB03544845A3E55DCB6A17C5AA</vt:lpwstr>
  </property>
  <property fmtid="{D5CDD505-2E9C-101B-9397-08002B2CF9AE}" pid="4" name="KSOTemplateDocerSaveRecord">
    <vt:lpwstr>eyJoZGlkIjoiMDljYzUzMWQ4OWI0YzBkYjYzMDRhZTY5ZjZkYmFmYTgiLCJ1c2VySWQiOiI1ODMzMjMyMTIifQ==</vt:lpwstr>
  </property>
</Properties>
</file>