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1" w:name="_GoBack"/>
      <w:bookmarkEnd w:id="1"/>
    </w:p>
    <w:p>
      <w:pPr>
        <w:pStyle w:val="7"/>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540" w:lineRule="exact"/>
        <w:jc w:val="center"/>
        <w:textAlignment w:val="auto"/>
        <w:outlineLvl w:val="1"/>
        <w:rPr>
          <w:rFonts w:hint="eastAsia" w:ascii="方正小标宋_GBK" w:hAnsi="方正小标宋_GBK" w:eastAsia="方正小标宋_GBK" w:cs="方正小标宋_GBK"/>
          <w:color w:val="auto"/>
          <w:kern w:val="0"/>
          <w:sz w:val="44"/>
          <w:szCs w:val="44"/>
          <w:highlight w:val="none"/>
          <w:lang w:eastAsia="zh-CN"/>
        </w:rPr>
      </w:pPr>
      <w:r>
        <w:rPr>
          <w:rFonts w:hint="eastAsia" w:ascii="方正小标宋_GBK" w:hAnsi="方正小标宋_GBK" w:eastAsia="方正小标宋_GBK" w:cs="方正小标宋_GBK"/>
          <w:color w:val="auto"/>
          <w:kern w:val="0"/>
          <w:sz w:val="44"/>
          <w:szCs w:val="44"/>
          <w:highlight w:val="none"/>
          <w:lang w:eastAsia="zh-CN"/>
        </w:rPr>
        <w:t>呼图壁县医疗保障局</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540" w:lineRule="exact"/>
        <w:jc w:val="center"/>
        <w:textAlignment w:val="auto"/>
        <w:outlineLvl w:val="1"/>
        <w:rPr>
          <w:rFonts w:hint="eastAsia" w:ascii="方正小标宋_GBK" w:hAnsi="方正小标宋_GBK" w:eastAsia="方正小标宋_GBK" w:cs="方正小标宋_GBK"/>
          <w:color w:val="auto"/>
          <w:kern w:val="0"/>
          <w:sz w:val="44"/>
          <w:szCs w:val="44"/>
          <w:highlight w:val="none"/>
        </w:rPr>
      </w:pPr>
      <w:r>
        <w:rPr>
          <w:rFonts w:hint="eastAsia" w:ascii="方正小标宋_GBK" w:hAnsi="方正小标宋_GBK" w:eastAsia="方正小标宋_GBK" w:cs="方正小标宋_GBK"/>
          <w:color w:val="auto"/>
          <w:kern w:val="0"/>
          <w:sz w:val="44"/>
          <w:szCs w:val="44"/>
          <w:highlight w:val="none"/>
          <w:lang w:val="en-US" w:eastAsia="zh-CN"/>
        </w:rPr>
        <w:t>2025年部门</w:t>
      </w:r>
      <w:r>
        <w:rPr>
          <w:rFonts w:hint="eastAsia" w:ascii="方正小标宋_GBK" w:hAnsi="方正小标宋_GBK" w:eastAsia="方正小标宋_GBK" w:cs="方正小标宋_GBK"/>
          <w:color w:val="auto"/>
          <w:kern w:val="0"/>
          <w:sz w:val="44"/>
          <w:szCs w:val="44"/>
          <w:highlight w:val="none"/>
        </w:rPr>
        <w:t>预算公开</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黑体" w:hAnsi="黑体" w:eastAsia="黑体"/>
          <w:color w:val="auto"/>
          <w:kern w:val="0"/>
          <w:sz w:val="36"/>
          <w:szCs w:val="32"/>
          <w:highlight w:val="none"/>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2025年呼图壁县医疗保障局</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20"/>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spacing w:val="-11"/>
          <w:kern w:val="0"/>
          <w:sz w:val="32"/>
          <w:szCs w:val="32"/>
          <w:highlight w:val="none"/>
        </w:rPr>
        <w:t>关于</w:t>
      </w:r>
      <w:r>
        <w:rPr>
          <w:rFonts w:hint="eastAsia" w:ascii="仿宋_GB2312" w:hAnsi="仿宋_GB2312" w:eastAsia="仿宋_GB2312" w:cs="仿宋_GB2312"/>
          <w:color w:val="auto"/>
          <w:spacing w:val="-11"/>
          <w:kern w:val="0"/>
          <w:sz w:val="32"/>
          <w:szCs w:val="32"/>
          <w:highlight w:val="none"/>
          <w:lang w:eastAsia="zh-CN"/>
        </w:rPr>
        <w:t>呼图壁县医疗保障局2025年</w:t>
      </w:r>
      <w:r>
        <w:rPr>
          <w:rFonts w:hint="eastAsia" w:ascii="仿宋_GB2312" w:hAnsi="仿宋_GB2312" w:eastAsia="仿宋_GB2312" w:cs="仿宋_GB2312"/>
          <w:color w:val="auto"/>
          <w:spacing w:val="-11"/>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呼图壁县医疗保障局2025年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呼图壁县医疗保障局2025年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呼图壁县医疗保障局2025年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呼图壁县医疗保障局2025年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0" w:num="1"/>
          <w:rtlGutter w:val="0"/>
          <w:docGrid w:linePitch="312" w:charSpace="0"/>
        </w:sectPr>
      </w:pPr>
    </w:p>
    <w:p>
      <w:pPr>
        <w:keepNext w:val="0"/>
        <w:keepLines w:val="0"/>
        <w:pageBreakBefore w:val="0"/>
        <w:widowControl/>
        <w:kinsoku/>
        <w:wordWrap/>
        <w:overflowPunct/>
        <w:topLinePunct w:val="0"/>
        <w:autoSpaceDE/>
        <w:autoSpaceDN/>
        <w:bidi w:val="0"/>
        <w:adjustRightInd/>
        <w:snapToGrid/>
        <w:spacing w:beforeLines="0" w:line="50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 xml:space="preserve"> </w:t>
      </w: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eastAsia="zh-CN"/>
        </w:rPr>
        <w:t>2025年呼图壁县医疗保障局部门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00" w:lineRule="exact"/>
        <w:jc w:val="left"/>
        <w:textAlignment w:val="auto"/>
        <w:outlineLvl w:val="1"/>
        <w:rPr>
          <w:rFonts w:ascii="宋体" w:hAnsi="宋体"/>
          <w:b/>
          <w:color w:val="auto"/>
          <w:kern w:val="0"/>
          <w:sz w:val="21"/>
          <w:szCs w:val="21"/>
          <w:highlight w:val="none"/>
        </w:rPr>
      </w:pPr>
    </w:p>
    <w:p>
      <w:pPr>
        <w:keepNext w:val="0"/>
        <w:keepLines w:val="0"/>
        <w:pageBreakBefore w:val="0"/>
        <w:widowControl/>
        <w:numPr>
          <w:ilvl w:val="0"/>
          <w:numId w:val="0"/>
        </w:numPr>
        <w:kinsoku/>
        <w:wordWrap/>
        <w:overflowPunct/>
        <w:topLinePunct w:val="0"/>
        <w:autoSpaceDE/>
        <w:autoSpaceDN/>
        <w:bidi w:val="0"/>
        <w:adjustRightInd/>
        <w:snapToGrid/>
        <w:spacing w:beforeLines="0" w:line="50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CN"/>
        </w:rPr>
        <w:t>一、</w:t>
      </w:r>
      <w:r>
        <w:rPr>
          <w:rFonts w:hint="eastAsia" w:ascii="楷体_GB2312" w:hAnsi="楷体_GB2312" w:eastAsia="楷体_GB2312" w:cs="楷体_GB2312"/>
          <w:b/>
          <w:bCs/>
          <w:color w:val="auto"/>
          <w:kern w:val="0"/>
          <w:sz w:val="32"/>
          <w:szCs w:val="32"/>
          <w:highlight w:val="none"/>
        </w:rPr>
        <w:t>主要职能</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（一）</w:t>
      </w:r>
      <w:r>
        <w:rPr>
          <w:rFonts w:hint="eastAsia" w:ascii="仿宋_GB2312" w:hAnsi="仿宋_GB2312" w:eastAsia="仿宋_GB2312" w:cs="仿宋_GB2312"/>
          <w:bCs/>
          <w:color w:val="auto"/>
          <w:kern w:val="0"/>
          <w:sz w:val="32"/>
          <w:szCs w:val="32"/>
          <w:highlight w:val="none"/>
        </w:rPr>
        <w:t>贯彻落实国家、自治区、自治州医疗保险、生育保险、人身意外伤害保险、医疗救助等医疗保障政策。执行自治州医疗保险、生育保险、大病保险、大额医疗补助、公务员医疗补助、企事业单位补充医疗保险、长期护理保险、医疗救助、享受国务院特殊津贴专家、离休人员和优抚对象医疗保障等政策措施、管理办法。</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贯彻落实自治州医疗保障基金监督管理办法，建立健全医疗保障基金安全防控机制，推进医疗保障基金支付方式改革工作，编制县医疗保障基金预决算草案。</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（三）</w:t>
      </w:r>
      <w:r>
        <w:rPr>
          <w:rFonts w:hint="eastAsia" w:ascii="仿宋_GB2312" w:hAnsi="仿宋_GB2312" w:eastAsia="仿宋_GB2312" w:cs="仿宋_GB2312"/>
          <w:bCs/>
          <w:color w:val="auto"/>
          <w:kern w:val="0"/>
          <w:sz w:val="32"/>
          <w:szCs w:val="32"/>
          <w:highlight w:val="none"/>
        </w:rPr>
        <w:t>贯彻落实自治州医疗保障筹资和待遇政策，贯彻自治州长期护理保险制度改革的方案并组织实施。</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（四）</w:t>
      </w:r>
      <w:r>
        <w:rPr>
          <w:rFonts w:hint="eastAsia" w:ascii="仿宋_GB2312" w:hAnsi="仿宋_GB2312" w:eastAsia="仿宋_GB2312" w:cs="仿宋_GB2312"/>
          <w:bCs/>
          <w:color w:val="auto"/>
          <w:kern w:val="0"/>
          <w:sz w:val="32"/>
          <w:szCs w:val="32"/>
          <w:highlight w:val="none"/>
        </w:rPr>
        <w:t>贯彻落实自治州药品、医用耗材价格和医疗服务项目、医疗服务设施收费等政策措施并监督实施，执行自治区制定的药品、医用耗材的招标采购政策并监督实施。落实医保支付医药服务价格合理确定和动态调整机制，建立健全市场主导的社会医药服务价格形成机制，落实医药服务价格信息检测和信息发布制度。</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（五）</w:t>
      </w:r>
      <w:r>
        <w:rPr>
          <w:rFonts w:hint="eastAsia" w:ascii="仿宋_GB2312" w:hAnsi="仿宋_GB2312" w:eastAsia="仿宋_GB2312" w:cs="仿宋_GB2312"/>
          <w:bCs/>
          <w:color w:val="auto"/>
          <w:kern w:val="0"/>
          <w:sz w:val="32"/>
          <w:szCs w:val="32"/>
          <w:highlight w:val="none"/>
        </w:rPr>
        <w:t>贯彻落实药品、医用耗材、医疗服务项目、医疗服务设施等医保目录和支付标准，执行动态调整机制。</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（六）</w:t>
      </w:r>
      <w:r>
        <w:rPr>
          <w:rFonts w:hint="eastAsia" w:ascii="仿宋_GB2312" w:hAnsi="仿宋_GB2312" w:eastAsia="仿宋_GB2312" w:cs="仿宋_GB2312"/>
          <w:bCs/>
          <w:color w:val="auto"/>
          <w:kern w:val="0"/>
          <w:sz w:val="32"/>
          <w:szCs w:val="32"/>
          <w:highlight w:val="none"/>
        </w:rPr>
        <w:t>贯彻落实定点医药机构协议和支付管理办法，建立健全医疗保障信用评价体系和信息披露制度，监督管理纳入医保范围内的医疗服务行为和医疗费用，依法查处医疗保障、生育保险领域违法违规行为。</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负责医疗保障经办管理、公共服务体系和信息化建设贯彻落实国家、自治区跨省异地就医管理和费用结算策，执行自治州异地就医和费用结算政策措施。贯彻落实医疗保障关系转移接续制度。指导医疗保障经办机构开展业务工作。</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（八）</w:t>
      </w:r>
      <w:r>
        <w:rPr>
          <w:rFonts w:hint="eastAsia" w:ascii="仿宋_GB2312" w:hAnsi="仿宋_GB2312" w:eastAsia="仿宋_GB2312" w:cs="仿宋_GB2312"/>
          <w:bCs/>
          <w:color w:val="auto"/>
          <w:kern w:val="0"/>
          <w:sz w:val="32"/>
          <w:szCs w:val="32"/>
          <w:highlight w:val="none"/>
        </w:rPr>
        <w:t>完成呼图壁县党委、县人民政府交办的其他任务。</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（九）</w:t>
      </w:r>
      <w:r>
        <w:rPr>
          <w:rFonts w:hint="eastAsia" w:ascii="仿宋_GB2312" w:hAnsi="仿宋_GB2312" w:eastAsia="仿宋_GB2312" w:cs="仿宋_GB2312"/>
          <w:bCs/>
          <w:color w:val="auto"/>
          <w:kern w:val="0"/>
          <w:sz w:val="32"/>
          <w:szCs w:val="32"/>
          <w:highlight w:val="none"/>
        </w:rPr>
        <w:t>职能转变。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pPr>
        <w:keepNext w:val="0"/>
        <w:keepLines w:val="0"/>
        <w:pageBreakBefore w:val="0"/>
        <w:widowControl/>
        <w:kinsoku/>
        <w:wordWrap/>
        <w:overflowPunct/>
        <w:topLinePunct w:val="0"/>
        <w:autoSpaceDE/>
        <w:autoSpaceDN/>
        <w:bidi w:val="0"/>
        <w:adjustRightInd/>
        <w:snapToGrid/>
        <w:spacing w:line="540" w:lineRule="exact"/>
        <w:ind w:left="0" w:leftChars="0"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rPr>
        <w:t>与县卫生健康委员会的有关职责分工。县卫生健康委员会、县医疗保障局等部门在医疗、医保、医药等方面加强制度、政策衔接，建立沟通协商机制，协同推进改革，提高医疗资源使用效率和医疗保障水平。</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呼图壁县医疗保障局无下属预算单位，下设六个处室，分别是：党政办、待遇支付科、征缴稽核科、综合业务科、基金财务科、</w:t>
      </w:r>
      <w:r>
        <w:rPr>
          <w:rFonts w:hint="eastAsia" w:ascii="仿宋_GB2312" w:hAnsi="仿宋_GB2312" w:eastAsia="仿宋_GB2312" w:cs="仿宋_GB2312"/>
          <w:b w:val="0"/>
          <w:bCs w:val="0"/>
          <w:color w:val="auto"/>
          <w:kern w:val="0"/>
          <w:sz w:val="32"/>
          <w:szCs w:val="32"/>
          <w:highlight w:val="none"/>
          <w:lang w:eastAsia="zh-CN"/>
        </w:rPr>
        <w:t>综柜</w:t>
      </w:r>
      <w:r>
        <w:rPr>
          <w:rFonts w:hint="eastAsia" w:ascii="仿宋_GB2312" w:hAnsi="仿宋_GB2312" w:eastAsia="仿宋_GB2312" w:cs="仿宋_GB2312"/>
          <w:b w:val="0"/>
          <w:bCs w:val="0"/>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呼图壁县医疗保障局编制数24，实有人数</w:t>
      </w:r>
      <w:r>
        <w:rPr>
          <w:rFonts w:hint="eastAsia" w:ascii="仿宋_GB2312" w:hAnsi="仿宋_GB2312" w:eastAsia="仿宋_GB2312" w:cs="仿宋_GB2312"/>
          <w:b w:val="0"/>
          <w:bCs w:val="0"/>
          <w:color w:val="auto"/>
          <w:kern w:val="0"/>
          <w:sz w:val="32"/>
          <w:szCs w:val="32"/>
          <w:highlight w:val="none"/>
          <w:lang w:val="en-US" w:eastAsia="zh-CN"/>
        </w:rPr>
        <w:t>26</w:t>
      </w:r>
      <w:r>
        <w:rPr>
          <w:rFonts w:hint="eastAsia" w:ascii="仿宋_GB2312" w:hAnsi="仿宋_GB2312" w:eastAsia="仿宋_GB2312" w:cs="仿宋_GB2312"/>
          <w:b w:val="0"/>
          <w:bCs w:val="0"/>
          <w:color w:val="auto"/>
          <w:kern w:val="0"/>
          <w:sz w:val="32"/>
          <w:szCs w:val="32"/>
          <w:highlight w:val="none"/>
        </w:rPr>
        <w:t>人，其中：在职</w:t>
      </w:r>
      <w:r>
        <w:rPr>
          <w:rFonts w:hint="eastAsia" w:ascii="仿宋_GB2312" w:hAnsi="仿宋_GB2312" w:eastAsia="仿宋_GB2312" w:cs="仿宋_GB2312"/>
          <w:b w:val="0"/>
          <w:bCs w:val="0"/>
          <w:color w:val="auto"/>
          <w:kern w:val="0"/>
          <w:sz w:val="32"/>
          <w:szCs w:val="32"/>
          <w:highlight w:val="none"/>
          <w:lang w:val="en-US" w:eastAsia="zh-CN"/>
        </w:rPr>
        <w:t>24</w:t>
      </w:r>
      <w:r>
        <w:rPr>
          <w:rFonts w:hint="eastAsia" w:ascii="仿宋_GB2312" w:hAnsi="仿宋_GB2312" w:eastAsia="仿宋_GB2312" w:cs="仿宋_GB2312"/>
          <w:b w:val="0"/>
          <w:bCs w:val="0"/>
          <w:color w:val="auto"/>
          <w:kern w:val="0"/>
          <w:sz w:val="32"/>
          <w:szCs w:val="32"/>
          <w:highlight w:val="none"/>
        </w:rPr>
        <w:t>人，减少</w:t>
      </w:r>
      <w:r>
        <w:rPr>
          <w:rFonts w:hint="eastAsia" w:ascii="仿宋_GB2312" w:hAnsi="仿宋_GB2312" w:eastAsia="仿宋_GB2312" w:cs="仿宋_GB2312"/>
          <w:b w:val="0"/>
          <w:bCs w:val="0"/>
          <w:color w:val="auto"/>
          <w:kern w:val="0"/>
          <w:sz w:val="32"/>
          <w:szCs w:val="32"/>
          <w:highlight w:val="none"/>
          <w:lang w:val="en-US" w:eastAsia="zh-CN"/>
        </w:rPr>
        <w:t>1</w:t>
      </w:r>
      <w:r>
        <w:rPr>
          <w:rFonts w:hint="eastAsia" w:ascii="仿宋_GB2312" w:hAnsi="仿宋_GB2312" w:eastAsia="仿宋_GB2312" w:cs="仿宋_GB2312"/>
          <w:b w:val="0"/>
          <w:bCs w:val="0"/>
          <w:color w:val="auto"/>
          <w:kern w:val="0"/>
          <w:sz w:val="32"/>
          <w:szCs w:val="32"/>
          <w:highlight w:val="none"/>
        </w:rPr>
        <w:t>人；退休</w:t>
      </w:r>
      <w:r>
        <w:rPr>
          <w:rFonts w:hint="eastAsia" w:ascii="仿宋_GB2312" w:hAnsi="仿宋_GB2312" w:eastAsia="仿宋_GB2312" w:cs="仿宋_GB2312"/>
          <w:b w:val="0"/>
          <w:bCs w:val="0"/>
          <w:color w:val="auto"/>
          <w:kern w:val="0"/>
          <w:sz w:val="32"/>
          <w:szCs w:val="32"/>
          <w:highlight w:val="none"/>
          <w:lang w:val="en-US" w:eastAsia="zh-CN"/>
        </w:rPr>
        <w:t>2</w:t>
      </w:r>
      <w:r>
        <w:rPr>
          <w:rFonts w:hint="eastAsia" w:ascii="仿宋_GB2312" w:hAnsi="仿宋_GB2312" w:eastAsia="仿宋_GB2312" w:cs="仿宋_GB2312"/>
          <w:b w:val="0"/>
          <w:bCs w:val="0"/>
          <w:color w:val="auto"/>
          <w:kern w:val="0"/>
          <w:sz w:val="32"/>
          <w:szCs w:val="32"/>
          <w:highlight w:val="none"/>
        </w:rPr>
        <w:t>人，增加</w:t>
      </w:r>
      <w:r>
        <w:rPr>
          <w:rFonts w:hint="eastAsia" w:ascii="仿宋_GB2312" w:hAnsi="仿宋_GB2312" w:eastAsia="仿宋_GB2312" w:cs="仿宋_GB2312"/>
          <w:b w:val="0"/>
          <w:bCs w:val="0"/>
          <w:color w:val="auto"/>
          <w:kern w:val="0"/>
          <w:sz w:val="32"/>
          <w:szCs w:val="32"/>
          <w:highlight w:val="none"/>
          <w:lang w:val="en-US" w:eastAsia="zh-CN"/>
        </w:rPr>
        <w:t>0</w:t>
      </w:r>
      <w:r>
        <w:rPr>
          <w:rFonts w:hint="eastAsia" w:ascii="仿宋_GB2312" w:hAnsi="仿宋_GB2312" w:eastAsia="仿宋_GB2312" w:cs="仿宋_GB2312"/>
          <w:b w:val="0"/>
          <w:bCs w:val="0"/>
          <w:color w:val="auto"/>
          <w:kern w:val="0"/>
          <w:sz w:val="32"/>
          <w:szCs w:val="32"/>
          <w:highlight w:val="none"/>
        </w:rPr>
        <w:t>人；离休0人，增加0人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pStyle w:val="2"/>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2025年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Theme="minorEastAsia" w:hAnsiTheme="minorEastAsia" w:eastAsiaTheme="minorEastAsia" w:cstheme="minorEastAsia"/>
          <w:b/>
          <w:color w:val="auto"/>
          <w:kern w:val="0"/>
          <w:sz w:val="32"/>
          <w:szCs w:val="32"/>
          <w:highlight w:val="none"/>
          <w:lang w:eastAsia="zh-CN"/>
        </w:rPr>
        <w:t>部门</w:t>
      </w:r>
      <w:r>
        <w:rPr>
          <w:rFonts w:hint="eastAsia" w:asciiTheme="minorEastAsia" w:hAnsiTheme="minorEastAsia" w:eastAsiaTheme="minorEastAsia" w:cstheme="minorEastAsia"/>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呼图壁县医疗保障局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066" w:type="dxa"/>
        <w:tblInd w:w="-311" w:type="dxa"/>
        <w:tblLayout w:type="autofit"/>
        <w:tblCellMar>
          <w:top w:w="0" w:type="dxa"/>
          <w:left w:w="108" w:type="dxa"/>
          <w:bottom w:w="0" w:type="dxa"/>
          <w:right w:w="108" w:type="dxa"/>
        </w:tblCellMar>
      </w:tblPr>
      <w:tblGrid>
        <w:gridCol w:w="3660"/>
        <w:gridCol w:w="1012"/>
        <w:gridCol w:w="2693"/>
        <w:gridCol w:w="1701"/>
      </w:tblGrid>
      <w:tr>
        <w:tblPrEx>
          <w:tblCellMar>
            <w:top w:w="0" w:type="dxa"/>
            <w:left w:w="108" w:type="dxa"/>
            <w:bottom w:w="0" w:type="dxa"/>
            <w:right w:w="108" w:type="dxa"/>
          </w:tblCellMar>
        </w:tblPrEx>
        <w:trPr>
          <w:trHeight w:val="360" w:hRule="atLeast"/>
        </w:trPr>
        <w:tc>
          <w:tcPr>
            <w:tcW w:w="4672"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01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一、本年收入</w:t>
            </w:r>
          </w:p>
        </w:tc>
        <w:tc>
          <w:tcPr>
            <w:tcW w:w="101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412.86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1.一般公共预算拨款</w:t>
            </w:r>
          </w:p>
        </w:tc>
        <w:tc>
          <w:tcPr>
            <w:tcW w:w="101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355.86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01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355.86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660"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540" w:firstLineChars="30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01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b/>
                <w:bCs/>
                <w:color w:val="auto"/>
                <w:kern w:val="0"/>
                <w:sz w:val="18"/>
                <w:szCs w:val="18"/>
                <w:highlight w:val="none"/>
                <w:shd w:val="clear" w:color="auto" w:fill="auto"/>
              </w:rPr>
              <w:t>2.</w:t>
            </w:r>
            <w:r>
              <w:rPr>
                <w:rFonts w:hint="eastAsia" w:ascii="仿宋_GB2312" w:hAnsi="宋体" w:eastAsia="仿宋_GB2312" w:cs="宋体"/>
                <w:b/>
                <w:bCs/>
                <w:color w:val="auto"/>
                <w:kern w:val="0"/>
                <w:sz w:val="18"/>
                <w:szCs w:val="18"/>
                <w:highlight w:val="none"/>
                <w:shd w:val="clear" w:color="auto" w:fill="auto"/>
                <w:lang w:val="en-US" w:eastAsia="zh-CN"/>
              </w:rPr>
              <w:t>政府性</w:t>
            </w:r>
            <w:r>
              <w:rPr>
                <w:rFonts w:hint="eastAsia" w:ascii="仿宋_GB2312" w:hAnsi="宋体" w:eastAsia="仿宋_GB2312" w:cs="宋体"/>
                <w:b/>
                <w:bCs/>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01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01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540" w:firstLineChars="30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01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3.国有资本经营预算拨款</w:t>
            </w:r>
          </w:p>
        </w:tc>
        <w:tc>
          <w:tcPr>
            <w:tcW w:w="101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35.02</w:t>
            </w:r>
          </w:p>
        </w:tc>
      </w:tr>
      <w:tr>
        <w:tblPrEx>
          <w:tblCellMar>
            <w:top w:w="0" w:type="dxa"/>
            <w:left w:w="108" w:type="dxa"/>
            <w:bottom w:w="0" w:type="dxa"/>
            <w:right w:w="108" w:type="dxa"/>
          </w:tblCellMar>
        </w:tblPrEx>
        <w:trPr>
          <w:trHeight w:val="315"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ind w:firstLine="540" w:firstLineChars="30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325.12</w:t>
            </w: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4.财政专户核拨</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5.单位资金</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ind w:firstLine="540" w:firstLineChars="30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ind w:firstLine="540" w:firstLineChars="30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ind w:firstLine="540" w:firstLineChars="30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ind w:firstLine="540" w:firstLineChars="30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二、上年结转结余</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13.09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1.财政拨款结转</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13.09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13.09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65.82</w:t>
            </w: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ind w:firstLine="540" w:firstLineChars="30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ind w:firstLine="540" w:firstLineChars="30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2.非财政拨款结余</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ind w:firstLine="540" w:firstLineChars="30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2" w:type="dxa"/>
            <w:tcBorders>
              <w:top w:val="nil"/>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01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660"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01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660"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01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425.95</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425.95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87" w:header="851" w:footer="992" w:gutter="0"/>
          <w:pgBorders>
            <w:top w:val="none" w:sz="0" w:space="0"/>
            <w:left w:val="none" w:sz="0" w:space="0"/>
            <w:bottom w:val="none" w:sz="0" w:space="0"/>
            <w:right w:val="none" w:sz="0" w:space="0"/>
          </w:pgBorders>
          <w:pgNumType w:fmt="numberInDash"/>
          <w:cols w:space="0" w:num="1"/>
          <w:rtlGutter w:val="0"/>
          <w:docGrid w:linePitch="312" w:charSpace="0"/>
        </w:sectPr>
      </w:pPr>
    </w:p>
    <w:p>
      <w:pPr>
        <w:pStyle w:val="2"/>
        <w:ind w:left="0" w:leftChars="0" w:firstLine="0" w:firstLineChars="0"/>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both"/>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呼图壁县医疗保障局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0" w:type="auto"/>
        <w:tblInd w:w="-450" w:type="dxa"/>
        <w:tblLayout w:type="autofit"/>
        <w:tblCellMar>
          <w:top w:w="0" w:type="dxa"/>
          <w:left w:w="108" w:type="dxa"/>
          <w:bottom w:w="0" w:type="dxa"/>
          <w:right w:w="108" w:type="dxa"/>
        </w:tblCellMar>
      </w:tblPr>
      <w:tblGrid>
        <w:gridCol w:w="560"/>
        <w:gridCol w:w="478"/>
        <w:gridCol w:w="478"/>
        <w:gridCol w:w="1046"/>
        <w:gridCol w:w="775"/>
        <w:gridCol w:w="1057"/>
        <w:gridCol w:w="916"/>
        <w:gridCol w:w="1077"/>
        <w:gridCol w:w="700"/>
        <w:gridCol w:w="1030"/>
        <w:gridCol w:w="747"/>
        <w:gridCol w:w="1171"/>
        <w:gridCol w:w="995"/>
        <w:gridCol w:w="752"/>
        <w:gridCol w:w="846"/>
        <w:gridCol w:w="794"/>
      </w:tblGrid>
      <w:tr>
        <w:tblPrEx>
          <w:tblCellMar>
            <w:top w:w="0" w:type="dxa"/>
            <w:left w:w="108" w:type="dxa"/>
            <w:bottom w:w="0" w:type="dxa"/>
            <w:right w:w="108" w:type="dxa"/>
          </w:tblCellMar>
        </w:tblPrEx>
        <w:trPr>
          <w:trHeight w:val="749" w:hRule="atLeast"/>
        </w:trPr>
        <w:tc>
          <w:tcPr>
            <w:tcW w:w="0" w:type="auto"/>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color w:val="auto"/>
                <w:sz w:val="20"/>
                <w:szCs w:val="20"/>
                <w:highlight w:val="none"/>
              </w:rPr>
            </w:pPr>
            <w:r>
              <w:rPr>
                <w:rFonts w:hint="eastAsia" w:ascii="仿宋_GB2312" w:hAnsi="仿宋_GB2312" w:eastAsia="仿宋_GB2312" w:cs="仿宋_GB2312"/>
                <w:b/>
                <w:color w:val="auto"/>
                <w:sz w:val="24"/>
                <w:szCs w:val="24"/>
                <w:highlight w:val="none"/>
              </w:rPr>
              <w:t>功能分类科目编码</w:t>
            </w:r>
          </w:p>
        </w:tc>
        <w:tc>
          <w:tcPr>
            <w:tcW w:w="0" w:type="auto"/>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color w:val="auto"/>
                <w:sz w:val="20"/>
                <w:szCs w:val="20"/>
                <w:highlight w:val="none"/>
              </w:rPr>
            </w:pPr>
            <w:r>
              <w:rPr>
                <w:rFonts w:hint="eastAsia" w:ascii="仿宋_GB2312" w:hAnsi="仿宋_GB2312" w:eastAsia="仿宋_GB2312" w:cs="仿宋_GB2312"/>
                <w:b/>
                <w:color w:val="auto"/>
                <w:sz w:val="20"/>
                <w:szCs w:val="20"/>
                <w:highlight w:val="none"/>
              </w:rPr>
              <w:t>功能分类科目名称</w:t>
            </w:r>
          </w:p>
        </w:tc>
        <w:tc>
          <w:tcPr>
            <w:tcW w:w="0" w:type="auto"/>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bCs w:val="0"/>
                <w:color w:val="auto"/>
                <w:sz w:val="20"/>
                <w:szCs w:val="20"/>
                <w:highlight w:val="none"/>
              </w:rPr>
            </w:pPr>
            <w:r>
              <w:rPr>
                <w:rFonts w:hint="eastAsia" w:ascii="仿宋_GB2312" w:hAnsi="仿宋_GB2312" w:eastAsia="仿宋_GB2312" w:cs="仿宋_GB2312"/>
                <w:b/>
                <w:bCs w:val="0"/>
                <w:color w:val="auto"/>
                <w:sz w:val="20"/>
                <w:szCs w:val="20"/>
                <w:highlight w:val="none"/>
              </w:rPr>
              <w:t>总  计</w:t>
            </w:r>
          </w:p>
        </w:tc>
        <w:tc>
          <w:tcPr>
            <w:tcW w:w="0" w:type="auto"/>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b/>
                <w:bCs w:val="0"/>
                <w:color w:val="auto"/>
                <w:sz w:val="20"/>
                <w:szCs w:val="20"/>
                <w:highlight w:val="none"/>
              </w:rPr>
            </w:pPr>
            <w:r>
              <w:rPr>
                <w:rFonts w:hint="eastAsia" w:ascii="仿宋_GB2312" w:hAnsi="仿宋_GB2312" w:eastAsia="仿宋_GB2312" w:cs="仿宋_GB2312"/>
                <w:b/>
                <w:bCs w:val="0"/>
                <w:color w:val="auto"/>
                <w:sz w:val="24"/>
                <w:szCs w:val="24"/>
                <w:highlight w:val="none"/>
              </w:rPr>
              <w:t>财  政  拨  款  (  补  助  )</w:t>
            </w:r>
          </w:p>
        </w:tc>
        <w:tc>
          <w:tcPr>
            <w:tcW w:w="0" w:type="auto"/>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bCs w:val="0"/>
                <w:color w:val="auto"/>
                <w:sz w:val="20"/>
                <w:szCs w:val="20"/>
                <w:highlight w:val="none"/>
              </w:rPr>
            </w:pPr>
            <w:r>
              <w:rPr>
                <w:rFonts w:hint="eastAsia" w:ascii="仿宋_GB2312" w:hAnsi="仿宋_GB2312" w:eastAsia="仿宋_GB2312" w:cs="仿宋_GB2312"/>
                <w:b/>
                <w:bCs w:val="0"/>
                <w:color w:val="auto"/>
                <w:sz w:val="20"/>
                <w:szCs w:val="20"/>
                <w:highlight w:val="none"/>
              </w:rPr>
              <w:t>财政专户（教育收费）</w:t>
            </w:r>
          </w:p>
        </w:tc>
        <w:tc>
          <w:tcPr>
            <w:tcW w:w="0" w:type="auto"/>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color w:val="auto"/>
                <w:sz w:val="20"/>
                <w:szCs w:val="20"/>
                <w:highlight w:val="none"/>
              </w:rPr>
            </w:pPr>
            <w:r>
              <w:rPr>
                <w:rFonts w:hint="eastAsia" w:ascii="仿宋_GB2312" w:hAnsi="仿宋_GB2312" w:eastAsia="仿宋_GB2312" w:cs="仿宋_GB2312"/>
                <w:b/>
                <w:color w:val="auto"/>
                <w:sz w:val="20"/>
                <w:szCs w:val="20"/>
                <w:highlight w:val="none"/>
              </w:rPr>
              <w:t>单位资金</w:t>
            </w:r>
          </w:p>
        </w:tc>
        <w:tc>
          <w:tcPr>
            <w:tcW w:w="0" w:type="auto"/>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color w:val="auto"/>
                <w:sz w:val="20"/>
                <w:szCs w:val="20"/>
                <w:highlight w:val="none"/>
              </w:rPr>
            </w:pPr>
            <w:r>
              <w:rPr>
                <w:rFonts w:hint="eastAsia" w:ascii="仿宋_GB2312" w:hAnsi="仿宋_GB2312" w:eastAsia="仿宋_GB2312" w:cs="仿宋_GB2312"/>
                <w:b/>
                <w:color w:val="auto"/>
                <w:sz w:val="20"/>
                <w:szCs w:val="20"/>
                <w:highlight w:val="none"/>
              </w:rPr>
              <w:t>财政拨款结转</w:t>
            </w:r>
          </w:p>
        </w:tc>
        <w:tc>
          <w:tcPr>
            <w:tcW w:w="0" w:type="auto"/>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color w:val="auto"/>
                <w:sz w:val="20"/>
                <w:szCs w:val="20"/>
                <w:highlight w:val="none"/>
              </w:rPr>
            </w:pPr>
            <w:r>
              <w:rPr>
                <w:rFonts w:hint="eastAsia" w:ascii="仿宋_GB2312" w:hAnsi="仿宋_GB2312" w:eastAsia="仿宋_GB2312" w:cs="仿宋_GB2312"/>
                <w:b/>
                <w:color w:val="auto"/>
                <w:sz w:val="20"/>
                <w:szCs w:val="20"/>
                <w:highlight w:val="none"/>
              </w:rPr>
              <w:t>非财政拨款结转结余</w:t>
            </w:r>
          </w:p>
        </w:tc>
      </w:tr>
      <w:tr>
        <w:tblPrEx>
          <w:tblCellMar>
            <w:top w:w="0" w:type="dxa"/>
            <w:left w:w="108" w:type="dxa"/>
            <w:bottom w:w="0" w:type="dxa"/>
            <w:right w:w="108" w:type="dxa"/>
          </w:tblCellMar>
        </w:tblPrEx>
        <w:trPr>
          <w:trHeight w:val="2548" w:hRule="atLeast"/>
        </w:trPr>
        <w:tc>
          <w:tcPr>
            <w:tcW w:w="0" w:type="auto"/>
            <w:tcBorders>
              <w:left w:val="single" w:color="auto" w:sz="4" w:space="0"/>
              <w:bottom w:val="single" w:color="auto" w:sz="4" w:space="0"/>
              <w:right w:val="single" w:color="auto" w:sz="4" w:space="0"/>
            </w:tcBorders>
            <w:noWrap w:val="0"/>
            <w:vAlign w:val="center"/>
          </w:tcPr>
          <w:p>
            <w:pPr>
              <w:jc w:val="right"/>
              <w:rPr>
                <w:rFonts w:hint="eastAsia" w:ascii="仿宋_GB2312" w:hAnsi="仿宋_GB2312" w:eastAsia="仿宋_GB2312" w:cs="仿宋_GB2312"/>
                <w:b/>
                <w:color w:val="auto"/>
                <w:sz w:val="20"/>
                <w:szCs w:val="20"/>
                <w:highlight w:val="none"/>
                <w:lang w:val="en-US" w:eastAsia="zh-Hans"/>
              </w:rPr>
            </w:pPr>
            <w:r>
              <w:rPr>
                <w:rFonts w:hint="eastAsia" w:ascii="仿宋_GB2312" w:hAnsi="仿宋_GB2312" w:eastAsia="仿宋_GB2312" w:cs="仿宋_GB2312"/>
                <w:b/>
                <w:color w:val="auto"/>
                <w:sz w:val="20"/>
                <w:szCs w:val="20"/>
                <w:highlight w:val="none"/>
                <w:lang w:val="en-US" w:eastAsia="zh-Hans"/>
              </w:rPr>
              <w:t>类</w:t>
            </w:r>
          </w:p>
        </w:tc>
        <w:tc>
          <w:tcPr>
            <w:tcW w:w="0" w:type="auto"/>
            <w:tcBorders>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b/>
                <w:color w:val="auto"/>
                <w:sz w:val="20"/>
                <w:szCs w:val="20"/>
                <w:highlight w:val="none"/>
                <w:lang w:val="en-US" w:eastAsia="zh-Hans"/>
              </w:rPr>
            </w:pPr>
            <w:r>
              <w:rPr>
                <w:rFonts w:hint="eastAsia" w:ascii="仿宋_GB2312" w:hAnsi="仿宋_GB2312" w:eastAsia="仿宋_GB2312" w:cs="仿宋_GB2312"/>
                <w:b/>
                <w:color w:val="auto"/>
                <w:sz w:val="20"/>
                <w:szCs w:val="20"/>
                <w:highlight w:val="none"/>
                <w:lang w:val="en-US" w:eastAsia="zh-Hans"/>
              </w:rPr>
              <w:t>款</w:t>
            </w:r>
          </w:p>
        </w:tc>
        <w:tc>
          <w:tcPr>
            <w:tcW w:w="0" w:type="auto"/>
            <w:tcBorders>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b/>
                <w:color w:val="auto"/>
                <w:sz w:val="20"/>
                <w:szCs w:val="20"/>
                <w:highlight w:val="none"/>
                <w:lang w:val="en-US" w:eastAsia="zh-Hans"/>
              </w:rPr>
            </w:pPr>
            <w:r>
              <w:rPr>
                <w:rFonts w:hint="eastAsia" w:ascii="仿宋_GB2312" w:hAnsi="仿宋_GB2312" w:eastAsia="仿宋_GB2312" w:cs="仿宋_GB2312"/>
                <w:b/>
                <w:color w:val="auto"/>
                <w:sz w:val="20"/>
                <w:szCs w:val="20"/>
                <w:highlight w:val="none"/>
                <w:lang w:val="en-US" w:eastAsia="zh-Hans"/>
              </w:rPr>
              <w:t>项</w:t>
            </w:r>
          </w:p>
        </w:tc>
        <w:tc>
          <w:tcPr>
            <w:tcW w:w="0" w:type="auto"/>
            <w:vMerge w:val="continue"/>
            <w:tcBorders>
              <w:left w:val="single" w:color="auto" w:sz="4" w:space="0"/>
              <w:bottom w:val="single" w:color="000000"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0" w:type="auto"/>
            <w:vMerge w:val="continue"/>
            <w:tcBorders>
              <w:left w:val="single" w:color="auto" w:sz="4" w:space="0"/>
              <w:bottom w:val="single" w:color="000000"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0" w:type="auto"/>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财政拨款(补助)小计</w:t>
            </w:r>
          </w:p>
        </w:tc>
        <w:tc>
          <w:tcPr>
            <w:tcW w:w="0" w:type="auto"/>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一般公共预算</w:t>
            </w:r>
          </w:p>
        </w:tc>
        <w:tc>
          <w:tcPr>
            <w:tcW w:w="0" w:type="auto"/>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上级一般公共预算安排的转移支付</w:t>
            </w:r>
          </w:p>
        </w:tc>
        <w:tc>
          <w:tcPr>
            <w:tcW w:w="0" w:type="auto"/>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政府性基金预算</w:t>
            </w:r>
          </w:p>
        </w:tc>
        <w:tc>
          <w:tcPr>
            <w:tcW w:w="0" w:type="auto"/>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上级政府性基金安排的转移支付</w:t>
            </w:r>
          </w:p>
        </w:tc>
        <w:tc>
          <w:tcPr>
            <w:tcW w:w="0" w:type="auto"/>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国有资本经营预算</w:t>
            </w:r>
          </w:p>
        </w:tc>
        <w:tc>
          <w:tcPr>
            <w:tcW w:w="0" w:type="auto"/>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上级国有资本经营预算安排的转移支付</w:t>
            </w:r>
          </w:p>
        </w:tc>
        <w:tc>
          <w:tcPr>
            <w:tcW w:w="0" w:type="auto"/>
            <w:vMerge w:val="continue"/>
            <w:tcBorders>
              <w:left w:val="single" w:color="auto" w:sz="4" w:space="0"/>
              <w:bottom w:val="single" w:color="000000"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0" w:type="auto"/>
            <w:vMerge w:val="continue"/>
            <w:tcBorders>
              <w:left w:val="single" w:color="auto" w:sz="4" w:space="0"/>
              <w:bottom w:val="single" w:color="000000"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0" w:type="auto"/>
            <w:vMerge w:val="continue"/>
            <w:tcBorders>
              <w:left w:val="single" w:color="auto" w:sz="4" w:space="0"/>
              <w:bottom w:val="single" w:color="000000"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0" w:type="auto"/>
            <w:vMerge w:val="continue"/>
            <w:tcBorders>
              <w:left w:val="single" w:color="auto" w:sz="4" w:space="0"/>
              <w:bottom w:val="single" w:color="000000"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208</w:t>
            </w:r>
          </w:p>
        </w:tc>
        <w:tc>
          <w:tcPr>
            <w:tcW w:w="0" w:type="auto"/>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仿宋_GB2312" w:eastAsia="仿宋_GB2312" w:cs="仿宋_GB2312"/>
                <w:b/>
                <w:bCs/>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仿宋_GB2312" w:eastAsia="仿宋_GB2312" w:cs="仿宋_GB2312"/>
                <w:b/>
                <w:bCs/>
                <w:color w:val="auto"/>
                <w:sz w:val="18"/>
                <w:szCs w:val="18"/>
                <w:highlight w:val="none"/>
              </w:rPr>
            </w:pPr>
          </w:p>
        </w:tc>
        <w:tc>
          <w:tcPr>
            <w:tcW w:w="0" w:type="auto"/>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社会保障和就业支出</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208</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05</w:t>
            </w:r>
          </w:p>
        </w:tc>
        <w:tc>
          <w:tcPr>
            <w:tcW w:w="0" w:type="auto"/>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行政事业单位养老支出</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05</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行政单位离退休</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725"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05</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05</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机关事业单位基本养老保险缴费支出</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33.77</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33.77</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33.77</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w:t>
            </w:r>
          </w:p>
        </w:tc>
        <w:tc>
          <w:tcPr>
            <w:tcW w:w="0" w:type="auto"/>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卫生健康支出</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325.12</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293.03</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293.03</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19.00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13.09</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11</w:t>
            </w:r>
          </w:p>
        </w:tc>
        <w:tc>
          <w:tcPr>
            <w:tcW w:w="0" w:type="auto"/>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行政事业单位医疗</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25.94</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25.94</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25.94</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行政单位医疗</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4.83</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4.83</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4.83</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02</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事业单位医疗</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12.46</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12.46</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12.46</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03</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公务员医疗补助</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8.44</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8.44</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8.44</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45"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99</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其他行政事业单位医疗支出</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0.21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0.21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0.21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15</w:t>
            </w:r>
          </w:p>
        </w:tc>
        <w:tc>
          <w:tcPr>
            <w:tcW w:w="0" w:type="auto"/>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医疗保障管理事务</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299.19</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267.09</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267.09</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19.00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13.09</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15</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行政运行</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98.69</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94.69</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94.69</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4.00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15</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06</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医疗保障经办事务</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13.09</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13.09</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03" w:hRule="atLeast"/>
        </w:trPr>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15</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50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事业运行</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187.41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172.41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172.41</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15.00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514" w:hRule="atLeast"/>
        </w:trPr>
        <w:tc>
          <w:tcPr>
            <w:tcW w:w="0" w:type="auto"/>
            <w:tcBorders>
              <w:top w:val="nil"/>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18"/>
                <w:szCs w:val="18"/>
                <w:highlight w:val="none"/>
              </w:rPr>
            </w:pPr>
          </w:p>
        </w:tc>
        <w:tc>
          <w:tcPr>
            <w:tcW w:w="0" w:type="auto"/>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合  计</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425.95</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355.86</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355.86</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57.00</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13.09</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18"/>
                <w:szCs w:val="18"/>
                <w:u w:val="none"/>
                <w:lang w:val="en-US" w:eastAsia="zh-CN" w:bidi="ar"/>
              </w:rPr>
            </w:pPr>
            <w:r>
              <w:rPr>
                <w:rFonts w:hint="eastAsia" w:ascii="仿宋_GB2312" w:hAnsi="仿宋_GB2312" w:eastAsia="仿宋_GB2312" w:cs="仿宋_GB2312"/>
                <w:b/>
                <w:bCs/>
                <w:i w:val="0"/>
                <w:iCs w:val="0"/>
                <w:color w:val="000000"/>
                <w:kern w:val="0"/>
                <w:sz w:val="18"/>
                <w:szCs w:val="18"/>
                <w:u w:val="none"/>
                <w:lang w:val="en-US" w:eastAsia="zh-CN" w:bidi="ar"/>
              </w:rPr>
              <w:t>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87" w:right="2098" w:bottom="1531" w:left="1984" w:header="851" w:footer="992" w:gutter="0"/>
          <w:pgBorders>
            <w:top w:val="none" w:sz="0" w:space="0"/>
            <w:left w:val="none" w:sz="0" w:space="0"/>
            <w:bottom w:val="none" w:sz="0" w:space="0"/>
            <w:right w:val="none" w:sz="0" w:space="0"/>
          </w:pgBorders>
          <w:pgNumType w:fmt="numberInDash"/>
          <w:cols w:space="0" w:num="1"/>
          <w:rtlGutter w:val="0"/>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呼图壁县医疗保障局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420" w:type="dxa"/>
        <w:tblInd w:w="-240" w:type="dxa"/>
        <w:tblLayout w:type="autofit"/>
        <w:tblCellMar>
          <w:top w:w="0" w:type="dxa"/>
          <w:left w:w="108" w:type="dxa"/>
          <w:bottom w:w="0" w:type="dxa"/>
          <w:right w:w="108" w:type="dxa"/>
        </w:tblCellMar>
      </w:tblPr>
      <w:tblGrid>
        <w:gridCol w:w="546"/>
        <w:gridCol w:w="766"/>
        <w:gridCol w:w="986"/>
        <w:gridCol w:w="2180"/>
        <w:gridCol w:w="1662"/>
        <w:gridCol w:w="1663"/>
        <w:gridCol w:w="1617"/>
      </w:tblGrid>
      <w:tr>
        <w:tblPrEx>
          <w:tblCellMar>
            <w:top w:w="0" w:type="dxa"/>
            <w:left w:w="108" w:type="dxa"/>
            <w:bottom w:w="0" w:type="dxa"/>
            <w:right w:w="108" w:type="dxa"/>
          </w:tblCellMar>
        </w:tblPrEx>
        <w:trPr>
          <w:trHeight w:val="328" w:hRule="atLeast"/>
        </w:trPr>
        <w:tc>
          <w:tcPr>
            <w:tcW w:w="447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94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229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18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6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6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1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4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76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9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18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6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6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1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208</w:t>
            </w:r>
          </w:p>
        </w:tc>
        <w:tc>
          <w:tcPr>
            <w:tcW w:w="76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社会保障和就业支出</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20805</w:t>
            </w: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行政事业单位养老支出</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35.01</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35.01</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20805</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2080501</w:t>
            </w: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行政单位离退休</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20805</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2080505</w:t>
            </w: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机关事业单位基本养老保险缴费支出</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33.77</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33.77</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卫生健康支出</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325.12</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312.03</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13.09</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21011</w:t>
            </w: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行政事业单位医疗</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25.94</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25.94</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2101101</w:t>
            </w: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行政单位医疗</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4.83</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4.83</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2101102</w:t>
            </w: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事业单位医疗</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12.46</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12.46</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2101103</w:t>
            </w: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公务员医疗补助</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8.44</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8.44</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2101199</w:t>
            </w: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其他行政事业单位医疗支出</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0.21</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0.21</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21015</w:t>
            </w: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医疗保障管理事务</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299.19</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286.09</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13.09</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21015</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2101501</w:t>
            </w: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行政运行</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98.69</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98.69</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21015</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2101506</w:t>
            </w: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医疗保障经办事务</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13.09</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13.09</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21015</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2101550</w:t>
            </w: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事业运行</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187.41</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187.41</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221</w:t>
            </w:r>
          </w:p>
        </w:tc>
        <w:tc>
          <w:tcPr>
            <w:tcW w:w="76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住房保障支出</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65.82</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65.82</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221</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22102</w:t>
            </w: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住房改革支出</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65.82</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65.82</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221</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22102</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2210201</w:t>
            </w:r>
          </w:p>
        </w:tc>
        <w:tc>
          <w:tcPr>
            <w:tcW w:w="218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住房公积金</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65.82</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65.82</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76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218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166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166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16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76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218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166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166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16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76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218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166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166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16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76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218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166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166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16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p>
        </w:tc>
        <w:tc>
          <w:tcPr>
            <w:tcW w:w="766"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p>
        </w:tc>
        <w:tc>
          <w:tcPr>
            <w:tcW w:w="986"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p>
        </w:tc>
        <w:tc>
          <w:tcPr>
            <w:tcW w:w="218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p>
        </w:tc>
        <w:tc>
          <w:tcPr>
            <w:tcW w:w="1662"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p>
        </w:tc>
        <w:tc>
          <w:tcPr>
            <w:tcW w:w="1663"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p>
        </w:tc>
        <w:tc>
          <w:tcPr>
            <w:tcW w:w="1617"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05" w:hRule="atLeast"/>
        </w:trPr>
        <w:tc>
          <w:tcPr>
            <w:tcW w:w="54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76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18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662"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425.95</w:t>
            </w:r>
          </w:p>
        </w:tc>
        <w:tc>
          <w:tcPr>
            <w:tcW w:w="166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412.86</w:t>
            </w:r>
          </w:p>
        </w:tc>
        <w:tc>
          <w:tcPr>
            <w:tcW w:w="1617"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13.09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呼图壁县医疗保障局</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Hans"/>
              </w:rPr>
              <w:t>一、</w:t>
            </w:r>
            <w:r>
              <w:rPr>
                <w:rFonts w:hint="eastAsia" w:ascii="仿宋_GB2312" w:hAnsi="仿宋_GB2312" w:eastAsia="仿宋_GB2312" w:cs="仿宋_GB2312"/>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355.86</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1" w:firstLineChars="100"/>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355.86</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35.01</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35.01</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w:t>
            </w:r>
            <w:r>
              <w:rPr>
                <w:rFonts w:hint="eastAsia" w:ascii="仿宋_GB2312" w:hAnsi="仿宋_GB2312" w:eastAsia="仿宋_GB2312" w:cs="仿宋_GB2312"/>
                <w:b w:val="0"/>
                <w:bCs w:val="0"/>
                <w:color w:val="auto"/>
                <w:kern w:val="0"/>
                <w:sz w:val="18"/>
                <w:szCs w:val="18"/>
                <w:highlight w:val="none"/>
                <w:lang w:val="en-US" w:eastAsia="zh-CN"/>
              </w:rPr>
              <w:t xml:space="preserve"> </w:t>
            </w:r>
            <w:r>
              <w:rPr>
                <w:rFonts w:hint="eastAsia" w:ascii="仿宋_GB2312" w:hAnsi="仿宋_GB2312" w:eastAsia="仿宋_GB2312" w:cs="仿宋_GB2312"/>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293.03</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293.03</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215 资源勘探</w:t>
            </w:r>
            <w:r>
              <w:rPr>
                <w:rFonts w:hint="eastAsia" w:ascii="仿宋_GB2312" w:hAnsi="仿宋_GB2312" w:eastAsia="仿宋_GB2312" w:cs="仿宋_GB2312"/>
                <w:b w:val="0"/>
                <w:bCs w:val="0"/>
                <w:color w:val="auto"/>
                <w:kern w:val="0"/>
                <w:sz w:val="18"/>
                <w:szCs w:val="18"/>
                <w:highlight w:val="none"/>
                <w:lang w:val="en-US" w:eastAsia="zh-Hans"/>
              </w:rPr>
              <w:t>工业</w:t>
            </w:r>
            <w:r>
              <w:rPr>
                <w:rFonts w:hint="eastAsia" w:ascii="仿宋_GB2312" w:hAnsi="仿宋_GB2312" w:eastAsia="仿宋_GB2312" w:cs="仿宋_GB2312"/>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27.82</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27.82</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224</w:t>
            </w:r>
            <w:r>
              <w:rPr>
                <w:rFonts w:hint="eastAsia" w:ascii="仿宋_GB2312" w:hAnsi="仿宋_GB2312" w:eastAsia="仿宋_GB2312" w:cs="仿宋_GB2312"/>
                <w:b w:val="0"/>
                <w:bCs w:val="0"/>
                <w:color w:val="auto"/>
                <w:kern w:val="0"/>
                <w:sz w:val="18"/>
                <w:szCs w:val="18"/>
                <w:highlight w:val="none"/>
                <w:lang w:val="en-US" w:eastAsia="zh-CN"/>
              </w:rPr>
              <w:t xml:space="preserve"> </w:t>
            </w:r>
            <w:r>
              <w:rPr>
                <w:rFonts w:hint="eastAsia" w:ascii="仿宋_GB2312" w:hAnsi="仿宋_GB2312" w:eastAsia="仿宋_GB2312" w:cs="仿宋_GB2312"/>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230</w:t>
            </w:r>
            <w:r>
              <w:rPr>
                <w:rFonts w:hint="eastAsia" w:ascii="仿宋_GB2312" w:hAnsi="仿宋_GB2312" w:eastAsia="仿宋_GB2312" w:cs="仿宋_GB2312"/>
                <w:b w:val="0"/>
                <w:bCs w:val="0"/>
                <w:color w:val="auto"/>
                <w:kern w:val="0"/>
                <w:sz w:val="18"/>
                <w:szCs w:val="18"/>
                <w:highlight w:val="none"/>
                <w:lang w:val="en-US" w:eastAsia="zh-CN"/>
              </w:rPr>
              <w:t xml:space="preserve"> </w:t>
            </w:r>
            <w:r>
              <w:rPr>
                <w:rFonts w:hint="eastAsia" w:ascii="仿宋_GB2312" w:hAnsi="仿宋_GB2312" w:eastAsia="仿宋_GB2312" w:cs="仿宋_GB2312"/>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 xml:space="preserve">呼图壁县医疗保障局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收  入  总  计</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355.86</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支  出  总  计</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355.86</w:t>
            </w:r>
          </w:p>
        </w:tc>
        <w:tc>
          <w:tcPr>
            <w:tcW w:w="851"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355.86</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546"/>
        <w:gridCol w:w="766"/>
        <w:gridCol w:w="986"/>
        <w:gridCol w:w="2220"/>
        <w:gridCol w:w="599"/>
        <w:gridCol w:w="910"/>
        <w:gridCol w:w="196"/>
        <w:gridCol w:w="1450"/>
        <w:gridCol w:w="154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518"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呼图壁县医疗保障局</w:t>
            </w:r>
          </w:p>
        </w:tc>
        <w:tc>
          <w:tcPr>
            <w:tcW w:w="59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06"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991"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518"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69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229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22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09"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4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4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46"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766"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986"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22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509"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64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54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lang w:eastAsia="zh-CN"/>
              </w:rPr>
            </w:pPr>
            <w:r>
              <w:rPr>
                <w:rFonts w:hint="eastAsia" w:ascii="仿宋_GB2312" w:hAnsi="仿宋_GB2312" w:eastAsia="仿宋_GB2312" w:cs="仿宋_GB2312"/>
                <w:b/>
                <w:bCs/>
                <w:i w:val="0"/>
                <w:iCs w:val="0"/>
                <w:color w:val="000000"/>
                <w:kern w:val="0"/>
                <w:sz w:val="18"/>
                <w:szCs w:val="18"/>
                <w:u w:val="none"/>
                <w:lang w:val="en-US" w:eastAsia="zh-CN" w:bidi="ar"/>
              </w:rPr>
              <w:t>208</w:t>
            </w:r>
          </w:p>
        </w:tc>
        <w:tc>
          <w:tcPr>
            <w:tcW w:w="76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社会保障和就业支出</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208</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20805</w:t>
            </w: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行政事业单位养老支出</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35.01</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20805</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2080501</w:t>
            </w: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行政单位离退休</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20805</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2080505</w:t>
            </w: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机关事业单位基本养老保险缴费支出</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33.77</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33.77</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卫生健康支出</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293.03</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293.03</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21011</w:t>
            </w: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行政事业单位医疗</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25.94</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25.94</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2101101</w:t>
            </w: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行政单位医疗</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4.83</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4.83</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2101102</w:t>
            </w: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事业单位医疗</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12.46</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12.46</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2101103</w:t>
            </w: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公务员医疗补助</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8.44</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8.44</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2101199</w:t>
            </w: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其他行政事业单位医疗支出</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0.21</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0.21</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21015</w:t>
            </w: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rPr>
            </w:pP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医疗保障管理事务</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267.09</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267.09</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21015</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2101501</w:t>
            </w: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行政运行</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94.69</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u w:val="none"/>
                <w:lang w:val="en-US" w:eastAsia="zh-CN" w:bidi="ar"/>
              </w:rPr>
              <w:t>94.69</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210</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21015</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2101550</w:t>
            </w: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事业运行</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172.41</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172.41</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221</w:t>
            </w:r>
          </w:p>
        </w:tc>
        <w:tc>
          <w:tcPr>
            <w:tcW w:w="76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lang w:val="en-US" w:eastAsia="zh-CN" w:bidi="ar-SA"/>
              </w:rPr>
            </w:pP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lang w:val="en-US" w:eastAsia="zh-CN" w:bidi="ar-SA"/>
              </w:rPr>
            </w:pP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住房保障支出</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27.82</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27.82</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221</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22102</w:t>
            </w:r>
          </w:p>
        </w:tc>
        <w:tc>
          <w:tcPr>
            <w:tcW w:w="986" w:type="dxa"/>
            <w:tcBorders>
              <w:top w:val="nil"/>
              <w:left w:val="nil"/>
              <w:bottom w:val="single" w:color="auto" w:sz="4" w:space="0"/>
              <w:right w:val="single" w:color="auto" w:sz="4" w:space="0"/>
            </w:tcBorders>
            <w:noWrap w:val="0"/>
            <w:vAlign w:val="center"/>
          </w:tcPr>
          <w:p>
            <w:pPr>
              <w:jc w:val="left"/>
              <w:rPr>
                <w:rFonts w:hint="eastAsia" w:ascii="仿宋_GB2312" w:hAnsi="仿宋_GB2312" w:eastAsia="仿宋_GB2312" w:cs="仿宋_GB2312"/>
                <w:b/>
                <w:bCs/>
                <w:color w:val="auto"/>
                <w:kern w:val="0"/>
                <w:sz w:val="18"/>
                <w:szCs w:val="18"/>
                <w:highlight w:val="none"/>
                <w:lang w:val="en-US" w:eastAsia="zh-CN" w:bidi="ar-SA"/>
              </w:rPr>
            </w:pP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住房改革支出</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27.82</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27.82</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221</w:t>
            </w: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22102</w:t>
            </w: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2210201</w:t>
            </w: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住房公积金</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27.82</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27.82</w:t>
            </w: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p>
        </w:tc>
        <w:tc>
          <w:tcPr>
            <w:tcW w:w="76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8"/>
                <w:szCs w:val="18"/>
                <w:highlight w:val="none"/>
              </w:rPr>
            </w:pP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_GB2312" w:eastAsia="仿宋_GB2312" w:cs="仿宋_GB2312"/>
                <w:color w:val="auto"/>
                <w:kern w:val="0"/>
                <w:sz w:val="18"/>
                <w:szCs w:val="18"/>
                <w:highlight w:val="none"/>
              </w:rPr>
            </w:pPr>
          </w:p>
        </w:tc>
        <w:tc>
          <w:tcPr>
            <w:tcW w:w="1541"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auto"/>
                <w:kern w:val="0"/>
                <w:sz w:val="18"/>
                <w:szCs w:val="18"/>
                <w:highlight w:val="none"/>
              </w:rPr>
            </w:pPr>
          </w:p>
        </w:tc>
        <w:tc>
          <w:tcPr>
            <w:tcW w:w="76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18"/>
                <w:szCs w:val="18"/>
                <w:highlight w:val="none"/>
              </w:rPr>
            </w:pPr>
          </w:p>
        </w:tc>
        <w:tc>
          <w:tcPr>
            <w:tcW w:w="2220"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auto"/>
                <w:kern w:val="0"/>
                <w:sz w:val="18"/>
                <w:szCs w:val="18"/>
                <w:highlight w:val="none"/>
              </w:rPr>
            </w:pP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auto"/>
                <w:kern w:val="0"/>
                <w:sz w:val="18"/>
                <w:szCs w:val="18"/>
                <w:highlight w:val="none"/>
              </w:rPr>
            </w:pP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p>
        </w:tc>
        <w:tc>
          <w:tcPr>
            <w:tcW w:w="154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7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222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1509"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p>
        </w:tc>
        <w:tc>
          <w:tcPr>
            <w:tcW w:w="1646"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p>
        </w:tc>
        <w:tc>
          <w:tcPr>
            <w:tcW w:w="154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4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7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2220"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50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u w:val="none"/>
                <w:lang w:val="en-US" w:eastAsia="zh-CN" w:bidi="ar-SA"/>
              </w:rPr>
            </w:pPr>
            <w:r>
              <w:rPr>
                <w:rFonts w:hint="eastAsia" w:ascii="宋体" w:hAnsi="宋体" w:eastAsia="宋体" w:cs="宋体"/>
                <w:b/>
                <w:bCs/>
                <w:i w:val="0"/>
                <w:iCs w:val="0"/>
                <w:color w:val="000000"/>
                <w:kern w:val="0"/>
                <w:sz w:val="18"/>
                <w:szCs w:val="18"/>
                <w:u w:val="none"/>
                <w:lang w:val="en-US" w:eastAsia="zh-CN" w:bidi="ar"/>
              </w:rPr>
              <w:t>355.86</w:t>
            </w:r>
          </w:p>
        </w:tc>
        <w:tc>
          <w:tcPr>
            <w:tcW w:w="164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u w:val="none"/>
                <w:lang w:val="en-US" w:eastAsia="zh-CN" w:bidi="ar-SA"/>
              </w:rPr>
            </w:pPr>
            <w:r>
              <w:rPr>
                <w:rFonts w:hint="eastAsia" w:ascii="宋体" w:hAnsi="宋体" w:eastAsia="宋体" w:cs="宋体"/>
                <w:b/>
                <w:bCs/>
                <w:i w:val="0"/>
                <w:iCs w:val="0"/>
                <w:color w:val="000000"/>
                <w:kern w:val="0"/>
                <w:sz w:val="18"/>
                <w:szCs w:val="18"/>
                <w:u w:val="none"/>
                <w:lang w:val="en-US" w:eastAsia="zh-CN" w:bidi="ar"/>
              </w:rPr>
              <w:t>355.86</w:t>
            </w:r>
          </w:p>
        </w:tc>
        <w:tc>
          <w:tcPr>
            <w:tcW w:w="154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56" w:type="dxa"/>
        <w:tblInd w:w="-148" w:type="dxa"/>
        <w:tblLayout w:type="autofit"/>
        <w:tblCellMar>
          <w:top w:w="0" w:type="dxa"/>
          <w:left w:w="108" w:type="dxa"/>
          <w:bottom w:w="0" w:type="dxa"/>
          <w:right w:w="108" w:type="dxa"/>
        </w:tblCellMar>
      </w:tblPr>
      <w:tblGrid>
        <w:gridCol w:w="748"/>
        <w:gridCol w:w="1065"/>
        <w:gridCol w:w="3270"/>
        <w:gridCol w:w="236"/>
        <w:gridCol w:w="1069"/>
        <w:gridCol w:w="586"/>
        <w:gridCol w:w="681"/>
        <w:gridCol w:w="1673"/>
        <w:gridCol w:w="28"/>
      </w:tblGrid>
      <w:tr>
        <w:tblPrEx>
          <w:tblCellMar>
            <w:top w:w="0" w:type="dxa"/>
            <w:left w:w="108" w:type="dxa"/>
            <w:bottom w:w="0" w:type="dxa"/>
            <w:right w:w="108" w:type="dxa"/>
          </w:tblCellMar>
        </w:tblPrEx>
        <w:trPr>
          <w:gridAfter w:val="1"/>
          <w:wAfter w:w="28" w:type="dxa"/>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083"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呼图壁县医疗保障局</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5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382" w:type="dxa"/>
            <w:gridSpan w:val="3"/>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gridAfter w:val="1"/>
          <w:wAfter w:w="28" w:type="dxa"/>
          <w:trHeight w:val="374" w:hRule="atLeast"/>
        </w:trPr>
        <w:tc>
          <w:tcPr>
            <w:tcW w:w="5083"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245"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gridAfter w:val="1"/>
          <w:wAfter w:w="28" w:type="dxa"/>
          <w:trHeight w:val="330" w:hRule="atLeast"/>
        </w:trPr>
        <w:tc>
          <w:tcPr>
            <w:tcW w:w="1813" w:type="dxa"/>
            <w:gridSpan w:val="2"/>
            <w:tcBorders>
              <w:top w:val="single" w:color="auto" w:sz="4" w:space="0"/>
              <w:left w:val="single" w:color="auto" w:sz="4" w:space="0"/>
              <w:bottom w:val="single" w:color="auto" w:sz="4" w:space="0"/>
              <w:right w:val="nil"/>
            </w:tcBorders>
            <w:noWrap w:val="0"/>
            <w:vAlign w:val="center"/>
          </w:tcPr>
          <w:p>
            <w:pPr>
              <w:widowControl/>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经济分类科目编码</w:t>
            </w:r>
          </w:p>
        </w:tc>
        <w:tc>
          <w:tcPr>
            <w:tcW w:w="3270" w:type="dxa"/>
            <w:vMerge w:val="restart"/>
            <w:tcBorders>
              <w:top w:val="nil"/>
              <w:left w:val="single" w:color="auto" w:sz="4" w:space="0"/>
              <w:bottom w:val="single" w:color="000000"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经济分类科目名称</w:t>
            </w:r>
          </w:p>
        </w:tc>
        <w:tc>
          <w:tcPr>
            <w:tcW w:w="1305" w:type="dxa"/>
            <w:gridSpan w:val="2"/>
            <w:vMerge w:val="restart"/>
            <w:tcBorders>
              <w:top w:val="nil"/>
              <w:left w:val="single" w:color="auto" w:sz="4" w:space="0"/>
              <w:bottom w:val="single" w:color="000000"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267" w:type="dxa"/>
            <w:gridSpan w:val="2"/>
            <w:vMerge w:val="restart"/>
            <w:tcBorders>
              <w:top w:val="nil"/>
              <w:left w:val="single" w:color="auto" w:sz="4" w:space="0"/>
              <w:bottom w:val="single" w:color="000000"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人员经费</w:t>
            </w:r>
          </w:p>
        </w:tc>
        <w:tc>
          <w:tcPr>
            <w:tcW w:w="1673" w:type="dxa"/>
            <w:vMerge w:val="restart"/>
            <w:tcBorders>
              <w:top w:val="nil"/>
              <w:left w:val="single" w:color="auto" w:sz="4" w:space="0"/>
              <w:bottom w:val="single" w:color="000000"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公用经费</w:t>
            </w:r>
          </w:p>
        </w:tc>
      </w:tr>
      <w:tr>
        <w:tblPrEx>
          <w:tblCellMar>
            <w:top w:w="0" w:type="dxa"/>
            <w:left w:w="108" w:type="dxa"/>
            <w:bottom w:w="0" w:type="dxa"/>
            <w:right w:w="108" w:type="dxa"/>
          </w:tblCellMar>
        </w:tblPrEx>
        <w:trPr>
          <w:gridAfter w:val="1"/>
          <w:wAfter w:w="28" w:type="dxa"/>
          <w:trHeight w:val="270"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类</w:t>
            </w:r>
          </w:p>
        </w:tc>
        <w:tc>
          <w:tcPr>
            <w:tcW w:w="106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款</w:t>
            </w:r>
          </w:p>
        </w:tc>
        <w:tc>
          <w:tcPr>
            <w:tcW w:w="3270" w:type="dxa"/>
            <w:vMerge w:val="continue"/>
            <w:tcBorders>
              <w:top w:val="nil"/>
              <w:left w:val="single" w:color="auto" w:sz="4" w:space="0"/>
              <w:bottom w:val="single" w:color="000000"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p>
        </w:tc>
        <w:tc>
          <w:tcPr>
            <w:tcW w:w="130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p>
        </w:tc>
        <w:tc>
          <w:tcPr>
            <w:tcW w:w="1267" w:type="dxa"/>
            <w:gridSpan w:val="2"/>
            <w:vMerge w:val="continue"/>
            <w:tcBorders>
              <w:top w:val="nil"/>
              <w:left w:val="single" w:color="auto" w:sz="4" w:space="0"/>
              <w:bottom w:val="single" w:color="000000"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p>
        </w:tc>
        <w:tc>
          <w:tcPr>
            <w:tcW w:w="1673" w:type="dxa"/>
            <w:vMerge w:val="continue"/>
            <w:tcBorders>
              <w:top w:val="nil"/>
              <w:left w:val="single" w:color="auto" w:sz="4" w:space="0"/>
              <w:bottom w:val="single" w:color="000000"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gridAfter w:val="1"/>
          <w:wAfter w:w="28" w:type="dxa"/>
          <w:trHeight w:val="327"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5"/>
                <w:szCs w:val="15"/>
                <w:highlight w:val="none"/>
                <w:lang w:val="en-US" w:eastAsia="zh-CN"/>
              </w:rPr>
            </w:pPr>
            <w:r>
              <w:rPr>
                <w:rFonts w:hint="eastAsia" w:ascii="仿宋_GB2312" w:hAnsi="仿宋_GB2312" w:eastAsia="仿宋_GB2312" w:cs="仿宋_GB2312"/>
                <w:b/>
                <w:bCs/>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15"/>
                <w:szCs w:val="15"/>
                <w:highlight w:val="none"/>
                <w:lang w:val="en-US" w:eastAsia="zh-CN"/>
              </w:rPr>
            </w:pPr>
            <w:r>
              <w:rPr>
                <w:rFonts w:hint="eastAsia" w:ascii="仿宋_GB2312" w:hAnsi="仿宋_GB2312" w:eastAsia="仿宋_GB2312" w:cs="仿宋_GB2312"/>
                <w:b/>
                <w:bCs/>
                <w:i w:val="0"/>
                <w:iCs w:val="0"/>
                <w:color w:val="000000"/>
                <w:kern w:val="0"/>
                <w:sz w:val="18"/>
                <w:szCs w:val="18"/>
                <w:u w:val="none"/>
                <w:lang w:val="en-US" w:eastAsia="zh-CN" w:bidi="ar"/>
              </w:rPr>
              <w:t>301</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工资福利支出</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344.26</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344.26</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lang w:val="en-US" w:eastAsia="zh-CN"/>
              </w:rPr>
            </w:pPr>
            <w:r>
              <w:rPr>
                <w:rFonts w:hint="eastAsia" w:ascii="仿宋_GB2312" w:hAnsi="仿宋_GB2312" w:eastAsia="仿宋_GB2312" w:cs="仿宋_GB2312"/>
                <w:i w:val="0"/>
                <w:iCs w:val="0"/>
                <w:color w:val="000000"/>
                <w:kern w:val="0"/>
                <w:sz w:val="18"/>
                <w:szCs w:val="18"/>
                <w:u w:val="none"/>
                <w:lang w:val="en-US" w:eastAsia="zh-CN" w:bidi="ar"/>
              </w:rPr>
              <w:t>30101</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基本工资</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87.43</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87.43</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30102</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津贴补贴</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40.35</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40.35</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30103</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奖金</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64.71</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64.71</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30107</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绩效工资</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39.30</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39.30</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30108</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机关事业单位基本养老保险缴费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33.77</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33.77</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30110</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职工基本医疗保险缴费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16.88</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16.88</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30111</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公务员医疗补助缴费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8.44</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8.44</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30112</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其他社会保障缴费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1.83</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1.83</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30113</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住房公积金</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27.82</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27.82</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30199</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其他工资福利支出</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23.72</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23.72</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5"/>
                <w:szCs w:val="15"/>
                <w:highlight w:val="none"/>
                <w:lang w:val="en-US" w:eastAsia="zh-CN"/>
              </w:rPr>
            </w:pPr>
            <w:r>
              <w:rPr>
                <w:rFonts w:hint="eastAsia" w:ascii="仿宋_GB2312" w:hAnsi="仿宋_GB2312" w:eastAsia="仿宋_GB2312" w:cs="仿宋_GB2312"/>
                <w:b/>
                <w:bCs/>
                <w:color w:val="auto"/>
                <w:kern w:val="0"/>
                <w:sz w:val="15"/>
                <w:szCs w:val="15"/>
                <w:highlight w:val="none"/>
                <w:lang w:val="en-US" w:eastAsia="zh-CN"/>
              </w:rPr>
              <w:t>302</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302</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商品和服务支出</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9.34</w:t>
            </w:r>
          </w:p>
        </w:tc>
        <w:tc>
          <w:tcPr>
            <w:tcW w:w="1267"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15"/>
                <w:szCs w:val="15"/>
                <w:highlight w:val="none"/>
              </w:rPr>
            </w:pP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9.34</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302</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30201</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办公费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1.54</w:t>
            </w:r>
          </w:p>
        </w:tc>
        <w:tc>
          <w:tcPr>
            <w:tcW w:w="1267"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1.54</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302</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30202</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印刷费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0.10</w:t>
            </w:r>
          </w:p>
        </w:tc>
        <w:tc>
          <w:tcPr>
            <w:tcW w:w="1267"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0.10</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302</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30205</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水费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0.50</w:t>
            </w:r>
          </w:p>
        </w:tc>
        <w:tc>
          <w:tcPr>
            <w:tcW w:w="1267"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0.50</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302</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30206</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电费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0.60</w:t>
            </w:r>
          </w:p>
        </w:tc>
        <w:tc>
          <w:tcPr>
            <w:tcW w:w="1267"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0.60</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302</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30207</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邮电费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0.52</w:t>
            </w:r>
          </w:p>
        </w:tc>
        <w:tc>
          <w:tcPr>
            <w:tcW w:w="1267"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0.52</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302</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30211</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差旅费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0.40</w:t>
            </w:r>
          </w:p>
        </w:tc>
        <w:tc>
          <w:tcPr>
            <w:tcW w:w="1267"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0.40</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302</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30228</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工会经费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4.08</w:t>
            </w:r>
          </w:p>
        </w:tc>
        <w:tc>
          <w:tcPr>
            <w:tcW w:w="1267"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4.08</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color w:val="auto"/>
                <w:kern w:val="0"/>
                <w:sz w:val="15"/>
                <w:szCs w:val="15"/>
                <w:highlight w:val="none"/>
                <w:lang w:val="en-US" w:eastAsia="zh-CN"/>
              </w:rPr>
              <w:t>302</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30231</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公务用车运行维护费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1.60</w:t>
            </w:r>
          </w:p>
        </w:tc>
        <w:tc>
          <w:tcPr>
            <w:tcW w:w="1267" w:type="dxa"/>
            <w:gridSpan w:val="2"/>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1.60</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bCs/>
                <w:color w:val="auto"/>
                <w:kern w:val="0"/>
                <w:sz w:val="15"/>
                <w:szCs w:val="15"/>
                <w:highlight w:val="none"/>
                <w:lang w:val="en-US" w:eastAsia="zh-CN"/>
              </w:rPr>
            </w:pPr>
            <w:r>
              <w:rPr>
                <w:rFonts w:hint="eastAsia" w:ascii="仿宋_GB2312" w:hAnsi="仿宋_GB2312" w:eastAsia="仿宋_GB2312" w:cs="仿宋_GB2312"/>
                <w:b/>
                <w:bCs/>
                <w:color w:val="auto"/>
                <w:kern w:val="0"/>
                <w:sz w:val="15"/>
                <w:szCs w:val="15"/>
                <w:highlight w:val="none"/>
                <w:lang w:val="en-US" w:eastAsia="zh-CN"/>
              </w:rPr>
              <w:t>303</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303</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对个人和家庭的补助</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2.27</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b/>
                <w:bCs/>
                <w:i w:val="0"/>
                <w:iCs w:val="0"/>
                <w:color w:val="000000"/>
                <w:kern w:val="0"/>
                <w:sz w:val="18"/>
                <w:szCs w:val="18"/>
                <w:u w:val="none"/>
                <w:lang w:val="en-US" w:eastAsia="zh-CN" w:bidi="ar"/>
              </w:rPr>
              <w:t>2.27</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lang w:val="en-US" w:eastAsia="zh-CN"/>
              </w:rPr>
            </w:pPr>
            <w:r>
              <w:rPr>
                <w:rFonts w:hint="eastAsia" w:ascii="仿宋_GB2312" w:hAnsi="仿宋_GB2312" w:eastAsia="仿宋_GB2312" w:cs="仿宋_GB2312"/>
                <w:color w:val="auto"/>
                <w:kern w:val="0"/>
                <w:sz w:val="15"/>
                <w:szCs w:val="15"/>
                <w:highlight w:val="none"/>
                <w:lang w:val="en-US" w:eastAsia="zh-CN"/>
              </w:rPr>
              <w:t>303</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30302</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退休费</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1.24</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1.24</w:t>
            </w:r>
          </w:p>
        </w:tc>
        <w:tc>
          <w:tcPr>
            <w:tcW w:w="1673"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kern w:val="0"/>
                <w:sz w:val="15"/>
                <w:szCs w:val="15"/>
                <w:highlight w:val="none"/>
              </w:rPr>
            </w:pP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lang w:val="en-US" w:eastAsia="zh-CN"/>
              </w:rPr>
            </w:pPr>
            <w:r>
              <w:rPr>
                <w:rFonts w:hint="eastAsia" w:ascii="仿宋_GB2312" w:hAnsi="仿宋_GB2312" w:eastAsia="仿宋_GB2312" w:cs="仿宋_GB2312"/>
                <w:color w:val="auto"/>
                <w:kern w:val="0"/>
                <w:sz w:val="15"/>
                <w:szCs w:val="15"/>
                <w:highlight w:val="none"/>
                <w:lang w:val="en-US" w:eastAsia="zh-CN"/>
              </w:rPr>
              <w:t>303</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30305</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生活补助</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0.01</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0.01</w:t>
            </w: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30305</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lang w:val="en-US" w:eastAsia="zh-CN"/>
              </w:rPr>
            </w:pPr>
            <w:r>
              <w:rPr>
                <w:rFonts w:hint="eastAsia" w:ascii="仿宋_GB2312" w:hAnsi="仿宋_GB2312" w:eastAsia="仿宋_GB2312" w:cs="仿宋_GB2312"/>
                <w:color w:val="auto"/>
                <w:kern w:val="0"/>
                <w:sz w:val="15"/>
                <w:szCs w:val="15"/>
                <w:highlight w:val="none"/>
                <w:lang w:val="en-US" w:eastAsia="zh-CN"/>
              </w:rPr>
              <w:t>303</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30307</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医疗费补助</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0.40</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0.40</w:t>
            </w: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30307</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15"/>
                <w:szCs w:val="15"/>
                <w:highlight w:val="none"/>
                <w:lang w:val="en-US" w:eastAsia="zh-CN"/>
              </w:rPr>
            </w:pPr>
            <w:r>
              <w:rPr>
                <w:rFonts w:hint="eastAsia" w:ascii="仿宋_GB2312" w:hAnsi="仿宋_GB2312" w:eastAsia="仿宋_GB2312" w:cs="仿宋_GB2312"/>
                <w:color w:val="auto"/>
                <w:kern w:val="0"/>
                <w:sz w:val="15"/>
                <w:szCs w:val="15"/>
                <w:highlight w:val="none"/>
                <w:lang w:val="en-US" w:eastAsia="zh-CN"/>
              </w:rPr>
              <w:t>303</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30309</w:t>
            </w:r>
          </w:p>
        </w:tc>
        <w:tc>
          <w:tcPr>
            <w:tcW w:w="327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奖励金</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0.62</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0.62</w:t>
            </w: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5"/>
                <w:szCs w:val="15"/>
                <w:highlight w:val="none"/>
              </w:rPr>
            </w:pPr>
            <w:r>
              <w:rPr>
                <w:rFonts w:hint="eastAsia" w:ascii="仿宋_GB2312" w:hAnsi="仿宋_GB2312" w:eastAsia="仿宋_GB2312" w:cs="仿宋_GB2312"/>
                <w:i w:val="0"/>
                <w:iCs w:val="0"/>
                <w:color w:val="000000"/>
                <w:kern w:val="0"/>
                <w:sz w:val="18"/>
                <w:szCs w:val="18"/>
                <w:u w:val="none"/>
                <w:lang w:val="en-US" w:eastAsia="zh-CN" w:bidi="ar"/>
              </w:rPr>
              <w:t>30309</w:t>
            </w:r>
          </w:p>
        </w:tc>
      </w:tr>
      <w:tr>
        <w:tblPrEx>
          <w:tblCellMar>
            <w:top w:w="0" w:type="dxa"/>
            <w:left w:w="108" w:type="dxa"/>
            <w:bottom w:w="0" w:type="dxa"/>
            <w:right w:w="108" w:type="dxa"/>
          </w:tblCellMar>
        </w:tblPrEx>
        <w:trPr>
          <w:gridAfter w:val="1"/>
          <w:wAfter w:w="28" w:type="dxa"/>
          <w:trHeight w:val="402" w:hRule="atLeast"/>
        </w:trPr>
        <w:tc>
          <w:tcPr>
            <w:tcW w:w="748"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270"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0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iCs w:val="0"/>
                <w:color w:val="000000"/>
                <w:kern w:val="0"/>
                <w:sz w:val="22"/>
                <w:szCs w:val="22"/>
                <w:u w:val="none"/>
                <w:lang w:val="en-US" w:eastAsia="zh-CN" w:bidi="ar"/>
              </w:rPr>
              <w:t>355.86</w:t>
            </w:r>
          </w:p>
        </w:tc>
        <w:tc>
          <w:tcPr>
            <w:tcW w:w="1267"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iCs w:val="0"/>
                <w:color w:val="000000"/>
                <w:kern w:val="0"/>
                <w:sz w:val="22"/>
                <w:szCs w:val="22"/>
                <w:u w:val="none"/>
                <w:lang w:val="en-US" w:eastAsia="zh-CN" w:bidi="ar"/>
              </w:rPr>
              <w:t>346.52</w:t>
            </w:r>
          </w:p>
        </w:tc>
        <w:tc>
          <w:tcPr>
            <w:tcW w:w="167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iCs w:val="0"/>
                <w:color w:val="000000"/>
                <w:kern w:val="0"/>
                <w:sz w:val="22"/>
                <w:szCs w:val="22"/>
                <w:u w:val="none"/>
                <w:lang w:val="en-US" w:eastAsia="zh-CN" w:bidi="ar"/>
              </w:rPr>
              <w:t>9.34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8763" w:type="dxa"/>
        <w:tblInd w:w="72" w:type="dxa"/>
        <w:tblLayout w:type="fixed"/>
        <w:tblCellMar>
          <w:top w:w="0" w:type="dxa"/>
          <w:left w:w="108" w:type="dxa"/>
          <w:bottom w:w="0" w:type="dxa"/>
          <w:right w:w="108" w:type="dxa"/>
        </w:tblCellMar>
      </w:tblPr>
      <w:tblGrid>
        <w:gridCol w:w="480"/>
        <w:gridCol w:w="465"/>
        <w:gridCol w:w="532"/>
        <w:gridCol w:w="736"/>
        <w:gridCol w:w="1147"/>
        <w:gridCol w:w="488"/>
        <w:gridCol w:w="195"/>
        <w:gridCol w:w="209"/>
        <w:gridCol w:w="631"/>
        <w:gridCol w:w="525"/>
        <w:gridCol w:w="525"/>
        <w:gridCol w:w="474"/>
        <w:gridCol w:w="525"/>
        <w:gridCol w:w="595"/>
        <w:gridCol w:w="404"/>
        <w:gridCol w:w="404"/>
        <w:gridCol w:w="371"/>
        <w:gridCol w:w="57"/>
      </w:tblGrid>
      <w:tr>
        <w:trPr>
          <w:gridAfter w:val="1"/>
          <w:wAfter w:w="57" w:type="dxa"/>
          <w:trHeight w:val="409" w:hRule="atLeast"/>
        </w:trPr>
        <w:tc>
          <w:tcPr>
            <w:tcW w:w="8706"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57" w:type="dxa"/>
          <w:trHeight w:val="399" w:hRule="atLeast"/>
        </w:trPr>
        <w:tc>
          <w:tcPr>
            <w:tcW w:w="4043" w:type="dxa"/>
            <w:gridSpan w:val="7"/>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呼图壁县医疗保障局</w:t>
            </w:r>
          </w:p>
        </w:tc>
        <w:tc>
          <w:tcPr>
            <w:tcW w:w="8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2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299" w:type="dxa"/>
            <w:gridSpan w:val="5"/>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477"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3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47"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48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04"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3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2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2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7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2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9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0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0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2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0" w:hRule="atLeast"/>
        </w:trPr>
        <w:tc>
          <w:tcPr>
            <w:tcW w:w="480"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6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32"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3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14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8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4"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7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480" w:type="dxa"/>
            <w:noWrap w:val="0"/>
            <w:vAlign w:val="center"/>
          </w:tcPr>
          <w:p>
            <w:pPr>
              <w:keepNext w:val="0"/>
              <w:keepLines w:val="0"/>
              <w:widowControl/>
              <w:suppressLineNumbers w:val="0"/>
              <w:jc w:val="left"/>
              <w:textAlignment w:val="center"/>
              <w:rPr>
                <w:rFonts w:ascii="仿宋_GB2312" w:hAnsi="宋体" w:eastAsia="仿宋_GB2312"/>
                <w:color w:val="auto"/>
                <w:kern w:val="0"/>
                <w:sz w:val="32"/>
                <w:szCs w:val="32"/>
                <w:highlight w:val="none"/>
              </w:rPr>
            </w:pPr>
          </w:p>
        </w:tc>
        <w:tc>
          <w:tcPr>
            <w:tcW w:w="465" w:type="dxa"/>
            <w:noWrap w:val="0"/>
            <w:vAlign w:val="center"/>
          </w:tcPr>
          <w:p>
            <w:pPr>
              <w:jc w:val="left"/>
              <w:rPr>
                <w:rFonts w:hint="eastAsia" w:ascii="仿宋_GB2312" w:hAnsi="宋体" w:eastAsia="仿宋_GB2312"/>
                <w:color w:val="auto"/>
                <w:kern w:val="0"/>
                <w:sz w:val="32"/>
                <w:szCs w:val="32"/>
                <w:highlight w:val="none"/>
                <w:lang w:eastAsia="zh-Hans"/>
              </w:rPr>
            </w:pPr>
          </w:p>
        </w:tc>
        <w:tc>
          <w:tcPr>
            <w:tcW w:w="532" w:type="dxa"/>
            <w:noWrap w:val="0"/>
            <w:vAlign w:val="center"/>
          </w:tcPr>
          <w:p>
            <w:pPr>
              <w:jc w:val="left"/>
              <w:rPr>
                <w:rFonts w:ascii="仿宋_GB2312" w:hAnsi="宋体" w:eastAsia="仿宋_GB2312"/>
                <w:color w:val="auto"/>
                <w:kern w:val="0"/>
                <w:sz w:val="32"/>
                <w:szCs w:val="32"/>
                <w:highlight w:val="none"/>
              </w:rPr>
            </w:pPr>
          </w:p>
        </w:tc>
        <w:tc>
          <w:tcPr>
            <w:tcW w:w="736" w:type="dxa"/>
            <w:noWrap w:val="0"/>
            <w:vAlign w:val="center"/>
          </w:tcPr>
          <w:p>
            <w:pPr>
              <w:keepNext w:val="0"/>
              <w:keepLines w:val="0"/>
              <w:widowControl/>
              <w:suppressLineNumbers w:val="0"/>
              <w:jc w:val="left"/>
              <w:textAlignment w:val="center"/>
              <w:rPr>
                <w:rFonts w:ascii="仿宋_GB2312" w:hAnsi="宋体" w:eastAsia="仿宋_GB2312"/>
                <w:color w:val="auto"/>
                <w:kern w:val="0"/>
                <w:sz w:val="32"/>
                <w:szCs w:val="32"/>
                <w:highlight w:val="none"/>
              </w:rPr>
            </w:pPr>
          </w:p>
        </w:tc>
        <w:tc>
          <w:tcPr>
            <w:tcW w:w="1147" w:type="dxa"/>
            <w:noWrap w:val="0"/>
            <w:vAlign w:val="top"/>
          </w:tcPr>
          <w:p>
            <w:pPr>
              <w:widowControl/>
              <w:jc w:val="left"/>
              <w:outlineLvl w:val="1"/>
              <w:rPr>
                <w:rFonts w:ascii="仿宋_GB2312" w:hAnsi="宋体" w:eastAsia="仿宋_GB2312"/>
                <w:color w:val="auto"/>
                <w:kern w:val="0"/>
                <w:sz w:val="32"/>
                <w:szCs w:val="32"/>
                <w:highlight w:val="none"/>
              </w:rPr>
            </w:pPr>
          </w:p>
        </w:tc>
        <w:tc>
          <w:tcPr>
            <w:tcW w:w="488"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404" w:type="dxa"/>
            <w:gridSpan w:val="2"/>
            <w:noWrap w:val="0"/>
            <w:vAlign w:val="center"/>
          </w:tcPr>
          <w:p>
            <w:pPr>
              <w:widowControl/>
              <w:jc w:val="center"/>
              <w:outlineLvl w:val="1"/>
              <w:rPr>
                <w:rFonts w:ascii="仿宋_GB2312" w:hAnsi="宋体" w:eastAsia="仿宋_GB2312"/>
                <w:color w:val="auto"/>
                <w:kern w:val="0"/>
                <w:sz w:val="15"/>
                <w:szCs w:val="15"/>
                <w:highlight w:val="none"/>
              </w:rPr>
            </w:pPr>
          </w:p>
        </w:tc>
        <w:tc>
          <w:tcPr>
            <w:tcW w:w="631"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525" w:type="dxa"/>
            <w:noWrap w:val="0"/>
            <w:vAlign w:val="center"/>
          </w:tcPr>
          <w:p>
            <w:pPr>
              <w:widowControl/>
              <w:jc w:val="center"/>
              <w:outlineLvl w:val="1"/>
              <w:rPr>
                <w:rFonts w:ascii="仿宋_GB2312" w:hAnsi="宋体" w:eastAsia="仿宋_GB2312"/>
                <w:color w:val="auto"/>
                <w:kern w:val="0"/>
                <w:sz w:val="15"/>
                <w:szCs w:val="15"/>
                <w:highlight w:val="none"/>
              </w:rPr>
            </w:pPr>
          </w:p>
        </w:tc>
        <w:tc>
          <w:tcPr>
            <w:tcW w:w="525"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74" w:type="dxa"/>
            <w:noWrap w:val="0"/>
            <w:vAlign w:val="center"/>
          </w:tcPr>
          <w:p>
            <w:pPr>
              <w:widowControl/>
              <w:jc w:val="center"/>
              <w:outlineLvl w:val="1"/>
              <w:rPr>
                <w:rFonts w:ascii="仿宋_GB2312" w:hAnsi="宋体" w:eastAsia="仿宋_GB2312"/>
                <w:color w:val="auto"/>
                <w:kern w:val="0"/>
                <w:sz w:val="15"/>
                <w:szCs w:val="15"/>
                <w:highlight w:val="none"/>
              </w:rPr>
            </w:pPr>
          </w:p>
        </w:tc>
        <w:tc>
          <w:tcPr>
            <w:tcW w:w="525"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595" w:type="dxa"/>
            <w:noWrap w:val="0"/>
            <w:vAlign w:val="top"/>
          </w:tcPr>
          <w:p>
            <w:pPr>
              <w:widowControl/>
              <w:jc w:val="left"/>
              <w:outlineLvl w:val="1"/>
              <w:rPr>
                <w:rFonts w:ascii="仿宋_GB2312" w:hAnsi="宋体" w:eastAsia="仿宋_GB2312"/>
                <w:color w:val="auto"/>
                <w:kern w:val="0"/>
                <w:sz w:val="15"/>
                <w:szCs w:val="15"/>
                <w:highlight w:val="none"/>
              </w:rPr>
            </w:pPr>
          </w:p>
        </w:tc>
        <w:tc>
          <w:tcPr>
            <w:tcW w:w="404" w:type="dxa"/>
            <w:noWrap w:val="0"/>
            <w:vAlign w:val="top"/>
          </w:tcPr>
          <w:p>
            <w:pPr>
              <w:widowControl/>
              <w:jc w:val="left"/>
              <w:outlineLvl w:val="1"/>
              <w:rPr>
                <w:rFonts w:ascii="仿宋_GB2312" w:hAnsi="宋体" w:eastAsia="仿宋_GB2312"/>
                <w:color w:val="auto"/>
                <w:kern w:val="0"/>
                <w:sz w:val="15"/>
                <w:szCs w:val="15"/>
                <w:highlight w:val="none"/>
              </w:rPr>
            </w:pPr>
          </w:p>
        </w:tc>
        <w:tc>
          <w:tcPr>
            <w:tcW w:w="404" w:type="dxa"/>
            <w:noWrap w:val="0"/>
            <w:vAlign w:val="top"/>
          </w:tcPr>
          <w:p>
            <w:pPr>
              <w:widowControl/>
              <w:jc w:val="left"/>
              <w:outlineLvl w:val="1"/>
              <w:rPr>
                <w:rFonts w:ascii="仿宋_GB2312" w:hAnsi="宋体" w:eastAsia="仿宋_GB2312"/>
                <w:color w:val="auto"/>
                <w:kern w:val="0"/>
                <w:sz w:val="15"/>
                <w:szCs w:val="15"/>
                <w:highlight w:val="none"/>
              </w:rPr>
            </w:pPr>
          </w:p>
        </w:tc>
        <w:tc>
          <w:tcPr>
            <w:tcW w:w="428" w:type="dxa"/>
            <w:gridSpan w:val="2"/>
            <w:noWrap w:val="0"/>
            <w:vAlign w:val="top"/>
          </w:tcPr>
          <w:p>
            <w:pPr>
              <w:widowControl/>
              <w:jc w:val="left"/>
              <w:outlineLvl w:val="1"/>
              <w:rPr>
                <w:rFonts w:ascii="仿宋_GB2312" w:hAnsi="宋体" w:eastAsia="仿宋_GB2312"/>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480" w:type="dxa"/>
            <w:noWrap w:val="0"/>
            <w:vAlign w:val="center"/>
          </w:tcPr>
          <w:p>
            <w:pPr>
              <w:keepNext w:val="0"/>
              <w:keepLines w:val="0"/>
              <w:widowControl/>
              <w:suppressLineNumbers w:val="0"/>
              <w:jc w:val="left"/>
              <w:textAlignment w:val="center"/>
              <w:rPr>
                <w:rFonts w:ascii="仿宋_GB2312" w:hAnsi="宋体" w:eastAsia="仿宋_GB2312"/>
                <w:color w:val="auto"/>
                <w:kern w:val="0"/>
                <w:sz w:val="32"/>
                <w:szCs w:val="32"/>
                <w:highlight w:val="none"/>
              </w:rPr>
            </w:pPr>
          </w:p>
        </w:tc>
        <w:tc>
          <w:tcPr>
            <w:tcW w:w="465" w:type="dxa"/>
            <w:noWrap w:val="0"/>
            <w:vAlign w:val="center"/>
          </w:tcPr>
          <w:p>
            <w:pPr>
              <w:jc w:val="left"/>
              <w:rPr>
                <w:rFonts w:hint="eastAsia" w:ascii="仿宋_GB2312" w:hAnsi="宋体" w:eastAsia="仿宋_GB2312"/>
                <w:color w:val="auto"/>
                <w:kern w:val="0"/>
                <w:sz w:val="32"/>
                <w:szCs w:val="32"/>
                <w:highlight w:val="none"/>
                <w:lang w:eastAsia="zh-Hans"/>
              </w:rPr>
            </w:pPr>
          </w:p>
        </w:tc>
        <w:tc>
          <w:tcPr>
            <w:tcW w:w="532" w:type="dxa"/>
            <w:noWrap w:val="0"/>
            <w:vAlign w:val="center"/>
          </w:tcPr>
          <w:p>
            <w:pPr>
              <w:jc w:val="left"/>
              <w:rPr>
                <w:rFonts w:ascii="仿宋_GB2312" w:hAnsi="宋体" w:eastAsia="仿宋_GB2312"/>
                <w:color w:val="auto"/>
                <w:kern w:val="0"/>
                <w:sz w:val="32"/>
                <w:szCs w:val="32"/>
                <w:highlight w:val="none"/>
              </w:rPr>
            </w:pPr>
          </w:p>
        </w:tc>
        <w:tc>
          <w:tcPr>
            <w:tcW w:w="736" w:type="dxa"/>
            <w:noWrap w:val="0"/>
            <w:vAlign w:val="center"/>
          </w:tcPr>
          <w:p>
            <w:pPr>
              <w:keepNext w:val="0"/>
              <w:keepLines w:val="0"/>
              <w:widowControl/>
              <w:suppressLineNumbers w:val="0"/>
              <w:jc w:val="left"/>
              <w:textAlignment w:val="center"/>
              <w:rPr>
                <w:rFonts w:ascii="仿宋_GB2312" w:hAnsi="宋体" w:eastAsia="仿宋_GB2312"/>
                <w:color w:val="auto"/>
                <w:kern w:val="0"/>
                <w:sz w:val="32"/>
                <w:szCs w:val="32"/>
                <w:highlight w:val="none"/>
              </w:rPr>
            </w:pPr>
          </w:p>
        </w:tc>
        <w:tc>
          <w:tcPr>
            <w:tcW w:w="1147" w:type="dxa"/>
            <w:noWrap w:val="0"/>
            <w:vAlign w:val="top"/>
          </w:tcPr>
          <w:p>
            <w:pPr>
              <w:widowControl/>
              <w:jc w:val="left"/>
              <w:outlineLvl w:val="1"/>
              <w:rPr>
                <w:rFonts w:ascii="仿宋_GB2312" w:hAnsi="宋体" w:eastAsia="仿宋_GB2312"/>
                <w:color w:val="auto"/>
                <w:kern w:val="0"/>
                <w:sz w:val="32"/>
                <w:szCs w:val="32"/>
                <w:highlight w:val="none"/>
              </w:rPr>
            </w:pPr>
          </w:p>
        </w:tc>
        <w:tc>
          <w:tcPr>
            <w:tcW w:w="488"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404" w:type="dxa"/>
            <w:gridSpan w:val="2"/>
            <w:noWrap w:val="0"/>
            <w:vAlign w:val="center"/>
          </w:tcPr>
          <w:p>
            <w:pPr>
              <w:widowControl/>
              <w:jc w:val="center"/>
              <w:outlineLvl w:val="1"/>
              <w:rPr>
                <w:rFonts w:ascii="仿宋_GB2312" w:hAnsi="宋体" w:eastAsia="仿宋_GB2312"/>
                <w:color w:val="auto"/>
                <w:kern w:val="0"/>
                <w:sz w:val="15"/>
                <w:szCs w:val="15"/>
                <w:highlight w:val="none"/>
              </w:rPr>
            </w:pPr>
          </w:p>
        </w:tc>
        <w:tc>
          <w:tcPr>
            <w:tcW w:w="631"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525" w:type="dxa"/>
            <w:noWrap w:val="0"/>
            <w:vAlign w:val="center"/>
          </w:tcPr>
          <w:p>
            <w:pPr>
              <w:widowControl/>
              <w:jc w:val="center"/>
              <w:outlineLvl w:val="1"/>
              <w:rPr>
                <w:rFonts w:ascii="仿宋_GB2312" w:hAnsi="宋体" w:eastAsia="仿宋_GB2312"/>
                <w:color w:val="auto"/>
                <w:kern w:val="0"/>
                <w:sz w:val="15"/>
                <w:szCs w:val="15"/>
                <w:highlight w:val="none"/>
              </w:rPr>
            </w:pPr>
          </w:p>
        </w:tc>
        <w:tc>
          <w:tcPr>
            <w:tcW w:w="525"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74" w:type="dxa"/>
            <w:noWrap w:val="0"/>
            <w:vAlign w:val="center"/>
          </w:tcPr>
          <w:p>
            <w:pPr>
              <w:widowControl/>
              <w:jc w:val="center"/>
              <w:outlineLvl w:val="1"/>
              <w:rPr>
                <w:rFonts w:ascii="仿宋_GB2312" w:hAnsi="宋体" w:eastAsia="仿宋_GB2312"/>
                <w:color w:val="auto"/>
                <w:kern w:val="0"/>
                <w:sz w:val="15"/>
                <w:szCs w:val="15"/>
                <w:highlight w:val="none"/>
              </w:rPr>
            </w:pPr>
          </w:p>
        </w:tc>
        <w:tc>
          <w:tcPr>
            <w:tcW w:w="525"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595" w:type="dxa"/>
            <w:noWrap w:val="0"/>
            <w:vAlign w:val="top"/>
          </w:tcPr>
          <w:p>
            <w:pPr>
              <w:widowControl/>
              <w:jc w:val="left"/>
              <w:outlineLvl w:val="1"/>
              <w:rPr>
                <w:rFonts w:ascii="仿宋_GB2312" w:hAnsi="宋体" w:eastAsia="仿宋_GB2312"/>
                <w:color w:val="auto"/>
                <w:kern w:val="0"/>
                <w:sz w:val="15"/>
                <w:szCs w:val="15"/>
                <w:highlight w:val="none"/>
              </w:rPr>
            </w:pPr>
          </w:p>
        </w:tc>
        <w:tc>
          <w:tcPr>
            <w:tcW w:w="404" w:type="dxa"/>
            <w:noWrap w:val="0"/>
            <w:vAlign w:val="top"/>
          </w:tcPr>
          <w:p>
            <w:pPr>
              <w:widowControl/>
              <w:jc w:val="left"/>
              <w:outlineLvl w:val="1"/>
              <w:rPr>
                <w:rFonts w:ascii="仿宋_GB2312" w:hAnsi="宋体" w:eastAsia="仿宋_GB2312"/>
                <w:color w:val="auto"/>
                <w:kern w:val="0"/>
                <w:sz w:val="15"/>
                <w:szCs w:val="15"/>
                <w:highlight w:val="none"/>
              </w:rPr>
            </w:pPr>
          </w:p>
        </w:tc>
        <w:tc>
          <w:tcPr>
            <w:tcW w:w="404" w:type="dxa"/>
            <w:noWrap w:val="0"/>
            <w:vAlign w:val="top"/>
          </w:tcPr>
          <w:p>
            <w:pPr>
              <w:widowControl/>
              <w:jc w:val="left"/>
              <w:outlineLvl w:val="1"/>
              <w:rPr>
                <w:rFonts w:ascii="仿宋_GB2312" w:hAnsi="宋体" w:eastAsia="仿宋_GB2312"/>
                <w:color w:val="auto"/>
                <w:kern w:val="0"/>
                <w:sz w:val="15"/>
                <w:szCs w:val="15"/>
                <w:highlight w:val="none"/>
              </w:rPr>
            </w:pPr>
          </w:p>
        </w:tc>
        <w:tc>
          <w:tcPr>
            <w:tcW w:w="428" w:type="dxa"/>
            <w:gridSpan w:val="2"/>
            <w:noWrap w:val="0"/>
            <w:vAlign w:val="top"/>
          </w:tcPr>
          <w:p>
            <w:pPr>
              <w:widowControl/>
              <w:jc w:val="left"/>
              <w:outlineLvl w:val="1"/>
              <w:rPr>
                <w:rFonts w:ascii="仿宋_GB2312" w:hAnsi="宋体" w:eastAsia="仿宋_GB2312"/>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480" w:type="dxa"/>
            <w:noWrap w:val="0"/>
            <w:vAlign w:val="center"/>
          </w:tcPr>
          <w:p>
            <w:pPr>
              <w:keepNext w:val="0"/>
              <w:keepLines w:val="0"/>
              <w:widowControl/>
              <w:suppressLineNumbers w:val="0"/>
              <w:jc w:val="left"/>
              <w:textAlignment w:val="center"/>
              <w:rPr>
                <w:rFonts w:ascii="仿宋_GB2312" w:hAnsi="宋体" w:eastAsia="仿宋_GB2312"/>
                <w:color w:val="auto"/>
                <w:kern w:val="0"/>
                <w:sz w:val="32"/>
                <w:szCs w:val="32"/>
                <w:highlight w:val="none"/>
              </w:rPr>
            </w:pPr>
          </w:p>
        </w:tc>
        <w:tc>
          <w:tcPr>
            <w:tcW w:w="465" w:type="dxa"/>
            <w:noWrap w:val="0"/>
            <w:vAlign w:val="center"/>
          </w:tcPr>
          <w:p>
            <w:pPr>
              <w:jc w:val="left"/>
              <w:rPr>
                <w:rFonts w:hint="eastAsia" w:ascii="仿宋_GB2312" w:hAnsi="宋体" w:eastAsia="仿宋_GB2312"/>
                <w:color w:val="auto"/>
                <w:kern w:val="0"/>
                <w:sz w:val="32"/>
                <w:szCs w:val="32"/>
                <w:highlight w:val="none"/>
                <w:lang w:eastAsia="zh-Hans"/>
              </w:rPr>
            </w:pPr>
          </w:p>
        </w:tc>
        <w:tc>
          <w:tcPr>
            <w:tcW w:w="532" w:type="dxa"/>
            <w:noWrap w:val="0"/>
            <w:vAlign w:val="center"/>
          </w:tcPr>
          <w:p>
            <w:pPr>
              <w:jc w:val="left"/>
              <w:rPr>
                <w:rFonts w:ascii="仿宋_GB2312" w:hAnsi="宋体" w:eastAsia="仿宋_GB2312"/>
                <w:color w:val="auto"/>
                <w:kern w:val="0"/>
                <w:sz w:val="32"/>
                <w:szCs w:val="32"/>
                <w:highlight w:val="none"/>
              </w:rPr>
            </w:pPr>
          </w:p>
        </w:tc>
        <w:tc>
          <w:tcPr>
            <w:tcW w:w="736" w:type="dxa"/>
            <w:noWrap w:val="0"/>
            <w:vAlign w:val="center"/>
          </w:tcPr>
          <w:p>
            <w:pPr>
              <w:keepNext w:val="0"/>
              <w:keepLines w:val="0"/>
              <w:widowControl/>
              <w:suppressLineNumbers w:val="0"/>
              <w:jc w:val="left"/>
              <w:textAlignment w:val="center"/>
              <w:rPr>
                <w:rFonts w:ascii="仿宋_GB2312" w:hAnsi="宋体" w:eastAsia="仿宋_GB2312"/>
                <w:color w:val="auto"/>
                <w:kern w:val="0"/>
                <w:sz w:val="32"/>
                <w:szCs w:val="32"/>
                <w:highlight w:val="none"/>
              </w:rPr>
            </w:pPr>
          </w:p>
        </w:tc>
        <w:tc>
          <w:tcPr>
            <w:tcW w:w="1147" w:type="dxa"/>
            <w:noWrap w:val="0"/>
            <w:vAlign w:val="top"/>
          </w:tcPr>
          <w:p>
            <w:pPr>
              <w:widowControl/>
              <w:jc w:val="left"/>
              <w:outlineLvl w:val="1"/>
              <w:rPr>
                <w:rFonts w:ascii="仿宋_GB2312" w:hAnsi="宋体" w:eastAsia="仿宋_GB2312"/>
                <w:color w:val="auto"/>
                <w:kern w:val="0"/>
                <w:sz w:val="32"/>
                <w:szCs w:val="32"/>
                <w:highlight w:val="none"/>
              </w:rPr>
            </w:pPr>
          </w:p>
        </w:tc>
        <w:tc>
          <w:tcPr>
            <w:tcW w:w="488"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404" w:type="dxa"/>
            <w:gridSpan w:val="2"/>
            <w:noWrap w:val="0"/>
            <w:vAlign w:val="center"/>
          </w:tcPr>
          <w:p>
            <w:pPr>
              <w:widowControl/>
              <w:jc w:val="center"/>
              <w:outlineLvl w:val="1"/>
              <w:rPr>
                <w:rFonts w:ascii="仿宋_GB2312" w:hAnsi="宋体" w:eastAsia="仿宋_GB2312"/>
                <w:color w:val="auto"/>
                <w:kern w:val="0"/>
                <w:sz w:val="15"/>
                <w:szCs w:val="15"/>
                <w:highlight w:val="none"/>
              </w:rPr>
            </w:pPr>
          </w:p>
        </w:tc>
        <w:tc>
          <w:tcPr>
            <w:tcW w:w="631"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525" w:type="dxa"/>
            <w:noWrap w:val="0"/>
            <w:vAlign w:val="center"/>
          </w:tcPr>
          <w:p>
            <w:pPr>
              <w:widowControl/>
              <w:jc w:val="center"/>
              <w:outlineLvl w:val="1"/>
              <w:rPr>
                <w:rFonts w:ascii="仿宋_GB2312" w:hAnsi="宋体" w:eastAsia="仿宋_GB2312"/>
                <w:color w:val="auto"/>
                <w:kern w:val="0"/>
                <w:sz w:val="15"/>
                <w:szCs w:val="15"/>
                <w:highlight w:val="none"/>
              </w:rPr>
            </w:pPr>
          </w:p>
        </w:tc>
        <w:tc>
          <w:tcPr>
            <w:tcW w:w="525"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74" w:type="dxa"/>
            <w:noWrap w:val="0"/>
            <w:vAlign w:val="center"/>
          </w:tcPr>
          <w:p>
            <w:pPr>
              <w:widowControl/>
              <w:jc w:val="center"/>
              <w:outlineLvl w:val="1"/>
              <w:rPr>
                <w:rFonts w:ascii="仿宋_GB2312" w:hAnsi="宋体" w:eastAsia="仿宋_GB2312"/>
                <w:color w:val="auto"/>
                <w:kern w:val="0"/>
                <w:sz w:val="15"/>
                <w:szCs w:val="15"/>
                <w:highlight w:val="none"/>
              </w:rPr>
            </w:pPr>
          </w:p>
        </w:tc>
        <w:tc>
          <w:tcPr>
            <w:tcW w:w="525"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595" w:type="dxa"/>
            <w:noWrap w:val="0"/>
            <w:vAlign w:val="top"/>
          </w:tcPr>
          <w:p>
            <w:pPr>
              <w:widowControl/>
              <w:jc w:val="left"/>
              <w:outlineLvl w:val="1"/>
              <w:rPr>
                <w:rFonts w:ascii="仿宋_GB2312" w:hAnsi="宋体" w:eastAsia="仿宋_GB2312"/>
                <w:color w:val="auto"/>
                <w:kern w:val="0"/>
                <w:sz w:val="15"/>
                <w:szCs w:val="15"/>
                <w:highlight w:val="none"/>
              </w:rPr>
            </w:pPr>
          </w:p>
        </w:tc>
        <w:tc>
          <w:tcPr>
            <w:tcW w:w="404" w:type="dxa"/>
            <w:noWrap w:val="0"/>
            <w:vAlign w:val="top"/>
          </w:tcPr>
          <w:p>
            <w:pPr>
              <w:widowControl/>
              <w:jc w:val="left"/>
              <w:outlineLvl w:val="1"/>
              <w:rPr>
                <w:rFonts w:ascii="仿宋_GB2312" w:hAnsi="宋体" w:eastAsia="仿宋_GB2312"/>
                <w:color w:val="auto"/>
                <w:kern w:val="0"/>
                <w:sz w:val="15"/>
                <w:szCs w:val="15"/>
                <w:highlight w:val="none"/>
              </w:rPr>
            </w:pPr>
          </w:p>
        </w:tc>
        <w:tc>
          <w:tcPr>
            <w:tcW w:w="404" w:type="dxa"/>
            <w:noWrap w:val="0"/>
            <w:vAlign w:val="top"/>
          </w:tcPr>
          <w:p>
            <w:pPr>
              <w:widowControl/>
              <w:jc w:val="left"/>
              <w:outlineLvl w:val="1"/>
              <w:rPr>
                <w:rFonts w:ascii="仿宋_GB2312" w:hAnsi="宋体" w:eastAsia="仿宋_GB2312"/>
                <w:color w:val="auto"/>
                <w:kern w:val="0"/>
                <w:sz w:val="15"/>
                <w:szCs w:val="15"/>
                <w:highlight w:val="none"/>
              </w:rPr>
            </w:pPr>
          </w:p>
        </w:tc>
        <w:tc>
          <w:tcPr>
            <w:tcW w:w="428" w:type="dxa"/>
            <w:gridSpan w:val="2"/>
            <w:noWrap w:val="0"/>
            <w:vAlign w:val="top"/>
          </w:tcPr>
          <w:p>
            <w:pPr>
              <w:widowControl/>
              <w:jc w:val="left"/>
              <w:outlineLvl w:val="1"/>
              <w:rPr>
                <w:rFonts w:ascii="仿宋_GB2312" w:hAnsi="宋体" w:eastAsia="仿宋_GB2312"/>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480" w:type="dxa"/>
            <w:noWrap w:val="0"/>
            <w:vAlign w:val="center"/>
          </w:tcPr>
          <w:p>
            <w:pPr>
              <w:keepNext w:val="0"/>
              <w:keepLines w:val="0"/>
              <w:widowControl/>
              <w:suppressLineNumbers w:val="0"/>
              <w:jc w:val="left"/>
              <w:textAlignment w:val="center"/>
              <w:rPr>
                <w:rFonts w:ascii="仿宋_GB2312" w:hAnsi="宋体" w:eastAsia="仿宋_GB2312"/>
                <w:color w:val="auto"/>
                <w:kern w:val="0"/>
                <w:sz w:val="32"/>
                <w:szCs w:val="32"/>
                <w:highlight w:val="none"/>
              </w:rPr>
            </w:pPr>
          </w:p>
        </w:tc>
        <w:tc>
          <w:tcPr>
            <w:tcW w:w="465" w:type="dxa"/>
            <w:noWrap w:val="0"/>
            <w:vAlign w:val="center"/>
          </w:tcPr>
          <w:p>
            <w:pPr>
              <w:jc w:val="left"/>
              <w:rPr>
                <w:rFonts w:hint="eastAsia" w:ascii="仿宋_GB2312" w:hAnsi="宋体" w:eastAsia="仿宋_GB2312"/>
                <w:color w:val="auto"/>
                <w:kern w:val="0"/>
                <w:sz w:val="32"/>
                <w:szCs w:val="32"/>
                <w:highlight w:val="none"/>
                <w:lang w:eastAsia="zh-Hans"/>
              </w:rPr>
            </w:pPr>
          </w:p>
        </w:tc>
        <w:tc>
          <w:tcPr>
            <w:tcW w:w="532" w:type="dxa"/>
            <w:noWrap w:val="0"/>
            <w:vAlign w:val="center"/>
          </w:tcPr>
          <w:p>
            <w:pPr>
              <w:jc w:val="left"/>
              <w:rPr>
                <w:rFonts w:ascii="仿宋_GB2312" w:hAnsi="宋体" w:eastAsia="仿宋_GB2312"/>
                <w:color w:val="auto"/>
                <w:kern w:val="0"/>
                <w:sz w:val="32"/>
                <w:szCs w:val="32"/>
                <w:highlight w:val="none"/>
              </w:rPr>
            </w:pPr>
          </w:p>
        </w:tc>
        <w:tc>
          <w:tcPr>
            <w:tcW w:w="736" w:type="dxa"/>
            <w:noWrap w:val="0"/>
            <w:vAlign w:val="center"/>
          </w:tcPr>
          <w:p>
            <w:pPr>
              <w:keepNext w:val="0"/>
              <w:keepLines w:val="0"/>
              <w:widowControl/>
              <w:suppressLineNumbers w:val="0"/>
              <w:jc w:val="left"/>
              <w:textAlignment w:val="center"/>
              <w:rPr>
                <w:rFonts w:ascii="仿宋_GB2312" w:hAnsi="宋体" w:eastAsia="仿宋_GB2312"/>
                <w:color w:val="auto"/>
                <w:kern w:val="0"/>
                <w:sz w:val="32"/>
                <w:szCs w:val="32"/>
                <w:highlight w:val="none"/>
              </w:rPr>
            </w:pPr>
          </w:p>
        </w:tc>
        <w:tc>
          <w:tcPr>
            <w:tcW w:w="1147" w:type="dxa"/>
            <w:noWrap w:val="0"/>
            <w:vAlign w:val="top"/>
          </w:tcPr>
          <w:p>
            <w:pPr>
              <w:widowControl/>
              <w:jc w:val="left"/>
              <w:outlineLvl w:val="1"/>
              <w:rPr>
                <w:rFonts w:ascii="仿宋_GB2312" w:hAnsi="宋体" w:eastAsia="仿宋_GB2312"/>
                <w:color w:val="auto"/>
                <w:kern w:val="0"/>
                <w:sz w:val="32"/>
                <w:szCs w:val="32"/>
                <w:highlight w:val="none"/>
              </w:rPr>
            </w:pPr>
          </w:p>
        </w:tc>
        <w:tc>
          <w:tcPr>
            <w:tcW w:w="488"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404" w:type="dxa"/>
            <w:gridSpan w:val="2"/>
            <w:noWrap w:val="0"/>
            <w:vAlign w:val="center"/>
          </w:tcPr>
          <w:p>
            <w:pPr>
              <w:widowControl/>
              <w:jc w:val="center"/>
              <w:outlineLvl w:val="1"/>
              <w:rPr>
                <w:rFonts w:ascii="仿宋_GB2312" w:hAnsi="宋体" w:eastAsia="仿宋_GB2312"/>
                <w:color w:val="auto"/>
                <w:kern w:val="0"/>
                <w:sz w:val="15"/>
                <w:szCs w:val="15"/>
                <w:highlight w:val="none"/>
              </w:rPr>
            </w:pPr>
          </w:p>
        </w:tc>
        <w:tc>
          <w:tcPr>
            <w:tcW w:w="631"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525" w:type="dxa"/>
            <w:noWrap w:val="0"/>
            <w:vAlign w:val="center"/>
          </w:tcPr>
          <w:p>
            <w:pPr>
              <w:widowControl/>
              <w:jc w:val="center"/>
              <w:outlineLvl w:val="1"/>
              <w:rPr>
                <w:rFonts w:ascii="仿宋_GB2312" w:hAnsi="宋体" w:eastAsia="仿宋_GB2312"/>
                <w:color w:val="auto"/>
                <w:kern w:val="0"/>
                <w:sz w:val="15"/>
                <w:szCs w:val="15"/>
                <w:highlight w:val="none"/>
              </w:rPr>
            </w:pPr>
          </w:p>
        </w:tc>
        <w:tc>
          <w:tcPr>
            <w:tcW w:w="525"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74" w:type="dxa"/>
            <w:noWrap w:val="0"/>
            <w:vAlign w:val="center"/>
          </w:tcPr>
          <w:p>
            <w:pPr>
              <w:widowControl/>
              <w:jc w:val="center"/>
              <w:outlineLvl w:val="1"/>
              <w:rPr>
                <w:rFonts w:ascii="仿宋_GB2312" w:hAnsi="宋体" w:eastAsia="仿宋_GB2312"/>
                <w:color w:val="auto"/>
                <w:kern w:val="0"/>
                <w:sz w:val="15"/>
                <w:szCs w:val="15"/>
                <w:highlight w:val="none"/>
              </w:rPr>
            </w:pPr>
          </w:p>
        </w:tc>
        <w:tc>
          <w:tcPr>
            <w:tcW w:w="525"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595" w:type="dxa"/>
            <w:noWrap w:val="0"/>
            <w:vAlign w:val="top"/>
          </w:tcPr>
          <w:p>
            <w:pPr>
              <w:widowControl/>
              <w:jc w:val="left"/>
              <w:outlineLvl w:val="1"/>
              <w:rPr>
                <w:rFonts w:ascii="仿宋_GB2312" w:hAnsi="宋体" w:eastAsia="仿宋_GB2312"/>
                <w:color w:val="auto"/>
                <w:kern w:val="0"/>
                <w:sz w:val="15"/>
                <w:szCs w:val="15"/>
                <w:highlight w:val="none"/>
              </w:rPr>
            </w:pPr>
          </w:p>
        </w:tc>
        <w:tc>
          <w:tcPr>
            <w:tcW w:w="404" w:type="dxa"/>
            <w:noWrap w:val="0"/>
            <w:vAlign w:val="top"/>
          </w:tcPr>
          <w:p>
            <w:pPr>
              <w:widowControl/>
              <w:jc w:val="left"/>
              <w:outlineLvl w:val="1"/>
              <w:rPr>
                <w:rFonts w:ascii="仿宋_GB2312" w:hAnsi="宋体" w:eastAsia="仿宋_GB2312"/>
                <w:color w:val="auto"/>
                <w:kern w:val="0"/>
                <w:sz w:val="15"/>
                <w:szCs w:val="15"/>
                <w:highlight w:val="none"/>
              </w:rPr>
            </w:pPr>
          </w:p>
        </w:tc>
        <w:tc>
          <w:tcPr>
            <w:tcW w:w="404" w:type="dxa"/>
            <w:noWrap w:val="0"/>
            <w:vAlign w:val="top"/>
          </w:tcPr>
          <w:p>
            <w:pPr>
              <w:widowControl/>
              <w:jc w:val="left"/>
              <w:outlineLvl w:val="1"/>
              <w:rPr>
                <w:rFonts w:ascii="仿宋_GB2312" w:hAnsi="宋体" w:eastAsia="仿宋_GB2312"/>
                <w:color w:val="auto"/>
                <w:kern w:val="0"/>
                <w:sz w:val="15"/>
                <w:szCs w:val="15"/>
                <w:highlight w:val="none"/>
              </w:rPr>
            </w:pPr>
          </w:p>
        </w:tc>
        <w:tc>
          <w:tcPr>
            <w:tcW w:w="428" w:type="dxa"/>
            <w:gridSpan w:val="2"/>
            <w:noWrap w:val="0"/>
            <w:vAlign w:val="top"/>
          </w:tcPr>
          <w:p>
            <w:pPr>
              <w:widowControl/>
              <w:jc w:val="left"/>
              <w:outlineLvl w:val="1"/>
              <w:rPr>
                <w:rFonts w:ascii="仿宋_GB2312" w:hAnsi="宋体" w:eastAsia="仿宋_GB2312"/>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480" w:type="dxa"/>
            <w:noWrap w:val="0"/>
            <w:vAlign w:val="center"/>
          </w:tcPr>
          <w:p>
            <w:pPr>
              <w:keepNext w:val="0"/>
              <w:keepLines w:val="0"/>
              <w:widowControl/>
              <w:suppressLineNumbers w:val="0"/>
              <w:jc w:val="left"/>
              <w:textAlignment w:val="center"/>
              <w:rPr>
                <w:rFonts w:ascii="仿宋_GB2312" w:hAnsi="宋体" w:eastAsia="仿宋_GB2312"/>
                <w:color w:val="auto"/>
                <w:kern w:val="0"/>
                <w:sz w:val="32"/>
                <w:szCs w:val="32"/>
                <w:highlight w:val="none"/>
              </w:rPr>
            </w:pPr>
          </w:p>
        </w:tc>
        <w:tc>
          <w:tcPr>
            <w:tcW w:w="465" w:type="dxa"/>
            <w:noWrap w:val="0"/>
            <w:vAlign w:val="center"/>
          </w:tcPr>
          <w:p>
            <w:pPr>
              <w:jc w:val="left"/>
              <w:rPr>
                <w:rFonts w:hint="eastAsia" w:ascii="仿宋_GB2312" w:hAnsi="宋体" w:eastAsia="仿宋_GB2312"/>
                <w:color w:val="auto"/>
                <w:kern w:val="0"/>
                <w:sz w:val="32"/>
                <w:szCs w:val="32"/>
                <w:highlight w:val="none"/>
                <w:lang w:eastAsia="zh-Hans"/>
              </w:rPr>
            </w:pPr>
          </w:p>
        </w:tc>
        <w:tc>
          <w:tcPr>
            <w:tcW w:w="532" w:type="dxa"/>
            <w:noWrap w:val="0"/>
            <w:vAlign w:val="center"/>
          </w:tcPr>
          <w:p>
            <w:pPr>
              <w:jc w:val="left"/>
              <w:rPr>
                <w:rFonts w:ascii="仿宋_GB2312" w:hAnsi="宋体" w:eastAsia="仿宋_GB2312"/>
                <w:color w:val="auto"/>
                <w:kern w:val="0"/>
                <w:sz w:val="32"/>
                <w:szCs w:val="32"/>
                <w:highlight w:val="none"/>
              </w:rPr>
            </w:pPr>
          </w:p>
        </w:tc>
        <w:tc>
          <w:tcPr>
            <w:tcW w:w="736" w:type="dxa"/>
            <w:noWrap w:val="0"/>
            <w:vAlign w:val="center"/>
          </w:tcPr>
          <w:p>
            <w:pPr>
              <w:keepNext w:val="0"/>
              <w:keepLines w:val="0"/>
              <w:widowControl/>
              <w:suppressLineNumbers w:val="0"/>
              <w:jc w:val="left"/>
              <w:textAlignment w:val="center"/>
              <w:rPr>
                <w:rFonts w:ascii="仿宋_GB2312" w:hAnsi="宋体" w:eastAsia="仿宋_GB2312"/>
                <w:color w:val="auto"/>
                <w:kern w:val="0"/>
                <w:sz w:val="32"/>
                <w:szCs w:val="32"/>
                <w:highlight w:val="none"/>
              </w:rPr>
            </w:pPr>
          </w:p>
        </w:tc>
        <w:tc>
          <w:tcPr>
            <w:tcW w:w="1147" w:type="dxa"/>
            <w:noWrap w:val="0"/>
            <w:vAlign w:val="top"/>
          </w:tcPr>
          <w:p>
            <w:pPr>
              <w:widowControl/>
              <w:jc w:val="left"/>
              <w:outlineLvl w:val="1"/>
              <w:rPr>
                <w:rFonts w:ascii="仿宋_GB2312" w:hAnsi="宋体" w:eastAsia="仿宋_GB2312"/>
                <w:color w:val="auto"/>
                <w:kern w:val="0"/>
                <w:sz w:val="32"/>
                <w:szCs w:val="32"/>
                <w:highlight w:val="none"/>
              </w:rPr>
            </w:pPr>
          </w:p>
        </w:tc>
        <w:tc>
          <w:tcPr>
            <w:tcW w:w="488"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404" w:type="dxa"/>
            <w:gridSpan w:val="2"/>
            <w:noWrap w:val="0"/>
            <w:vAlign w:val="center"/>
          </w:tcPr>
          <w:p>
            <w:pPr>
              <w:widowControl/>
              <w:jc w:val="center"/>
              <w:outlineLvl w:val="1"/>
              <w:rPr>
                <w:rFonts w:ascii="仿宋_GB2312" w:hAnsi="宋体" w:eastAsia="仿宋_GB2312"/>
                <w:color w:val="auto"/>
                <w:kern w:val="0"/>
                <w:sz w:val="15"/>
                <w:szCs w:val="15"/>
                <w:highlight w:val="none"/>
              </w:rPr>
            </w:pPr>
          </w:p>
        </w:tc>
        <w:tc>
          <w:tcPr>
            <w:tcW w:w="631"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525" w:type="dxa"/>
            <w:noWrap w:val="0"/>
            <w:vAlign w:val="center"/>
          </w:tcPr>
          <w:p>
            <w:pPr>
              <w:widowControl/>
              <w:jc w:val="center"/>
              <w:outlineLvl w:val="1"/>
              <w:rPr>
                <w:rFonts w:ascii="仿宋_GB2312" w:hAnsi="宋体" w:eastAsia="仿宋_GB2312"/>
                <w:color w:val="auto"/>
                <w:kern w:val="0"/>
                <w:sz w:val="15"/>
                <w:szCs w:val="15"/>
                <w:highlight w:val="none"/>
              </w:rPr>
            </w:pPr>
          </w:p>
        </w:tc>
        <w:tc>
          <w:tcPr>
            <w:tcW w:w="525"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74" w:type="dxa"/>
            <w:noWrap w:val="0"/>
            <w:vAlign w:val="center"/>
          </w:tcPr>
          <w:p>
            <w:pPr>
              <w:widowControl/>
              <w:jc w:val="center"/>
              <w:outlineLvl w:val="1"/>
              <w:rPr>
                <w:rFonts w:ascii="仿宋_GB2312" w:hAnsi="宋体" w:eastAsia="仿宋_GB2312"/>
                <w:color w:val="auto"/>
                <w:kern w:val="0"/>
                <w:sz w:val="15"/>
                <w:szCs w:val="15"/>
                <w:highlight w:val="none"/>
              </w:rPr>
            </w:pPr>
          </w:p>
        </w:tc>
        <w:tc>
          <w:tcPr>
            <w:tcW w:w="525" w:type="dxa"/>
            <w:noWrap w:val="0"/>
            <w:vAlign w:val="center"/>
          </w:tcPr>
          <w:p>
            <w:pPr>
              <w:widowControl/>
              <w:jc w:val="center"/>
              <w:outlineLvl w:val="1"/>
              <w:rPr>
                <w:rFonts w:hint="default" w:ascii="仿宋_GB2312" w:hAnsi="宋体" w:eastAsia="仿宋_GB2312"/>
                <w:color w:val="auto"/>
                <w:kern w:val="0"/>
                <w:sz w:val="15"/>
                <w:szCs w:val="15"/>
                <w:highlight w:val="none"/>
                <w:lang w:val="en-US" w:eastAsia="zh-CN"/>
              </w:rPr>
            </w:pPr>
          </w:p>
        </w:tc>
        <w:tc>
          <w:tcPr>
            <w:tcW w:w="595" w:type="dxa"/>
            <w:noWrap w:val="0"/>
            <w:vAlign w:val="top"/>
          </w:tcPr>
          <w:p>
            <w:pPr>
              <w:widowControl/>
              <w:jc w:val="left"/>
              <w:outlineLvl w:val="1"/>
              <w:rPr>
                <w:rFonts w:ascii="仿宋_GB2312" w:hAnsi="宋体" w:eastAsia="仿宋_GB2312"/>
                <w:color w:val="auto"/>
                <w:kern w:val="0"/>
                <w:sz w:val="15"/>
                <w:szCs w:val="15"/>
                <w:highlight w:val="none"/>
              </w:rPr>
            </w:pPr>
          </w:p>
        </w:tc>
        <w:tc>
          <w:tcPr>
            <w:tcW w:w="404" w:type="dxa"/>
            <w:noWrap w:val="0"/>
            <w:vAlign w:val="top"/>
          </w:tcPr>
          <w:p>
            <w:pPr>
              <w:widowControl/>
              <w:jc w:val="left"/>
              <w:outlineLvl w:val="1"/>
              <w:rPr>
                <w:rFonts w:ascii="仿宋_GB2312" w:hAnsi="宋体" w:eastAsia="仿宋_GB2312"/>
                <w:color w:val="auto"/>
                <w:kern w:val="0"/>
                <w:sz w:val="15"/>
                <w:szCs w:val="15"/>
                <w:highlight w:val="none"/>
              </w:rPr>
            </w:pPr>
          </w:p>
        </w:tc>
        <w:tc>
          <w:tcPr>
            <w:tcW w:w="404" w:type="dxa"/>
            <w:noWrap w:val="0"/>
            <w:vAlign w:val="top"/>
          </w:tcPr>
          <w:p>
            <w:pPr>
              <w:widowControl/>
              <w:jc w:val="left"/>
              <w:outlineLvl w:val="1"/>
              <w:rPr>
                <w:rFonts w:ascii="仿宋_GB2312" w:hAnsi="宋体" w:eastAsia="仿宋_GB2312"/>
                <w:color w:val="auto"/>
                <w:kern w:val="0"/>
                <w:sz w:val="15"/>
                <w:szCs w:val="15"/>
                <w:highlight w:val="none"/>
              </w:rPr>
            </w:pPr>
          </w:p>
        </w:tc>
        <w:tc>
          <w:tcPr>
            <w:tcW w:w="428" w:type="dxa"/>
            <w:gridSpan w:val="2"/>
            <w:noWrap w:val="0"/>
            <w:vAlign w:val="top"/>
          </w:tcPr>
          <w:p>
            <w:pPr>
              <w:widowControl/>
              <w:jc w:val="left"/>
              <w:outlineLvl w:val="1"/>
              <w:rPr>
                <w:rFonts w:ascii="仿宋_GB2312" w:hAnsi="宋体" w:eastAsia="仿宋_GB2312"/>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48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47"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488" w:type="dxa"/>
            <w:noWrap w:val="0"/>
            <w:vAlign w:val="center"/>
          </w:tcPr>
          <w:p>
            <w:pPr>
              <w:widowControl/>
              <w:jc w:val="center"/>
              <w:outlineLvl w:val="1"/>
              <w:rPr>
                <w:rFonts w:ascii="仿宋_GB2312" w:hAnsi="宋体" w:eastAsia="仿宋_GB2312"/>
                <w:color w:val="auto"/>
                <w:kern w:val="0"/>
                <w:szCs w:val="21"/>
                <w:highlight w:val="none"/>
              </w:rPr>
            </w:pPr>
          </w:p>
        </w:tc>
        <w:tc>
          <w:tcPr>
            <w:tcW w:w="404"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7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9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bottom"/>
        <w:rPr>
          <w:rFonts w:hint="eastAsia" w:ascii="宋体" w:hAnsi="宋体" w:eastAsia="仿宋_GB2312" w:cs="宋体"/>
          <w:b w:val="0"/>
          <w:bCs/>
          <w:i w:val="0"/>
          <w:color w:val="auto"/>
          <w:kern w:val="0"/>
          <w:sz w:val="32"/>
          <w:szCs w:val="32"/>
          <w:highlight w:val="none"/>
          <w:u w:val="none"/>
          <w:lang w:val="en-US" w:eastAsia="zh-CN" w:bidi="ar"/>
        </w:rPr>
      </w:pPr>
      <w:r>
        <w:rPr>
          <w:rFonts w:hint="eastAsia" w:ascii="仿宋_GB2312" w:hAnsi="宋体" w:eastAsia="仿宋_GB2312"/>
          <w:b w:val="0"/>
          <w:bCs/>
          <w:kern w:val="0"/>
          <w:sz w:val="32"/>
          <w:szCs w:val="32"/>
          <w:lang w:eastAsia="zh-CN"/>
        </w:rPr>
        <w:t>呼图壁县医疗保障局</w:t>
      </w:r>
      <w:r>
        <w:rPr>
          <w:rFonts w:hint="eastAsia" w:ascii="仿宋_GB2312" w:hAnsi="宋体" w:eastAsia="仿宋_GB2312"/>
          <w:b w:val="0"/>
          <w:bCs/>
          <w:kern w:val="0"/>
          <w:sz w:val="32"/>
          <w:szCs w:val="32"/>
          <w:lang w:val="en-US" w:eastAsia="zh-CN"/>
        </w:rPr>
        <w:t>2025年没有使用一般公共预算项目支出，</w:t>
      </w:r>
      <w:r>
        <w:rPr>
          <w:rFonts w:hint="eastAsia" w:ascii="仿宋_GB2312" w:hAnsi="宋体" w:eastAsia="仿宋_GB2312"/>
          <w:b w:val="0"/>
          <w:bCs/>
          <w:color w:val="auto"/>
          <w:kern w:val="0"/>
          <w:sz w:val="32"/>
          <w:szCs w:val="32"/>
          <w:highlight w:val="none"/>
        </w:rPr>
        <w:t>一般公共预算项目支出</w:t>
      </w:r>
      <w:r>
        <w:rPr>
          <w:rFonts w:hint="eastAsia" w:ascii="仿宋_GB2312" w:hAnsi="宋体" w:eastAsia="仿宋_GB2312"/>
          <w:b w:val="0"/>
          <w:bCs/>
          <w:color w:val="auto"/>
          <w:kern w:val="0"/>
          <w:sz w:val="32"/>
          <w:szCs w:val="32"/>
          <w:highlight w:val="none"/>
          <w:lang w:eastAsia="zh-CN"/>
        </w:rPr>
        <w:t>情况表</w:t>
      </w:r>
      <w:r>
        <w:rPr>
          <w:rFonts w:hint="eastAsia" w:ascii="仿宋_GB2312" w:hAnsi="宋体" w:eastAsia="仿宋_GB2312"/>
          <w:b w:val="0"/>
          <w:bCs/>
          <w:kern w:val="0"/>
          <w:sz w:val="32"/>
          <w:szCs w:val="32"/>
        </w:rPr>
        <w:t>为空</w:t>
      </w:r>
      <w:r>
        <w:rPr>
          <w:rFonts w:hint="eastAsia" w:ascii="仿宋_GB2312" w:hAnsi="宋体" w:eastAsia="仿宋_GB2312"/>
          <w:b w:val="0"/>
          <w:bCs/>
          <w:kern w:val="0"/>
          <w:sz w:val="32"/>
          <w:szCs w:val="32"/>
          <w:lang w:eastAsia="zh-CN"/>
        </w:rPr>
        <w:t>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hint="eastAsia" w:ascii="仿宋_GB2312" w:hAnsi="宋体" w:eastAsia="仿宋_GB2312"/>
          <w:color w:val="auto"/>
          <w:kern w:val="0"/>
          <w:sz w:val="24"/>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呼图壁县医疗保障局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8775" w:type="dxa"/>
        <w:tblInd w:w="87" w:type="dxa"/>
        <w:tblLayout w:type="autofit"/>
        <w:tblCellMar>
          <w:top w:w="0" w:type="dxa"/>
          <w:left w:w="108" w:type="dxa"/>
          <w:bottom w:w="0" w:type="dxa"/>
          <w:right w:w="108" w:type="dxa"/>
        </w:tblCellMar>
      </w:tblPr>
      <w:tblGrid>
        <w:gridCol w:w="464"/>
        <w:gridCol w:w="687"/>
        <w:gridCol w:w="656"/>
        <w:gridCol w:w="2357"/>
        <w:gridCol w:w="1374"/>
        <w:gridCol w:w="1055"/>
        <w:gridCol w:w="1102"/>
        <w:gridCol w:w="1080"/>
      </w:tblGrid>
      <w:tr>
        <w:tblPrEx>
          <w:tblCellMar>
            <w:top w:w="0" w:type="dxa"/>
            <w:left w:w="108" w:type="dxa"/>
            <w:bottom w:w="0" w:type="dxa"/>
            <w:right w:w="108" w:type="dxa"/>
          </w:tblCellMar>
        </w:tblPrEx>
        <w:trPr>
          <w:trHeight w:val="465" w:hRule="atLeast"/>
        </w:trPr>
        <w:tc>
          <w:tcPr>
            <w:tcW w:w="416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80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80"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46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080"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46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80"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46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8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46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8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46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8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46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08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46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080"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仿宋_GB2312" w:hAnsi="宋体" w:eastAsia="仿宋_GB2312"/>
          <w:b w:val="0"/>
          <w:bCs/>
          <w:kern w:val="0"/>
          <w:sz w:val="32"/>
          <w:szCs w:val="32"/>
          <w:lang w:eastAsia="zh-CN"/>
        </w:rPr>
      </w:pPr>
      <w:r>
        <w:rPr>
          <w:rFonts w:hint="eastAsia" w:ascii="仿宋_GB2312" w:hAnsi="宋体" w:eastAsia="仿宋_GB2312"/>
          <w:b w:val="0"/>
          <w:bCs/>
          <w:kern w:val="0"/>
          <w:sz w:val="32"/>
          <w:szCs w:val="32"/>
          <w:lang w:eastAsia="zh-CN"/>
        </w:rPr>
        <w:t>呼图壁县医疗保障局</w:t>
      </w:r>
      <w:r>
        <w:rPr>
          <w:rFonts w:hint="eastAsia" w:ascii="仿宋_GB2312" w:hAnsi="宋体" w:eastAsia="仿宋_GB2312"/>
          <w:b w:val="0"/>
          <w:bCs/>
          <w:kern w:val="0"/>
          <w:sz w:val="32"/>
          <w:szCs w:val="32"/>
          <w:lang w:val="en-US" w:eastAsia="zh-CN"/>
        </w:rPr>
        <w:t>2025年没有使用</w:t>
      </w:r>
      <w:r>
        <w:rPr>
          <w:rFonts w:hint="eastAsia" w:ascii="仿宋_GB2312" w:hAnsi="宋体" w:eastAsia="仿宋_GB2312"/>
          <w:b w:val="0"/>
          <w:bCs/>
          <w:kern w:val="0"/>
          <w:sz w:val="32"/>
          <w:szCs w:val="32"/>
        </w:rPr>
        <w:t>政府性基金预算安排</w:t>
      </w:r>
      <w:r>
        <w:rPr>
          <w:rFonts w:hint="eastAsia" w:ascii="仿宋_GB2312" w:hAnsi="宋体" w:eastAsia="仿宋_GB2312"/>
          <w:b w:val="0"/>
          <w:bCs/>
          <w:kern w:val="0"/>
          <w:sz w:val="32"/>
          <w:szCs w:val="32"/>
          <w:lang w:eastAsia="zh-CN"/>
        </w:rPr>
        <w:t>的支出</w:t>
      </w:r>
      <w:r>
        <w:rPr>
          <w:rFonts w:hint="eastAsia" w:ascii="仿宋_GB2312" w:hAnsi="宋体" w:eastAsia="仿宋_GB2312"/>
          <w:b w:val="0"/>
          <w:bCs/>
          <w:kern w:val="0"/>
          <w:sz w:val="32"/>
          <w:szCs w:val="32"/>
        </w:rPr>
        <w:t>，政府性基金预算</w:t>
      </w:r>
      <w:r>
        <w:rPr>
          <w:rFonts w:hint="eastAsia" w:ascii="仿宋_GB2312" w:hAnsi="宋体" w:eastAsia="仿宋_GB2312"/>
          <w:b w:val="0"/>
          <w:bCs/>
          <w:kern w:val="0"/>
          <w:sz w:val="32"/>
          <w:szCs w:val="32"/>
          <w:lang w:eastAsia="zh-CN"/>
        </w:rPr>
        <w:t>支出情况表</w:t>
      </w:r>
      <w:r>
        <w:rPr>
          <w:rFonts w:hint="eastAsia" w:ascii="仿宋_GB2312" w:hAnsi="宋体" w:eastAsia="仿宋_GB2312"/>
          <w:b w:val="0"/>
          <w:bCs/>
          <w:kern w:val="0"/>
          <w:sz w:val="32"/>
          <w:szCs w:val="32"/>
        </w:rPr>
        <w:t>为空</w:t>
      </w:r>
      <w:r>
        <w:rPr>
          <w:rFonts w:hint="eastAsia" w:ascii="仿宋_GB2312" w:hAnsi="宋体" w:eastAsia="仿宋_GB2312"/>
          <w:b w:val="0"/>
          <w:bCs/>
          <w:kern w:val="0"/>
          <w:sz w:val="32"/>
          <w:szCs w:val="32"/>
          <w:lang w:eastAsia="zh-CN"/>
        </w:rPr>
        <w:t>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hint="eastAsia" w:ascii="仿宋_GB2312" w:hAnsi="宋体" w:eastAsia="仿宋_GB2312"/>
          <w:color w:val="auto"/>
          <w:kern w:val="0"/>
          <w:sz w:val="24"/>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呼图壁县医疗保障局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8820" w:type="dxa"/>
        <w:tblInd w:w="117" w:type="dxa"/>
        <w:tblLayout w:type="autofit"/>
        <w:tblCellMar>
          <w:top w:w="0" w:type="dxa"/>
          <w:left w:w="108" w:type="dxa"/>
          <w:bottom w:w="0" w:type="dxa"/>
          <w:right w:w="108" w:type="dxa"/>
        </w:tblCellMar>
      </w:tblPr>
      <w:tblGrid>
        <w:gridCol w:w="434"/>
        <w:gridCol w:w="687"/>
        <w:gridCol w:w="656"/>
        <w:gridCol w:w="2357"/>
        <w:gridCol w:w="1374"/>
        <w:gridCol w:w="1055"/>
        <w:gridCol w:w="1102"/>
        <w:gridCol w:w="1155"/>
      </w:tblGrid>
      <w:tr>
        <w:tblPrEx>
          <w:tblCellMar>
            <w:top w:w="0" w:type="dxa"/>
            <w:left w:w="108" w:type="dxa"/>
            <w:bottom w:w="0" w:type="dxa"/>
            <w:right w:w="108" w:type="dxa"/>
          </w:tblCellMar>
        </w:tblPrEx>
        <w:trPr>
          <w:trHeight w:val="465" w:hRule="atLeast"/>
        </w:trPr>
        <w:tc>
          <w:tcPr>
            <w:tcW w:w="413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686"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777"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55"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43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155"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434"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43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43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43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43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1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43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1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val="0"/>
          <w:bCs/>
          <w:color w:val="FF0000"/>
          <w:kern w:val="0"/>
          <w:sz w:val="32"/>
          <w:szCs w:val="32"/>
          <w:highlight w:val="none"/>
          <w:lang w:val="en-US" w:eastAsia="zh-CN"/>
        </w:rPr>
      </w:pPr>
      <w:r>
        <w:rPr>
          <w:rFonts w:hint="eastAsia" w:ascii="仿宋_GB2312" w:hAnsi="宋体" w:eastAsia="仿宋_GB2312"/>
          <w:b w:val="0"/>
          <w:bCs/>
          <w:kern w:val="0"/>
          <w:sz w:val="32"/>
          <w:szCs w:val="32"/>
          <w:lang w:eastAsia="zh-CN"/>
        </w:rPr>
        <w:t>呼图壁县医疗保障局</w:t>
      </w:r>
      <w:r>
        <w:rPr>
          <w:rFonts w:hint="eastAsia" w:ascii="仿宋_GB2312" w:hAnsi="宋体" w:eastAsia="仿宋_GB2312"/>
          <w:b w:val="0"/>
          <w:bCs/>
          <w:kern w:val="0"/>
          <w:sz w:val="32"/>
          <w:szCs w:val="32"/>
          <w:lang w:val="en-US" w:eastAsia="zh-CN"/>
        </w:rPr>
        <w:t>2025年没有使用国有资本经营预算</w:t>
      </w:r>
      <w:r>
        <w:rPr>
          <w:rFonts w:hint="eastAsia" w:ascii="仿宋_GB2312" w:hAnsi="宋体" w:eastAsia="仿宋_GB2312"/>
          <w:b w:val="0"/>
          <w:bCs/>
          <w:kern w:val="0"/>
          <w:sz w:val="32"/>
          <w:szCs w:val="32"/>
        </w:rPr>
        <w:t>预算安排</w:t>
      </w:r>
      <w:r>
        <w:rPr>
          <w:rFonts w:hint="eastAsia" w:ascii="仿宋_GB2312" w:hAnsi="宋体" w:eastAsia="仿宋_GB2312"/>
          <w:b w:val="0"/>
          <w:bCs/>
          <w:kern w:val="0"/>
          <w:sz w:val="32"/>
          <w:szCs w:val="32"/>
          <w:lang w:eastAsia="zh-CN"/>
        </w:rPr>
        <w:t>的支出</w:t>
      </w:r>
      <w:r>
        <w:rPr>
          <w:rFonts w:hint="eastAsia" w:ascii="仿宋_GB2312" w:hAnsi="宋体" w:eastAsia="仿宋_GB2312"/>
          <w:b w:val="0"/>
          <w:bCs/>
          <w:kern w:val="0"/>
          <w:sz w:val="32"/>
          <w:szCs w:val="32"/>
        </w:rPr>
        <w:t>，国有资本经营预算支出情况表为空</w:t>
      </w:r>
      <w:r>
        <w:rPr>
          <w:rFonts w:hint="eastAsia" w:ascii="仿宋_GB2312" w:hAnsi="宋体" w:eastAsia="仿宋_GB2312"/>
          <w:b w:val="0"/>
          <w:bCs/>
          <w:kern w:val="0"/>
          <w:sz w:val="32"/>
          <w:szCs w:val="32"/>
          <w:lang w:eastAsia="zh-CN"/>
        </w:rPr>
        <w:t>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hint="eastAsia" w:ascii="仿宋_GB2312" w:hAnsi="宋体" w:eastAsia="仿宋_GB2312"/>
          <w:color w:val="auto"/>
          <w:kern w:val="0"/>
          <w:sz w:val="24"/>
          <w:highlight w:val="none"/>
        </w:rPr>
      </w:pP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呼图壁县医疗保障局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5"/>
        <w:gridCol w:w="930"/>
        <w:gridCol w:w="1395"/>
        <w:gridCol w:w="1095"/>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930"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11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930"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0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0"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5" w:type="dxa"/>
            <w:noWrap w:val="0"/>
            <w:vAlign w:val="center"/>
          </w:tcPr>
          <w:p>
            <w:pPr>
              <w:widowControl/>
              <w:jc w:val="center"/>
              <w:outlineLvl w:val="1"/>
              <w:rPr>
                <w:rFonts w:hint="eastAsia" w:ascii="仿宋_GB2312" w:hAnsi="宋体" w:eastAsia="仿宋_GB2312"/>
                <w:b/>
                <w:color w:val="auto"/>
                <w:kern w:val="0"/>
                <w:sz w:val="24"/>
                <w:szCs w:val="28"/>
                <w:highlight w:val="none"/>
                <w:vertAlign w:val="baseline"/>
              </w:rPr>
            </w:pPr>
            <w:r>
              <w:rPr>
                <w:rFonts w:hint="eastAsia" w:ascii="仿宋_GB2312" w:hAnsi="宋体" w:eastAsia="仿宋_GB2312"/>
                <w:b/>
                <w:color w:val="auto"/>
                <w:kern w:val="0"/>
                <w:sz w:val="24"/>
                <w:szCs w:val="28"/>
                <w:highlight w:val="none"/>
                <w:vertAlign w:val="baseline"/>
              </w:rPr>
              <w:t>合计</w:t>
            </w:r>
          </w:p>
        </w:tc>
        <w:tc>
          <w:tcPr>
            <w:tcW w:w="930"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9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0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5" w:type="dxa"/>
            <w:noWrap w:val="0"/>
            <w:vAlign w:val="center"/>
          </w:tcPr>
          <w:p>
            <w:pPr>
              <w:widowControl/>
              <w:jc w:val="center"/>
              <w:outlineLvl w:val="1"/>
              <w:rPr>
                <w:rFonts w:hint="eastAsia" w:ascii="仿宋_GB2312" w:hAnsi="宋体" w:eastAsia="仿宋_GB2312"/>
                <w:b w:val="0"/>
                <w:bCs/>
                <w:color w:val="auto"/>
                <w:kern w:val="0"/>
                <w:sz w:val="24"/>
                <w:szCs w:val="28"/>
                <w:highlight w:val="none"/>
                <w:vertAlign w:val="baseline"/>
              </w:rPr>
            </w:pPr>
            <w:r>
              <w:rPr>
                <w:rFonts w:hint="eastAsia" w:ascii="仿宋_GB2312" w:hAnsi="宋体" w:eastAsia="仿宋_GB2312"/>
                <w:b w:val="0"/>
                <w:bCs/>
                <w:color w:val="auto"/>
                <w:kern w:val="0"/>
                <w:sz w:val="24"/>
                <w:szCs w:val="28"/>
                <w:highlight w:val="none"/>
                <w:vertAlign w:val="baseline"/>
              </w:rPr>
              <w:t>因公出国（境）费</w:t>
            </w:r>
          </w:p>
        </w:tc>
        <w:tc>
          <w:tcPr>
            <w:tcW w:w="930"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0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5" w:type="dxa"/>
            <w:noWrap w:val="0"/>
            <w:vAlign w:val="center"/>
          </w:tcPr>
          <w:p>
            <w:pPr>
              <w:widowControl/>
              <w:jc w:val="center"/>
              <w:outlineLvl w:val="1"/>
              <w:rPr>
                <w:rFonts w:hint="eastAsia" w:ascii="仿宋_GB2312" w:hAnsi="宋体" w:eastAsia="仿宋_GB2312"/>
                <w:b w:val="0"/>
                <w:bCs/>
                <w:color w:val="auto"/>
                <w:kern w:val="0"/>
                <w:sz w:val="24"/>
                <w:szCs w:val="28"/>
                <w:highlight w:val="none"/>
                <w:vertAlign w:val="baseline"/>
              </w:rPr>
            </w:pPr>
            <w:r>
              <w:rPr>
                <w:rFonts w:hint="eastAsia" w:ascii="仿宋_GB2312" w:hAnsi="宋体" w:eastAsia="仿宋_GB2312"/>
                <w:b w:val="0"/>
                <w:bCs/>
                <w:color w:val="auto"/>
                <w:kern w:val="0"/>
                <w:sz w:val="24"/>
                <w:szCs w:val="28"/>
                <w:highlight w:val="none"/>
                <w:vertAlign w:val="baseline"/>
              </w:rPr>
              <w:t>公务接待费</w:t>
            </w:r>
          </w:p>
        </w:tc>
        <w:tc>
          <w:tcPr>
            <w:tcW w:w="930"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0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5" w:type="dxa"/>
            <w:noWrap w:val="0"/>
            <w:vAlign w:val="center"/>
          </w:tcPr>
          <w:p>
            <w:pPr>
              <w:widowControl/>
              <w:jc w:val="center"/>
              <w:outlineLvl w:val="1"/>
              <w:rPr>
                <w:rFonts w:hint="eastAsia" w:ascii="仿宋_GB2312" w:hAnsi="宋体" w:eastAsia="仿宋_GB2312"/>
                <w:b/>
                <w:color w:val="auto"/>
                <w:kern w:val="0"/>
                <w:sz w:val="24"/>
                <w:szCs w:val="28"/>
                <w:highlight w:val="none"/>
                <w:vertAlign w:val="baseline"/>
              </w:rPr>
            </w:pPr>
            <w:r>
              <w:rPr>
                <w:rFonts w:hint="eastAsia" w:ascii="仿宋_GB2312" w:hAnsi="宋体" w:eastAsia="仿宋_GB2312"/>
                <w:b/>
                <w:color w:val="auto"/>
                <w:kern w:val="0"/>
                <w:sz w:val="24"/>
                <w:szCs w:val="28"/>
                <w:highlight w:val="none"/>
                <w:vertAlign w:val="baseline"/>
              </w:rPr>
              <w:t>公务用车购置及运行费</w:t>
            </w:r>
          </w:p>
          <w:p>
            <w:pPr>
              <w:widowControl/>
              <w:jc w:val="center"/>
              <w:outlineLvl w:val="1"/>
              <w:rPr>
                <w:rFonts w:hint="eastAsia" w:ascii="仿宋_GB2312" w:hAnsi="宋体" w:eastAsia="仿宋_GB2312"/>
                <w:b/>
                <w:color w:val="auto"/>
                <w:kern w:val="0"/>
                <w:sz w:val="24"/>
                <w:szCs w:val="28"/>
                <w:highlight w:val="none"/>
                <w:vertAlign w:val="baseline"/>
              </w:rPr>
            </w:pPr>
            <w:r>
              <w:rPr>
                <w:rFonts w:hint="eastAsia" w:ascii="仿宋_GB2312" w:hAnsi="宋体" w:eastAsia="仿宋_GB2312"/>
                <w:b/>
                <w:color w:val="auto"/>
                <w:kern w:val="0"/>
                <w:sz w:val="24"/>
                <w:szCs w:val="28"/>
                <w:highlight w:val="none"/>
                <w:vertAlign w:val="baseline"/>
              </w:rPr>
              <w:t>（小计）</w:t>
            </w:r>
          </w:p>
        </w:tc>
        <w:tc>
          <w:tcPr>
            <w:tcW w:w="930"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9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0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5" w:type="dxa"/>
            <w:noWrap w:val="0"/>
            <w:vAlign w:val="top"/>
          </w:tcPr>
          <w:p>
            <w:pPr>
              <w:widowControl/>
              <w:ind w:firstLine="240" w:firstLineChars="100"/>
              <w:outlineLvl w:val="1"/>
              <w:rPr>
                <w:rFonts w:hint="eastAsia" w:ascii="仿宋_GB2312" w:hAnsi="宋体" w:eastAsia="仿宋_GB2312"/>
                <w:b w:val="0"/>
                <w:bCs/>
                <w:color w:val="auto"/>
                <w:kern w:val="0"/>
                <w:sz w:val="24"/>
                <w:szCs w:val="28"/>
                <w:highlight w:val="none"/>
                <w:vertAlign w:val="baseline"/>
              </w:rPr>
            </w:pPr>
            <w:r>
              <w:rPr>
                <w:rFonts w:hint="eastAsia" w:ascii="仿宋_GB2312" w:hAnsi="宋体" w:eastAsia="仿宋_GB2312"/>
                <w:b w:val="0"/>
                <w:bCs/>
                <w:color w:val="auto"/>
                <w:kern w:val="0"/>
                <w:sz w:val="24"/>
                <w:szCs w:val="28"/>
                <w:highlight w:val="none"/>
                <w:vertAlign w:val="baseline"/>
              </w:rPr>
              <w:t>其中：公务用车购置费</w:t>
            </w:r>
          </w:p>
        </w:tc>
        <w:tc>
          <w:tcPr>
            <w:tcW w:w="930"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395"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0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5" w:type="dxa"/>
            <w:noWrap w:val="0"/>
            <w:vAlign w:val="top"/>
          </w:tcPr>
          <w:p>
            <w:pPr>
              <w:widowControl/>
              <w:outlineLvl w:val="1"/>
              <w:rPr>
                <w:rFonts w:hint="eastAsia" w:ascii="仿宋_GB2312" w:hAnsi="宋体" w:eastAsia="仿宋_GB2312"/>
                <w:b w:val="0"/>
                <w:bCs/>
                <w:color w:val="auto"/>
                <w:kern w:val="0"/>
                <w:sz w:val="24"/>
                <w:szCs w:val="28"/>
                <w:highlight w:val="none"/>
                <w:vertAlign w:val="baseline"/>
              </w:rPr>
            </w:pPr>
            <w:r>
              <w:rPr>
                <w:rFonts w:hint="eastAsia" w:ascii="仿宋_GB2312" w:hAnsi="宋体" w:eastAsia="仿宋_GB2312"/>
                <w:b w:val="0"/>
                <w:bCs/>
                <w:color w:val="auto"/>
                <w:kern w:val="0"/>
                <w:sz w:val="24"/>
                <w:szCs w:val="28"/>
                <w:highlight w:val="none"/>
                <w:vertAlign w:val="baseline"/>
              </w:rPr>
              <w:t xml:space="preserve">     </w:t>
            </w:r>
            <w:r>
              <w:rPr>
                <w:rFonts w:hint="default" w:ascii="仿宋_GB2312" w:hAnsi="宋体" w:eastAsia="仿宋_GB2312"/>
                <w:b w:val="0"/>
                <w:bCs/>
                <w:color w:val="auto"/>
                <w:kern w:val="0"/>
                <w:sz w:val="24"/>
                <w:szCs w:val="28"/>
                <w:highlight w:val="none"/>
                <w:vertAlign w:val="baseline"/>
              </w:rPr>
              <w:t xml:space="preserve">  </w:t>
            </w:r>
            <w:r>
              <w:rPr>
                <w:rFonts w:hint="eastAsia" w:ascii="仿宋_GB2312" w:hAnsi="宋体" w:eastAsia="仿宋_GB2312"/>
                <w:b w:val="0"/>
                <w:bCs/>
                <w:color w:val="auto"/>
                <w:kern w:val="0"/>
                <w:sz w:val="24"/>
                <w:szCs w:val="28"/>
                <w:highlight w:val="none"/>
                <w:vertAlign w:val="baseline"/>
              </w:rPr>
              <w:t xml:space="preserve"> 公务用车运行费</w:t>
            </w:r>
          </w:p>
        </w:tc>
        <w:tc>
          <w:tcPr>
            <w:tcW w:w="930"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395" w:type="dxa"/>
            <w:noWrap w:val="0"/>
            <w:vAlign w:val="center"/>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1.6</w:t>
            </w:r>
          </w:p>
        </w:tc>
        <w:tc>
          <w:tcPr>
            <w:tcW w:w="1095" w:type="dxa"/>
            <w:noWrap w:val="0"/>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0"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color w:val="auto"/>
          <w:kern w:val="0"/>
          <w:sz w:val="24"/>
          <w:highlight w:val="none"/>
        </w:rPr>
      </w:pP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呼图壁县医疗保障局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1645" w:tblpY="190"/>
        <w:tblOverlap w:val="never"/>
        <w:tblW w:w="8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885"/>
        <w:gridCol w:w="975"/>
        <w:gridCol w:w="1050"/>
        <w:gridCol w:w="810"/>
        <w:gridCol w:w="1065"/>
        <w:gridCol w:w="495"/>
        <w:gridCol w:w="780"/>
        <w:gridCol w:w="78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0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85"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900"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2775"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05"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8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7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86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6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495"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56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72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0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7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6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49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8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8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72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0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1"/>
                <w:szCs w:val="21"/>
                <w:highlight w:val="none"/>
              </w:rPr>
              <w:t>2024年昌吉州州级统筹社会保险扩面征收工作经费</w:t>
            </w:r>
          </w:p>
        </w:tc>
        <w:tc>
          <w:tcPr>
            <w:tcW w:w="885"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13.09</w:t>
            </w:r>
          </w:p>
        </w:tc>
        <w:tc>
          <w:tcPr>
            <w:tcW w:w="975"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13.09</w:t>
            </w:r>
          </w:p>
        </w:tc>
        <w:tc>
          <w:tcPr>
            <w:tcW w:w="105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065"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13.09</w:t>
            </w:r>
          </w:p>
        </w:tc>
        <w:tc>
          <w:tcPr>
            <w:tcW w:w="495"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0"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0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5"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975"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05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065"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495"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0"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0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5"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975"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105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065"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495"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0"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0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5" w:type="dxa"/>
            <w:noWrap w:val="0"/>
            <w:vAlign w:val="center"/>
          </w:tcPr>
          <w:p>
            <w:pPr>
              <w:spacing w:line="600" w:lineRule="exact"/>
              <w:jc w:val="center"/>
              <w:rPr>
                <w:rFonts w:hint="eastAsia" w:ascii="仿宋" w:hAnsi="仿宋" w:eastAsia="仿宋" w:cs="仿宋_GB2312"/>
                <w:bCs/>
                <w:color w:val="auto"/>
                <w:kern w:val="0"/>
                <w:sz w:val="24"/>
                <w:szCs w:val="24"/>
                <w:highlight w:val="none"/>
                <w:lang w:val="en-US" w:eastAsia="zh-CN"/>
              </w:rPr>
            </w:pPr>
            <w:r>
              <w:rPr>
                <w:rFonts w:hint="eastAsia" w:ascii="仿宋_GB2312" w:hAnsi="宋体" w:eastAsia="仿宋_GB2312" w:cs="宋体"/>
                <w:b/>
                <w:bCs/>
                <w:color w:val="auto"/>
                <w:kern w:val="0"/>
                <w:sz w:val="21"/>
                <w:szCs w:val="21"/>
                <w:highlight w:val="none"/>
                <w:lang w:val="en-US" w:eastAsia="zh-CN"/>
              </w:rPr>
              <w:t>总计</w:t>
            </w:r>
          </w:p>
        </w:tc>
        <w:tc>
          <w:tcPr>
            <w:tcW w:w="975"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13.09</w:t>
            </w:r>
          </w:p>
        </w:tc>
        <w:tc>
          <w:tcPr>
            <w:tcW w:w="105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810"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065" w:type="dxa"/>
            <w:noWrap w:val="0"/>
            <w:vAlign w:val="center"/>
          </w:tcPr>
          <w:p>
            <w:pPr>
              <w:spacing w:line="600" w:lineRule="exact"/>
              <w:jc w:val="center"/>
              <w:rPr>
                <w:rFonts w:hint="default" w:ascii="仿宋" w:hAnsi="仿宋" w:eastAsia="仿宋" w:cs="仿宋_GB2312"/>
                <w:bCs/>
                <w:color w:val="auto"/>
                <w:kern w:val="0"/>
                <w:sz w:val="24"/>
                <w:szCs w:val="24"/>
                <w:highlight w:val="none"/>
                <w:lang w:val="en-US" w:eastAsia="zh-CN"/>
              </w:rPr>
            </w:pPr>
            <w:r>
              <w:rPr>
                <w:rFonts w:hint="eastAsia" w:ascii="仿宋" w:hAnsi="仿宋" w:eastAsia="仿宋" w:cs="仿宋_GB2312"/>
                <w:bCs/>
                <w:color w:val="auto"/>
                <w:kern w:val="0"/>
                <w:sz w:val="24"/>
                <w:szCs w:val="24"/>
                <w:highlight w:val="none"/>
                <w:lang w:val="en-US" w:eastAsia="zh-CN"/>
              </w:rPr>
              <w:t>13.09</w:t>
            </w:r>
          </w:p>
        </w:tc>
        <w:tc>
          <w:tcPr>
            <w:tcW w:w="495" w:type="dxa"/>
            <w:noWrap w:val="0"/>
            <w:vAlign w:val="center"/>
          </w:tcPr>
          <w:p>
            <w:pPr>
              <w:spacing w:line="600" w:lineRule="exact"/>
              <w:jc w:val="center"/>
              <w:rPr>
                <w:rFonts w:ascii="仿宋" w:hAnsi="仿宋" w:eastAsia="仿宋" w:cs="仿宋_GB2312"/>
                <w:bCs/>
                <w:color w:val="auto"/>
                <w:kern w:val="0"/>
                <w:sz w:val="24"/>
                <w:szCs w:val="24"/>
                <w:highlight w:val="none"/>
              </w:rPr>
            </w:pPr>
          </w:p>
        </w:tc>
        <w:tc>
          <w:tcPr>
            <w:tcW w:w="7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0"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87" w:header="851" w:footer="992" w:gutter="0"/>
          <w:pgBorders>
            <w:top w:val="none" w:sz="0" w:space="0"/>
            <w:left w:val="none" w:sz="0" w:space="0"/>
            <w:bottom w:val="none" w:sz="0" w:space="0"/>
            <w:right w:val="none" w:sz="0" w:space="0"/>
          </w:pgBorders>
          <w:pgNumType w:fmt="numberInDash"/>
          <w:cols w:space="0" w:num="1"/>
          <w:rtlGutter w:val="0"/>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2025年部门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呼图壁县医疗保障局2025年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呼图壁县医疗保障局2025年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425.95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rPr>
        <w:t>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呼图壁县医疗保障局2025年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呼图壁县医疗保障局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425.95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一般公共预算355.86万元，占</w:t>
      </w:r>
      <w:r>
        <w:rPr>
          <w:rFonts w:hint="eastAsia" w:ascii="仿宋_GB2312" w:hAnsi="宋体" w:eastAsia="仿宋_GB2312" w:cs="宋体"/>
          <w:color w:val="auto"/>
          <w:kern w:val="0"/>
          <w:sz w:val="32"/>
          <w:szCs w:val="32"/>
          <w:highlight w:val="none"/>
          <w:lang w:val="en-US" w:eastAsia="zh-CN"/>
        </w:rPr>
        <w:t>83.55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呼图壁县医疗保障局在职人员工资职级变动</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lang w:eastAsia="zh-CN"/>
        </w:rPr>
        <w:t>社保公积金缴费有所增加。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57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13.38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108.5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65.56%，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单位基本户所有资金往来支出全部计划纳入财政平台管理，基本户资金只是单位人员社保公积金个人扣款，公益岗工资社保补助等</w:t>
      </w:r>
      <w:r>
        <w:rPr>
          <w:rFonts w:hint="eastAsia" w:ascii="仿宋_GB2312" w:hAnsi="宋体" w:eastAsia="仿宋_GB2312" w:cs="宋体"/>
          <w:color w:val="auto"/>
          <w:kern w:val="0"/>
          <w:sz w:val="32"/>
          <w:szCs w:val="32"/>
          <w:highlight w:val="none"/>
          <w:lang w:val="en-US" w:eastAsia="zh-CN"/>
        </w:rPr>
        <w:t>,单位缴纳个人的社保住房公积金等不纳入单位资金，因此单位资金预算较上年减少108.5万元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13.09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3.07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1.84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2024年项目资金下达后未全部支付，结转至下年进行支付</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呼图壁县医疗保障局2025年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呼图壁县医疗保障局2025年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425.95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412.86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96.93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103.21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单位资金基本户的资金减少，资金支出往来纳入了财政平台支付管理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3.07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1.84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16.36%，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2024年安排的项目支出支付进度较2023年缓慢，结余资金较上年增加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呼图壁县医疗保障局2025年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355.86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355.86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rPr>
        <w:t>社会保障和就业支出</w:t>
      </w:r>
      <w:r>
        <w:rPr>
          <w:rFonts w:hint="eastAsia" w:ascii="仿宋_GB2312" w:hAnsi="仿宋_GB2312" w:eastAsia="仿宋_GB2312" w:cs="仿宋_GB2312"/>
          <w:sz w:val="32"/>
          <w:szCs w:val="32"/>
          <w:lang w:val="en-US" w:eastAsia="zh-CN"/>
        </w:rPr>
        <w:t>35.01</w:t>
      </w:r>
      <w:r>
        <w:rPr>
          <w:rFonts w:hint="eastAsia" w:ascii="仿宋_GB2312" w:hAnsi="仿宋_GB2312" w:eastAsia="仿宋_GB2312" w:cs="仿宋_GB2312"/>
          <w:sz w:val="32"/>
          <w:szCs w:val="32"/>
        </w:rPr>
        <w:t>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在职职工</w:t>
      </w:r>
      <w:r>
        <w:rPr>
          <w:rFonts w:hint="eastAsia" w:ascii="仿宋_GB2312" w:hAnsi="宋体" w:eastAsia="仿宋_GB2312" w:cs="宋体"/>
          <w:kern w:val="0"/>
          <w:sz w:val="32"/>
          <w:szCs w:val="32"/>
        </w:rPr>
        <w:t>社会保险缴费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医疗卫生健康支出</w:t>
      </w:r>
      <w:r>
        <w:rPr>
          <w:rFonts w:hint="eastAsia" w:ascii="仿宋_GB2312" w:hAnsi="仿宋_GB2312" w:eastAsia="仿宋_GB2312" w:cs="仿宋_GB2312"/>
          <w:sz w:val="32"/>
          <w:szCs w:val="32"/>
          <w:lang w:val="en-US" w:eastAsia="zh-CN"/>
        </w:rPr>
        <w:t>293.03</w:t>
      </w:r>
      <w:r>
        <w:rPr>
          <w:rFonts w:hint="eastAsia" w:ascii="仿宋_GB2312" w:hAnsi="宋体" w:eastAsia="仿宋_GB2312" w:cs="宋体"/>
          <w:kern w:val="0"/>
          <w:sz w:val="32"/>
          <w:szCs w:val="32"/>
        </w:rPr>
        <w:t>万元，主要用于支付人员经费及办公经费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27.82</w:t>
      </w:r>
      <w:r>
        <w:rPr>
          <w:rFonts w:hint="eastAsia" w:ascii="仿宋_GB2312" w:hAnsi="宋体" w:eastAsia="仿宋_GB2312" w:cs="宋体"/>
          <w:kern w:val="0"/>
          <w:sz w:val="32"/>
          <w:szCs w:val="32"/>
        </w:rPr>
        <w:t>万元，主要用于人员住房公积金</w:t>
      </w:r>
      <w:r>
        <w:rPr>
          <w:rFonts w:hint="eastAsia" w:ascii="仿宋_GB2312" w:hAnsi="宋体" w:eastAsia="仿宋_GB2312" w:cs="宋体"/>
          <w:kern w:val="0"/>
          <w:sz w:val="32"/>
          <w:szCs w:val="32"/>
          <w:lang w:eastAsia="zh-CN"/>
        </w:rPr>
        <w:t>缴费</w:t>
      </w:r>
      <w:r>
        <w:rPr>
          <w:rFonts w:hint="eastAsia" w:ascii="仿宋_GB2312" w:hAnsi="宋体" w:eastAsia="仿宋_GB2312" w:cs="宋体"/>
          <w:kern w:val="0"/>
          <w:sz w:val="32"/>
          <w:szCs w:val="32"/>
        </w:rPr>
        <w:t>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呼图壁县医疗保障局2025年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355.86</w:t>
      </w:r>
      <w:r>
        <w:rPr>
          <w:rFonts w:hint="eastAsia" w:ascii="仿宋_GB2312" w:hAnsi="仿宋_GB2312" w:eastAsia="仿宋_GB2312" w:cs="仿宋_GB2312"/>
          <w:color w:val="auto"/>
          <w:kern w:val="0"/>
          <w:sz w:val="32"/>
          <w:szCs w:val="32"/>
          <w:highlight w:val="none"/>
        </w:rPr>
        <w:t>万元，其中：</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355.86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5.29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1.51</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是</w:t>
      </w:r>
      <w:r>
        <w:rPr>
          <w:rFonts w:hint="eastAsia" w:ascii="仿宋_GB2312" w:hAnsi="宋体" w:eastAsia="仿宋_GB2312" w:cs="宋体"/>
          <w:kern w:val="0"/>
          <w:sz w:val="32"/>
          <w:szCs w:val="32"/>
          <w:lang w:eastAsia="zh-CN"/>
        </w:rPr>
        <w:t>呼图壁县医疗保障局在职人员工资职级变动</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lang w:eastAsia="zh-CN"/>
        </w:rPr>
        <w:t>社保公积金缴费有所增加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上级专项资金没有下达，未列入</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w:t>
      </w:r>
      <w:r>
        <w:rPr>
          <w:rFonts w:hint="eastAsia" w:ascii="仿宋_GB2312" w:hAnsi="仿宋_GB2312" w:eastAsia="仿宋_GB2312" w:cs="仿宋_GB2312"/>
          <w:sz w:val="32"/>
          <w:szCs w:val="32"/>
          <w:lang w:val="en-US" w:eastAsia="zh-CN"/>
        </w:rPr>
        <w:t>35.01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9.84</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w:t>
      </w:r>
      <w:r>
        <w:rPr>
          <w:rFonts w:hint="eastAsia" w:ascii="仿宋_GB2312" w:hAnsi="仿宋_GB2312" w:eastAsia="仿宋_GB2312" w:cs="仿宋_GB2312"/>
          <w:sz w:val="32"/>
          <w:szCs w:val="32"/>
          <w:lang w:val="en-US" w:eastAsia="zh-CN"/>
        </w:rPr>
        <w:t>293.03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82.34%</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住房保障支出（类）</w:t>
      </w:r>
      <w:r>
        <w:rPr>
          <w:rFonts w:hint="eastAsia" w:ascii="仿宋_GB2312" w:hAnsi="仿宋_GB2312" w:eastAsia="仿宋_GB2312" w:cs="仿宋_GB2312"/>
          <w:sz w:val="32"/>
          <w:szCs w:val="32"/>
          <w:lang w:val="en-US" w:eastAsia="zh-CN"/>
        </w:rPr>
        <w:t>27.82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7.82</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kern w:val="0"/>
          <w:sz w:val="32"/>
          <w:szCs w:val="32"/>
        </w:rPr>
        <w:t>社会保障和就业支出（类）行政事业单位养老支出（款）</w:t>
      </w:r>
      <w:r>
        <w:rPr>
          <w:rFonts w:hint="eastAsia" w:ascii="仿宋_GB2312" w:hAnsi="仿宋_GB2312" w:eastAsia="仿宋_GB2312" w:cs="仿宋_GB2312"/>
          <w:kern w:val="0"/>
          <w:sz w:val="32"/>
          <w:szCs w:val="32"/>
          <w:lang w:eastAsia="zh-CN"/>
        </w:rPr>
        <w:t>行政单位离退休</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:2025年预算数为1.24</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0.62</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33.33</w:t>
      </w:r>
      <w:r>
        <w:rPr>
          <w:rFonts w:hint="eastAsia" w:ascii="仿宋_GB2312" w:hAnsi="仿宋_GB2312" w:eastAsia="仿宋_GB2312" w:cs="仿宋_GB2312"/>
          <w:kern w:val="0"/>
          <w:sz w:val="32"/>
          <w:szCs w:val="32"/>
        </w:rPr>
        <w:t xml:space="preserve"> %，主要原因是：</w:t>
      </w:r>
      <w:r>
        <w:rPr>
          <w:rFonts w:hint="eastAsia" w:ascii="仿宋_GB2312" w:hAnsi="宋体" w:eastAsia="仿宋_GB2312" w:cs="宋体"/>
          <w:kern w:val="0"/>
          <w:sz w:val="32"/>
          <w:szCs w:val="32"/>
          <w:lang w:eastAsia="zh-CN"/>
        </w:rPr>
        <w:t>呼图壁县医疗保障局退休人员</w:t>
      </w:r>
      <w:r>
        <w:rPr>
          <w:rFonts w:hint="eastAsia" w:ascii="仿宋_GB2312" w:hAnsi="宋体" w:eastAsia="仿宋_GB2312" w:cs="宋体"/>
          <w:kern w:val="0"/>
          <w:sz w:val="32"/>
          <w:szCs w:val="32"/>
          <w:lang w:val="en-US" w:eastAsia="zh-CN"/>
        </w:rPr>
        <w:t>2人</w:t>
      </w:r>
      <w:r>
        <w:rPr>
          <w:rFonts w:hint="eastAsia" w:ascii="仿宋_GB2312" w:hAnsi="宋体" w:eastAsia="仿宋_GB2312" w:cs="宋体"/>
          <w:kern w:val="0"/>
          <w:sz w:val="32"/>
          <w:szCs w:val="32"/>
          <w:lang w:eastAsia="zh-CN"/>
        </w:rPr>
        <w:t>，退休人员进行了医疗满年限认定，不再缴纳医疗保险，预算减少</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社会保障和就业支出（类）行政事业单位养老支出（款）机关事业单位基本养老保险缴费支出（项）</w:t>
      </w:r>
      <w:r>
        <w:rPr>
          <w:rFonts w:hint="eastAsia" w:ascii="仿宋_GB2312" w:hAnsi="仿宋_GB2312" w:eastAsia="仿宋_GB2312" w:cs="仿宋_GB2312"/>
          <w:kern w:val="0"/>
          <w:sz w:val="32"/>
          <w:szCs w:val="32"/>
          <w:lang w:val="en-US" w:eastAsia="zh-CN"/>
        </w:rPr>
        <w:t>:2025年预算数为33.77</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0.88</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2.68</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呼图壁县医疗保障局在职人员职级变动工资增加，其社保公积金缴费有所增加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.卫生健康支出（类）行政事业单位医疗（款）行政单位医疗（项）</w:t>
      </w:r>
      <w:r>
        <w:rPr>
          <w:rFonts w:hint="eastAsia" w:ascii="仿宋_GB2312" w:hAnsi="仿宋_GB2312" w:eastAsia="仿宋_GB2312" w:cs="仿宋_GB2312"/>
          <w:kern w:val="0"/>
          <w:sz w:val="32"/>
          <w:szCs w:val="32"/>
          <w:lang w:val="en-US" w:eastAsia="zh-CN"/>
        </w:rPr>
        <w:t>:2025年预算数为4.83</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1.48</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23.45</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2025年呼图壁县离休干部减少，医疗周转金减少</w:t>
      </w:r>
      <w:r>
        <w:rPr>
          <w:rFonts w:hint="eastAsia" w:ascii="仿宋_GB2312" w:hAnsi="仿宋_GB2312" w:eastAsia="仿宋_GB2312" w:cs="仿宋_GB2312"/>
          <w:kern w:val="0"/>
          <w:sz w:val="32"/>
          <w:szCs w:val="32"/>
        </w:rPr>
        <w:t>。</w:t>
      </w:r>
    </w:p>
    <w:p>
      <w:pPr>
        <w:spacing w:line="560" w:lineRule="exact"/>
        <w:ind w:firstLine="640" w:firstLineChars="200"/>
        <w:rPr>
          <w:rFonts w:hint="eastAsia"/>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卫生健康支出（类）行政事业单位医疗（款）</w:t>
      </w:r>
      <w:r>
        <w:rPr>
          <w:rFonts w:hint="eastAsia" w:ascii="仿宋_GB2312" w:hAnsi="仿宋_GB2312" w:eastAsia="仿宋_GB2312" w:cs="仿宋_GB2312"/>
          <w:kern w:val="0"/>
          <w:sz w:val="32"/>
          <w:szCs w:val="32"/>
          <w:lang w:eastAsia="zh-CN"/>
        </w:rPr>
        <w:t>事业</w:t>
      </w:r>
      <w:r>
        <w:rPr>
          <w:rFonts w:hint="eastAsia" w:ascii="仿宋_GB2312" w:hAnsi="仿宋_GB2312" w:eastAsia="仿宋_GB2312" w:cs="仿宋_GB2312"/>
          <w:kern w:val="0"/>
          <w:sz w:val="32"/>
          <w:szCs w:val="32"/>
        </w:rPr>
        <w:t>单位医疗（项）</w:t>
      </w:r>
      <w:r>
        <w:rPr>
          <w:rFonts w:hint="eastAsia" w:ascii="仿宋_GB2312" w:hAnsi="仿宋_GB2312" w:eastAsia="仿宋_GB2312" w:cs="仿宋_GB2312"/>
          <w:kern w:val="0"/>
          <w:sz w:val="32"/>
          <w:szCs w:val="32"/>
          <w:lang w:val="en-US" w:eastAsia="zh-CN"/>
        </w:rPr>
        <w:t>:2025年预算数为12.46</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0.51</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增长4.27</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2025年事业人员职务薪级</w:t>
      </w:r>
      <w:r>
        <w:rPr>
          <w:rFonts w:hint="eastAsia" w:ascii="仿宋_GB2312" w:hAnsi="宋体" w:eastAsia="仿宋_GB2312" w:cs="宋体"/>
          <w:kern w:val="0"/>
          <w:sz w:val="32"/>
          <w:szCs w:val="32"/>
          <w:lang w:eastAsia="zh-CN"/>
        </w:rPr>
        <w:t>变动工资增加，其医疗缴费有所增加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.卫生健康支出（类）行政事业单位医疗（款）公务员医疗补助（项）</w:t>
      </w:r>
      <w:r>
        <w:rPr>
          <w:rFonts w:hint="eastAsia" w:ascii="仿宋_GB2312" w:hAnsi="仿宋_GB2312" w:eastAsia="仿宋_GB2312" w:cs="仿宋_GB2312"/>
          <w:kern w:val="0"/>
          <w:sz w:val="32"/>
          <w:szCs w:val="32"/>
          <w:lang w:val="en-US" w:eastAsia="zh-CN"/>
        </w:rPr>
        <w:t>:2025年预算数为8.44</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3.92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86.73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2025年度公务员补充医疗保险的缴费比例由2.2%增加至4%。</w:t>
      </w:r>
    </w:p>
    <w:p>
      <w:pPr>
        <w:spacing w:line="560" w:lineRule="exact"/>
        <w:ind w:firstLine="640" w:firstLineChars="200"/>
        <w:rPr>
          <w:rFonts w:hint="eastAsia"/>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sz w:val="32"/>
          <w:szCs w:val="32"/>
        </w:rPr>
        <w:t>卫生健康支出（类）行政事业单位医疗</w:t>
      </w:r>
      <w:r>
        <w:rPr>
          <w:rFonts w:hint="eastAsia" w:ascii="仿宋_GB2312" w:hAnsi="仿宋_GB2312" w:eastAsia="仿宋_GB2312" w:cs="仿宋_GB2312"/>
          <w:sz w:val="32"/>
          <w:szCs w:val="32"/>
          <w:lang w:eastAsia="zh-CN"/>
        </w:rPr>
        <w:t>（款）其他行政事业单位医疗支出（项）</w:t>
      </w:r>
      <w:r>
        <w:rPr>
          <w:rFonts w:hint="eastAsia" w:ascii="仿宋_GB2312" w:hAnsi="仿宋_GB2312" w:eastAsia="仿宋_GB2312" w:cs="仿宋_GB2312"/>
          <w:kern w:val="0"/>
          <w:sz w:val="32"/>
          <w:szCs w:val="32"/>
          <w:lang w:val="en-US" w:eastAsia="zh-CN"/>
        </w:rPr>
        <w:t>:2025年预算数为</w:t>
      </w:r>
      <w:r>
        <w:rPr>
          <w:rFonts w:hint="eastAsia" w:ascii="仿宋_GB2312" w:hAnsi="仿宋_GB2312" w:eastAsia="仿宋_GB2312" w:cs="仿宋_GB2312"/>
          <w:sz w:val="32"/>
          <w:szCs w:val="32"/>
          <w:lang w:val="en-US" w:eastAsia="zh-CN"/>
        </w:rPr>
        <w:t>0.21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0"/>
          <w:sz w:val="32"/>
          <w:szCs w:val="32"/>
        </w:rPr>
        <w:t>比上年预算增加</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90.91</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2025年度在职人员大额医疗补助由定额每人每月5元，调整为按本单位职工工资总额的0.1%收取。</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.卫生健康支出（类）医疗保障管理事务（款）行政运行（项）</w:t>
      </w:r>
      <w:r>
        <w:rPr>
          <w:rFonts w:hint="eastAsia" w:ascii="仿宋_GB2312" w:hAnsi="仿宋_GB2312" w:eastAsia="仿宋_GB2312" w:cs="仿宋_GB2312"/>
          <w:kern w:val="0"/>
          <w:sz w:val="32"/>
          <w:szCs w:val="32"/>
          <w:lang w:val="en-US" w:eastAsia="zh-CN"/>
        </w:rPr>
        <w:t>:2025年预算数为94.69</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eastAsia="zh-CN"/>
        </w:rPr>
        <w:t>减少</w:t>
      </w:r>
      <w:r>
        <w:rPr>
          <w:rFonts w:hint="eastAsia" w:ascii="仿宋_GB2312" w:hAnsi="仿宋_GB2312" w:eastAsia="仿宋_GB2312" w:cs="仿宋_GB2312"/>
          <w:kern w:val="0"/>
          <w:sz w:val="32"/>
          <w:szCs w:val="32"/>
          <w:lang w:val="en-US" w:eastAsia="zh-CN"/>
        </w:rPr>
        <w:t>5.09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下降</w:t>
      </w:r>
      <w:r>
        <w:rPr>
          <w:rFonts w:hint="eastAsia" w:ascii="仿宋_GB2312" w:hAnsi="仿宋_GB2312" w:eastAsia="仿宋_GB2312" w:cs="仿宋_GB2312"/>
          <w:kern w:val="0"/>
          <w:sz w:val="32"/>
          <w:szCs w:val="32"/>
          <w:lang w:val="en-US" w:eastAsia="zh-CN"/>
        </w:rPr>
        <w:t>5.10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呼图壁县医疗保障局行政在职人员调入调出工资变动</w:t>
      </w:r>
      <w:r>
        <w:rPr>
          <w:rFonts w:hint="eastAsia" w:ascii="仿宋_GB2312" w:hAnsi="宋体" w:eastAsia="仿宋_GB2312" w:cs="宋体"/>
          <w:kern w:val="0"/>
          <w:sz w:val="32"/>
          <w:szCs w:val="32"/>
          <w:lang w:val="en-US" w:eastAsia="zh-CN"/>
        </w:rPr>
        <w:t>，工资总额基础性绩效奖励减少</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.卫生健康支出（类）医疗保障管理事务（款）事业运行（项）</w:t>
      </w:r>
      <w:r>
        <w:rPr>
          <w:rFonts w:hint="eastAsia" w:ascii="仿宋_GB2312" w:hAnsi="仿宋_GB2312" w:eastAsia="仿宋_GB2312" w:cs="仿宋_GB2312"/>
          <w:kern w:val="0"/>
          <w:sz w:val="32"/>
          <w:szCs w:val="32"/>
          <w:lang w:val="en-US" w:eastAsia="zh-CN"/>
        </w:rPr>
        <w:t>:2025年预算数为172.41</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6.42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3.87</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呼图壁县医疗保障局事业在职人员变动</w:t>
      </w:r>
      <w:r>
        <w:rPr>
          <w:rFonts w:hint="eastAsia" w:ascii="仿宋_GB2312" w:hAnsi="宋体" w:eastAsia="仿宋_GB2312" w:cs="宋体"/>
          <w:kern w:val="0"/>
          <w:sz w:val="32"/>
          <w:szCs w:val="32"/>
          <w:lang w:val="en-US" w:eastAsia="zh-CN"/>
        </w:rPr>
        <w:t>，增加了六级职员1人，减少了八级职员1人，因两级之间工资相差，造成了2025年工资基础性绩效奖励及人员经费增加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.住房保障支出（类）住房改革支出（款）住房公积金（项）</w:t>
      </w:r>
      <w:r>
        <w:rPr>
          <w:rFonts w:hint="eastAsia" w:ascii="仿宋_GB2312" w:hAnsi="仿宋_GB2312" w:eastAsia="仿宋_GB2312" w:cs="仿宋_GB2312"/>
          <w:kern w:val="0"/>
          <w:sz w:val="32"/>
          <w:szCs w:val="32"/>
          <w:lang w:val="en-US" w:eastAsia="zh-CN"/>
        </w:rPr>
        <w:t>:2025年预算数为27.82</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0.66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2.43</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呼图壁县医疗保障局在职人员变动</w:t>
      </w:r>
      <w:r>
        <w:rPr>
          <w:rFonts w:hint="eastAsia" w:ascii="仿宋_GB2312" w:hAnsi="宋体" w:eastAsia="仿宋_GB2312" w:cs="宋体"/>
          <w:kern w:val="0"/>
          <w:sz w:val="32"/>
          <w:szCs w:val="32"/>
          <w:lang w:val="en-US" w:eastAsia="zh-CN"/>
        </w:rPr>
        <w:t>，增加了六级职员1人，减少了八级职员1人，因两级之间工资相差，造成了2025年工资基础性绩效奖励增加</w:t>
      </w:r>
      <w:r>
        <w:rPr>
          <w:rFonts w:hint="eastAsia" w:ascii="仿宋_GB2312" w:hAnsi="宋体" w:eastAsia="仿宋_GB2312" w:cs="宋体"/>
          <w:kern w:val="0"/>
          <w:sz w:val="32"/>
          <w:szCs w:val="32"/>
          <w:lang w:eastAsia="zh-CN"/>
        </w:rPr>
        <w:t>，其公积金缴费有所增加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呼图壁县医疗保障局2025年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呼图壁县医疗保障局</w:t>
      </w:r>
      <w:r>
        <w:rPr>
          <w:rFonts w:hint="eastAsia" w:ascii="仿宋_GB2312" w:hAnsi="宋体" w:eastAsia="仿宋_GB2312" w:cs="宋体"/>
          <w:color w:val="auto"/>
          <w:spacing w:val="-6"/>
          <w:kern w:val="0"/>
          <w:sz w:val="32"/>
          <w:szCs w:val="32"/>
          <w:highlight w:val="none"/>
          <w:lang w:eastAsia="zh-CN"/>
        </w:rPr>
        <w:t>2025年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355.86</w:t>
      </w:r>
      <w:r>
        <w:rPr>
          <w:rFonts w:hint="eastAsia" w:ascii="仿宋_GB2312" w:hAnsi="宋体" w:eastAsia="仿宋_GB2312" w:cs="宋体"/>
          <w:color w:val="auto"/>
          <w:spacing w:val="-6"/>
          <w:kern w:val="0"/>
          <w:sz w:val="32"/>
          <w:szCs w:val="32"/>
          <w:highlight w:val="none"/>
        </w:rPr>
        <w:t>万元，其中：</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346.52</w:t>
      </w:r>
      <w:r>
        <w:rPr>
          <w:rFonts w:hint="eastAsia" w:ascii="仿宋_GB2312" w:hAnsi="宋体" w:eastAsia="仿宋_GB2312" w:cs="宋体"/>
          <w:color w:val="auto"/>
          <w:kern w:val="0"/>
          <w:sz w:val="32"/>
          <w:szCs w:val="32"/>
          <w:highlight w:val="none"/>
        </w:rPr>
        <w:t>万元，主要包括：</w:t>
      </w:r>
      <w:r>
        <w:rPr>
          <w:rFonts w:hint="eastAsia" w:ascii="仿宋_GB2312" w:hAnsi="仿宋_GB2312" w:eastAsia="仿宋_GB2312" w:cs="仿宋_GB2312"/>
          <w:kern w:val="0"/>
          <w:sz w:val="32"/>
          <w:szCs w:val="32"/>
          <w:lang w:val="en-US" w:eastAsia="zh-CN"/>
        </w:rPr>
        <w:t>基本工资、津贴补贴、奖金、绩效工资、机关事业单位基本养老保险缴费、职业年金缴费、职工基本医疗保险缴费、公务员医疗补助缴费、其他社会保障缴费、住房公积金、医疗费补助、其他工资福利支出、退休费、奖励金</w:t>
      </w:r>
      <w:r>
        <w:rPr>
          <w:rFonts w:hint="eastAsia" w:ascii="仿宋_GB2312" w:hAnsi="宋体" w:eastAsia="仿宋_GB2312" w:cs="宋体"/>
          <w:color w:val="auto"/>
          <w:kern w:val="0"/>
          <w:sz w:val="32"/>
          <w:szCs w:val="32"/>
          <w:highlight w:val="none"/>
        </w:rPr>
        <w:t>。</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firstLine="640" w:firstLineChars="20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9.34</w:t>
      </w:r>
      <w:r>
        <w:rPr>
          <w:rFonts w:hint="eastAsia" w:ascii="仿宋_GB2312" w:hAnsi="宋体" w:eastAsia="仿宋_GB2312" w:cs="宋体"/>
          <w:color w:val="auto"/>
          <w:kern w:val="0"/>
          <w:sz w:val="32"/>
          <w:szCs w:val="32"/>
          <w:highlight w:val="none"/>
        </w:rPr>
        <w:t>万元，主要包括：办公费、印刷费、水费、电费、邮电费、差旅费、工会经费、公务用车运行维护费。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呼图壁县医疗保障局2025年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呼图壁县医疗保障局2025年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主要原因是2024年-2025年均未安排此项经费。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主要原因是2024年-2025年均未安排此项经费。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主要原因按照上级关于政府部门过紧日子相关部署及预算资金只减不增相关要求，严格控制车辆运行费用；公务接待费增加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主要原因是2024年-2025年均未安排此项经费。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呼图壁县医疗保障局2025年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lang w:val="en-US" w:eastAsia="zh-CN"/>
        </w:rPr>
        <w:t>上年结转结余13.09万元，包括：财政拨款13.09万元，非财政拨款0万元，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lang w:eastAsia="zh-CN"/>
        </w:rPr>
        <w:t>024年昌吉州州级统筹社会保险扩面征收工作经费</w:t>
      </w:r>
      <w:r>
        <w:rPr>
          <w:rFonts w:hint="eastAsia" w:ascii="仿宋_GB2312" w:hAnsi="仿宋_GB2312" w:eastAsia="仿宋_GB2312" w:cs="仿宋_GB2312"/>
          <w:color w:val="auto"/>
          <w:kern w:val="0"/>
          <w:sz w:val="32"/>
          <w:szCs w:val="32"/>
          <w:highlight w:val="none"/>
          <w:lang w:val="en-US" w:eastAsia="zh-CN"/>
        </w:rPr>
        <w:t>13.09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default" w:ascii="仿宋_GB2312" w:hAnsi="仿宋_GB2312" w:eastAsia="仿宋_GB2312" w:cs="仿宋_GB2312"/>
          <w:color w:val="auto"/>
          <w:kern w:val="0"/>
          <w:sz w:val="32"/>
          <w:szCs w:val="32"/>
          <w:highlight w:val="none"/>
          <w:lang w:val="en-US" w:eastAsia="zh-CN"/>
        </w:rPr>
        <w:t>医保政策宣传、监督检查及扩面征缴工作业务经费</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呼图壁县医疗保障局2025年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9.34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0.11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1.19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2025年人员工资增加工会经费增加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呼图壁县医疗保障局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7.12</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4.49</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2.63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呼图壁县医疗保障局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7.12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7.12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呼图壁县医疗保障局</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14.42</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14.42</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6.28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31.84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2025年部门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kern w:val="0"/>
          <w:sz w:val="22"/>
          <w:szCs w:val="22"/>
          <w:highlight w:val="cyan"/>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整体预算绩效目标1个，涉及预算金额425.95万元；当年预算安排项目共0个，其中: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bookmarkEnd w:id="0"/>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278"/>
        <w:gridCol w:w="16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pStyle w:val="2"/>
              <w:rPr>
                <w:rFonts w:hint="eastAsia"/>
                <w:lang w:val="en-US" w:eastAsia="zh-CN"/>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呼图壁县医疗保障局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李新玲</w:t>
            </w:r>
          </w:p>
        </w:tc>
        <w:tc>
          <w:tcPr>
            <w:tcW w:w="22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6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18109943311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医疗保障局2025年预算为单位人员经费费用和单位运转经费，维持本单位完成基本运转保障，能完成以下目标：1.医疗保障局贯彻国家、自治区、昌吉州医疗保障制度，保障办公人员的公用经费正常使用。2.落实国家、区、州、县级经费管理和支付标准的工作。持续提高基本医疗保险参保率，确保呼图壁县户籍人口、</w:t>
            </w:r>
            <w:r>
              <w:rPr>
                <w:rFonts w:hint="eastAsia" w:ascii="宋体" w:hAnsi="宋体" w:cs="宋体"/>
                <w:i w:val="0"/>
                <w:iCs w:val="0"/>
                <w:color w:val="000000"/>
                <w:sz w:val="20"/>
                <w:szCs w:val="20"/>
                <w:highlight w:val="none"/>
                <w:u w:val="none"/>
                <w:lang w:eastAsia="zh-CN"/>
              </w:rPr>
              <w:t>常住人口</w:t>
            </w:r>
            <w:r>
              <w:rPr>
                <w:rFonts w:hint="eastAsia" w:ascii="宋体" w:hAnsi="宋体" w:eastAsia="宋体" w:cs="宋体"/>
                <w:i w:val="0"/>
                <w:iCs w:val="0"/>
                <w:color w:val="000000"/>
                <w:sz w:val="20"/>
                <w:szCs w:val="20"/>
                <w:highlight w:val="none"/>
                <w:u w:val="none"/>
              </w:rPr>
              <w:t>参保覆盖率稳定在95%以上，实现应保尽保，让更多人享有医保待遇保障。3.制定定点医疗机构协议和支付管理办法并组织实施，负责医疗保障经办管理，监督管理纳入医保范围内的医疗服务行为和医疗费用。严格把控医保基金收支平衡，严厉打击欺诈骗保行为，保障基金安全。4.保障公务用车正常使用。5.落实异地就医费用结算工作。6.落实医疗跨地区转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368.95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2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对定点零售药店进行监督管理数量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&gt;=75家</w:t>
            </w:r>
          </w:p>
        </w:tc>
        <w:tc>
          <w:tcPr>
            <w:tcW w:w="22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呼图壁县医疗保障局2024年总结及2025年计划</w:t>
            </w:r>
          </w:p>
        </w:tc>
        <w:tc>
          <w:tcPr>
            <w:tcW w:w="1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0"/>
                <w:szCs w:val="20"/>
                <w:highlight w:val="none"/>
                <w:u w:val="none"/>
                <w:lang w:val="en-US" w:eastAsia="zh-CN" w:bidi="ar-SA"/>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对定点医疗机构进行监督管理数量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&gt;=29家</w:t>
            </w:r>
          </w:p>
        </w:tc>
        <w:tc>
          <w:tcPr>
            <w:tcW w:w="22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呼图壁县医疗保障局2024年总结及2025年计划</w:t>
            </w:r>
          </w:p>
        </w:tc>
        <w:tc>
          <w:tcPr>
            <w:tcW w:w="1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基本医疗保险参保率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&gt;=95%</w:t>
            </w:r>
          </w:p>
        </w:tc>
        <w:tc>
          <w:tcPr>
            <w:tcW w:w="22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呼图壁县医疗保障局2024年总结及2025年计划</w:t>
            </w:r>
          </w:p>
        </w:tc>
        <w:tc>
          <w:tcPr>
            <w:tcW w:w="1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20"/>
                <w:szCs w:val="20"/>
                <w:highlight w:val="none"/>
                <w:u w:val="none"/>
                <w:lang w:val="en-US" w:eastAsia="zh-CN" w:bidi="ar-SA"/>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基本医疗保险参保人数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&gt;=11万人</w:t>
            </w:r>
          </w:p>
        </w:tc>
        <w:tc>
          <w:tcPr>
            <w:tcW w:w="22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呼图壁县医疗保障局2024年总结及2025年计划</w:t>
            </w:r>
          </w:p>
        </w:tc>
        <w:tc>
          <w:tcPr>
            <w:tcW w:w="1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监督管理及时率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&gt;=100%</w:t>
            </w:r>
          </w:p>
        </w:tc>
        <w:tc>
          <w:tcPr>
            <w:tcW w:w="22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呼图壁县医疗保障局2024年总结及2025年计划</w:t>
            </w:r>
          </w:p>
        </w:tc>
        <w:tc>
          <w:tcPr>
            <w:tcW w:w="16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2"/>
                <w:sz w:val="20"/>
                <w:szCs w:val="20"/>
                <w:highlight w:val="none"/>
                <w:u w:val="none"/>
                <w:lang w:val="en-US" w:eastAsia="zh-CN" w:bidi="ar-SA"/>
              </w:rPr>
              <w:t>14</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kern w:val="0"/>
          <w:sz w:val="32"/>
          <w:szCs w:val="32"/>
          <w:highlight w:val="none"/>
          <w:lang w:eastAsia="zh-CN"/>
        </w:rPr>
      </w:pPr>
      <w:r>
        <w:rPr>
          <w:rFonts w:hint="eastAsia" w:ascii="仿宋_GB2312" w:hAnsi="宋体" w:eastAsia="仿宋_GB2312" w:cs="宋体"/>
          <w:kern w:val="0"/>
          <w:sz w:val="32"/>
          <w:szCs w:val="32"/>
          <w:highlight w:val="none"/>
          <w:lang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呼图壁县医疗保障局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5120" w:firstLineChars="16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02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952E84"/>
    <w:rsid w:val="00E41A1F"/>
    <w:rsid w:val="012C6635"/>
    <w:rsid w:val="017B2F92"/>
    <w:rsid w:val="020E507E"/>
    <w:rsid w:val="02732F8E"/>
    <w:rsid w:val="02CB7F49"/>
    <w:rsid w:val="037800D1"/>
    <w:rsid w:val="041A51C5"/>
    <w:rsid w:val="04267087"/>
    <w:rsid w:val="04267B2D"/>
    <w:rsid w:val="044C330C"/>
    <w:rsid w:val="05397FD9"/>
    <w:rsid w:val="057A5F58"/>
    <w:rsid w:val="059253AE"/>
    <w:rsid w:val="05CA273A"/>
    <w:rsid w:val="06A16E41"/>
    <w:rsid w:val="070E6657"/>
    <w:rsid w:val="07645C2A"/>
    <w:rsid w:val="07651EEE"/>
    <w:rsid w:val="080E3E4F"/>
    <w:rsid w:val="084451C2"/>
    <w:rsid w:val="08450B28"/>
    <w:rsid w:val="08762705"/>
    <w:rsid w:val="088F5575"/>
    <w:rsid w:val="08E81855"/>
    <w:rsid w:val="093712BD"/>
    <w:rsid w:val="0A4168EC"/>
    <w:rsid w:val="0A810396"/>
    <w:rsid w:val="0ABE6F56"/>
    <w:rsid w:val="0AD672A7"/>
    <w:rsid w:val="0AE50775"/>
    <w:rsid w:val="0B247F12"/>
    <w:rsid w:val="0B7C3034"/>
    <w:rsid w:val="0B841FFD"/>
    <w:rsid w:val="0BD56A2F"/>
    <w:rsid w:val="0C0A3890"/>
    <w:rsid w:val="0CC56B02"/>
    <w:rsid w:val="0CD20198"/>
    <w:rsid w:val="0CEC568C"/>
    <w:rsid w:val="0D6E5FD0"/>
    <w:rsid w:val="0D754701"/>
    <w:rsid w:val="0E320E7D"/>
    <w:rsid w:val="0E9208E7"/>
    <w:rsid w:val="0EFB7C61"/>
    <w:rsid w:val="0FFF5943"/>
    <w:rsid w:val="103576FB"/>
    <w:rsid w:val="10587512"/>
    <w:rsid w:val="105D0E37"/>
    <w:rsid w:val="10916BDA"/>
    <w:rsid w:val="10C16F26"/>
    <w:rsid w:val="11036B00"/>
    <w:rsid w:val="1127206D"/>
    <w:rsid w:val="11301FEB"/>
    <w:rsid w:val="117A1998"/>
    <w:rsid w:val="1182364E"/>
    <w:rsid w:val="11B6451D"/>
    <w:rsid w:val="121E62E8"/>
    <w:rsid w:val="12D724E5"/>
    <w:rsid w:val="150A412C"/>
    <w:rsid w:val="157C3872"/>
    <w:rsid w:val="161D3066"/>
    <w:rsid w:val="1697741D"/>
    <w:rsid w:val="19A215AC"/>
    <w:rsid w:val="1A132B78"/>
    <w:rsid w:val="1AC437A4"/>
    <w:rsid w:val="1B153D26"/>
    <w:rsid w:val="1B5E7496"/>
    <w:rsid w:val="1BEB54C3"/>
    <w:rsid w:val="1C3C6084"/>
    <w:rsid w:val="1C4D466A"/>
    <w:rsid w:val="1C8C02F2"/>
    <w:rsid w:val="1D3E1AFE"/>
    <w:rsid w:val="1E6432D4"/>
    <w:rsid w:val="1E7862F7"/>
    <w:rsid w:val="1E89232D"/>
    <w:rsid w:val="1EB61656"/>
    <w:rsid w:val="20280331"/>
    <w:rsid w:val="20407429"/>
    <w:rsid w:val="207D22A0"/>
    <w:rsid w:val="20AD0A3C"/>
    <w:rsid w:val="20CF3CE4"/>
    <w:rsid w:val="20DD55C0"/>
    <w:rsid w:val="22922CB8"/>
    <w:rsid w:val="22DB78DD"/>
    <w:rsid w:val="244D65B8"/>
    <w:rsid w:val="24701257"/>
    <w:rsid w:val="2492221D"/>
    <w:rsid w:val="24B42D8E"/>
    <w:rsid w:val="250855AF"/>
    <w:rsid w:val="258B383C"/>
    <w:rsid w:val="263B7010"/>
    <w:rsid w:val="26B4291F"/>
    <w:rsid w:val="26BD282A"/>
    <w:rsid w:val="26E769FA"/>
    <w:rsid w:val="286D65BC"/>
    <w:rsid w:val="28D9041B"/>
    <w:rsid w:val="293B2E83"/>
    <w:rsid w:val="2A567F38"/>
    <w:rsid w:val="2AFC4894"/>
    <w:rsid w:val="2B0B6712"/>
    <w:rsid w:val="2B1B476C"/>
    <w:rsid w:val="2B3A05DE"/>
    <w:rsid w:val="2B6901C6"/>
    <w:rsid w:val="2C952DB1"/>
    <w:rsid w:val="2D3473B4"/>
    <w:rsid w:val="2D480265"/>
    <w:rsid w:val="2D977453"/>
    <w:rsid w:val="2E2943BA"/>
    <w:rsid w:val="2E5A4452"/>
    <w:rsid w:val="2EF22236"/>
    <w:rsid w:val="2FED29FE"/>
    <w:rsid w:val="300E1D4A"/>
    <w:rsid w:val="30681972"/>
    <w:rsid w:val="30B05F05"/>
    <w:rsid w:val="310F3573"/>
    <w:rsid w:val="31B46F9B"/>
    <w:rsid w:val="31DF47CE"/>
    <w:rsid w:val="31EA5FAB"/>
    <w:rsid w:val="32907C03"/>
    <w:rsid w:val="32C06E72"/>
    <w:rsid w:val="32D560F7"/>
    <w:rsid w:val="33A76F60"/>
    <w:rsid w:val="341E7629"/>
    <w:rsid w:val="35CE281B"/>
    <w:rsid w:val="35F117C8"/>
    <w:rsid w:val="37391A92"/>
    <w:rsid w:val="374B6BCA"/>
    <w:rsid w:val="38284F1B"/>
    <w:rsid w:val="39A55051"/>
    <w:rsid w:val="39B0409D"/>
    <w:rsid w:val="3BE45FB7"/>
    <w:rsid w:val="3BF21AC7"/>
    <w:rsid w:val="3C013037"/>
    <w:rsid w:val="3C1D12AF"/>
    <w:rsid w:val="3E3177BA"/>
    <w:rsid w:val="3E8F30B2"/>
    <w:rsid w:val="3FDF4D23"/>
    <w:rsid w:val="40890593"/>
    <w:rsid w:val="41083B3B"/>
    <w:rsid w:val="41270465"/>
    <w:rsid w:val="418439D6"/>
    <w:rsid w:val="41CB0A6A"/>
    <w:rsid w:val="41DB2FFE"/>
    <w:rsid w:val="41DB7975"/>
    <w:rsid w:val="423F533B"/>
    <w:rsid w:val="42A821AD"/>
    <w:rsid w:val="42F779C3"/>
    <w:rsid w:val="43502DA9"/>
    <w:rsid w:val="43C26223"/>
    <w:rsid w:val="43D8307E"/>
    <w:rsid w:val="44507CD3"/>
    <w:rsid w:val="44AF5181"/>
    <w:rsid w:val="455A018C"/>
    <w:rsid w:val="46B02CAB"/>
    <w:rsid w:val="46CE3131"/>
    <w:rsid w:val="473F2557"/>
    <w:rsid w:val="493059DD"/>
    <w:rsid w:val="494F7907"/>
    <w:rsid w:val="496B0463"/>
    <w:rsid w:val="4ADF73DC"/>
    <w:rsid w:val="4B1B26BD"/>
    <w:rsid w:val="4B315A3D"/>
    <w:rsid w:val="4C0055E5"/>
    <w:rsid w:val="4C30370D"/>
    <w:rsid w:val="4C3677AE"/>
    <w:rsid w:val="4C706B3A"/>
    <w:rsid w:val="4CA470B7"/>
    <w:rsid w:val="4CC66A72"/>
    <w:rsid w:val="4D09585F"/>
    <w:rsid w:val="4F14669A"/>
    <w:rsid w:val="4F3B332E"/>
    <w:rsid w:val="511D5E24"/>
    <w:rsid w:val="51C15CED"/>
    <w:rsid w:val="52063FA9"/>
    <w:rsid w:val="52285DEB"/>
    <w:rsid w:val="52AD62F0"/>
    <w:rsid w:val="52FD5035"/>
    <w:rsid w:val="531F4EDF"/>
    <w:rsid w:val="53A94D0A"/>
    <w:rsid w:val="53C2248B"/>
    <w:rsid w:val="543441C3"/>
    <w:rsid w:val="546308FE"/>
    <w:rsid w:val="55EE4076"/>
    <w:rsid w:val="56FE59C9"/>
    <w:rsid w:val="570D735E"/>
    <w:rsid w:val="571B2674"/>
    <w:rsid w:val="58241006"/>
    <w:rsid w:val="589917F1"/>
    <w:rsid w:val="59B241EC"/>
    <w:rsid w:val="5A5E27F6"/>
    <w:rsid w:val="5A704801"/>
    <w:rsid w:val="5A8C5E4D"/>
    <w:rsid w:val="5AED2A9A"/>
    <w:rsid w:val="5B920DC8"/>
    <w:rsid w:val="5D575623"/>
    <w:rsid w:val="5D9E1657"/>
    <w:rsid w:val="5DAA33D3"/>
    <w:rsid w:val="5DB33B62"/>
    <w:rsid w:val="5E225DE5"/>
    <w:rsid w:val="5E257683"/>
    <w:rsid w:val="5E7802BC"/>
    <w:rsid w:val="5E990516"/>
    <w:rsid w:val="5EE078B0"/>
    <w:rsid w:val="5F0D5523"/>
    <w:rsid w:val="5F2346ED"/>
    <w:rsid w:val="5FAE04DB"/>
    <w:rsid w:val="61086613"/>
    <w:rsid w:val="61686204"/>
    <w:rsid w:val="62917095"/>
    <w:rsid w:val="62C5295A"/>
    <w:rsid w:val="630E06E5"/>
    <w:rsid w:val="63C72F2C"/>
    <w:rsid w:val="6408782B"/>
    <w:rsid w:val="643E5AA4"/>
    <w:rsid w:val="65322CBF"/>
    <w:rsid w:val="65B35574"/>
    <w:rsid w:val="65C658ED"/>
    <w:rsid w:val="65EA56D9"/>
    <w:rsid w:val="66E97CE4"/>
    <w:rsid w:val="66F7690B"/>
    <w:rsid w:val="68CC52CB"/>
    <w:rsid w:val="68DE4FFE"/>
    <w:rsid w:val="68F7497D"/>
    <w:rsid w:val="691655D2"/>
    <w:rsid w:val="691B0000"/>
    <w:rsid w:val="694B58D7"/>
    <w:rsid w:val="69CD7761"/>
    <w:rsid w:val="69CE4E15"/>
    <w:rsid w:val="6B3E7E06"/>
    <w:rsid w:val="6B7F3246"/>
    <w:rsid w:val="6BF904A6"/>
    <w:rsid w:val="6C535248"/>
    <w:rsid w:val="6CB5251A"/>
    <w:rsid w:val="6CD429A0"/>
    <w:rsid w:val="6EF07839"/>
    <w:rsid w:val="6F63000B"/>
    <w:rsid w:val="6FCF0C72"/>
    <w:rsid w:val="7030429F"/>
    <w:rsid w:val="71500A63"/>
    <w:rsid w:val="717C1858"/>
    <w:rsid w:val="72B56DCF"/>
    <w:rsid w:val="72DD00D4"/>
    <w:rsid w:val="72E964BC"/>
    <w:rsid w:val="735C7C42"/>
    <w:rsid w:val="74D07EF1"/>
    <w:rsid w:val="75B570E6"/>
    <w:rsid w:val="75BF3AC1"/>
    <w:rsid w:val="761636C9"/>
    <w:rsid w:val="76622145"/>
    <w:rsid w:val="7706409E"/>
    <w:rsid w:val="7797777E"/>
    <w:rsid w:val="780A1873"/>
    <w:rsid w:val="787D11B8"/>
    <w:rsid w:val="78A771BA"/>
    <w:rsid w:val="78AC6820"/>
    <w:rsid w:val="790331CE"/>
    <w:rsid w:val="792C5912"/>
    <w:rsid w:val="7A9B1810"/>
    <w:rsid w:val="7A9F0A67"/>
    <w:rsid w:val="7B05245F"/>
    <w:rsid w:val="7CBA4FE2"/>
    <w:rsid w:val="7D06612B"/>
    <w:rsid w:val="7E880152"/>
    <w:rsid w:val="7E8B30DA"/>
    <w:rsid w:val="7FA42DC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2129</Words>
  <Characters>2300</Characters>
  <Lines>0</Lines>
  <Paragraphs>0</Paragraphs>
  <TotalTime>24</TotalTime>
  <ScaleCrop>false</ScaleCrop>
  <LinksUpToDate>false</LinksUpToDate>
  <CharactersWithSpaces>2407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2025-05-30T08:39:38Z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E71259FB28944EC2B15A036B0EF7DF37_13</vt:lpwstr>
  </property>
  <property fmtid="{D5CDD505-2E9C-101B-9397-08002B2CF9AE}" pid="4" name="KSOTemplateDocerSaveRecord">
    <vt:lpwstr>eyJoZGlkIjoiMDljYzUzMWQ4OWI0YzBkYjYzMDRhZTY5ZjZkYmFmYTgiLCJ1c2VySWQiOiI1ODMzMjMyMTIifQ==</vt:lpwstr>
  </property>
</Properties>
</file>