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jc w:val="center"/>
        <w:outlineLvl w:val="1"/>
        <w:rPr>
          <w:rFonts w:hint="eastAsia" w:ascii="方正小标宋_GBK" w:eastAsia="方正小标宋_GBK"/>
          <w:sz w:val="44"/>
          <w:highlight w:val="none"/>
        </w:rPr>
      </w:pPr>
      <w:r>
        <w:rPr>
          <w:rFonts w:hint="eastAsia" w:ascii="方正小标宋_GBK" w:eastAsia="方正小标宋_GBK"/>
          <w:sz w:val="44"/>
          <w:highlight w:val="none"/>
        </w:rPr>
        <w:t>呼图壁县残疾人联合会</w:t>
      </w:r>
    </w:p>
    <w:p>
      <w:pPr>
        <w:widowControl/>
        <w:spacing w:line="440" w:lineRule="exact"/>
        <w:jc w:val="center"/>
        <w:outlineLvl w:val="1"/>
        <w:rPr>
          <w:rFonts w:hint="eastAsia" w:ascii="方正小标宋_GBK" w:eastAsia="方正小标宋_GBK"/>
          <w:sz w:val="44"/>
          <w:highlight w:val="none"/>
        </w:rPr>
      </w:pPr>
    </w:p>
    <w:p>
      <w:pPr>
        <w:widowControl/>
        <w:spacing w:line="440" w:lineRule="exact"/>
        <w:jc w:val="center"/>
        <w:outlineLvl w:val="1"/>
        <w:rPr>
          <w:rFonts w:hint="eastAsia" w:ascii="黑体" w:hAnsi="黑体" w:eastAsia="黑体"/>
          <w:color w:val="auto"/>
          <w:kern w:val="0"/>
          <w:sz w:val="36"/>
          <w:szCs w:val="32"/>
          <w:highlight w:val="none"/>
        </w:rPr>
      </w:pPr>
      <w:r>
        <w:rPr>
          <w:rFonts w:hint="eastAsia" w:ascii="方正小标宋_GBK" w:eastAsia="方正小标宋_GBK"/>
          <w:sz w:val="44"/>
          <w:highlight w:val="none"/>
        </w:rPr>
        <w:t>202</w:t>
      </w:r>
      <w:r>
        <w:rPr>
          <w:rFonts w:hint="eastAsia" w:ascii="方正小标宋_GBK" w:eastAsia="方正小标宋_GBK"/>
          <w:sz w:val="44"/>
          <w:highlight w:val="none"/>
          <w:lang w:val="en-US" w:eastAsia="zh-CN"/>
        </w:rPr>
        <w:t>5</w:t>
      </w:r>
      <w:r>
        <w:rPr>
          <w:rFonts w:hint="eastAsia" w:ascii="方正小标宋_GBK" w:eastAsia="方正小标宋_GBK"/>
          <w:sz w:val="44"/>
          <w:highlight w:val="none"/>
        </w:rPr>
        <w:t>年</w:t>
      </w:r>
      <w:r>
        <w:rPr>
          <w:rFonts w:hint="eastAsia" w:ascii="方正小标宋_GBK" w:eastAsia="方正小标宋_GBK"/>
          <w:sz w:val="44"/>
          <w:highlight w:val="none"/>
          <w:lang w:val="en-US" w:eastAsia="zh-CN"/>
        </w:rPr>
        <w:t>部门</w:t>
      </w:r>
      <w:r>
        <w:rPr>
          <w:rFonts w:hint="eastAsia" w:ascii="方正小标宋_GBK" w:eastAsia="方正小标宋_GBK"/>
          <w:sz w:val="44"/>
          <w:highlight w:val="none"/>
        </w:rPr>
        <w:t>预算公开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rPr>
        <w:t>呼图壁县残疾人联合会</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、关于呼图壁县残疾人联合会</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年呼图壁县残疾人联合会</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宋体" w:eastAsia="仿宋_GB2312" w:cs="宋体"/>
          <w:kern w:val="0"/>
          <w:sz w:val="32"/>
          <w:szCs w:val="32"/>
          <w:highlight w:val="none"/>
        </w:rPr>
        <w:t xml:space="preserve">呼图壁县残疾人联合会是具有代表、服务、管理三种职能:代表残疾人公共利益，维护残疾人合法权益；团结教育残疾人，为残疾人服务；履行法律赋予的职责，承担县人民政府委托的任务，管理和发展残疾人事业。为残疾人康复提供保障服务，包括残疾人康复医疗、康复护理、康复训练等业务服务；为残疾人就业提供保障服务，包括残疾人的待业调查、就业登记、职业培训等业务。 </w:t>
      </w:r>
      <w:r>
        <w:rPr>
          <w:rFonts w:hint="eastAsia" w:ascii="仿宋_GB2312" w:hAnsi="宋体" w:eastAsia="仿宋_GB2312" w:cs="宋体"/>
          <w:bCs/>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宋体" w:eastAsia="仿宋_GB2312" w:cs="宋体"/>
          <w:kern w:val="0"/>
          <w:sz w:val="32"/>
          <w:szCs w:val="32"/>
          <w:highlight w:val="none"/>
        </w:rPr>
      </w:pPr>
      <w:r>
        <w:rPr>
          <w:rFonts w:hint="eastAsia" w:ascii="仿宋_GB2312" w:eastAsia="仿宋_GB2312"/>
          <w:sz w:val="32"/>
          <w:highlight w:val="none"/>
        </w:rPr>
        <w:t>呼图壁县残疾人联合会</w:t>
      </w:r>
      <w:r>
        <w:rPr>
          <w:rFonts w:hint="eastAsia" w:ascii="仿宋_GB2312" w:hAnsi="黑体" w:eastAsia="仿宋_GB2312" w:cs="宋体"/>
          <w:bCs/>
          <w:kern w:val="0"/>
          <w:sz w:val="32"/>
          <w:szCs w:val="32"/>
          <w:highlight w:val="none"/>
        </w:rPr>
        <w:t>无下</w:t>
      </w:r>
      <w:r>
        <w:rPr>
          <w:rFonts w:hint="eastAsia" w:ascii="仿宋_GB2312" w:hAnsi="黑体" w:eastAsia="仿宋_GB2312" w:cs="宋体"/>
          <w:bCs/>
          <w:color w:val="auto"/>
          <w:kern w:val="0"/>
          <w:sz w:val="32"/>
          <w:szCs w:val="32"/>
          <w:highlight w:val="none"/>
        </w:rPr>
        <w:t>属预算单位</w:t>
      </w:r>
      <w:r>
        <w:rPr>
          <w:rFonts w:hint="eastAsia" w:ascii="仿宋_GB2312" w:hAnsi="黑体" w:eastAsia="仿宋_GB2312" w:cs="宋体"/>
          <w:bCs/>
          <w:color w:val="auto"/>
          <w:kern w:val="0"/>
          <w:sz w:val="32"/>
          <w:szCs w:val="32"/>
          <w:highlight w:val="none"/>
          <w:lang w:val="en-US" w:eastAsia="zh-CN"/>
        </w:rPr>
        <w:t>,下设1个处室，分别是：残疾人康复就业服务中心。</w:t>
      </w:r>
    </w:p>
    <w:p>
      <w:pPr>
        <w:widowControl/>
        <w:spacing w:line="560" w:lineRule="exact"/>
        <w:ind w:firstLine="640"/>
        <w:jc w:val="left"/>
        <w:rPr>
          <w:rFonts w:hint="eastAsia" w:ascii="仿宋_GB2312" w:hAnsi="宋体" w:eastAsia="仿宋_GB2312" w:cs="宋体"/>
          <w:kern w:val="0"/>
          <w:szCs w:val="21"/>
          <w:highlight w:val="none"/>
        </w:rPr>
      </w:pPr>
      <w:r>
        <w:rPr>
          <w:rFonts w:hint="eastAsia" w:ascii="仿宋_GB2312" w:eastAsia="仿宋_GB2312"/>
          <w:sz w:val="32"/>
          <w:highlight w:val="none"/>
        </w:rPr>
        <w:t>呼图壁县残疾人联合会</w:t>
      </w:r>
      <w:r>
        <w:rPr>
          <w:rFonts w:hint="eastAsia" w:ascii="仿宋_GB2312" w:hAnsi="宋体" w:eastAsia="仿宋_GB2312" w:cs="宋体"/>
          <w:kern w:val="0"/>
          <w:sz w:val="32"/>
          <w:szCs w:val="32"/>
          <w:highlight w:val="none"/>
        </w:rPr>
        <w:t>编制数9人，实有人数</w:t>
      </w: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人，其中：在职9人，增加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人；退休</w:t>
      </w: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人，增加0人；离休0人，增加0人。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s="Times New Roman"/>
          <w:color w:val="auto"/>
          <w:kern w:val="0"/>
          <w:sz w:val="32"/>
          <w:szCs w:val="32"/>
          <w:highlight w:val="none"/>
          <w:lang w:eastAsia="zh-CN"/>
        </w:rPr>
        <w:t>202</w:t>
      </w:r>
      <w:r>
        <w:rPr>
          <w:rFonts w:hint="eastAsia" w:ascii="黑体" w:hAnsi="黑体" w:eastAsia="黑体" w:cs="Times New Roman"/>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黑体" w:hAnsi="黑体" w:eastAsia="黑体"/>
          <w:color w:val="auto"/>
          <w:kern w:val="0"/>
          <w:sz w:val="32"/>
          <w:szCs w:val="32"/>
          <w:highlight w:val="none"/>
        </w:rPr>
        <w:t>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编制单位：呼图壁县残疾人联合会</w:t>
      </w:r>
      <w:r>
        <w:rPr>
          <w:rFonts w:hint="eastAsia" w:ascii="仿宋_GB2312" w:hAnsi="宋体" w:eastAsia="仿宋_GB2312"/>
          <w:color w:val="auto"/>
          <w:kern w:val="0"/>
          <w:sz w:val="24"/>
          <w:highlight w:val="none"/>
        </w:rPr>
        <w:t xml:space="preserve">                           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615.22</w:t>
            </w:r>
            <w:r>
              <w:rPr>
                <w:rFonts w:hint="eastAsia" w:ascii="仿宋_GB2312" w:hAnsi="宋体" w:eastAsia="仿宋_GB2312" w:cs="宋体"/>
                <w:b/>
                <w:bCs/>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175.22</w:t>
            </w: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lang w:val="en-US" w:eastAsia="zh-CN"/>
              </w:rPr>
              <w:t>163.06</w:t>
            </w: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lang w:val="en-US" w:eastAsia="zh-CN"/>
              </w:rPr>
              <w:t>12.16</w:t>
            </w: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lang w:eastAsia="zh-CN"/>
              </w:rPr>
            </w:pPr>
            <w:r>
              <w:rPr>
                <w:rFonts w:hint="eastAsia" w:ascii="仿宋_GB2312" w:hAnsi="宋体" w:eastAsia="仿宋_GB2312" w:cs="宋体"/>
                <w:b/>
                <w:bCs/>
                <w:color w:val="auto"/>
                <w:kern w:val="0"/>
                <w:sz w:val="21"/>
                <w:szCs w:val="21"/>
                <w:highlight w:val="none"/>
                <w:shd w:val="clear" w:color="auto" w:fill="auto"/>
              </w:rPr>
              <w:t>2.</w:t>
            </w:r>
            <w:r>
              <w:rPr>
                <w:rFonts w:hint="eastAsia" w:ascii="仿宋_GB2312" w:hAnsi="宋体" w:eastAsia="仿宋_GB2312" w:cs="宋体"/>
                <w:b/>
                <w:bCs/>
                <w:color w:val="auto"/>
                <w:kern w:val="0"/>
                <w:sz w:val="21"/>
                <w:szCs w:val="21"/>
                <w:highlight w:val="none"/>
                <w:shd w:val="clear" w:color="auto" w:fill="auto"/>
                <w:lang w:val="en-US" w:eastAsia="zh-CN"/>
              </w:rPr>
              <w:t>政府性</w:t>
            </w:r>
            <w:r>
              <w:rPr>
                <w:rFonts w:hint="eastAsia" w:ascii="仿宋_GB2312" w:hAnsi="宋体" w:eastAsia="仿宋_GB2312" w:cs="宋体"/>
                <w:b/>
                <w:bCs/>
                <w:color w:val="auto"/>
                <w:kern w:val="0"/>
                <w:sz w:val="21"/>
                <w:szCs w:val="21"/>
                <w:highlight w:val="none"/>
                <w:shd w:val="clear" w:color="auto" w:fill="auto"/>
              </w:rPr>
              <w:t>基金预算拨款</w:t>
            </w:r>
            <w:r>
              <w:rPr>
                <w:rFonts w:hint="eastAsia" w:ascii="仿宋_GB2312" w:hAnsi="宋体" w:eastAsia="仿宋_GB2312" w:cs="宋体"/>
                <w:color w:val="auto"/>
                <w:kern w:val="0"/>
                <w:sz w:val="21"/>
                <w:szCs w:val="21"/>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lang w:val="en-US" w:eastAsia="zh-CN"/>
              </w:rPr>
              <w:t>616.67</w:t>
            </w: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210</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12.08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rPr>
              <w:t>　</w:t>
            </w:r>
            <w:r>
              <w:rPr>
                <w:rFonts w:hint="eastAsia" w:ascii="仿宋_GB2312" w:hAnsi="宋体" w:eastAsia="仿宋_GB2312" w:cs="宋体"/>
                <w:b/>
                <w:bCs/>
                <w:color w:val="auto"/>
                <w:kern w:val="0"/>
                <w:sz w:val="21"/>
                <w:szCs w:val="21"/>
                <w:highlight w:val="none"/>
                <w:lang w:val="en-US" w:eastAsia="zh-CN"/>
              </w:rPr>
              <w:t>440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215 资源勘探</w:t>
            </w:r>
            <w:r>
              <w:rPr>
                <w:rFonts w:hint="eastAsia" w:ascii="仿宋_GB2312" w:hAnsi="宋体" w:eastAsia="仿宋_GB2312" w:cs="宋体"/>
                <w:color w:val="auto"/>
                <w:kern w:val="0"/>
                <w:sz w:val="21"/>
                <w:szCs w:val="21"/>
                <w:highlight w:val="none"/>
                <w:lang w:val="en-US" w:eastAsia="zh-Hans"/>
              </w:rPr>
              <w:t>工业</w:t>
            </w:r>
            <w:r>
              <w:rPr>
                <w:rFonts w:hint="eastAsia" w:ascii="仿宋_GB2312" w:hAnsi="宋体" w:eastAsia="仿宋_GB2312" w:cs="宋体"/>
                <w:color w:val="auto"/>
                <w:kern w:val="0"/>
                <w:sz w:val="21"/>
                <w:szCs w:val="21"/>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rPr>
              <w:t>　</w:t>
            </w:r>
            <w:r>
              <w:rPr>
                <w:rFonts w:hint="eastAsia" w:ascii="仿宋_GB2312" w:hAnsi="宋体" w:eastAsia="仿宋_GB2312" w:cs="宋体"/>
                <w:color w:val="auto"/>
                <w:kern w:val="0"/>
                <w:sz w:val="21"/>
                <w:szCs w:val="21"/>
                <w:highlight w:val="none"/>
                <w:lang w:val="en-US" w:eastAsia="zh-CN"/>
              </w:rPr>
              <w:t>440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b/>
                <w:bCs/>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rPr>
              <w:t>　</w:t>
            </w:r>
            <w:r>
              <w:rPr>
                <w:rFonts w:hint="eastAsia" w:ascii="仿宋_GB2312" w:hAnsi="宋体" w:eastAsia="仿宋_GB2312" w:cs="宋体"/>
                <w:b/>
                <w:bCs/>
                <w:color w:val="auto"/>
                <w:kern w:val="0"/>
                <w:sz w:val="21"/>
                <w:szCs w:val="21"/>
                <w:highlight w:val="none"/>
                <w:lang w:val="en-US" w:eastAsia="zh-CN"/>
              </w:rPr>
              <w:t>26.68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r>
              <w:rPr>
                <w:rFonts w:hint="eastAsia" w:ascii="仿宋_GB2312" w:hAnsi="宋体" w:eastAsia="仿宋_GB2312" w:cs="宋体"/>
                <w:b/>
                <w:bCs/>
                <w:color w:val="auto"/>
                <w:kern w:val="0"/>
                <w:sz w:val="21"/>
                <w:szCs w:val="21"/>
                <w:highlight w:val="none"/>
                <w:lang w:val="en-US" w:eastAsia="zh-CN"/>
              </w:rPr>
              <w:t>26.68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r>
              <w:rPr>
                <w:rFonts w:hint="eastAsia" w:ascii="仿宋_GB2312" w:hAnsi="宋体" w:eastAsia="仿宋_GB2312" w:cs="宋体"/>
                <w:color w:val="auto"/>
                <w:kern w:val="0"/>
                <w:sz w:val="21"/>
                <w:szCs w:val="21"/>
                <w:highlight w:val="none"/>
                <w:lang w:val="en-US" w:eastAsia="zh-CN"/>
              </w:rPr>
              <w:t>26.68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lang w:val="en-US" w:eastAsia="zh-CN"/>
              </w:rPr>
              <w:t>13.16</w:t>
            </w: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lang w:val="en-US" w:eastAsia="zh-CN"/>
              </w:rPr>
              <w:t>政府性</w:t>
            </w:r>
            <w:r>
              <w:rPr>
                <w:rFonts w:hint="eastAsia" w:ascii="仿宋_GB2312" w:hAnsi="宋体" w:eastAsia="仿宋_GB2312" w:cs="宋体"/>
                <w:color w:val="auto"/>
                <w:kern w:val="0"/>
                <w:sz w:val="21"/>
                <w:szCs w:val="21"/>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b/>
                <w:bCs/>
                <w:color w:val="auto"/>
                <w:kern w:val="0"/>
                <w:sz w:val="21"/>
                <w:szCs w:val="21"/>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224</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230</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shd w:val="clear" w:color="auto" w:fill="auto"/>
              </w:rPr>
            </w:pPr>
            <w:r>
              <w:rPr>
                <w:rFonts w:hint="eastAsia" w:ascii="仿宋_GB2312" w:hAnsi="宋体" w:eastAsia="仿宋_GB2312" w:cs="宋体"/>
                <w:color w:val="auto"/>
                <w:kern w:val="0"/>
                <w:sz w:val="21"/>
                <w:szCs w:val="21"/>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641.90</w:t>
            </w:r>
          </w:p>
        </w:tc>
        <w:tc>
          <w:tcPr>
            <w:tcW w:w="2693" w:type="dxa"/>
            <w:tcBorders>
              <w:top w:val="nil"/>
              <w:left w:val="nil"/>
              <w:bottom w:val="single" w:color="auto" w:sz="4" w:space="0"/>
              <w:right w:val="nil"/>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641.90</w:t>
            </w:r>
            <w:r>
              <w:rPr>
                <w:rFonts w:hint="eastAsia" w:ascii="仿宋_GB2312" w:hAnsi="宋体" w:eastAsia="仿宋_GB2312" w:cs="宋体"/>
                <w:b/>
                <w:bCs/>
                <w:color w:val="auto"/>
                <w:kern w:val="0"/>
                <w:sz w:val="21"/>
                <w:szCs w:val="21"/>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12958" w:type="dxa"/>
        <w:tblInd w:w="0" w:type="dxa"/>
        <w:tblLayout w:type="fixed"/>
        <w:tblCellMar>
          <w:top w:w="0" w:type="dxa"/>
          <w:left w:w="108" w:type="dxa"/>
          <w:bottom w:w="0" w:type="dxa"/>
          <w:right w:w="108" w:type="dxa"/>
        </w:tblCellMar>
      </w:tblPr>
      <w:tblGrid>
        <w:gridCol w:w="566"/>
        <w:gridCol w:w="453"/>
        <w:gridCol w:w="452"/>
        <w:gridCol w:w="1515"/>
        <w:gridCol w:w="902"/>
        <w:gridCol w:w="915"/>
        <w:gridCol w:w="900"/>
        <w:gridCol w:w="749"/>
        <w:gridCol w:w="629"/>
        <w:gridCol w:w="866"/>
        <w:gridCol w:w="663"/>
        <w:gridCol w:w="994"/>
        <w:gridCol w:w="908"/>
        <w:gridCol w:w="884"/>
        <w:gridCol w:w="864"/>
        <w:gridCol w:w="698"/>
      </w:tblGrid>
      <w:tr>
        <w:tblPrEx>
          <w:tblCellMar>
            <w:top w:w="0" w:type="dxa"/>
            <w:left w:w="108" w:type="dxa"/>
            <w:bottom w:w="0" w:type="dxa"/>
            <w:right w:w="108" w:type="dxa"/>
          </w:tblCellMar>
        </w:tblPrEx>
        <w:trPr>
          <w:trHeight w:val="697" w:hRule="atLeast"/>
        </w:trPr>
        <w:tc>
          <w:tcPr>
            <w:tcW w:w="147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1"/>
                <w:szCs w:val="21"/>
                <w:highlight w:val="none"/>
              </w:rPr>
            </w:pPr>
            <w:r>
              <w:rPr>
                <w:rFonts w:hint="eastAsia" w:ascii="仿宋_GB2312" w:eastAsia="仿宋_GB2312"/>
                <w:b/>
                <w:color w:val="auto"/>
                <w:sz w:val="21"/>
                <w:szCs w:val="21"/>
                <w:highlight w:val="none"/>
              </w:rPr>
              <w:t>功能分类科目编码</w:t>
            </w:r>
          </w:p>
        </w:tc>
        <w:tc>
          <w:tcPr>
            <w:tcW w:w="151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1"/>
                <w:szCs w:val="21"/>
                <w:highlight w:val="none"/>
              </w:rPr>
            </w:pPr>
            <w:r>
              <w:rPr>
                <w:rFonts w:hint="eastAsia" w:ascii="仿宋_GB2312" w:eastAsia="仿宋_GB2312"/>
                <w:b/>
                <w:color w:val="auto"/>
                <w:sz w:val="21"/>
                <w:szCs w:val="21"/>
                <w:highlight w:val="none"/>
              </w:rPr>
              <w:t>功能分类科目名称</w:t>
            </w:r>
          </w:p>
        </w:tc>
        <w:tc>
          <w:tcPr>
            <w:tcW w:w="90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1"/>
                <w:szCs w:val="21"/>
                <w:highlight w:val="none"/>
              </w:rPr>
            </w:pPr>
            <w:r>
              <w:rPr>
                <w:rFonts w:hint="eastAsia" w:ascii="仿宋_GB2312" w:eastAsia="仿宋_GB2312"/>
                <w:b/>
                <w:bCs w:val="0"/>
                <w:color w:val="auto"/>
                <w:sz w:val="21"/>
                <w:szCs w:val="21"/>
                <w:highlight w:val="none"/>
              </w:rPr>
              <w:t>总  计</w:t>
            </w:r>
          </w:p>
        </w:tc>
        <w:tc>
          <w:tcPr>
            <w:tcW w:w="5716"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1"/>
                <w:szCs w:val="21"/>
                <w:highlight w:val="none"/>
              </w:rPr>
            </w:pPr>
            <w:r>
              <w:rPr>
                <w:rFonts w:hint="eastAsia" w:ascii="仿宋_GB2312" w:hAnsi="宋体" w:eastAsia="仿宋_GB2312" w:cs="宋体"/>
                <w:b/>
                <w:bCs w:val="0"/>
                <w:color w:val="auto"/>
                <w:sz w:val="21"/>
                <w:szCs w:val="21"/>
                <w:highlight w:val="none"/>
              </w:rPr>
              <w:t>财  政  拨  款  (  补  助  )</w:t>
            </w:r>
          </w:p>
        </w:tc>
        <w:tc>
          <w:tcPr>
            <w:tcW w:w="90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1"/>
                <w:szCs w:val="21"/>
                <w:highlight w:val="none"/>
              </w:rPr>
            </w:pPr>
            <w:r>
              <w:rPr>
                <w:rFonts w:hint="eastAsia" w:ascii="仿宋_GB2312" w:eastAsia="仿宋_GB2312"/>
                <w:b/>
                <w:bCs w:val="0"/>
                <w:color w:val="auto"/>
                <w:sz w:val="21"/>
                <w:szCs w:val="21"/>
                <w:highlight w:val="none"/>
              </w:rPr>
              <w:t>财政专户（教育收费）</w:t>
            </w:r>
          </w:p>
        </w:tc>
        <w:tc>
          <w:tcPr>
            <w:tcW w:w="88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单位资金</w:t>
            </w:r>
          </w:p>
        </w:tc>
        <w:tc>
          <w:tcPr>
            <w:tcW w:w="86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财政拨款结转</w:t>
            </w:r>
          </w:p>
        </w:tc>
        <w:tc>
          <w:tcPr>
            <w:tcW w:w="69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1"/>
                <w:szCs w:val="21"/>
                <w:highlight w:val="none"/>
              </w:rPr>
            </w:pPr>
            <w:r>
              <w:rPr>
                <w:rFonts w:hint="eastAsia" w:ascii="仿宋_GB2312" w:eastAsia="仿宋_GB2312"/>
                <w:b/>
                <w:color w:val="auto"/>
                <w:sz w:val="21"/>
                <w:szCs w:val="21"/>
                <w:highlight w:val="none"/>
              </w:rPr>
              <w:t>非财政拨款结转结余</w:t>
            </w:r>
          </w:p>
        </w:tc>
      </w:tr>
      <w:tr>
        <w:tblPrEx>
          <w:tblCellMar>
            <w:top w:w="0" w:type="dxa"/>
            <w:left w:w="108" w:type="dxa"/>
            <w:bottom w:w="0" w:type="dxa"/>
            <w:right w:w="108" w:type="dxa"/>
          </w:tblCellMar>
        </w:tblPrEx>
        <w:trPr>
          <w:trHeight w:val="2394" w:hRule="atLeast"/>
        </w:trPr>
        <w:tc>
          <w:tcPr>
            <w:tcW w:w="566"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类</w:t>
            </w:r>
          </w:p>
        </w:tc>
        <w:tc>
          <w:tcPr>
            <w:tcW w:w="453" w:type="dxa"/>
            <w:tcBorders>
              <w:left w:val="nil"/>
              <w:bottom w:val="single" w:color="auto" w:sz="4" w:space="0"/>
              <w:right w:val="single" w:color="auto" w:sz="4" w:space="0"/>
            </w:tcBorders>
            <w:vAlign w:val="center"/>
          </w:tcPr>
          <w:p>
            <w:pPr>
              <w:jc w:val="right"/>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款</w:t>
            </w:r>
          </w:p>
        </w:tc>
        <w:tc>
          <w:tcPr>
            <w:tcW w:w="452" w:type="dxa"/>
            <w:tcBorders>
              <w:left w:val="nil"/>
              <w:bottom w:val="single" w:color="auto" w:sz="4" w:space="0"/>
              <w:right w:val="single" w:color="auto" w:sz="4" w:space="0"/>
            </w:tcBorders>
            <w:vAlign w:val="center"/>
          </w:tcPr>
          <w:p>
            <w:pPr>
              <w:jc w:val="right"/>
              <w:rPr>
                <w:rFonts w:hint="eastAsia" w:ascii="仿宋_GB2312" w:eastAsia="仿宋_GB2312"/>
                <w:b/>
                <w:color w:val="auto"/>
                <w:sz w:val="21"/>
                <w:szCs w:val="21"/>
                <w:highlight w:val="none"/>
                <w:lang w:val="en-US" w:eastAsia="zh-Hans"/>
              </w:rPr>
            </w:pPr>
            <w:r>
              <w:rPr>
                <w:rFonts w:hint="eastAsia" w:ascii="仿宋_GB2312" w:eastAsia="仿宋_GB2312"/>
                <w:b/>
                <w:color w:val="auto"/>
                <w:sz w:val="21"/>
                <w:szCs w:val="21"/>
                <w:highlight w:val="none"/>
                <w:lang w:val="en-US" w:eastAsia="zh-Hans"/>
              </w:rPr>
              <w:t>项</w:t>
            </w:r>
          </w:p>
        </w:tc>
        <w:tc>
          <w:tcPr>
            <w:tcW w:w="151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1"/>
                <w:szCs w:val="21"/>
                <w:highlight w:val="none"/>
              </w:rPr>
            </w:pPr>
          </w:p>
        </w:tc>
        <w:tc>
          <w:tcPr>
            <w:tcW w:w="90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1"/>
                <w:szCs w:val="21"/>
                <w:highlight w:val="none"/>
              </w:rPr>
            </w:pPr>
          </w:p>
        </w:tc>
        <w:tc>
          <w:tcPr>
            <w:tcW w:w="91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财政拨款(补助)小计</w:t>
            </w:r>
          </w:p>
        </w:tc>
        <w:tc>
          <w:tcPr>
            <w:tcW w:w="9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一般公共预算</w:t>
            </w:r>
          </w:p>
        </w:tc>
        <w:tc>
          <w:tcPr>
            <w:tcW w:w="74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上级一般公共预算安排的转移支付</w:t>
            </w:r>
          </w:p>
        </w:tc>
        <w:tc>
          <w:tcPr>
            <w:tcW w:w="62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政府性基金预算</w:t>
            </w:r>
          </w:p>
        </w:tc>
        <w:tc>
          <w:tcPr>
            <w:tcW w:w="86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上级政府性基金安排的转移支付</w:t>
            </w:r>
          </w:p>
        </w:tc>
        <w:tc>
          <w:tcPr>
            <w:tcW w:w="66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国有资本经营预算</w:t>
            </w:r>
          </w:p>
        </w:tc>
        <w:tc>
          <w:tcPr>
            <w:tcW w:w="99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上级国有资本经营预算安排的转移支付</w:t>
            </w:r>
          </w:p>
        </w:tc>
        <w:tc>
          <w:tcPr>
            <w:tcW w:w="90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1"/>
                <w:szCs w:val="21"/>
                <w:highlight w:val="none"/>
              </w:rPr>
            </w:pPr>
          </w:p>
        </w:tc>
        <w:tc>
          <w:tcPr>
            <w:tcW w:w="88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1"/>
                <w:szCs w:val="21"/>
                <w:highlight w:val="none"/>
              </w:rPr>
            </w:pPr>
          </w:p>
        </w:tc>
        <w:tc>
          <w:tcPr>
            <w:tcW w:w="86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1"/>
                <w:szCs w:val="21"/>
                <w:highlight w:val="none"/>
              </w:rPr>
            </w:pPr>
          </w:p>
        </w:tc>
        <w:tc>
          <w:tcPr>
            <w:tcW w:w="69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1"/>
                <w:szCs w:val="21"/>
                <w:highlight w:val="none"/>
              </w:rPr>
            </w:pPr>
          </w:p>
        </w:tc>
      </w:tr>
      <w:tr>
        <w:tblPrEx>
          <w:tblCellMar>
            <w:top w:w="0" w:type="dxa"/>
            <w:left w:w="108" w:type="dxa"/>
            <w:bottom w:w="0" w:type="dxa"/>
            <w:right w:w="108" w:type="dxa"/>
          </w:tblCellMar>
        </w:tblPrEx>
        <w:trPr>
          <w:trHeight w:val="490" w:hRule="atLeast"/>
        </w:trPr>
        <w:tc>
          <w:tcPr>
            <w:tcW w:w="566"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rPr>
              <w:t>208</w:t>
            </w:r>
          </w:p>
        </w:tc>
        <w:tc>
          <w:tcPr>
            <w:tcW w:w="45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color w:val="auto"/>
                <w:sz w:val="21"/>
                <w:szCs w:val="21"/>
                <w:highlight w:val="none"/>
              </w:rPr>
            </w:pPr>
          </w:p>
        </w:tc>
        <w:tc>
          <w:tcPr>
            <w:tcW w:w="452"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bCs/>
                <w:color w:val="auto"/>
                <w:sz w:val="21"/>
                <w:szCs w:val="21"/>
                <w:highlight w:val="none"/>
              </w:rPr>
            </w:pPr>
          </w:p>
        </w:tc>
        <w:tc>
          <w:tcPr>
            <w:tcW w:w="151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社会保障和就业支出</w:t>
            </w:r>
          </w:p>
        </w:tc>
        <w:tc>
          <w:tcPr>
            <w:tcW w:w="902"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仿宋_GB2312" w:eastAsia="仿宋_GB2312" w:cs="仿宋_GB2312"/>
                <w:b/>
                <w:bCs/>
                <w:color w:val="000000"/>
                <w:sz w:val="21"/>
                <w:szCs w:val="21"/>
                <w:highlight w:val="none"/>
                <w:lang w:val="en-US"/>
              </w:rPr>
            </w:pPr>
            <w:r>
              <w:rPr>
                <w:rFonts w:hint="eastAsia" w:ascii="仿宋_GB2312" w:hAnsi="仿宋_GB2312" w:eastAsia="仿宋_GB2312" w:cs="仿宋_GB2312"/>
                <w:b/>
                <w:bCs/>
                <w:color w:val="000000"/>
                <w:sz w:val="21"/>
                <w:szCs w:val="21"/>
                <w:highlight w:val="none"/>
                <w:lang w:val="en-US" w:eastAsia="zh-CN"/>
              </w:rPr>
              <w:t>616.67</w:t>
            </w:r>
          </w:p>
        </w:tc>
        <w:tc>
          <w:tcPr>
            <w:tcW w:w="915"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149.98</w:t>
            </w:r>
          </w:p>
        </w:tc>
        <w:tc>
          <w:tcPr>
            <w:tcW w:w="900"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137.82</w:t>
            </w:r>
          </w:p>
        </w:tc>
        <w:tc>
          <w:tcPr>
            <w:tcW w:w="749"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12.16</w:t>
            </w:r>
          </w:p>
        </w:tc>
        <w:tc>
          <w:tcPr>
            <w:tcW w:w="629"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color w:val="000000"/>
                <w:sz w:val="21"/>
                <w:szCs w:val="21"/>
                <w:highlight w:val="none"/>
                <w:lang w:val="en-US" w:eastAsia="zh-CN"/>
              </w:rPr>
            </w:pPr>
          </w:p>
        </w:tc>
        <w:tc>
          <w:tcPr>
            <w:tcW w:w="866"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color w:val="000000"/>
                <w:sz w:val="21"/>
                <w:szCs w:val="21"/>
                <w:highlight w:val="none"/>
              </w:rPr>
            </w:pPr>
          </w:p>
        </w:tc>
        <w:tc>
          <w:tcPr>
            <w:tcW w:w="663"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color w:val="000000"/>
                <w:sz w:val="21"/>
                <w:szCs w:val="21"/>
                <w:highlight w:val="none"/>
              </w:rPr>
            </w:pPr>
          </w:p>
        </w:tc>
        <w:tc>
          <w:tcPr>
            <w:tcW w:w="994"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color w:val="000000"/>
                <w:sz w:val="21"/>
                <w:szCs w:val="21"/>
                <w:highlight w:val="none"/>
              </w:rPr>
            </w:pPr>
          </w:p>
        </w:tc>
        <w:tc>
          <w:tcPr>
            <w:tcW w:w="908"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color w:val="000000"/>
                <w:sz w:val="21"/>
                <w:szCs w:val="21"/>
                <w:highlight w:val="none"/>
              </w:rPr>
            </w:pPr>
          </w:p>
        </w:tc>
        <w:tc>
          <w:tcPr>
            <w:tcW w:w="884"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hAnsi="仿宋_GB2312" w:eastAsia="仿宋_GB2312" w:cs="仿宋_GB2312"/>
                <w:b/>
                <w:bCs/>
                <w:color w:val="000000"/>
                <w:sz w:val="21"/>
                <w:szCs w:val="21"/>
                <w:highlight w:val="none"/>
                <w:lang w:val="en-US"/>
              </w:rPr>
            </w:pPr>
            <w:r>
              <w:rPr>
                <w:rFonts w:hint="eastAsia" w:ascii="仿宋_GB2312" w:hAnsi="仿宋_GB2312" w:eastAsia="仿宋_GB2312" w:cs="仿宋_GB2312"/>
                <w:b/>
                <w:bCs/>
                <w:color w:val="000000"/>
                <w:sz w:val="21"/>
                <w:szCs w:val="21"/>
                <w:highlight w:val="none"/>
                <w:lang w:val="en-US" w:eastAsia="zh-CN"/>
              </w:rPr>
              <w:t>440.00</w:t>
            </w:r>
          </w:p>
        </w:tc>
        <w:tc>
          <w:tcPr>
            <w:tcW w:w="864"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hAnsi="仿宋_GB2312" w:eastAsia="仿宋_GB2312" w:cs="仿宋_GB2312"/>
                <w:b/>
                <w:bCs/>
                <w:color w:val="000000"/>
                <w:sz w:val="21"/>
                <w:szCs w:val="21"/>
                <w:highlight w:val="none"/>
                <w:lang w:val="en-US"/>
              </w:rPr>
            </w:pPr>
            <w:r>
              <w:rPr>
                <w:rFonts w:hint="eastAsia" w:ascii="仿宋_GB2312" w:hAnsi="仿宋_GB2312" w:eastAsia="仿宋_GB2312" w:cs="仿宋_GB2312"/>
                <w:b/>
                <w:bCs/>
                <w:color w:val="000000"/>
                <w:sz w:val="21"/>
                <w:szCs w:val="21"/>
                <w:highlight w:val="none"/>
                <w:lang w:val="en-US" w:eastAsia="zh-CN"/>
              </w:rPr>
              <w:t>26.68</w:t>
            </w:r>
          </w:p>
        </w:tc>
        <w:tc>
          <w:tcPr>
            <w:tcW w:w="698"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000000"/>
                <w:sz w:val="21"/>
                <w:szCs w:val="21"/>
                <w:highlight w:val="none"/>
              </w:rPr>
            </w:pPr>
          </w:p>
        </w:tc>
      </w:tr>
      <w:tr>
        <w:tblPrEx>
          <w:tblCellMar>
            <w:top w:w="0" w:type="dxa"/>
            <w:left w:w="108" w:type="dxa"/>
            <w:bottom w:w="0" w:type="dxa"/>
            <w:right w:w="108" w:type="dxa"/>
          </w:tblCellMar>
        </w:tblPrEx>
        <w:trPr>
          <w:trHeight w:val="405"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rPr>
              <w:t>208</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rPr>
              <w:t>05</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rPr>
              <w:t>行政事业单位养老支出</w:t>
            </w:r>
          </w:p>
        </w:tc>
        <w:tc>
          <w:tcPr>
            <w:tcW w:w="902"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21.15</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lang w:val="en-US" w:eastAsia="zh-CN"/>
              </w:rPr>
              <w:t>21.15</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lang w:val="en-US" w:eastAsia="zh-CN"/>
              </w:rPr>
              <w:t>21.15</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29"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208</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05</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01</w:t>
            </w: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eastAsia="zh-CN"/>
              </w:rPr>
              <w:t>行政单位离退休</w:t>
            </w:r>
          </w:p>
        </w:tc>
        <w:tc>
          <w:tcPr>
            <w:tcW w:w="902"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5.18</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5.18</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5.18</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574"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208</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05</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05</w:t>
            </w: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机关事业单位基本养老保险缴费支出</w:t>
            </w:r>
          </w:p>
        </w:tc>
        <w:tc>
          <w:tcPr>
            <w:tcW w:w="902"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1"/>
                <w:szCs w:val="21"/>
                <w:highlight w:val="none"/>
                <w:lang w:val="en-US"/>
              </w:rPr>
            </w:pPr>
            <w:r>
              <w:rPr>
                <w:rFonts w:hint="eastAsia" w:ascii="仿宋_GB2312" w:hAnsi="仿宋_GB2312" w:eastAsia="仿宋_GB2312" w:cs="仿宋_GB2312"/>
                <w:color w:val="000000"/>
                <w:sz w:val="21"/>
                <w:szCs w:val="21"/>
                <w:highlight w:val="none"/>
                <w:lang w:val="en-US" w:eastAsia="zh-CN"/>
              </w:rPr>
              <w:t>15.97</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15.97</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15.97</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381"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rPr>
              <w:t>208</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rPr>
              <w:t>11</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color w:val="000000"/>
                <w:sz w:val="21"/>
                <w:szCs w:val="21"/>
                <w:highlight w:val="none"/>
              </w:rPr>
              <w:t>残疾人事业</w:t>
            </w:r>
          </w:p>
        </w:tc>
        <w:tc>
          <w:tcPr>
            <w:tcW w:w="902"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b/>
                <w:bCs/>
                <w:color w:val="auto"/>
                <w:sz w:val="21"/>
                <w:szCs w:val="21"/>
                <w:highlight w:val="none"/>
                <w:lang w:val="en-US"/>
              </w:rPr>
            </w:pPr>
            <w:r>
              <w:rPr>
                <w:rFonts w:hint="eastAsia" w:ascii="仿宋_GB2312" w:hAnsi="仿宋_GB2312" w:eastAsia="仿宋_GB2312" w:cs="仿宋_GB2312"/>
                <w:b/>
                <w:bCs/>
                <w:color w:val="000000"/>
                <w:sz w:val="21"/>
                <w:szCs w:val="21"/>
                <w:highlight w:val="none"/>
                <w:lang w:val="en-US" w:eastAsia="zh-CN"/>
              </w:rPr>
              <w:t>595.52</w:t>
            </w:r>
          </w:p>
        </w:tc>
        <w:tc>
          <w:tcPr>
            <w:tcW w:w="915"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b/>
                <w:bCs/>
                <w:color w:val="auto"/>
                <w:sz w:val="21"/>
                <w:szCs w:val="21"/>
                <w:highlight w:val="none"/>
                <w:lang w:val="en-US"/>
              </w:rPr>
            </w:pPr>
            <w:r>
              <w:rPr>
                <w:rFonts w:hint="eastAsia" w:ascii="仿宋_GB2312" w:hAnsi="仿宋_GB2312" w:eastAsia="仿宋_GB2312" w:cs="仿宋_GB2312"/>
                <w:b/>
                <w:bCs/>
                <w:color w:val="000000"/>
                <w:sz w:val="21"/>
                <w:szCs w:val="21"/>
                <w:highlight w:val="none"/>
                <w:lang w:val="en-US" w:eastAsia="zh-CN"/>
              </w:rPr>
              <w:t>128.84</w:t>
            </w:r>
          </w:p>
        </w:tc>
        <w:tc>
          <w:tcPr>
            <w:tcW w:w="90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116.68</w:t>
            </w:r>
          </w:p>
        </w:tc>
        <w:tc>
          <w:tcPr>
            <w:tcW w:w="749"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12.16</w:t>
            </w: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b/>
                <w:bCs/>
                <w:color w:val="auto"/>
                <w:sz w:val="21"/>
                <w:szCs w:val="21"/>
                <w:highlight w:val="none"/>
                <w:lang w:val="en-US"/>
              </w:rPr>
            </w:pPr>
            <w:r>
              <w:rPr>
                <w:rFonts w:hint="eastAsia" w:ascii="仿宋_GB2312" w:hAnsi="仿宋_GB2312" w:eastAsia="仿宋_GB2312" w:cs="仿宋_GB2312"/>
                <w:b/>
                <w:bCs/>
                <w:color w:val="000000"/>
                <w:sz w:val="21"/>
                <w:szCs w:val="21"/>
                <w:highlight w:val="none"/>
                <w:lang w:val="en-US" w:eastAsia="zh-CN"/>
              </w:rPr>
              <w:t>440.00</w:t>
            </w:r>
          </w:p>
        </w:tc>
        <w:tc>
          <w:tcPr>
            <w:tcW w:w="864"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b/>
                <w:bCs/>
                <w:color w:val="auto"/>
                <w:sz w:val="21"/>
                <w:szCs w:val="21"/>
                <w:highlight w:val="none"/>
                <w:lang w:val="en-US"/>
              </w:rPr>
            </w:pPr>
            <w:r>
              <w:rPr>
                <w:rFonts w:hint="eastAsia" w:ascii="仿宋_GB2312" w:eastAsia="仿宋_GB2312"/>
                <w:b/>
                <w:bCs/>
                <w:color w:val="auto"/>
                <w:sz w:val="21"/>
                <w:szCs w:val="21"/>
                <w:highlight w:val="none"/>
                <w:lang w:val="en-US" w:eastAsia="zh-CN"/>
              </w:rPr>
              <w:t>26.68</w:t>
            </w: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333"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208</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11</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01</w:t>
            </w: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行政运行</w:t>
            </w:r>
          </w:p>
        </w:tc>
        <w:tc>
          <w:tcPr>
            <w:tcW w:w="902"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1"/>
                <w:szCs w:val="21"/>
                <w:highlight w:val="none"/>
                <w:lang w:val="en-US"/>
              </w:rPr>
            </w:pPr>
            <w:r>
              <w:rPr>
                <w:rFonts w:hint="eastAsia" w:ascii="仿宋_GB2312" w:hAnsi="仿宋_GB2312" w:eastAsia="仿宋_GB2312" w:cs="仿宋_GB2312"/>
                <w:color w:val="000000"/>
                <w:sz w:val="21"/>
                <w:szCs w:val="21"/>
                <w:highlight w:val="none"/>
                <w:lang w:val="en-US" w:eastAsia="zh-CN"/>
              </w:rPr>
              <w:t>190.92</w:t>
            </w:r>
          </w:p>
        </w:tc>
        <w:tc>
          <w:tcPr>
            <w:tcW w:w="915"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1"/>
                <w:szCs w:val="21"/>
                <w:highlight w:val="none"/>
                <w:lang w:val="en-US"/>
              </w:rPr>
            </w:pPr>
            <w:r>
              <w:rPr>
                <w:rFonts w:hint="eastAsia" w:ascii="仿宋_GB2312" w:hAnsi="仿宋_GB2312" w:eastAsia="仿宋_GB2312" w:cs="仿宋_GB2312"/>
                <w:color w:val="000000"/>
                <w:sz w:val="21"/>
                <w:szCs w:val="21"/>
                <w:highlight w:val="none"/>
                <w:lang w:val="en-US" w:eastAsia="zh-CN"/>
              </w:rPr>
              <w:t>60.92</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60.92</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r>
              <w:rPr>
                <w:rFonts w:hint="eastAsia" w:ascii="仿宋_GB2312" w:hAnsi="仿宋_GB2312" w:eastAsia="仿宋_GB2312" w:cs="仿宋_GB2312"/>
                <w:color w:val="000000"/>
                <w:sz w:val="21"/>
                <w:szCs w:val="21"/>
                <w:highlight w:val="none"/>
                <w:lang w:val="en-US" w:eastAsia="zh-CN"/>
              </w:rPr>
              <w:t>130.00</w:t>
            </w: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333"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208</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11</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04</w:t>
            </w: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残疾人康复</w:t>
            </w:r>
          </w:p>
        </w:tc>
        <w:tc>
          <w:tcPr>
            <w:tcW w:w="902"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20.61</w:t>
            </w:r>
          </w:p>
        </w:tc>
        <w:tc>
          <w:tcPr>
            <w:tcW w:w="91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90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74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62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86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66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99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884" w:type="dxa"/>
            <w:tcBorders>
              <w:top w:val="nil"/>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0.38</w:t>
            </w:r>
          </w:p>
        </w:tc>
        <w:tc>
          <w:tcPr>
            <w:tcW w:w="864" w:type="dxa"/>
            <w:tcBorders>
              <w:top w:val="nil"/>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20.23</w:t>
            </w: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208</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11</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05</w:t>
            </w: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eastAsia="zh-CN"/>
              </w:rPr>
              <w:t>残疾人就业</w:t>
            </w:r>
          </w:p>
        </w:tc>
        <w:tc>
          <w:tcPr>
            <w:tcW w:w="902"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62.21</w:t>
            </w:r>
          </w:p>
        </w:tc>
        <w:tc>
          <w:tcPr>
            <w:tcW w:w="91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55.76</w:t>
            </w:r>
          </w:p>
        </w:tc>
        <w:tc>
          <w:tcPr>
            <w:tcW w:w="900"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55.76</w:t>
            </w:r>
          </w:p>
        </w:tc>
        <w:tc>
          <w:tcPr>
            <w:tcW w:w="74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1"/>
                <w:szCs w:val="21"/>
                <w:highlight w:val="none"/>
                <w:lang w:val="en-US"/>
              </w:rPr>
            </w:pPr>
            <w:r>
              <w:rPr>
                <w:rFonts w:hint="eastAsia" w:ascii="仿宋_GB2312" w:eastAsia="仿宋_GB2312"/>
                <w:color w:val="auto"/>
                <w:sz w:val="21"/>
                <w:szCs w:val="21"/>
                <w:highlight w:val="none"/>
                <w:lang w:val="en-US" w:eastAsia="zh-CN"/>
              </w:rPr>
              <w:t>6.45</w:t>
            </w: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仿宋_GB2312" w:eastAsia="仿宋_GB2312" w:cs="仿宋_GB2312"/>
                <w:color w:val="000000"/>
                <w:sz w:val="21"/>
                <w:szCs w:val="21"/>
                <w:highlight w:val="none"/>
              </w:rPr>
              <w:t>208</w:t>
            </w:r>
          </w:p>
        </w:tc>
        <w:tc>
          <w:tcPr>
            <w:tcW w:w="45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仿宋_GB2312" w:eastAsia="仿宋_GB2312" w:cs="仿宋_GB2312"/>
                <w:color w:val="000000"/>
                <w:sz w:val="21"/>
                <w:szCs w:val="21"/>
                <w:highlight w:val="none"/>
              </w:rPr>
              <w:t>11</w:t>
            </w:r>
          </w:p>
        </w:tc>
        <w:tc>
          <w:tcPr>
            <w:tcW w:w="45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99</w:t>
            </w:r>
          </w:p>
        </w:tc>
        <w:tc>
          <w:tcPr>
            <w:tcW w:w="151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eastAsia="zh-CN"/>
              </w:rPr>
              <w:t>其他残疾人事业支出</w:t>
            </w:r>
          </w:p>
        </w:tc>
        <w:tc>
          <w:tcPr>
            <w:tcW w:w="902"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321.78</w:t>
            </w:r>
          </w:p>
        </w:tc>
        <w:tc>
          <w:tcPr>
            <w:tcW w:w="91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21"/>
                <w:szCs w:val="21"/>
                <w:highlight w:val="none"/>
                <w:lang w:val="en-US" w:eastAsia="zh-CN" w:bidi="ar-SA"/>
              </w:rPr>
            </w:pPr>
            <w:r>
              <w:rPr>
                <w:rFonts w:hint="eastAsia" w:ascii="仿宋_GB2312" w:hAnsi="仿宋_GB2312" w:eastAsia="仿宋_GB2312" w:cs="仿宋_GB2312"/>
                <w:color w:val="000000"/>
                <w:sz w:val="21"/>
                <w:szCs w:val="21"/>
                <w:highlight w:val="none"/>
                <w:lang w:val="en-US" w:eastAsia="zh-CN"/>
              </w:rPr>
              <w:t>12.16</w:t>
            </w:r>
          </w:p>
        </w:tc>
        <w:tc>
          <w:tcPr>
            <w:tcW w:w="90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w:t>
            </w:r>
          </w:p>
        </w:tc>
        <w:tc>
          <w:tcPr>
            <w:tcW w:w="74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12.16</w:t>
            </w:r>
          </w:p>
        </w:tc>
        <w:tc>
          <w:tcPr>
            <w:tcW w:w="62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866"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66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99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p>
        </w:tc>
        <w:tc>
          <w:tcPr>
            <w:tcW w:w="884" w:type="dxa"/>
            <w:tcBorders>
              <w:top w:val="nil"/>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309.62</w:t>
            </w: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21"/>
                <w:szCs w:val="21"/>
                <w:highlight w:val="none"/>
                <w:lang w:val="en-US" w:eastAsia="zh-CN" w:bidi="ar-SA"/>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rPr>
              <w:t>210</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rPr>
              <w:t>卫生健康支出</w:t>
            </w:r>
          </w:p>
        </w:tc>
        <w:tc>
          <w:tcPr>
            <w:tcW w:w="902"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b/>
                <w:bCs/>
                <w:color w:val="auto"/>
                <w:sz w:val="21"/>
                <w:szCs w:val="21"/>
                <w:highlight w:val="none"/>
                <w:lang w:val="en-US"/>
              </w:rPr>
            </w:pPr>
            <w:r>
              <w:rPr>
                <w:rFonts w:hint="eastAsia" w:ascii="仿宋_GB2312" w:hAnsi="仿宋_GB2312" w:eastAsia="仿宋_GB2312" w:cs="仿宋_GB2312"/>
                <w:b/>
                <w:bCs/>
                <w:sz w:val="21"/>
                <w:szCs w:val="21"/>
                <w:highlight w:val="none"/>
                <w:lang w:val="en-US" w:eastAsia="zh-CN"/>
              </w:rPr>
              <w:t>12.08</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lang w:val="en-US" w:eastAsia="zh-CN"/>
              </w:rPr>
              <w:t>12.08</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lang w:val="en-US" w:eastAsia="zh-CN"/>
              </w:rPr>
              <w:t>12.08</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rPr>
              <w:t>210</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rPr>
              <w:t>11</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rPr>
              <w:t>行政事业单位医疗</w:t>
            </w:r>
          </w:p>
        </w:tc>
        <w:tc>
          <w:tcPr>
            <w:tcW w:w="902"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lang w:val="en-US" w:eastAsia="zh-CN"/>
              </w:rPr>
              <w:t>12.08</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lang w:val="en-US" w:eastAsia="zh-CN"/>
              </w:rPr>
              <w:t>12.08</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r>
              <w:rPr>
                <w:rFonts w:hint="eastAsia" w:ascii="仿宋_GB2312" w:hAnsi="仿宋_GB2312" w:eastAsia="仿宋_GB2312" w:cs="仿宋_GB2312"/>
                <w:b/>
                <w:bCs/>
                <w:sz w:val="21"/>
                <w:szCs w:val="21"/>
                <w:highlight w:val="none"/>
                <w:lang w:val="en-US" w:eastAsia="zh-CN"/>
              </w:rPr>
              <w:t>12.08</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210</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11</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01</w:t>
            </w: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行政单位医疗</w:t>
            </w:r>
          </w:p>
        </w:tc>
        <w:tc>
          <w:tcPr>
            <w:tcW w:w="902"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1"/>
                <w:szCs w:val="21"/>
                <w:highlight w:val="none"/>
                <w:lang w:val="en-US"/>
              </w:rPr>
            </w:pPr>
            <w:r>
              <w:rPr>
                <w:rFonts w:hint="eastAsia" w:ascii="仿宋_GB2312" w:hAnsi="仿宋_GB2312" w:eastAsia="仿宋_GB2312" w:cs="仿宋_GB2312"/>
                <w:color w:val="000000"/>
                <w:sz w:val="21"/>
                <w:szCs w:val="21"/>
                <w:highlight w:val="none"/>
                <w:lang w:val="en-US" w:eastAsia="zh-CN"/>
              </w:rPr>
              <w:t>4.00</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4.00</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4.00</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210</w:t>
            </w:r>
          </w:p>
        </w:tc>
        <w:tc>
          <w:tcPr>
            <w:tcW w:w="4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11</w:t>
            </w:r>
          </w:p>
        </w:tc>
        <w:tc>
          <w:tcPr>
            <w:tcW w:w="4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02</w:t>
            </w:r>
          </w:p>
        </w:tc>
        <w:tc>
          <w:tcPr>
            <w:tcW w:w="15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eastAsia="zh-CN"/>
              </w:rPr>
              <w:t>事业单位医疗</w:t>
            </w:r>
          </w:p>
        </w:tc>
        <w:tc>
          <w:tcPr>
            <w:tcW w:w="902"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1"/>
                <w:szCs w:val="21"/>
                <w:highlight w:val="none"/>
                <w:lang w:val="en-US"/>
              </w:rPr>
            </w:pPr>
            <w:r>
              <w:rPr>
                <w:rFonts w:hint="eastAsia" w:ascii="仿宋_GB2312" w:hAnsi="仿宋_GB2312" w:eastAsia="仿宋_GB2312" w:cs="仿宋_GB2312"/>
                <w:color w:val="000000"/>
                <w:sz w:val="21"/>
                <w:szCs w:val="21"/>
                <w:highlight w:val="none"/>
                <w:lang w:val="en-US" w:eastAsia="zh-CN"/>
              </w:rPr>
              <w:t>3.99</w:t>
            </w:r>
          </w:p>
        </w:tc>
        <w:tc>
          <w:tcPr>
            <w:tcW w:w="9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9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74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210</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11</w:t>
            </w:r>
          </w:p>
        </w:tc>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03</w:t>
            </w:r>
          </w:p>
        </w:tc>
        <w:tc>
          <w:tcPr>
            <w:tcW w:w="15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rPr>
              <w:t>公务员医疗补助</w:t>
            </w: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465"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210</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11</w:t>
            </w:r>
          </w:p>
        </w:tc>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99</w:t>
            </w:r>
          </w:p>
        </w:tc>
        <w:tc>
          <w:tcPr>
            <w:tcW w:w="15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其他行政事业单位医疗支出</w:t>
            </w: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0.10</w:t>
            </w: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0.10</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0.10</w:t>
            </w:r>
          </w:p>
        </w:tc>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587"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221</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p>
        </w:tc>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p>
        </w:tc>
        <w:tc>
          <w:tcPr>
            <w:tcW w:w="15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住房保障支出</w:t>
            </w: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86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523"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221</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02</w:t>
            </w:r>
          </w:p>
        </w:tc>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p>
        </w:tc>
        <w:tc>
          <w:tcPr>
            <w:tcW w:w="15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住房改革支出</w:t>
            </w: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86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color w:val="auto"/>
                <w:sz w:val="21"/>
                <w:szCs w:val="21"/>
                <w:highlight w:val="none"/>
              </w:rPr>
            </w:pPr>
          </w:p>
        </w:tc>
        <w:tc>
          <w:tcPr>
            <w:tcW w:w="9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b/>
                <w:bCs/>
                <w:color w:val="auto"/>
                <w:sz w:val="21"/>
                <w:szCs w:val="21"/>
                <w:highlight w:val="none"/>
              </w:rPr>
            </w:pPr>
          </w:p>
        </w:tc>
      </w:tr>
      <w:tr>
        <w:tblPrEx>
          <w:tblCellMar>
            <w:top w:w="0" w:type="dxa"/>
            <w:left w:w="108" w:type="dxa"/>
            <w:bottom w:w="0" w:type="dxa"/>
            <w:right w:w="108" w:type="dxa"/>
          </w:tblCellMar>
        </w:tblPrEx>
        <w:trPr>
          <w:trHeight w:val="500" w:hRule="atLeast"/>
        </w:trPr>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221</w:t>
            </w:r>
          </w:p>
        </w:tc>
        <w:tc>
          <w:tcPr>
            <w:tcW w:w="453"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02</w:t>
            </w:r>
          </w:p>
        </w:tc>
        <w:tc>
          <w:tcPr>
            <w:tcW w:w="452"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01</w:t>
            </w:r>
          </w:p>
        </w:tc>
        <w:tc>
          <w:tcPr>
            <w:tcW w:w="15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default" w:ascii="仿宋_GB2312" w:hAnsi="仿宋_GB2312" w:eastAsia="仿宋_GB2312" w:cs="仿宋_GB2312"/>
                <w:color w:val="000000"/>
                <w:sz w:val="21"/>
                <w:szCs w:val="21"/>
                <w:highlight w:val="none"/>
                <w:lang w:val="en-US" w:eastAsia="zh-CN"/>
              </w:rPr>
              <w:t>住房公积金</w:t>
            </w:r>
          </w:p>
        </w:tc>
        <w:tc>
          <w:tcPr>
            <w:tcW w:w="9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default" w:ascii="仿宋_GB2312" w:hAnsi="仿宋_GB2312" w:eastAsia="仿宋_GB2312" w:cs="仿宋_GB2312"/>
                <w:color w:val="000000"/>
                <w:sz w:val="21"/>
                <w:szCs w:val="21"/>
                <w:highlight w:val="none"/>
                <w:lang w:val="en-US" w:eastAsia="zh-CN"/>
              </w:rPr>
              <w:t>13.16</w:t>
            </w:r>
          </w:p>
        </w:tc>
        <w:tc>
          <w:tcPr>
            <w:tcW w:w="9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default" w:ascii="仿宋_GB2312" w:hAnsi="仿宋_GB2312" w:eastAsia="仿宋_GB2312" w:cs="仿宋_GB2312"/>
                <w:color w:val="000000"/>
                <w:sz w:val="21"/>
                <w:szCs w:val="21"/>
                <w:highlight w:val="none"/>
                <w:lang w:val="en-US" w:eastAsia="zh-CN"/>
              </w:rPr>
              <w:t>13.16</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default" w:ascii="仿宋_GB2312" w:hAnsi="仿宋_GB2312" w:eastAsia="仿宋_GB2312" w:cs="仿宋_GB2312"/>
                <w:color w:val="000000"/>
                <w:sz w:val="21"/>
                <w:szCs w:val="21"/>
                <w:highlight w:val="none"/>
                <w:lang w:val="en-US" w:eastAsia="zh-CN"/>
              </w:rPr>
              <w:t>13.16</w:t>
            </w:r>
          </w:p>
        </w:tc>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2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86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1"/>
                <w:szCs w:val="21"/>
                <w:highlight w:val="none"/>
              </w:rPr>
            </w:pPr>
          </w:p>
        </w:tc>
        <w:tc>
          <w:tcPr>
            <w:tcW w:w="9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1"/>
                <w:szCs w:val="21"/>
                <w:highlight w:val="none"/>
              </w:rPr>
            </w:pPr>
          </w:p>
        </w:tc>
      </w:tr>
      <w:tr>
        <w:tblPrEx>
          <w:tblCellMar>
            <w:top w:w="0" w:type="dxa"/>
            <w:left w:w="108" w:type="dxa"/>
            <w:bottom w:w="0" w:type="dxa"/>
            <w:right w:w="108" w:type="dxa"/>
          </w:tblCellMar>
        </w:tblPrEx>
        <w:trPr>
          <w:trHeight w:val="635" w:hRule="atLeast"/>
        </w:trPr>
        <w:tc>
          <w:tcPr>
            <w:tcW w:w="56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color w:val="000000"/>
                <w:sz w:val="21"/>
                <w:szCs w:val="21"/>
                <w:highlight w:val="none"/>
                <w:lang w:val="en-US" w:eastAsia="zh-CN"/>
              </w:rPr>
            </w:pPr>
          </w:p>
        </w:tc>
        <w:tc>
          <w:tcPr>
            <w:tcW w:w="45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color w:val="000000"/>
                <w:sz w:val="21"/>
                <w:szCs w:val="21"/>
                <w:highlight w:val="none"/>
                <w:lang w:val="en-US" w:eastAsia="zh-CN"/>
              </w:rPr>
            </w:pPr>
          </w:p>
        </w:tc>
        <w:tc>
          <w:tcPr>
            <w:tcW w:w="45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color w:val="000000"/>
                <w:sz w:val="21"/>
                <w:szCs w:val="21"/>
                <w:highlight w:val="none"/>
                <w:lang w:val="en-US" w:eastAsia="zh-CN"/>
              </w:rPr>
            </w:pPr>
          </w:p>
        </w:tc>
        <w:tc>
          <w:tcPr>
            <w:tcW w:w="151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rPr>
              <w:t>合  计</w:t>
            </w:r>
          </w:p>
        </w:tc>
        <w:tc>
          <w:tcPr>
            <w:tcW w:w="9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lang w:val="en-US" w:eastAsia="zh-CN"/>
              </w:rPr>
              <w:t>641.90</w:t>
            </w:r>
          </w:p>
        </w:tc>
        <w:tc>
          <w:tcPr>
            <w:tcW w:w="91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lang w:val="en-US" w:eastAsia="zh-CN"/>
              </w:rPr>
              <w:t>175.22</w:t>
            </w:r>
          </w:p>
        </w:tc>
        <w:tc>
          <w:tcPr>
            <w:tcW w:w="90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lang w:val="en-US" w:eastAsia="zh-CN"/>
              </w:rPr>
              <w:t>163.06</w:t>
            </w:r>
          </w:p>
        </w:tc>
        <w:tc>
          <w:tcPr>
            <w:tcW w:w="74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lang w:val="en-US" w:eastAsia="zh-CN"/>
              </w:rPr>
              <w:t>12.16</w:t>
            </w:r>
          </w:p>
        </w:tc>
        <w:tc>
          <w:tcPr>
            <w:tcW w:w="62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p>
        </w:tc>
        <w:tc>
          <w:tcPr>
            <w:tcW w:w="86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p>
        </w:tc>
        <w:tc>
          <w:tcPr>
            <w:tcW w:w="66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p>
        </w:tc>
        <w:tc>
          <w:tcPr>
            <w:tcW w:w="99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p>
        </w:tc>
        <w:tc>
          <w:tcPr>
            <w:tcW w:w="90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1"/>
                <w:szCs w:val="21"/>
                <w:highlight w:val="none"/>
              </w:rPr>
            </w:pPr>
          </w:p>
        </w:tc>
        <w:tc>
          <w:tcPr>
            <w:tcW w:w="8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lang w:val="en-US" w:eastAsia="zh-CN"/>
              </w:rPr>
              <w:t>440.00</w:t>
            </w:r>
          </w:p>
        </w:tc>
        <w:tc>
          <w:tcPr>
            <w:tcW w:w="86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仿宋_GB2312" w:eastAsia="仿宋_GB2312" w:cs="仿宋_GB2312"/>
                <w:b/>
                <w:bCs/>
                <w:color w:val="auto"/>
                <w:kern w:val="0"/>
                <w:sz w:val="21"/>
                <w:szCs w:val="21"/>
                <w:highlight w:val="none"/>
                <w:lang w:val="en-US" w:eastAsia="zh-CN"/>
              </w:rPr>
            </w:pPr>
            <w:r>
              <w:rPr>
                <w:rFonts w:hint="eastAsia" w:ascii="仿宋_GB2312" w:hAnsi="仿宋_GB2312" w:eastAsia="仿宋_GB2312" w:cs="仿宋_GB2312"/>
                <w:b/>
                <w:bCs/>
                <w:color w:val="auto"/>
                <w:kern w:val="0"/>
                <w:sz w:val="21"/>
                <w:szCs w:val="21"/>
                <w:highlight w:val="none"/>
                <w:lang w:val="en-US" w:eastAsia="zh-CN"/>
              </w:rPr>
              <w:t>26.68</w:t>
            </w:r>
          </w:p>
        </w:tc>
        <w:tc>
          <w:tcPr>
            <w:tcW w:w="69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eastAsia="仿宋_GB2312"/>
                <w:color w:val="auto"/>
                <w:sz w:val="21"/>
                <w:szCs w:val="21"/>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420" w:type="dxa"/>
        <w:tblInd w:w="-240" w:type="dxa"/>
        <w:tblLayout w:type="fixed"/>
        <w:tblCellMar>
          <w:top w:w="0" w:type="dxa"/>
          <w:left w:w="108" w:type="dxa"/>
          <w:bottom w:w="0" w:type="dxa"/>
          <w:right w:w="108" w:type="dxa"/>
        </w:tblCellMar>
      </w:tblPr>
      <w:tblGrid>
        <w:gridCol w:w="750"/>
        <w:gridCol w:w="480"/>
        <w:gridCol w:w="600"/>
        <w:gridCol w:w="2370"/>
        <w:gridCol w:w="1482"/>
        <w:gridCol w:w="1845"/>
        <w:gridCol w:w="1893"/>
      </w:tblGrid>
      <w:tr>
        <w:tblPrEx>
          <w:tblCellMar>
            <w:top w:w="0" w:type="dxa"/>
            <w:left w:w="108" w:type="dxa"/>
            <w:bottom w:w="0" w:type="dxa"/>
            <w:right w:w="108" w:type="dxa"/>
          </w:tblCellMar>
        </w:tblPrEx>
        <w:trPr>
          <w:trHeight w:val="328" w:hRule="atLeast"/>
        </w:trPr>
        <w:tc>
          <w:tcPr>
            <w:tcW w:w="42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220"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83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7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48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75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7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48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社会保障和就业支出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616.67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277.82</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338.84</w:t>
            </w: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05</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行政事业单位养老支出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21.15</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21.15</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05</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01</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eastAsia="zh-CN"/>
              </w:rPr>
              <w:t>行政单位离退休</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5.18</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5.18</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05</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05</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机关事业单位基本养老保险缴费支出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15.97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15.97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残疾人事业</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595.52</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256.68</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338.84</w:t>
            </w: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01</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行政运行</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190.92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190.92</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04</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残疾人康复</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20.61</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20.61</w:t>
            </w: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05</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eastAsia="zh-CN"/>
              </w:rPr>
              <w:t>残疾人就业</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62.21</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55.76</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6.45</w:t>
            </w: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99</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eastAsia="zh-CN"/>
              </w:rPr>
              <w:t>其他残疾人事业支出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321.78</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10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311.78</w:t>
            </w: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sz w:val="21"/>
                <w:szCs w:val="21"/>
                <w:highlight w:val="none"/>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卫生健康支出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12.08</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12.08</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sz w:val="21"/>
                <w:szCs w:val="21"/>
                <w:highlight w:val="none"/>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行政事业单位医疗</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12.08</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12.08</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01</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行政单位医疗</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4.00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4.00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02</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eastAsia="zh-CN"/>
              </w:rPr>
              <w:t>事业单位医疗</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3.99</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rPr>
              <w:t>03</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rPr>
              <w:t>公务员医疗补助</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3.99</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210</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11</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99</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其他行政事业单位医疗支出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eastAsia" w:ascii="仿宋_GB2312" w:hAnsi="仿宋_GB2312" w:eastAsia="仿宋_GB2312" w:cs="仿宋_GB2312"/>
                <w:color w:val="000000"/>
                <w:sz w:val="21"/>
                <w:szCs w:val="21"/>
                <w:highlight w:val="none"/>
                <w:lang w:val="en-US" w:eastAsia="zh-CN"/>
              </w:rPr>
              <w:t>0.10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eastAsia" w:ascii="仿宋_GB2312" w:hAnsi="仿宋_GB2312" w:eastAsia="仿宋_GB2312" w:cs="仿宋_GB2312"/>
                <w:color w:val="000000"/>
                <w:sz w:val="21"/>
                <w:szCs w:val="21"/>
                <w:highlight w:val="none"/>
                <w:lang w:val="en-US" w:eastAsia="zh-CN"/>
              </w:rPr>
              <w:t>0.10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default" w:ascii="仿宋_GB2312" w:hAnsi="仿宋_GB2312" w:eastAsia="仿宋_GB2312" w:cs="仿宋_GB2312"/>
                <w:b/>
                <w:bCs/>
                <w:color w:val="000000"/>
                <w:sz w:val="21"/>
                <w:szCs w:val="21"/>
                <w:highlight w:val="none"/>
                <w:lang w:val="en-US" w:eastAsia="zh-CN"/>
              </w:rPr>
              <w:t>住房保障支出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default" w:ascii="仿宋_GB2312" w:hAnsi="仿宋_GB2312" w:eastAsia="仿宋_GB2312" w:cs="仿宋_GB2312"/>
                <w:b/>
                <w:bCs/>
                <w:color w:val="000000"/>
                <w:sz w:val="21"/>
                <w:szCs w:val="21"/>
                <w:highlight w:val="none"/>
                <w:lang w:val="en-US" w:eastAsia="zh-CN"/>
              </w:rPr>
              <w:t>13.16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p>
        </w:tc>
      </w:tr>
      <w:tr>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02</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default" w:ascii="仿宋_GB2312" w:hAnsi="仿宋_GB2312" w:eastAsia="仿宋_GB2312" w:cs="仿宋_GB2312"/>
                <w:b/>
                <w:bCs/>
                <w:color w:val="000000"/>
                <w:sz w:val="21"/>
                <w:szCs w:val="21"/>
                <w:highlight w:val="none"/>
                <w:lang w:val="en-US" w:eastAsia="zh-CN"/>
              </w:rPr>
              <w:t>住房改革支出</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default" w:ascii="仿宋_GB2312" w:hAnsi="仿宋_GB2312" w:eastAsia="仿宋_GB2312" w:cs="仿宋_GB2312"/>
                <w:b/>
                <w:bCs/>
                <w:color w:val="000000"/>
                <w:sz w:val="21"/>
                <w:szCs w:val="21"/>
                <w:highlight w:val="none"/>
                <w:lang w:val="en-US" w:eastAsia="zh-CN"/>
              </w:rPr>
              <w:t>13.16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default" w:ascii="仿宋_GB2312" w:hAnsi="仿宋_GB2312" w:eastAsia="仿宋_GB2312" w:cs="仿宋_GB2312"/>
                <w:b/>
                <w:bCs/>
                <w:color w:val="000000"/>
                <w:sz w:val="21"/>
                <w:szCs w:val="21"/>
                <w:highlight w:val="none"/>
                <w:lang w:val="en-US" w:eastAsia="zh-CN"/>
              </w:rPr>
              <w:t>13.16</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221</w:t>
            </w:r>
          </w:p>
        </w:tc>
        <w:tc>
          <w:tcPr>
            <w:tcW w:w="48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02</w:t>
            </w:r>
          </w:p>
        </w:tc>
        <w:tc>
          <w:tcPr>
            <w:tcW w:w="6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01</w:t>
            </w: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default" w:ascii="仿宋_GB2312" w:hAnsi="仿宋_GB2312" w:eastAsia="仿宋_GB2312" w:cs="仿宋_GB2312"/>
                <w:color w:val="000000"/>
                <w:sz w:val="21"/>
                <w:szCs w:val="21"/>
                <w:highlight w:val="none"/>
                <w:lang w:val="en-US" w:eastAsia="zh-CN"/>
              </w:rPr>
              <w:t>住房公积金</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r>
              <w:rPr>
                <w:rFonts w:hint="default" w:ascii="仿宋_GB2312" w:hAnsi="仿宋_GB2312" w:eastAsia="仿宋_GB2312" w:cs="仿宋_GB2312"/>
                <w:color w:val="000000"/>
                <w:sz w:val="21"/>
                <w:szCs w:val="21"/>
                <w:highlight w:val="none"/>
                <w:lang w:val="en-US" w:eastAsia="zh-CN"/>
              </w:rPr>
              <w:t>13.16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lang w:val="en-US" w:eastAsia="zh-CN"/>
              </w:rPr>
            </w:pPr>
            <w:r>
              <w:rPr>
                <w:rFonts w:hint="default" w:ascii="仿宋_GB2312" w:hAnsi="仿宋_GB2312" w:eastAsia="仿宋_GB2312" w:cs="仿宋_GB2312"/>
                <w:color w:val="000000"/>
                <w:sz w:val="21"/>
                <w:szCs w:val="21"/>
                <w:highlight w:val="none"/>
                <w:lang w:val="en-US" w:eastAsia="zh-CN"/>
              </w:rPr>
              <w:t>13.16</w:t>
            </w:r>
          </w:p>
        </w:tc>
        <w:tc>
          <w:tcPr>
            <w:tcW w:w="1893"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21"/>
                <w:szCs w:val="21"/>
                <w:highlight w:val="none"/>
              </w:rPr>
            </w:pPr>
          </w:p>
        </w:tc>
      </w:tr>
      <w:tr>
        <w:tblPrEx>
          <w:tblCellMar>
            <w:top w:w="0" w:type="dxa"/>
            <w:left w:w="108" w:type="dxa"/>
            <w:bottom w:w="0" w:type="dxa"/>
            <w:right w:w="108" w:type="dxa"/>
          </w:tblCellMar>
        </w:tblPrEx>
        <w:trPr>
          <w:trHeight w:val="405" w:hRule="atLeast"/>
        </w:trPr>
        <w:tc>
          <w:tcPr>
            <w:tcW w:w="750"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p>
        </w:tc>
        <w:tc>
          <w:tcPr>
            <w:tcW w:w="48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p>
        </w:tc>
        <w:tc>
          <w:tcPr>
            <w:tcW w:w="6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p>
        </w:tc>
        <w:tc>
          <w:tcPr>
            <w:tcW w:w="237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合  计</w:t>
            </w:r>
          </w:p>
        </w:tc>
        <w:tc>
          <w:tcPr>
            <w:tcW w:w="148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lang w:val="en-US" w:eastAsia="zh-CN"/>
              </w:rPr>
              <w:t>641.90</w:t>
            </w:r>
          </w:p>
        </w:tc>
        <w:tc>
          <w:tcPr>
            <w:tcW w:w="1845"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303.06</w:t>
            </w:r>
          </w:p>
        </w:tc>
        <w:tc>
          <w:tcPr>
            <w:tcW w:w="1893"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338.84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Hans"/>
              </w:rPr>
              <w:t>一、</w:t>
            </w:r>
            <w:r>
              <w:rPr>
                <w:rFonts w:hint="eastAsia" w:ascii="仿宋_GB2312" w:hAnsi="宋体" w:eastAsia="仿宋_GB2312" w:cs="宋体"/>
                <w:b/>
                <w:bCs/>
                <w:color w:val="auto"/>
                <w:kern w:val="0"/>
                <w:sz w:val="21"/>
                <w:szCs w:val="21"/>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175.22</w:t>
            </w:r>
            <w:r>
              <w:rPr>
                <w:rFonts w:hint="eastAsia" w:ascii="仿宋_GB2312" w:hAnsi="宋体" w:eastAsia="仿宋_GB2312" w:cs="宋体"/>
                <w:b/>
                <w:bCs/>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9"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210" w:firstLineChars="100"/>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175.22</w:t>
            </w:r>
            <w:r>
              <w:rPr>
                <w:rFonts w:hint="eastAsia" w:ascii="仿宋_GB2312" w:hAnsi="宋体" w:eastAsia="仿宋_GB2312" w:cs="宋体"/>
                <w:b w:val="0"/>
                <w:bCs w:val="0"/>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r>
              <w:rPr>
                <w:rFonts w:hint="default" w:ascii="仿宋_GB2312" w:hAnsi="宋体" w:eastAsia="仿宋_GB2312" w:cs="宋体"/>
                <w:color w:val="auto"/>
                <w:kern w:val="0"/>
                <w:sz w:val="21"/>
                <w:szCs w:val="21"/>
                <w:highlight w:val="none"/>
              </w:rPr>
              <w:t xml:space="preserve">  </w:t>
            </w:r>
            <w:r>
              <w:rPr>
                <w:rFonts w:hint="eastAsia" w:ascii="仿宋_GB2312" w:hAnsi="宋体" w:eastAsia="仿宋_GB2312" w:cs="宋体"/>
                <w:color w:val="auto"/>
                <w:kern w:val="0"/>
                <w:sz w:val="21"/>
                <w:szCs w:val="21"/>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r>
              <w:rPr>
                <w:rFonts w:hint="default" w:ascii="仿宋_GB2312" w:hAnsi="宋体" w:eastAsia="仿宋_GB2312" w:cs="宋体"/>
                <w:color w:val="auto"/>
                <w:kern w:val="0"/>
                <w:sz w:val="21"/>
                <w:szCs w:val="21"/>
                <w:highlight w:val="none"/>
              </w:rPr>
              <w:t xml:space="preserve">  </w:t>
            </w:r>
            <w:r>
              <w:rPr>
                <w:rFonts w:hint="eastAsia" w:ascii="仿宋_GB2312" w:hAnsi="宋体" w:eastAsia="仿宋_GB2312" w:cs="宋体"/>
                <w:color w:val="auto"/>
                <w:kern w:val="0"/>
                <w:sz w:val="21"/>
                <w:szCs w:val="21"/>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149.98</w:t>
            </w: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149.98</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210</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12.08</w:t>
            </w: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12.08</w:t>
            </w: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9"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215 资源勘探</w:t>
            </w:r>
            <w:r>
              <w:rPr>
                <w:rFonts w:hint="eastAsia" w:ascii="仿宋_GB2312" w:hAnsi="宋体" w:eastAsia="仿宋_GB2312" w:cs="宋体"/>
                <w:b w:val="0"/>
                <w:bCs w:val="0"/>
                <w:color w:val="auto"/>
                <w:kern w:val="0"/>
                <w:sz w:val="21"/>
                <w:szCs w:val="21"/>
                <w:highlight w:val="none"/>
                <w:lang w:val="en-US" w:eastAsia="zh-Hans"/>
              </w:rPr>
              <w:t>工业</w:t>
            </w:r>
            <w:r>
              <w:rPr>
                <w:rFonts w:hint="eastAsia" w:ascii="仿宋_GB2312" w:hAnsi="宋体" w:eastAsia="仿宋_GB2312" w:cs="宋体"/>
                <w:b w:val="0"/>
                <w:bCs w:val="0"/>
                <w:color w:val="auto"/>
                <w:kern w:val="0"/>
                <w:sz w:val="21"/>
                <w:szCs w:val="21"/>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13.16</w:t>
            </w: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13.16</w:t>
            </w: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21"/>
                <w:szCs w:val="21"/>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224</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230</w:t>
            </w:r>
            <w:r>
              <w:rPr>
                <w:rFonts w:hint="eastAsia" w:ascii="仿宋_GB2312" w:hAnsi="宋体" w:eastAsia="仿宋_GB2312" w:cs="宋体"/>
                <w:b w:val="0"/>
                <w:bCs w:val="0"/>
                <w:color w:val="auto"/>
                <w:kern w:val="0"/>
                <w:sz w:val="21"/>
                <w:szCs w:val="21"/>
                <w:highlight w:val="none"/>
                <w:lang w:val="en-US" w:eastAsia="zh-CN"/>
              </w:rPr>
              <w:t xml:space="preserve"> </w:t>
            </w:r>
            <w:r>
              <w:rPr>
                <w:rFonts w:hint="eastAsia" w:ascii="仿宋_GB2312" w:hAnsi="宋体" w:eastAsia="仿宋_GB2312" w:cs="宋体"/>
                <w:b w:val="0"/>
                <w:bCs w:val="0"/>
                <w:color w:val="auto"/>
                <w:kern w:val="0"/>
                <w:sz w:val="21"/>
                <w:szCs w:val="21"/>
                <w:highlight w:val="none"/>
              </w:rPr>
              <w:t>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1"/>
                <w:szCs w:val="21"/>
                <w:highlight w:val="none"/>
              </w:rPr>
            </w:pPr>
            <w:r>
              <w:rPr>
                <w:rFonts w:hint="eastAsia" w:ascii="仿宋_GB2312" w:hAnsi="宋体" w:eastAsia="仿宋_GB2312" w:cs="宋体"/>
                <w:b w:val="0"/>
                <w:bCs w:val="0"/>
                <w:color w:val="auto"/>
                <w:kern w:val="0"/>
                <w:sz w:val="21"/>
                <w:szCs w:val="21"/>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1"/>
                <w:szCs w:val="21"/>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CellMar>
            <w:top w:w="0" w:type="dxa"/>
            <w:left w:w="108" w:type="dxa"/>
            <w:bottom w:w="0" w:type="dxa"/>
            <w:right w:w="108" w:type="dxa"/>
          </w:tblCellMar>
        </w:tblPrEx>
        <w:trPr>
          <w:trHeight w:val="528"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175.22</w:t>
            </w:r>
            <w:r>
              <w:rPr>
                <w:rFonts w:hint="eastAsia" w:ascii="仿宋_GB2312" w:hAnsi="宋体" w:eastAsia="仿宋_GB2312" w:cs="宋体"/>
                <w:b/>
                <w:bCs/>
                <w:color w:val="auto"/>
                <w:kern w:val="0"/>
                <w:sz w:val="21"/>
                <w:szCs w:val="21"/>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175.22</w:t>
            </w:r>
            <w:r>
              <w:rPr>
                <w:rFonts w:hint="eastAsia" w:ascii="仿宋_GB2312" w:hAnsi="宋体" w:eastAsia="仿宋_GB2312" w:cs="宋体"/>
                <w:b/>
                <w:bCs/>
                <w:color w:val="auto"/>
                <w:kern w:val="0"/>
                <w:sz w:val="21"/>
                <w:szCs w:val="21"/>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175.22</w:t>
            </w:r>
            <w:r>
              <w:rPr>
                <w:rFonts w:hint="eastAsia" w:ascii="仿宋_GB2312" w:hAnsi="宋体" w:eastAsia="仿宋_GB2312" w:cs="宋体"/>
                <w:b/>
                <w:bCs/>
                <w:color w:val="auto"/>
                <w:kern w:val="0"/>
                <w:sz w:val="21"/>
                <w:szCs w:val="21"/>
                <w:highlight w:val="none"/>
              </w:rPr>
              <w:t>　</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1"/>
                <w:szCs w:val="21"/>
                <w:highlight w:val="none"/>
              </w:rPr>
            </w:pPr>
            <w:r>
              <w:rPr>
                <w:rFonts w:hint="eastAsia" w:ascii="仿宋_GB2312" w:hAnsi="宋体" w:eastAsia="仿宋_GB2312" w:cs="宋体"/>
                <w:b/>
                <w:bCs/>
                <w:color w:val="auto"/>
                <w:kern w:val="0"/>
                <w:sz w:val="21"/>
                <w:szCs w:val="21"/>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450" w:type="dxa"/>
        <w:tblInd w:w="-34" w:type="dxa"/>
        <w:tblLayout w:type="fixed"/>
        <w:tblCellMar>
          <w:top w:w="0" w:type="dxa"/>
          <w:left w:w="108" w:type="dxa"/>
          <w:bottom w:w="0" w:type="dxa"/>
          <w:right w:w="108" w:type="dxa"/>
        </w:tblCellMar>
      </w:tblPr>
      <w:tblGrid>
        <w:gridCol w:w="709"/>
        <w:gridCol w:w="585"/>
        <w:gridCol w:w="675"/>
        <w:gridCol w:w="2678"/>
        <w:gridCol w:w="236"/>
        <w:gridCol w:w="1240"/>
        <w:gridCol w:w="76"/>
        <w:gridCol w:w="1620"/>
        <w:gridCol w:w="1395"/>
        <w:gridCol w:w="236"/>
      </w:tblGrid>
      <w:tr>
        <w:tblPrEx>
          <w:tblCellMar>
            <w:top w:w="0" w:type="dxa"/>
            <w:left w:w="108" w:type="dxa"/>
            <w:bottom w:w="0" w:type="dxa"/>
            <w:right w:w="108" w:type="dxa"/>
          </w:tblCellMar>
        </w:tblPrEx>
        <w:trPr>
          <w:gridAfter w:val="1"/>
          <w:wAfter w:w="236" w:type="dxa"/>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47" w:type="dxa"/>
            <w:gridSpan w:val="4"/>
            <w:tcBorders>
              <w:top w:val="nil"/>
              <w:left w:val="nil"/>
              <w:bottom w:val="nil"/>
              <w:right w:val="nil"/>
            </w:tcBorders>
            <w:vAlign w:val="center"/>
          </w:tcPr>
          <w:p>
            <w:pPr>
              <w:widowControl/>
              <w:jc w:val="left"/>
              <w:outlineLvl w:val="1"/>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c>
        <w:tc>
          <w:tcPr>
            <w:tcW w:w="236"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4"/>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gridAfter w:val="1"/>
          <w:wAfter w:w="236" w:type="dxa"/>
          <w:trHeight w:val="405" w:hRule="atLeast"/>
        </w:trPr>
        <w:tc>
          <w:tcPr>
            <w:tcW w:w="464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6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gridAfter w:val="1"/>
          <w:wAfter w:w="236" w:type="dxa"/>
          <w:trHeight w:val="465" w:hRule="atLeast"/>
        </w:trPr>
        <w:tc>
          <w:tcPr>
            <w:tcW w:w="196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78"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552"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2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gridAfter w:val="1"/>
          <w:wAfter w:w="236" w:type="dxa"/>
          <w:trHeight w:val="300" w:hRule="atLeast"/>
        </w:trPr>
        <w:tc>
          <w:tcPr>
            <w:tcW w:w="709"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8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75"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78"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552" w:type="dxa"/>
            <w:gridSpan w:val="3"/>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6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395"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bCs/>
                <w:color w:val="auto"/>
                <w:kern w:val="0"/>
                <w:sz w:val="21"/>
                <w:szCs w:val="21"/>
                <w:highlight w:val="none"/>
                <w:lang w:eastAsia="zh-CN"/>
              </w:rPr>
            </w:pPr>
            <w:r>
              <w:rPr>
                <w:rFonts w:hint="eastAsia" w:ascii="仿宋_GB2312" w:hAnsi="仿宋_GB2312" w:eastAsia="仿宋_GB2312" w:cs="仿宋_GB2312"/>
                <w:b/>
                <w:bCs/>
                <w:color w:val="000000"/>
                <w:sz w:val="21"/>
                <w:szCs w:val="21"/>
                <w:highlight w:val="none"/>
              </w:rPr>
              <w:t>208</w:t>
            </w:r>
          </w:p>
        </w:tc>
        <w:tc>
          <w:tcPr>
            <w:tcW w:w="58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0"/>
                <w:sz w:val="21"/>
                <w:szCs w:val="21"/>
                <w:highlight w:val="none"/>
              </w:rPr>
            </w:pPr>
          </w:p>
        </w:tc>
        <w:tc>
          <w:tcPr>
            <w:tcW w:w="67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rPr>
            </w:pPr>
            <w:r>
              <w:rPr>
                <w:rFonts w:hint="eastAsia" w:ascii="仿宋_GB2312" w:hAnsi="仿宋_GB2312" w:eastAsia="仿宋_GB2312" w:cs="仿宋_GB2312"/>
                <w:b/>
                <w:bCs/>
                <w:color w:val="000000"/>
                <w:sz w:val="21"/>
                <w:szCs w:val="21"/>
                <w:highlight w:val="none"/>
              </w:rPr>
              <w:t>社会保障和就业支出</w:t>
            </w:r>
          </w:p>
        </w:tc>
        <w:tc>
          <w:tcPr>
            <w:tcW w:w="1552" w:type="dxa"/>
            <w:gridSpan w:val="3"/>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eastAsia" w:ascii="仿宋_GB2312" w:hAnsi="仿宋_GB2312" w:eastAsia="仿宋_GB2312" w:cs="仿宋_GB2312"/>
                <w:b/>
                <w:bCs/>
                <w:color w:val="000000"/>
                <w:sz w:val="21"/>
                <w:szCs w:val="21"/>
                <w:highlight w:val="none"/>
                <w:lang w:val="en-US" w:eastAsia="zh-CN"/>
              </w:rPr>
              <w:t>149.98</w:t>
            </w:r>
          </w:p>
        </w:tc>
        <w:tc>
          <w:tcPr>
            <w:tcW w:w="1620"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137.82</w:t>
            </w:r>
          </w:p>
        </w:tc>
        <w:tc>
          <w:tcPr>
            <w:tcW w:w="139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12.16</w:t>
            </w: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208</w:t>
            </w:r>
          </w:p>
        </w:tc>
        <w:tc>
          <w:tcPr>
            <w:tcW w:w="58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05</w:t>
            </w:r>
          </w:p>
        </w:tc>
        <w:tc>
          <w:tcPr>
            <w:tcW w:w="67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行政事业单位养老支出</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21.15</w:t>
            </w:r>
          </w:p>
        </w:tc>
        <w:tc>
          <w:tcPr>
            <w:tcW w:w="16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21.15</w:t>
            </w:r>
          </w:p>
        </w:tc>
        <w:tc>
          <w:tcPr>
            <w:tcW w:w="139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208</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05</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01</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eastAsia="zh-CN"/>
              </w:rPr>
              <w:t>行政单位离退休</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5.18</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5.18</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05</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05</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机关事业单位基本养老保险缴费支出</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15.97</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15.97</w:t>
            </w:r>
          </w:p>
        </w:tc>
        <w:tc>
          <w:tcPr>
            <w:tcW w:w="1395" w:type="dxa"/>
            <w:tcBorders>
              <w:top w:val="nil"/>
              <w:left w:val="nil"/>
              <w:bottom w:val="single" w:color="auto" w:sz="4" w:space="0"/>
              <w:right w:val="single" w:color="auto" w:sz="4" w:space="0"/>
            </w:tcBorders>
            <w:vAlign w:val="center"/>
          </w:tcPr>
          <w:p>
            <w:pPr>
              <w:jc w:val="both"/>
              <w:rPr>
                <w:rFonts w:hint="eastAsia" w:ascii="宋体" w:hAnsi="宋体" w:eastAsia="宋体" w:cs="宋体"/>
                <w:color w:val="auto"/>
                <w:kern w:val="0"/>
                <w:sz w:val="21"/>
                <w:szCs w:val="21"/>
                <w:highlight w:val="none"/>
                <w:lang w:val="en-US" w:eastAsia="zh-CN"/>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208</w:t>
            </w:r>
          </w:p>
        </w:tc>
        <w:tc>
          <w:tcPr>
            <w:tcW w:w="58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残疾人事业</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128.83</w:t>
            </w:r>
          </w:p>
        </w:tc>
        <w:tc>
          <w:tcPr>
            <w:tcW w:w="16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116.68</w:t>
            </w:r>
          </w:p>
        </w:tc>
        <w:tc>
          <w:tcPr>
            <w:tcW w:w="139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12.16</w:t>
            </w: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01</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行政运行</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60.92</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60.92</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05</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eastAsia="zh-CN"/>
              </w:rPr>
              <w:t>残疾人就业</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55.76</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55.76</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208</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99</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eastAsia="zh-CN"/>
              </w:rPr>
              <w:t>其他残疾人事业支出</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12.16</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12.16</w:t>
            </w: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sz w:val="21"/>
                <w:szCs w:val="21"/>
                <w:highlight w:val="none"/>
              </w:rPr>
              <w:t>210</w:t>
            </w:r>
          </w:p>
        </w:tc>
        <w:tc>
          <w:tcPr>
            <w:tcW w:w="58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67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卫生健康支出</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12.08</w:t>
            </w:r>
          </w:p>
        </w:tc>
        <w:tc>
          <w:tcPr>
            <w:tcW w:w="16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12.08</w:t>
            </w:r>
          </w:p>
        </w:tc>
        <w:tc>
          <w:tcPr>
            <w:tcW w:w="139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sz w:val="21"/>
                <w:szCs w:val="21"/>
                <w:highlight w:val="none"/>
              </w:rPr>
              <w:t>210</w:t>
            </w:r>
          </w:p>
        </w:tc>
        <w:tc>
          <w:tcPr>
            <w:tcW w:w="58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sz w:val="21"/>
                <w:szCs w:val="21"/>
                <w:highlight w:val="none"/>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rPr>
              <w:t>行政事业单位医疗</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12.08</w:t>
            </w:r>
          </w:p>
        </w:tc>
        <w:tc>
          <w:tcPr>
            <w:tcW w:w="16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12.08</w:t>
            </w:r>
          </w:p>
        </w:tc>
        <w:tc>
          <w:tcPr>
            <w:tcW w:w="139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210</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01</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行政单位医疗</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4.00</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4.00</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210</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02</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eastAsia="zh-CN"/>
              </w:rPr>
              <w:t>事业单位医疗</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210</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03</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rPr>
              <w:t>公务员医疗补助</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3.99</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210</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11</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99</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其他行政事业单位医疗支出</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0.10</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0.10</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221</w:t>
            </w:r>
          </w:p>
        </w:tc>
        <w:tc>
          <w:tcPr>
            <w:tcW w:w="58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67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default" w:ascii="仿宋_GB2312" w:hAnsi="仿宋_GB2312" w:eastAsia="仿宋_GB2312" w:cs="仿宋_GB2312"/>
                <w:b/>
                <w:bCs/>
                <w:color w:val="000000"/>
                <w:sz w:val="21"/>
                <w:szCs w:val="21"/>
                <w:highlight w:val="none"/>
                <w:lang w:val="en-US" w:eastAsia="zh-CN"/>
              </w:rPr>
              <w:t>住房保障支出</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default" w:ascii="仿宋_GB2312" w:hAnsi="仿宋_GB2312" w:eastAsia="仿宋_GB2312" w:cs="仿宋_GB2312"/>
                <w:b/>
                <w:bCs/>
                <w:color w:val="000000"/>
                <w:sz w:val="21"/>
                <w:szCs w:val="21"/>
                <w:highlight w:val="none"/>
                <w:lang w:val="en-US" w:eastAsia="zh-CN"/>
              </w:rPr>
              <w:t>13.16</w:t>
            </w:r>
          </w:p>
        </w:tc>
        <w:tc>
          <w:tcPr>
            <w:tcW w:w="16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default" w:ascii="仿宋_GB2312" w:hAnsi="仿宋_GB2312" w:eastAsia="仿宋_GB2312" w:cs="仿宋_GB2312"/>
                <w:b/>
                <w:bCs/>
                <w:color w:val="000000"/>
                <w:sz w:val="21"/>
                <w:szCs w:val="21"/>
                <w:highlight w:val="none"/>
                <w:lang w:val="en-US" w:eastAsia="zh-CN"/>
              </w:rPr>
              <w:t>13.16</w:t>
            </w:r>
          </w:p>
        </w:tc>
        <w:tc>
          <w:tcPr>
            <w:tcW w:w="139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221</w:t>
            </w:r>
          </w:p>
        </w:tc>
        <w:tc>
          <w:tcPr>
            <w:tcW w:w="58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02</w:t>
            </w:r>
          </w:p>
        </w:tc>
        <w:tc>
          <w:tcPr>
            <w:tcW w:w="67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default" w:ascii="仿宋_GB2312" w:hAnsi="仿宋_GB2312" w:eastAsia="仿宋_GB2312" w:cs="仿宋_GB2312"/>
                <w:b/>
                <w:bCs/>
                <w:color w:val="000000"/>
                <w:sz w:val="21"/>
                <w:szCs w:val="21"/>
                <w:highlight w:val="none"/>
                <w:lang w:val="en-US" w:eastAsia="zh-CN"/>
              </w:rPr>
              <w:t>住房改革支出</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default" w:ascii="仿宋_GB2312" w:hAnsi="仿宋_GB2312" w:eastAsia="仿宋_GB2312" w:cs="仿宋_GB2312"/>
                <w:b/>
                <w:bCs/>
                <w:color w:val="000000"/>
                <w:sz w:val="21"/>
                <w:szCs w:val="21"/>
                <w:highlight w:val="none"/>
                <w:lang w:val="en-US" w:eastAsia="zh-CN"/>
              </w:rPr>
              <w:t>13.16</w:t>
            </w:r>
          </w:p>
        </w:tc>
        <w:tc>
          <w:tcPr>
            <w:tcW w:w="162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r>
              <w:rPr>
                <w:rFonts w:hint="default" w:ascii="仿宋_GB2312" w:hAnsi="仿宋_GB2312" w:eastAsia="仿宋_GB2312" w:cs="仿宋_GB2312"/>
                <w:b/>
                <w:bCs/>
                <w:color w:val="000000"/>
                <w:sz w:val="21"/>
                <w:szCs w:val="21"/>
                <w:highlight w:val="none"/>
                <w:lang w:val="en-US" w:eastAsia="zh-CN"/>
              </w:rPr>
              <w:t>13.16</w:t>
            </w:r>
          </w:p>
        </w:tc>
        <w:tc>
          <w:tcPr>
            <w:tcW w:w="1395"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221</w:t>
            </w:r>
          </w:p>
        </w:tc>
        <w:tc>
          <w:tcPr>
            <w:tcW w:w="58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02</w:t>
            </w:r>
          </w:p>
        </w:tc>
        <w:tc>
          <w:tcPr>
            <w:tcW w:w="67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color w:val="000000"/>
                <w:sz w:val="21"/>
                <w:szCs w:val="21"/>
                <w:highlight w:val="none"/>
                <w:lang w:val="en-US" w:eastAsia="zh-CN"/>
              </w:rPr>
              <w:t>01</w:t>
            </w: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default" w:ascii="仿宋_GB2312" w:hAnsi="仿宋_GB2312" w:eastAsia="仿宋_GB2312" w:cs="仿宋_GB2312"/>
                <w:color w:val="000000"/>
                <w:sz w:val="21"/>
                <w:szCs w:val="21"/>
                <w:highlight w:val="none"/>
                <w:lang w:val="en-US" w:eastAsia="zh-CN"/>
              </w:rPr>
              <w:t>住房公积金</w:t>
            </w:r>
          </w:p>
        </w:tc>
        <w:tc>
          <w:tcPr>
            <w:tcW w:w="1552" w:type="dxa"/>
            <w:gridSpan w:val="3"/>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default" w:ascii="仿宋_GB2312" w:hAnsi="仿宋_GB2312" w:eastAsia="仿宋_GB2312" w:cs="仿宋_GB2312"/>
                <w:color w:val="000000"/>
                <w:sz w:val="21"/>
                <w:szCs w:val="21"/>
                <w:highlight w:val="none"/>
                <w:lang w:val="en-US" w:eastAsia="zh-CN"/>
              </w:rPr>
              <w:t>13.16</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default" w:ascii="仿宋_GB2312" w:hAnsi="仿宋_GB2312" w:eastAsia="仿宋_GB2312" w:cs="仿宋_GB2312"/>
                <w:color w:val="000000"/>
                <w:sz w:val="21"/>
                <w:szCs w:val="21"/>
                <w:highlight w:val="none"/>
                <w:lang w:val="en-US" w:eastAsia="zh-CN"/>
              </w:rPr>
              <w:t>13.16</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gridAfter w:val="1"/>
          <w:wAfter w:w="236" w:type="dxa"/>
          <w:trHeight w:val="450" w:hRule="atLeast"/>
        </w:trPr>
        <w:tc>
          <w:tcPr>
            <w:tcW w:w="70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58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67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2678"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b/>
                <w:bCs/>
                <w:color w:val="000000"/>
                <w:sz w:val="21"/>
                <w:szCs w:val="21"/>
                <w:highlight w:val="none"/>
              </w:rPr>
              <w:t>合  计</w:t>
            </w:r>
          </w:p>
        </w:tc>
        <w:tc>
          <w:tcPr>
            <w:tcW w:w="1552" w:type="dxa"/>
            <w:gridSpan w:val="3"/>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sz w:val="21"/>
                <w:szCs w:val="21"/>
                <w:highlight w:val="none"/>
                <w:lang w:val="en-US" w:eastAsia="zh-CN"/>
              </w:rPr>
            </w:pPr>
            <w:r>
              <w:rPr>
                <w:rFonts w:hint="eastAsia" w:ascii="仿宋_GB2312" w:hAnsi="宋体" w:eastAsia="仿宋_GB2312" w:cs="宋体"/>
                <w:b/>
                <w:bCs/>
                <w:color w:val="auto"/>
                <w:kern w:val="0"/>
                <w:sz w:val="21"/>
                <w:szCs w:val="21"/>
                <w:highlight w:val="none"/>
                <w:lang w:val="en-US" w:eastAsia="zh-CN"/>
              </w:rPr>
              <w:t>175.22</w:t>
            </w:r>
            <w:r>
              <w:rPr>
                <w:rFonts w:hint="eastAsia" w:ascii="仿宋_GB2312" w:hAnsi="宋体" w:eastAsia="仿宋_GB2312" w:cs="宋体"/>
                <w:b/>
                <w:bCs/>
                <w:color w:val="auto"/>
                <w:kern w:val="0"/>
                <w:sz w:val="21"/>
                <w:szCs w:val="21"/>
                <w:highlight w:val="none"/>
              </w:rPr>
              <w:t>　</w:t>
            </w:r>
          </w:p>
        </w:tc>
        <w:tc>
          <w:tcPr>
            <w:tcW w:w="1620"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163.06</w:t>
            </w:r>
          </w:p>
        </w:tc>
        <w:tc>
          <w:tcPr>
            <w:tcW w:w="1395" w:type="dxa"/>
            <w:tcBorders>
              <w:top w:val="nil"/>
              <w:left w:val="nil"/>
              <w:bottom w:val="single" w:color="auto" w:sz="4" w:space="0"/>
              <w:right w:val="single" w:color="auto" w:sz="4" w:space="0"/>
            </w:tcBorders>
            <w:vAlign w:val="center"/>
          </w:tcPr>
          <w:p>
            <w:pPr>
              <w:jc w:val="center"/>
              <w:rPr>
                <w:rFonts w:ascii="宋体" w:hAnsi="宋体" w:cs="宋体"/>
                <w:color w:val="auto"/>
                <w:kern w:val="0"/>
                <w:sz w:val="21"/>
                <w:szCs w:val="21"/>
                <w:highlight w:val="none"/>
              </w:rPr>
            </w:pPr>
            <w:r>
              <w:rPr>
                <w:rFonts w:hint="eastAsia" w:ascii="仿宋_GB2312" w:hAnsi="仿宋_GB2312" w:eastAsia="仿宋_GB2312" w:cs="仿宋_GB2312"/>
                <w:b/>
                <w:bCs/>
                <w:color w:val="000000"/>
                <w:sz w:val="21"/>
                <w:szCs w:val="21"/>
                <w:highlight w:val="none"/>
                <w:lang w:val="en-US" w:eastAsia="zh-CN"/>
              </w:rPr>
              <w:t>12.16</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outlineLvl w:val="1"/>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b/>
                <w:bCs/>
                <w:color w:val="auto"/>
                <w:kern w:val="0"/>
                <w:sz w:val="21"/>
                <w:szCs w:val="21"/>
                <w:highlight w:val="none"/>
                <w:lang w:val="en-US" w:eastAsia="zh-CN"/>
              </w:rPr>
            </w:pPr>
            <w:r>
              <w:rPr>
                <w:rFonts w:hint="eastAsia" w:ascii="仿宋_GB2312" w:hAnsi="仿宋_GB2312" w:eastAsia="仿宋_GB2312" w:cs="仿宋_GB2312"/>
                <w:b/>
                <w:bCs/>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b/>
                <w:bCs/>
                <w:color w:val="auto"/>
                <w:kern w:val="0"/>
                <w:sz w:val="21"/>
                <w:szCs w:val="21"/>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1"/>
                <w:szCs w:val="21"/>
                <w:highlight w:val="none"/>
              </w:rPr>
            </w:pPr>
            <w:r>
              <w:rPr>
                <w:rFonts w:hint="eastAsia" w:ascii="仿宋_GB2312" w:hAnsi="仿宋_GB2312" w:eastAsia="仿宋_GB2312" w:cs="仿宋_GB2312"/>
                <w:b/>
                <w:bCs/>
                <w:color w:val="000000"/>
                <w:kern w:val="0"/>
                <w:sz w:val="21"/>
                <w:szCs w:val="21"/>
                <w:highlight w:val="none"/>
              </w:rPr>
              <w:t>工资福利支出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151.51</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151.51</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000000"/>
                <w:kern w:val="0"/>
                <w:sz w:val="21"/>
                <w:szCs w:val="21"/>
                <w:highlight w:val="none"/>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基本工资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41.33</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41.33</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津贴补贴</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24.80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24.80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03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奖金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30.66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30.66</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绩效工资</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12.86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12.86</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机关事业单位基本养老保险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15.97</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15.97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10</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7.99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7.99</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11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公务员医疗补助缴费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3.99</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3.99</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12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其他社会保障缴费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0.75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0.75</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13</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住房公积金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13.16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13.16</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kern w:val="0"/>
                <w:sz w:val="21"/>
                <w:szCs w:val="21"/>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1"/>
                <w:szCs w:val="21"/>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000000"/>
                <w:kern w:val="0"/>
                <w:sz w:val="21"/>
                <w:szCs w:val="21"/>
                <w:highlight w:val="none"/>
              </w:rPr>
              <w:t>商品和服务支出</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5.28</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5.28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01</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办公费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1.15</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07</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color w:val="000000"/>
                <w:kern w:val="0"/>
                <w:sz w:val="21"/>
                <w:szCs w:val="21"/>
                <w:highlight w:val="none"/>
              </w:rPr>
              <w:t>邮电费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0.60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0.60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lang w:eastAsia="zh-CN"/>
              </w:rPr>
            </w:pPr>
            <w:r>
              <w:rPr>
                <w:rFonts w:hint="eastAsia" w:ascii="仿宋_GB2312" w:hAnsi="仿宋_GB2312" w:eastAsia="仿宋_GB2312" w:cs="仿宋_GB2312"/>
                <w:color w:val="000000"/>
                <w:kern w:val="0"/>
                <w:sz w:val="21"/>
                <w:szCs w:val="21"/>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default" w:ascii="仿宋_GB2312" w:hAnsi="仿宋_GB2312" w:eastAsia="仿宋_GB2312" w:cs="仿宋_GB2312"/>
                <w:color w:val="000000"/>
                <w:kern w:val="0"/>
                <w:sz w:val="21"/>
                <w:szCs w:val="21"/>
                <w:highlight w:val="none"/>
                <w:lang w:val="en-US" w:eastAsia="zh-CN"/>
              </w:rPr>
              <w:t>工会经费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1.93</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1.93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31</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default" w:ascii="仿宋_GB2312" w:hAnsi="仿宋_GB2312" w:eastAsia="仿宋_GB2312" w:cs="仿宋_GB2312"/>
                <w:color w:val="000000"/>
                <w:kern w:val="0"/>
                <w:sz w:val="21"/>
                <w:szCs w:val="21"/>
                <w:highlight w:val="none"/>
                <w:lang w:val="en-US" w:eastAsia="zh-CN"/>
              </w:rPr>
              <w:t>公务用车运行维护费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1.60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1"/>
                <w:szCs w:val="21"/>
                <w:highlight w:val="none"/>
              </w:rPr>
            </w:pPr>
            <w:r>
              <w:rPr>
                <w:rFonts w:hint="eastAsia" w:ascii="仿宋_GB2312" w:hAnsi="仿宋_GB2312" w:eastAsia="仿宋_GB2312" w:cs="仿宋_GB2312"/>
                <w:b/>
                <w:bCs/>
                <w:color w:val="000000"/>
                <w:kern w:val="0"/>
                <w:sz w:val="21"/>
                <w:szCs w:val="21"/>
                <w:highlight w:val="none"/>
              </w:rPr>
              <w:t>30</w:t>
            </w:r>
            <w:r>
              <w:rPr>
                <w:rFonts w:hint="eastAsia" w:ascii="仿宋_GB2312" w:hAnsi="仿宋_GB2312" w:eastAsia="仿宋_GB2312" w:cs="仿宋_GB2312"/>
                <w:b/>
                <w:bCs/>
                <w:color w:val="000000"/>
                <w:kern w:val="0"/>
                <w:sz w:val="21"/>
                <w:szCs w:val="21"/>
                <w:highlight w:val="none"/>
                <w:lang w:val="en-US" w:eastAsia="zh-CN"/>
              </w:rPr>
              <w:t>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1"/>
                <w:szCs w:val="21"/>
                <w:highlight w:val="none"/>
              </w:rPr>
            </w:pP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1"/>
                <w:szCs w:val="21"/>
                <w:highlight w:val="none"/>
              </w:rPr>
            </w:pPr>
            <w:r>
              <w:rPr>
                <w:rFonts w:hint="default" w:ascii="仿宋_GB2312" w:hAnsi="仿宋_GB2312" w:eastAsia="仿宋_GB2312" w:cs="仿宋_GB2312"/>
                <w:b/>
                <w:bCs/>
                <w:color w:val="000000"/>
                <w:kern w:val="0"/>
                <w:sz w:val="21"/>
                <w:szCs w:val="21"/>
                <w:highlight w:val="none"/>
                <w:lang w:val="en-US" w:eastAsia="zh-CN"/>
              </w:rPr>
              <w:t>对个人和家庭的补助</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6.27</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6.27</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lang w:val="en-US" w:eastAsia="zh-CN"/>
              </w:rPr>
            </w:pPr>
            <w:r>
              <w:rPr>
                <w:rFonts w:hint="eastAsia" w:ascii="仿宋_GB2312" w:hAnsi="仿宋_GB2312" w:eastAsia="仿宋_GB2312" w:cs="仿宋_GB2312"/>
                <w:color w:val="000000"/>
                <w:kern w:val="0"/>
                <w:sz w:val="21"/>
                <w:szCs w:val="21"/>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default" w:ascii="仿宋_GB2312" w:hAnsi="仿宋_GB2312" w:eastAsia="仿宋_GB2312" w:cs="仿宋_GB2312"/>
                <w:color w:val="000000"/>
                <w:kern w:val="0"/>
                <w:sz w:val="21"/>
                <w:szCs w:val="21"/>
                <w:highlight w:val="none"/>
                <w:lang w:val="en-US" w:eastAsia="zh-CN"/>
              </w:rPr>
              <w:t>退休费</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5.18</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5.18</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lang w:val="en-US" w:eastAsia="zh-CN"/>
              </w:rPr>
            </w:pPr>
            <w:r>
              <w:rPr>
                <w:rFonts w:hint="eastAsia" w:ascii="仿宋_GB2312" w:hAnsi="仿宋_GB2312" w:eastAsia="仿宋_GB2312" w:cs="仿宋_GB2312"/>
                <w:color w:val="000000"/>
                <w:kern w:val="0"/>
                <w:sz w:val="21"/>
                <w:szCs w:val="21"/>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1"/>
                <w:szCs w:val="21"/>
                <w:highlight w:val="none"/>
              </w:rPr>
            </w:pPr>
            <w:r>
              <w:rPr>
                <w:rFonts w:hint="default" w:ascii="仿宋_GB2312" w:hAnsi="仿宋_GB2312" w:eastAsia="仿宋_GB2312" w:cs="仿宋_GB2312"/>
                <w:color w:val="000000"/>
                <w:kern w:val="0"/>
                <w:sz w:val="21"/>
                <w:szCs w:val="21"/>
                <w:highlight w:val="none"/>
                <w:lang w:val="en-US" w:eastAsia="zh-CN"/>
              </w:rPr>
              <w:t>奖励金</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1.10</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宋体" w:eastAsia="仿宋_GB2312" w:cs="宋体"/>
                <w:b w:val="0"/>
                <w:bCs w:val="0"/>
                <w:color w:val="auto"/>
                <w:kern w:val="0"/>
                <w:sz w:val="21"/>
                <w:szCs w:val="21"/>
                <w:highlight w:val="none"/>
                <w:lang w:val="en-US" w:eastAsia="zh-CN"/>
              </w:rPr>
              <w:t>1.10</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1"/>
                <w:szCs w:val="21"/>
                <w:highlight w:val="none"/>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1"/>
                <w:szCs w:val="21"/>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1"/>
                <w:szCs w:val="21"/>
                <w:highlight w:val="none"/>
              </w:rPr>
            </w:pP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1"/>
                <w:szCs w:val="21"/>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合  计</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163.06</w:t>
            </w:r>
          </w:p>
        </w:tc>
        <w:tc>
          <w:tcPr>
            <w:tcW w:w="1701" w:type="dxa"/>
            <w:gridSpan w:val="2"/>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157.78</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1"/>
                <w:szCs w:val="21"/>
                <w:highlight w:val="none"/>
              </w:rPr>
            </w:pPr>
            <w:r>
              <w:rPr>
                <w:rFonts w:hint="eastAsia" w:ascii="仿宋_GB2312" w:hAnsi="宋体" w:eastAsia="仿宋_GB2312" w:cs="宋体"/>
                <w:b/>
                <w:bCs/>
                <w:color w:val="auto"/>
                <w:kern w:val="0"/>
                <w:sz w:val="21"/>
                <w:szCs w:val="21"/>
                <w:highlight w:val="none"/>
                <w:lang w:val="en-US" w:eastAsia="zh-CN"/>
              </w:rPr>
              <w:t>5.28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860" w:type="dxa"/>
        <w:tblInd w:w="-552" w:type="dxa"/>
        <w:tblLayout w:type="fixed"/>
        <w:tblCellMar>
          <w:top w:w="0" w:type="dxa"/>
          <w:left w:w="108" w:type="dxa"/>
          <w:bottom w:w="0" w:type="dxa"/>
          <w:right w:w="108" w:type="dxa"/>
        </w:tblCellMar>
      </w:tblPr>
      <w:tblGrid>
        <w:gridCol w:w="436"/>
        <w:gridCol w:w="118"/>
        <w:gridCol w:w="450"/>
        <w:gridCol w:w="450"/>
        <w:gridCol w:w="1126"/>
        <w:gridCol w:w="2625"/>
        <w:gridCol w:w="1560"/>
        <w:gridCol w:w="720"/>
        <w:gridCol w:w="1035"/>
        <w:gridCol w:w="1005"/>
        <w:gridCol w:w="765"/>
        <w:gridCol w:w="675"/>
        <w:gridCol w:w="600"/>
        <w:gridCol w:w="689"/>
        <w:gridCol w:w="375"/>
        <w:gridCol w:w="680"/>
        <w:gridCol w:w="551"/>
      </w:tblGrid>
      <w:tr>
        <w:tblPrEx>
          <w:tblCellMar>
            <w:top w:w="0" w:type="dxa"/>
            <w:left w:w="108" w:type="dxa"/>
            <w:bottom w:w="0" w:type="dxa"/>
            <w:right w:w="108" w:type="dxa"/>
          </w:tblCellMar>
        </w:tblPrEx>
        <w:trPr>
          <w:gridBefore w:val="1"/>
          <w:gridAfter w:val="1"/>
          <w:wBefore w:w="436" w:type="dxa"/>
          <w:wAfter w:w="551" w:type="dxa"/>
          <w:trHeight w:val="375" w:hRule="atLeast"/>
        </w:trPr>
        <w:tc>
          <w:tcPr>
            <w:tcW w:w="12873" w:type="dxa"/>
            <w:gridSpan w:val="15"/>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436" w:type="dxa"/>
          <w:wAfter w:w="551" w:type="dxa"/>
          <w:trHeight w:val="405" w:hRule="atLeast"/>
        </w:trPr>
        <w:tc>
          <w:tcPr>
            <w:tcW w:w="6329"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rPr>
              <w:t>呼图壁县残疾人联合会</w:t>
            </w:r>
          </w:p>
        </w:tc>
        <w:tc>
          <w:tcPr>
            <w:tcW w:w="1755"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77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019" w:type="dxa"/>
            <w:gridSpan w:val="5"/>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54"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26"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625"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56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103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100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0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8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8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5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4"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5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5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26"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26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56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03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100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8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8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5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54" w:type="dxa"/>
            <w:gridSpan w:val="2"/>
            <w:vAlign w:val="center"/>
          </w:tcPr>
          <w:p>
            <w:pPr>
              <w:widowControl/>
              <w:jc w:val="center"/>
              <w:outlineLvl w:val="1"/>
              <w:rPr>
                <w:rFonts w:hint="eastAsia" w:ascii="仿宋_GB2312" w:hAnsi="宋体" w:eastAsia="仿宋_GB2312"/>
                <w:b/>
                <w:bCs/>
                <w:kern w:val="0"/>
                <w:sz w:val="18"/>
                <w:szCs w:val="18"/>
                <w:highlight w:val="none"/>
              </w:rPr>
            </w:pPr>
          </w:p>
          <w:p>
            <w:pPr>
              <w:widowControl/>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kern w:val="0"/>
                <w:sz w:val="18"/>
                <w:szCs w:val="18"/>
                <w:highlight w:val="none"/>
              </w:rPr>
              <w:t>208</w:t>
            </w:r>
          </w:p>
        </w:tc>
        <w:tc>
          <w:tcPr>
            <w:tcW w:w="450" w:type="dxa"/>
            <w:vAlign w:val="center"/>
          </w:tcPr>
          <w:p>
            <w:pPr>
              <w:widowControl/>
              <w:jc w:val="center"/>
              <w:outlineLvl w:val="1"/>
              <w:rPr>
                <w:rFonts w:ascii="仿宋_GB2312" w:hAnsi="宋体" w:eastAsia="仿宋_GB2312"/>
                <w:b/>
                <w:bCs/>
                <w:color w:val="auto"/>
                <w:kern w:val="0"/>
                <w:sz w:val="32"/>
                <w:szCs w:val="32"/>
                <w:highlight w:val="none"/>
              </w:rPr>
            </w:pPr>
          </w:p>
        </w:tc>
        <w:tc>
          <w:tcPr>
            <w:tcW w:w="450" w:type="dxa"/>
            <w:vAlign w:val="center"/>
          </w:tcPr>
          <w:p>
            <w:pPr>
              <w:widowControl/>
              <w:jc w:val="center"/>
              <w:outlineLvl w:val="1"/>
              <w:rPr>
                <w:rFonts w:ascii="仿宋_GB2312" w:hAnsi="宋体" w:eastAsia="仿宋_GB2312"/>
                <w:b/>
                <w:bCs/>
                <w:color w:val="auto"/>
                <w:kern w:val="0"/>
                <w:sz w:val="32"/>
                <w:szCs w:val="32"/>
                <w:highlight w:val="none"/>
              </w:rPr>
            </w:pPr>
          </w:p>
        </w:tc>
        <w:tc>
          <w:tcPr>
            <w:tcW w:w="1126" w:type="dxa"/>
            <w:vAlign w:val="center"/>
          </w:tcPr>
          <w:p>
            <w:pPr>
              <w:widowControl/>
              <w:jc w:val="center"/>
              <w:outlineLvl w:val="1"/>
              <w:rPr>
                <w:rFonts w:hint="eastAsia" w:ascii="仿宋_GB2312" w:hAnsi="宋体" w:eastAsia="仿宋_GB2312"/>
                <w:b/>
                <w:bCs/>
                <w:kern w:val="0"/>
                <w:sz w:val="18"/>
                <w:szCs w:val="18"/>
                <w:highlight w:val="none"/>
                <w:lang w:eastAsia="zh-CN"/>
              </w:rPr>
            </w:pPr>
            <w:r>
              <w:rPr>
                <w:rFonts w:hint="eastAsia" w:ascii="仿宋_GB2312" w:hAnsi="宋体" w:eastAsia="仿宋_GB2312"/>
                <w:b/>
                <w:bCs/>
                <w:kern w:val="0"/>
                <w:sz w:val="18"/>
                <w:szCs w:val="18"/>
                <w:highlight w:val="none"/>
                <w:lang w:eastAsia="zh-CN"/>
              </w:rPr>
              <w:t>社会保障和就业支出</w:t>
            </w:r>
          </w:p>
        </w:tc>
        <w:tc>
          <w:tcPr>
            <w:tcW w:w="2625" w:type="dxa"/>
            <w:vAlign w:val="center"/>
          </w:tcPr>
          <w:p>
            <w:pPr>
              <w:widowControl/>
              <w:jc w:val="both"/>
              <w:outlineLvl w:val="1"/>
              <w:rPr>
                <w:rFonts w:hint="eastAsia" w:ascii="仿宋_GB2312" w:hAnsi="宋体" w:eastAsia="仿宋_GB2312"/>
                <w:b/>
                <w:bCs/>
                <w:kern w:val="0"/>
                <w:sz w:val="18"/>
                <w:szCs w:val="18"/>
                <w:highlight w:val="none"/>
                <w:lang w:val="en-US" w:eastAsia="zh-CN"/>
              </w:rPr>
            </w:pPr>
          </w:p>
        </w:tc>
        <w:tc>
          <w:tcPr>
            <w:tcW w:w="1560" w:type="dxa"/>
            <w:vAlign w:val="center"/>
          </w:tcPr>
          <w:p>
            <w:pPr>
              <w:widowControl/>
              <w:jc w:val="center"/>
              <w:outlineLvl w:val="1"/>
              <w:rPr>
                <w:rFonts w:hint="eastAsia" w:ascii="仿宋_GB2312" w:hAnsi="宋体" w:eastAsia="仿宋_GB2312"/>
                <w:b/>
                <w:bCs/>
                <w:kern w:val="0"/>
                <w:sz w:val="18"/>
                <w:szCs w:val="18"/>
                <w:highlight w:val="none"/>
                <w:lang w:val="en-US" w:eastAsia="zh-CN"/>
              </w:rPr>
            </w:pPr>
            <w:r>
              <w:rPr>
                <w:rFonts w:hint="default" w:ascii="仿宋_GB2312" w:hAnsi="宋体" w:eastAsia="仿宋_GB2312"/>
                <w:b/>
                <w:bCs/>
                <w:kern w:val="0"/>
                <w:sz w:val="18"/>
                <w:szCs w:val="18"/>
                <w:highlight w:val="none"/>
                <w:lang w:val="en-US" w:eastAsia="zh-CN"/>
              </w:rPr>
              <w:t>12.16</w:t>
            </w:r>
          </w:p>
        </w:tc>
        <w:tc>
          <w:tcPr>
            <w:tcW w:w="720"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1035" w:type="dxa"/>
            <w:vAlign w:val="center"/>
          </w:tcPr>
          <w:p>
            <w:pPr>
              <w:widowControl/>
              <w:jc w:val="center"/>
              <w:outlineLvl w:val="1"/>
              <w:rPr>
                <w:rFonts w:hint="eastAsia" w:ascii="仿宋_GB2312" w:hAnsi="宋体" w:eastAsia="仿宋_GB2312"/>
                <w:b/>
                <w:bCs/>
                <w:kern w:val="0"/>
                <w:sz w:val="18"/>
                <w:szCs w:val="18"/>
                <w:highlight w:val="none"/>
                <w:lang w:val="en-US" w:eastAsia="zh-CN"/>
              </w:rPr>
            </w:pPr>
            <w:r>
              <w:rPr>
                <w:rFonts w:hint="default" w:ascii="仿宋_GB2312" w:hAnsi="宋体" w:eastAsia="仿宋_GB2312"/>
                <w:b/>
                <w:bCs/>
                <w:kern w:val="0"/>
                <w:sz w:val="18"/>
                <w:szCs w:val="18"/>
                <w:highlight w:val="none"/>
                <w:lang w:val="en-US" w:eastAsia="zh-CN"/>
              </w:rPr>
              <w:t>1.80</w:t>
            </w:r>
          </w:p>
        </w:tc>
        <w:tc>
          <w:tcPr>
            <w:tcW w:w="1005" w:type="dxa"/>
            <w:vAlign w:val="center"/>
          </w:tcPr>
          <w:p>
            <w:pPr>
              <w:widowControl/>
              <w:jc w:val="center"/>
              <w:outlineLvl w:val="1"/>
              <w:rPr>
                <w:rFonts w:hint="eastAsia" w:ascii="仿宋_GB2312" w:hAnsi="宋体" w:eastAsia="仿宋_GB2312"/>
                <w:b/>
                <w:bCs/>
                <w:kern w:val="0"/>
                <w:sz w:val="18"/>
                <w:szCs w:val="18"/>
                <w:highlight w:val="none"/>
                <w:lang w:val="en-US" w:eastAsia="zh-CN"/>
              </w:rPr>
            </w:pPr>
            <w:r>
              <w:rPr>
                <w:rFonts w:hint="default" w:ascii="仿宋_GB2312" w:hAnsi="宋体" w:eastAsia="仿宋_GB2312"/>
                <w:b/>
                <w:bCs/>
                <w:kern w:val="0"/>
                <w:sz w:val="18"/>
                <w:szCs w:val="18"/>
                <w:highlight w:val="none"/>
                <w:lang w:val="en-US" w:eastAsia="zh-CN"/>
              </w:rPr>
              <w:t>10.36</w:t>
            </w:r>
          </w:p>
        </w:tc>
        <w:tc>
          <w:tcPr>
            <w:tcW w:w="76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7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00" w:type="dxa"/>
            <w:vAlign w:val="center"/>
          </w:tcPr>
          <w:p>
            <w:pPr>
              <w:widowControl/>
              <w:jc w:val="center"/>
              <w:outlineLvl w:val="1"/>
              <w:rPr>
                <w:rFonts w:ascii="仿宋_GB2312" w:hAnsi="宋体" w:eastAsia="仿宋_GB2312"/>
                <w:b/>
                <w:bCs/>
                <w:color w:val="auto"/>
                <w:kern w:val="0"/>
                <w:sz w:val="32"/>
                <w:szCs w:val="32"/>
                <w:highlight w:val="none"/>
              </w:rPr>
            </w:pPr>
          </w:p>
        </w:tc>
        <w:tc>
          <w:tcPr>
            <w:tcW w:w="689" w:type="dxa"/>
            <w:vAlign w:val="center"/>
          </w:tcPr>
          <w:p>
            <w:pPr>
              <w:widowControl/>
              <w:jc w:val="center"/>
              <w:outlineLvl w:val="1"/>
              <w:rPr>
                <w:rFonts w:ascii="仿宋_GB2312" w:hAnsi="宋体" w:eastAsia="仿宋_GB2312"/>
                <w:b/>
                <w:bCs/>
                <w:color w:val="auto"/>
                <w:kern w:val="0"/>
                <w:sz w:val="32"/>
                <w:szCs w:val="32"/>
                <w:highlight w:val="none"/>
              </w:rPr>
            </w:pPr>
          </w:p>
        </w:tc>
        <w:tc>
          <w:tcPr>
            <w:tcW w:w="375" w:type="dxa"/>
            <w:vAlign w:val="center"/>
          </w:tcPr>
          <w:p>
            <w:pPr>
              <w:widowControl/>
              <w:jc w:val="center"/>
              <w:outlineLvl w:val="1"/>
              <w:rPr>
                <w:rFonts w:ascii="仿宋_GB2312" w:hAnsi="宋体" w:eastAsia="仿宋_GB2312"/>
                <w:b/>
                <w:bCs/>
                <w:color w:val="auto"/>
                <w:kern w:val="0"/>
                <w:sz w:val="32"/>
                <w:szCs w:val="32"/>
                <w:highlight w:val="none"/>
              </w:rPr>
            </w:pPr>
          </w:p>
        </w:tc>
        <w:tc>
          <w:tcPr>
            <w:tcW w:w="680" w:type="dxa"/>
            <w:vAlign w:val="center"/>
          </w:tcPr>
          <w:p>
            <w:pPr>
              <w:widowControl/>
              <w:jc w:val="center"/>
              <w:outlineLvl w:val="1"/>
              <w:rPr>
                <w:rFonts w:ascii="仿宋_GB2312" w:hAnsi="宋体" w:eastAsia="仿宋_GB2312"/>
                <w:b/>
                <w:bCs/>
                <w:color w:val="auto"/>
                <w:kern w:val="0"/>
                <w:sz w:val="32"/>
                <w:szCs w:val="32"/>
                <w:highlight w:val="none"/>
              </w:rPr>
            </w:pPr>
          </w:p>
        </w:tc>
        <w:tc>
          <w:tcPr>
            <w:tcW w:w="551" w:type="dxa"/>
            <w:vAlign w:val="center"/>
          </w:tcPr>
          <w:p>
            <w:pPr>
              <w:widowControl/>
              <w:jc w:val="center"/>
              <w:outlineLvl w:val="1"/>
              <w:rPr>
                <w:rFonts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center"/>
          </w:tcPr>
          <w:p>
            <w:pPr>
              <w:widowControl/>
              <w:jc w:val="center"/>
              <w:outlineLvl w:val="1"/>
              <w:rPr>
                <w:rFonts w:hint="eastAsia" w:ascii="仿宋_GB2312" w:hAnsi="宋体" w:eastAsia="仿宋_GB2312"/>
                <w:b/>
                <w:bCs/>
                <w:kern w:val="0"/>
                <w:sz w:val="18"/>
                <w:szCs w:val="18"/>
                <w:highlight w:val="none"/>
                <w:lang w:val="en-US" w:eastAsia="zh-CN"/>
              </w:rPr>
            </w:pPr>
          </w:p>
          <w:p>
            <w:pPr>
              <w:widowControl/>
              <w:jc w:val="center"/>
              <w:outlineLvl w:val="1"/>
              <w:rPr>
                <w:rFonts w:hint="eastAsia" w:ascii="仿宋_GB2312" w:hAnsi="宋体" w:eastAsia="仿宋_GB2312"/>
                <w:b/>
                <w:bCs/>
                <w:color w:val="auto"/>
                <w:kern w:val="0"/>
                <w:sz w:val="32"/>
                <w:szCs w:val="32"/>
                <w:highlight w:val="none"/>
              </w:rPr>
            </w:pPr>
            <w:r>
              <w:rPr>
                <w:rFonts w:hint="eastAsia" w:ascii="仿宋_GB2312" w:hAnsi="宋体" w:eastAsia="仿宋_GB2312"/>
                <w:b/>
                <w:bCs/>
                <w:kern w:val="0"/>
                <w:sz w:val="18"/>
                <w:szCs w:val="18"/>
                <w:highlight w:val="none"/>
                <w:lang w:val="en-US" w:eastAsia="zh-CN"/>
              </w:rPr>
              <w:t>208</w:t>
            </w:r>
          </w:p>
        </w:tc>
        <w:tc>
          <w:tcPr>
            <w:tcW w:w="450" w:type="dxa"/>
            <w:shd w:val="clear" w:color="auto" w:fill="auto"/>
            <w:vAlign w:val="center"/>
          </w:tcPr>
          <w:p>
            <w:pPr>
              <w:widowControl/>
              <w:jc w:val="center"/>
              <w:outlineLvl w:val="1"/>
              <w:rPr>
                <w:rFonts w:hint="eastAsia" w:ascii="仿宋_GB2312" w:hAnsi="宋体" w:eastAsia="仿宋_GB2312"/>
                <w:b/>
                <w:bCs/>
                <w:kern w:val="0"/>
                <w:sz w:val="18"/>
                <w:szCs w:val="18"/>
                <w:highlight w:val="none"/>
              </w:rPr>
            </w:pPr>
          </w:p>
          <w:p>
            <w:pPr>
              <w:widowControl/>
              <w:jc w:val="center"/>
              <w:outlineLvl w:val="1"/>
              <w:rPr>
                <w:rFonts w:hint="eastAsia" w:ascii="仿宋_GB2312" w:hAnsi="宋体" w:eastAsia="仿宋_GB2312"/>
                <w:b/>
                <w:bCs/>
                <w:kern w:val="0"/>
                <w:sz w:val="18"/>
                <w:szCs w:val="18"/>
                <w:highlight w:val="none"/>
              </w:rPr>
            </w:pPr>
            <w:r>
              <w:rPr>
                <w:rFonts w:hint="eastAsia" w:ascii="仿宋_GB2312" w:hAnsi="宋体" w:eastAsia="仿宋_GB2312"/>
                <w:b/>
                <w:bCs/>
                <w:kern w:val="0"/>
                <w:sz w:val="18"/>
                <w:szCs w:val="18"/>
                <w:highlight w:val="none"/>
              </w:rPr>
              <w:t>11</w:t>
            </w:r>
          </w:p>
        </w:tc>
        <w:tc>
          <w:tcPr>
            <w:tcW w:w="450" w:type="dxa"/>
            <w:shd w:val="clear" w:color="auto" w:fill="auto"/>
            <w:vAlign w:val="center"/>
          </w:tcPr>
          <w:p>
            <w:pPr>
              <w:widowControl/>
              <w:jc w:val="center"/>
              <w:outlineLvl w:val="1"/>
              <w:rPr>
                <w:rFonts w:hint="eastAsia" w:ascii="仿宋_GB2312" w:hAnsi="宋体" w:eastAsia="仿宋_GB2312"/>
                <w:b/>
                <w:bCs/>
                <w:kern w:val="0"/>
                <w:sz w:val="18"/>
                <w:szCs w:val="18"/>
                <w:highlight w:val="green"/>
              </w:rPr>
            </w:pPr>
          </w:p>
          <w:p>
            <w:pPr>
              <w:widowControl/>
              <w:jc w:val="center"/>
              <w:outlineLvl w:val="1"/>
              <w:rPr>
                <w:rFonts w:hint="eastAsia" w:ascii="仿宋_GB2312" w:hAnsi="宋体" w:eastAsia="仿宋_GB2312"/>
                <w:b/>
                <w:bCs/>
                <w:kern w:val="0"/>
                <w:sz w:val="18"/>
                <w:szCs w:val="18"/>
                <w:highlight w:val="green"/>
              </w:rPr>
            </w:pPr>
          </w:p>
        </w:tc>
        <w:tc>
          <w:tcPr>
            <w:tcW w:w="1126" w:type="dxa"/>
            <w:vAlign w:val="center"/>
          </w:tcPr>
          <w:p>
            <w:pPr>
              <w:widowControl/>
              <w:jc w:val="center"/>
              <w:outlineLvl w:val="1"/>
              <w:rPr>
                <w:rFonts w:hint="eastAsia" w:ascii="仿宋_GB2312" w:hAnsi="宋体" w:eastAsia="仿宋_GB2312"/>
                <w:b/>
                <w:bCs/>
                <w:kern w:val="0"/>
                <w:sz w:val="18"/>
                <w:szCs w:val="18"/>
                <w:highlight w:val="none"/>
                <w:lang w:eastAsia="zh-CN"/>
              </w:rPr>
            </w:pPr>
            <w:r>
              <w:rPr>
                <w:rFonts w:hint="eastAsia" w:ascii="仿宋_GB2312" w:hAnsi="宋体" w:eastAsia="仿宋_GB2312"/>
                <w:b/>
                <w:bCs/>
                <w:kern w:val="0"/>
                <w:sz w:val="18"/>
                <w:szCs w:val="18"/>
                <w:highlight w:val="none"/>
                <w:lang w:eastAsia="zh-CN"/>
              </w:rPr>
              <w:t>其他残疾人事业支出</w:t>
            </w:r>
          </w:p>
        </w:tc>
        <w:tc>
          <w:tcPr>
            <w:tcW w:w="2625" w:type="dxa"/>
            <w:vAlign w:val="center"/>
          </w:tcPr>
          <w:p>
            <w:pPr>
              <w:widowControl/>
              <w:jc w:val="both"/>
              <w:outlineLvl w:val="1"/>
              <w:rPr>
                <w:rFonts w:hint="eastAsia" w:ascii="仿宋_GB2312" w:hAnsi="宋体" w:eastAsia="仿宋_GB2312"/>
                <w:b/>
                <w:bCs/>
                <w:kern w:val="0"/>
                <w:sz w:val="18"/>
                <w:szCs w:val="18"/>
                <w:highlight w:val="none"/>
                <w:lang w:val="en-US" w:eastAsia="zh-CN"/>
              </w:rPr>
            </w:pPr>
          </w:p>
        </w:tc>
        <w:tc>
          <w:tcPr>
            <w:tcW w:w="1560" w:type="dxa"/>
            <w:vAlign w:val="center"/>
          </w:tcPr>
          <w:p>
            <w:pPr>
              <w:widowControl/>
              <w:jc w:val="center"/>
              <w:outlineLvl w:val="1"/>
              <w:rPr>
                <w:rFonts w:hint="eastAsia" w:ascii="仿宋_GB2312" w:hAnsi="宋体" w:eastAsia="仿宋_GB2312"/>
                <w:b/>
                <w:bCs/>
                <w:kern w:val="0"/>
                <w:sz w:val="18"/>
                <w:szCs w:val="18"/>
                <w:highlight w:val="none"/>
                <w:lang w:val="en-US" w:eastAsia="zh-CN"/>
              </w:rPr>
            </w:pPr>
            <w:r>
              <w:rPr>
                <w:rFonts w:hint="default" w:ascii="仿宋_GB2312" w:hAnsi="宋体" w:eastAsia="仿宋_GB2312"/>
                <w:b/>
                <w:bCs/>
                <w:kern w:val="0"/>
                <w:sz w:val="18"/>
                <w:szCs w:val="18"/>
                <w:highlight w:val="none"/>
                <w:lang w:val="en-US" w:eastAsia="zh-CN"/>
              </w:rPr>
              <w:t>4.66</w:t>
            </w:r>
          </w:p>
        </w:tc>
        <w:tc>
          <w:tcPr>
            <w:tcW w:w="720"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1035"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1.8</w:t>
            </w:r>
          </w:p>
        </w:tc>
        <w:tc>
          <w:tcPr>
            <w:tcW w:w="1005"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10.36</w:t>
            </w:r>
          </w:p>
        </w:tc>
        <w:tc>
          <w:tcPr>
            <w:tcW w:w="76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7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00"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689"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375"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680"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551" w:type="dxa"/>
            <w:vAlign w:val="center"/>
          </w:tcPr>
          <w:p>
            <w:pPr>
              <w:widowControl/>
              <w:jc w:val="center"/>
              <w:outlineLvl w:val="1"/>
              <w:rPr>
                <w:rFonts w:hint="eastAsia"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center"/>
          </w:tcPr>
          <w:p>
            <w:pPr>
              <w:widowControl/>
              <w:jc w:val="center"/>
              <w:outlineLvl w:val="1"/>
              <w:rPr>
                <w:rFonts w:hint="eastAsia" w:ascii="仿宋_GB2312" w:hAnsi="宋体" w:eastAsia="仿宋_GB2312"/>
                <w:kern w:val="0"/>
                <w:sz w:val="18"/>
                <w:szCs w:val="18"/>
                <w:highlight w:val="none"/>
                <w:lang w:val="en-US" w:eastAsia="zh-CN"/>
              </w:rPr>
            </w:pPr>
          </w:p>
          <w:p>
            <w:pPr>
              <w:widowControl/>
              <w:jc w:val="center"/>
              <w:outlineLvl w:val="1"/>
              <w:rPr>
                <w:rFonts w:hint="eastAsia" w:ascii="仿宋_GB2312" w:hAnsi="宋体" w:eastAsia="仿宋_GB2312"/>
                <w:b/>
                <w:bCs/>
                <w:kern w:val="0"/>
                <w:sz w:val="18"/>
                <w:szCs w:val="18"/>
                <w:highlight w:val="none"/>
                <w:lang w:val="en-US" w:eastAsia="zh-CN"/>
              </w:rPr>
            </w:pPr>
            <w:r>
              <w:rPr>
                <w:rFonts w:hint="eastAsia" w:ascii="仿宋_GB2312" w:hAnsi="宋体" w:eastAsia="仿宋_GB2312"/>
                <w:kern w:val="0"/>
                <w:sz w:val="18"/>
                <w:szCs w:val="18"/>
                <w:highlight w:val="none"/>
                <w:lang w:val="en-US" w:eastAsia="zh-CN"/>
              </w:rPr>
              <w:t>208</w:t>
            </w:r>
          </w:p>
        </w:tc>
        <w:tc>
          <w:tcPr>
            <w:tcW w:w="450" w:type="dxa"/>
            <w:shd w:val="clear" w:color="auto" w:fill="auto"/>
            <w:vAlign w:val="center"/>
          </w:tcPr>
          <w:p>
            <w:pPr>
              <w:widowControl/>
              <w:jc w:val="center"/>
              <w:outlineLvl w:val="1"/>
              <w:rPr>
                <w:rFonts w:hint="eastAsia" w:ascii="仿宋_GB2312" w:hAnsi="宋体" w:eastAsia="仿宋_GB2312"/>
                <w:kern w:val="0"/>
                <w:sz w:val="18"/>
                <w:szCs w:val="18"/>
                <w:highlight w:val="none"/>
              </w:rPr>
            </w:pPr>
          </w:p>
          <w:p>
            <w:pPr>
              <w:widowControl/>
              <w:jc w:val="center"/>
              <w:outlineLvl w:val="1"/>
              <w:rPr>
                <w:rFonts w:hint="eastAsia" w:ascii="仿宋_GB2312" w:hAnsi="宋体" w:eastAsia="仿宋_GB2312"/>
                <w:b/>
                <w:bCs/>
                <w:kern w:val="0"/>
                <w:sz w:val="18"/>
                <w:szCs w:val="18"/>
                <w:highlight w:val="none"/>
              </w:rPr>
            </w:pPr>
            <w:r>
              <w:rPr>
                <w:rFonts w:hint="eastAsia" w:ascii="仿宋_GB2312" w:hAnsi="宋体" w:eastAsia="仿宋_GB2312"/>
                <w:kern w:val="0"/>
                <w:sz w:val="18"/>
                <w:szCs w:val="18"/>
                <w:highlight w:val="none"/>
              </w:rPr>
              <w:t>11</w:t>
            </w:r>
          </w:p>
        </w:tc>
        <w:tc>
          <w:tcPr>
            <w:tcW w:w="450" w:type="dxa"/>
            <w:shd w:val="clear" w:color="auto" w:fill="auto"/>
            <w:vAlign w:val="center"/>
          </w:tcPr>
          <w:p>
            <w:pPr>
              <w:widowControl/>
              <w:jc w:val="center"/>
              <w:outlineLvl w:val="1"/>
              <w:rPr>
                <w:rFonts w:hint="eastAsia" w:ascii="仿宋_GB2312" w:hAnsi="宋体" w:eastAsia="仿宋_GB2312"/>
                <w:kern w:val="0"/>
                <w:sz w:val="18"/>
                <w:szCs w:val="18"/>
                <w:highlight w:val="none"/>
              </w:rPr>
            </w:pPr>
          </w:p>
          <w:p>
            <w:pPr>
              <w:widowControl/>
              <w:jc w:val="center"/>
              <w:outlineLvl w:val="1"/>
              <w:rPr>
                <w:rFonts w:hint="eastAsia" w:ascii="仿宋_GB2312" w:hAnsi="宋体" w:eastAsia="仿宋_GB2312"/>
                <w:b/>
                <w:bCs/>
                <w:kern w:val="0"/>
                <w:sz w:val="18"/>
                <w:szCs w:val="18"/>
                <w:highlight w:val="green"/>
              </w:rPr>
            </w:pPr>
            <w:r>
              <w:rPr>
                <w:rFonts w:hint="eastAsia" w:ascii="仿宋_GB2312" w:hAnsi="宋体" w:eastAsia="仿宋_GB2312"/>
                <w:kern w:val="0"/>
                <w:sz w:val="18"/>
                <w:szCs w:val="18"/>
                <w:highlight w:val="none"/>
                <w:lang w:val="en-US" w:eastAsia="zh-CN"/>
              </w:rPr>
              <w:t>99</w:t>
            </w:r>
          </w:p>
        </w:tc>
        <w:tc>
          <w:tcPr>
            <w:tcW w:w="1126" w:type="dxa"/>
            <w:vAlign w:val="center"/>
          </w:tcPr>
          <w:p>
            <w:pPr>
              <w:widowControl/>
              <w:jc w:val="center"/>
              <w:outlineLvl w:val="1"/>
              <w:rPr>
                <w:rFonts w:hint="eastAsia" w:ascii="仿宋_GB2312" w:hAnsi="宋体" w:eastAsia="仿宋_GB2312"/>
                <w:b/>
                <w:bCs/>
                <w:kern w:val="0"/>
                <w:sz w:val="18"/>
                <w:szCs w:val="18"/>
                <w:highlight w:val="none"/>
                <w:lang w:eastAsia="zh-CN"/>
              </w:rPr>
            </w:pPr>
            <w:r>
              <w:rPr>
                <w:rFonts w:hint="eastAsia" w:ascii="仿宋_GB2312" w:hAnsi="宋体" w:eastAsia="仿宋_GB2312"/>
                <w:kern w:val="0"/>
                <w:sz w:val="18"/>
                <w:szCs w:val="18"/>
                <w:highlight w:val="none"/>
                <w:lang w:eastAsia="zh-CN"/>
              </w:rPr>
              <w:t>其他残疾人事业支出</w:t>
            </w:r>
          </w:p>
        </w:tc>
        <w:tc>
          <w:tcPr>
            <w:tcW w:w="2625" w:type="dxa"/>
            <w:vAlign w:val="center"/>
          </w:tcPr>
          <w:p>
            <w:pPr>
              <w:widowControl/>
              <w:jc w:val="both"/>
              <w:outlineLvl w:val="1"/>
              <w:rPr>
                <w:rFonts w:hint="eastAsia" w:ascii="仿宋_GB2312" w:hAnsi="宋体" w:eastAsia="仿宋_GB2312"/>
                <w:b w:val="0"/>
                <w:bCs w:val="0"/>
                <w:kern w:val="0"/>
                <w:sz w:val="18"/>
                <w:szCs w:val="18"/>
                <w:highlight w:val="none"/>
                <w:lang w:eastAsia="zh-CN"/>
              </w:rPr>
            </w:pPr>
            <w:r>
              <w:rPr>
                <w:rFonts w:hint="eastAsia" w:ascii="仿宋_GB2312" w:hAnsi="宋体" w:eastAsia="仿宋_GB2312"/>
                <w:b w:val="0"/>
                <w:bCs w:val="0"/>
                <w:kern w:val="0"/>
                <w:sz w:val="18"/>
                <w:szCs w:val="18"/>
                <w:highlight w:val="none"/>
                <w:lang w:eastAsia="zh-CN"/>
              </w:rPr>
              <w:t>2025年中央财政残疾人事业发展补助资金</w:t>
            </w:r>
          </w:p>
        </w:tc>
        <w:tc>
          <w:tcPr>
            <w:tcW w:w="1560"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4.66</w:t>
            </w:r>
          </w:p>
        </w:tc>
        <w:tc>
          <w:tcPr>
            <w:tcW w:w="720"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1035"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1.8</w:t>
            </w:r>
          </w:p>
        </w:tc>
        <w:tc>
          <w:tcPr>
            <w:tcW w:w="1005"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2.86</w:t>
            </w:r>
          </w:p>
        </w:tc>
        <w:tc>
          <w:tcPr>
            <w:tcW w:w="76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7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00"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689"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375"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680" w:type="dxa"/>
            <w:vAlign w:val="center"/>
          </w:tcPr>
          <w:p>
            <w:pPr>
              <w:widowControl/>
              <w:jc w:val="center"/>
              <w:outlineLvl w:val="1"/>
              <w:rPr>
                <w:rFonts w:hint="eastAsia" w:ascii="仿宋_GB2312" w:hAnsi="宋体" w:eastAsia="仿宋_GB2312"/>
                <w:b/>
                <w:bCs/>
                <w:color w:val="auto"/>
                <w:kern w:val="0"/>
                <w:sz w:val="32"/>
                <w:szCs w:val="32"/>
                <w:highlight w:val="none"/>
              </w:rPr>
            </w:pPr>
          </w:p>
        </w:tc>
        <w:tc>
          <w:tcPr>
            <w:tcW w:w="551" w:type="dxa"/>
            <w:vAlign w:val="center"/>
          </w:tcPr>
          <w:p>
            <w:pPr>
              <w:widowControl/>
              <w:jc w:val="center"/>
              <w:outlineLvl w:val="1"/>
              <w:rPr>
                <w:rFonts w:hint="eastAsia" w:ascii="仿宋_GB2312" w:hAnsi="宋体" w:eastAsia="仿宋_GB2312"/>
                <w:b/>
                <w:bCs/>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4" w:type="dxa"/>
            <w:gridSpan w:val="2"/>
            <w:vAlign w:val="center"/>
          </w:tcPr>
          <w:p>
            <w:pPr>
              <w:widowControl/>
              <w:jc w:val="center"/>
              <w:outlineLvl w:val="1"/>
              <w:rPr>
                <w:rFonts w:hint="eastAsia" w:ascii="仿宋_GB2312" w:hAnsi="宋体" w:eastAsia="仿宋_GB2312"/>
                <w:kern w:val="0"/>
                <w:sz w:val="18"/>
                <w:szCs w:val="18"/>
                <w:highlight w:val="none"/>
                <w:lang w:val="en-US" w:eastAsia="zh-CN"/>
              </w:rPr>
            </w:pPr>
          </w:p>
          <w:p>
            <w:pPr>
              <w:widowControl/>
              <w:jc w:val="center"/>
              <w:outlineLvl w:val="1"/>
              <w:rPr>
                <w:rFonts w:hint="eastAsia" w:ascii="仿宋_GB2312" w:hAnsi="宋体" w:eastAsia="仿宋_GB2312"/>
                <w:kern w:val="0"/>
                <w:sz w:val="18"/>
                <w:szCs w:val="18"/>
                <w:highlight w:val="none"/>
              </w:rPr>
            </w:pPr>
            <w:r>
              <w:rPr>
                <w:rFonts w:hint="eastAsia" w:ascii="仿宋_GB2312" w:hAnsi="宋体" w:eastAsia="仿宋_GB2312"/>
                <w:kern w:val="0"/>
                <w:sz w:val="18"/>
                <w:szCs w:val="18"/>
                <w:highlight w:val="none"/>
                <w:lang w:val="en-US" w:eastAsia="zh-CN"/>
              </w:rPr>
              <w:t>208</w:t>
            </w:r>
          </w:p>
        </w:tc>
        <w:tc>
          <w:tcPr>
            <w:tcW w:w="450" w:type="dxa"/>
            <w:vAlign w:val="center"/>
          </w:tcPr>
          <w:p>
            <w:pPr>
              <w:widowControl/>
              <w:jc w:val="center"/>
              <w:outlineLvl w:val="1"/>
              <w:rPr>
                <w:rFonts w:hint="eastAsia" w:ascii="仿宋_GB2312" w:hAnsi="宋体" w:eastAsia="仿宋_GB2312"/>
                <w:kern w:val="0"/>
                <w:sz w:val="18"/>
                <w:szCs w:val="18"/>
                <w:highlight w:val="none"/>
              </w:rPr>
            </w:pPr>
          </w:p>
          <w:p>
            <w:pPr>
              <w:widowControl/>
              <w:jc w:val="center"/>
              <w:outlineLvl w:val="1"/>
              <w:rPr>
                <w:rFonts w:hint="eastAsia" w:ascii="仿宋_GB2312" w:hAnsi="宋体" w:eastAsia="仿宋_GB2312"/>
                <w:kern w:val="0"/>
                <w:sz w:val="18"/>
                <w:szCs w:val="18"/>
                <w:highlight w:val="none"/>
              </w:rPr>
            </w:pPr>
            <w:r>
              <w:rPr>
                <w:rFonts w:hint="eastAsia" w:ascii="仿宋_GB2312" w:hAnsi="宋体" w:eastAsia="仿宋_GB2312"/>
                <w:kern w:val="0"/>
                <w:sz w:val="18"/>
                <w:szCs w:val="18"/>
                <w:highlight w:val="none"/>
              </w:rPr>
              <w:t>11</w:t>
            </w:r>
          </w:p>
        </w:tc>
        <w:tc>
          <w:tcPr>
            <w:tcW w:w="450" w:type="dxa"/>
            <w:vAlign w:val="center"/>
          </w:tcPr>
          <w:p>
            <w:pPr>
              <w:widowControl/>
              <w:jc w:val="center"/>
              <w:outlineLvl w:val="1"/>
              <w:rPr>
                <w:rFonts w:hint="eastAsia" w:ascii="仿宋_GB2312" w:hAnsi="宋体" w:eastAsia="仿宋_GB2312"/>
                <w:kern w:val="0"/>
                <w:sz w:val="18"/>
                <w:szCs w:val="18"/>
                <w:highlight w:val="none"/>
              </w:rPr>
            </w:pPr>
          </w:p>
          <w:p>
            <w:pPr>
              <w:widowControl/>
              <w:jc w:val="center"/>
              <w:outlineLvl w:val="1"/>
              <w:rPr>
                <w:rFonts w:hint="eastAsia" w:ascii="仿宋_GB2312" w:hAnsi="宋体" w:eastAsia="仿宋_GB2312"/>
                <w:kern w:val="0"/>
                <w:sz w:val="18"/>
                <w:szCs w:val="18"/>
                <w:highlight w:val="none"/>
                <w:lang w:val="en-US" w:eastAsia="zh-CN"/>
              </w:rPr>
            </w:pPr>
            <w:r>
              <w:rPr>
                <w:rFonts w:hint="eastAsia" w:ascii="仿宋_GB2312" w:hAnsi="宋体" w:eastAsia="仿宋_GB2312"/>
                <w:kern w:val="0"/>
                <w:sz w:val="18"/>
                <w:szCs w:val="18"/>
                <w:highlight w:val="none"/>
                <w:lang w:val="en-US" w:eastAsia="zh-CN"/>
              </w:rPr>
              <w:t>99</w:t>
            </w:r>
          </w:p>
        </w:tc>
        <w:tc>
          <w:tcPr>
            <w:tcW w:w="1126" w:type="dxa"/>
            <w:vAlign w:val="center"/>
          </w:tcPr>
          <w:p>
            <w:pPr>
              <w:widowControl/>
              <w:jc w:val="center"/>
              <w:outlineLvl w:val="1"/>
              <w:rPr>
                <w:rFonts w:hint="eastAsia" w:ascii="仿宋_GB2312" w:hAnsi="宋体" w:eastAsia="仿宋_GB2312"/>
                <w:kern w:val="0"/>
                <w:sz w:val="18"/>
                <w:szCs w:val="18"/>
                <w:highlight w:val="none"/>
                <w:lang w:eastAsia="zh-CN"/>
              </w:rPr>
            </w:pPr>
            <w:r>
              <w:rPr>
                <w:rFonts w:hint="eastAsia" w:ascii="仿宋_GB2312" w:hAnsi="宋体" w:eastAsia="仿宋_GB2312"/>
                <w:kern w:val="0"/>
                <w:sz w:val="18"/>
                <w:szCs w:val="18"/>
                <w:highlight w:val="none"/>
                <w:lang w:eastAsia="zh-CN"/>
              </w:rPr>
              <w:t>其他残疾人事业支出</w:t>
            </w:r>
          </w:p>
        </w:tc>
        <w:tc>
          <w:tcPr>
            <w:tcW w:w="2625" w:type="dxa"/>
            <w:vAlign w:val="center"/>
          </w:tcPr>
          <w:p>
            <w:pPr>
              <w:widowControl/>
              <w:jc w:val="center"/>
              <w:outlineLvl w:val="1"/>
              <w:rPr>
                <w:rFonts w:hint="eastAsia" w:ascii="仿宋_GB2312" w:hAnsi="宋体" w:eastAsia="仿宋_GB2312"/>
                <w:kern w:val="0"/>
                <w:sz w:val="18"/>
                <w:szCs w:val="18"/>
                <w:highlight w:val="none"/>
                <w:lang w:val="en-US" w:eastAsia="zh-CN"/>
              </w:rPr>
            </w:pPr>
            <w:r>
              <w:rPr>
                <w:rFonts w:hint="eastAsia" w:ascii="仿宋_GB2312" w:hAnsi="宋体" w:eastAsia="仿宋_GB2312"/>
                <w:kern w:val="0"/>
                <w:sz w:val="18"/>
                <w:szCs w:val="18"/>
                <w:highlight w:val="none"/>
                <w:lang w:eastAsia="zh-CN"/>
              </w:rPr>
              <w:t>2025年自治区财政残疾人事业发展补助资金</w:t>
            </w:r>
          </w:p>
        </w:tc>
        <w:tc>
          <w:tcPr>
            <w:tcW w:w="1560" w:type="dxa"/>
            <w:vAlign w:val="center"/>
          </w:tcPr>
          <w:p>
            <w:pPr>
              <w:widowControl/>
              <w:jc w:val="center"/>
              <w:outlineLvl w:val="1"/>
              <w:rPr>
                <w:rFonts w:hint="eastAsia" w:ascii="仿宋_GB2312" w:hAnsi="宋体" w:eastAsia="仿宋_GB2312"/>
                <w:kern w:val="0"/>
                <w:sz w:val="18"/>
                <w:szCs w:val="18"/>
                <w:highlight w:val="none"/>
                <w:lang w:val="en-US" w:eastAsia="zh-CN"/>
              </w:rPr>
            </w:pPr>
            <w:r>
              <w:rPr>
                <w:rFonts w:hint="default" w:ascii="仿宋_GB2312" w:hAnsi="宋体" w:eastAsia="仿宋_GB2312"/>
                <w:kern w:val="0"/>
                <w:sz w:val="18"/>
                <w:szCs w:val="18"/>
                <w:highlight w:val="none"/>
                <w:lang w:val="en-US" w:eastAsia="zh-CN"/>
              </w:rPr>
              <w:t>7.50</w:t>
            </w:r>
          </w:p>
        </w:tc>
        <w:tc>
          <w:tcPr>
            <w:tcW w:w="720" w:type="dxa"/>
            <w:vAlign w:val="center"/>
          </w:tcPr>
          <w:p>
            <w:pPr>
              <w:widowControl/>
              <w:jc w:val="center"/>
              <w:outlineLvl w:val="1"/>
              <w:rPr>
                <w:rFonts w:hint="eastAsia" w:ascii="仿宋_GB2312" w:hAnsi="宋体" w:eastAsia="仿宋_GB2312"/>
                <w:kern w:val="0"/>
                <w:sz w:val="18"/>
                <w:szCs w:val="18"/>
                <w:highlight w:val="none"/>
                <w:lang w:val="en-US" w:eastAsia="zh-CN"/>
              </w:rPr>
            </w:pPr>
          </w:p>
        </w:tc>
        <w:tc>
          <w:tcPr>
            <w:tcW w:w="1035" w:type="dxa"/>
            <w:vAlign w:val="center"/>
          </w:tcPr>
          <w:p>
            <w:pPr>
              <w:widowControl/>
              <w:jc w:val="center"/>
              <w:outlineLvl w:val="1"/>
              <w:rPr>
                <w:rFonts w:hint="eastAsia" w:ascii="仿宋_GB2312" w:hAnsi="宋体" w:eastAsia="仿宋_GB2312"/>
                <w:kern w:val="0"/>
                <w:sz w:val="18"/>
                <w:szCs w:val="18"/>
                <w:highlight w:val="none"/>
                <w:lang w:val="en-US" w:eastAsia="zh-CN"/>
              </w:rPr>
            </w:pPr>
          </w:p>
        </w:tc>
        <w:tc>
          <w:tcPr>
            <w:tcW w:w="1005" w:type="dxa"/>
            <w:vAlign w:val="center"/>
          </w:tcPr>
          <w:p>
            <w:pPr>
              <w:widowControl/>
              <w:jc w:val="center"/>
              <w:outlineLvl w:val="1"/>
              <w:rPr>
                <w:rFonts w:hint="eastAsia" w:ascii="仿宋_GB2312" w:hAnsi="宋体" w:eastAsia="仿宋_GB2312"/>
                <w:kern w:val="0"/>
                <w:sz w:val="18"/>
                <w:szCs w:val="18"/>
                <w:highlight w:val="none"/>
                <w:lang w:val="en-US" w:eastAsia="zh-CN"/>
              </w:rPr>
            </w:pPr>
            <w:r>
              <w:rPr>
                <w:rFonts w:hint="default" w:ascii="仿宋_GB2312" w:hAnsi="宋体" w:eastAsia="仿宋_GB2312"/>
                <w:kern w:val="0"/>
                <w:sz w:val="18"/>
                <w:szCs w:val="18"/>
                <w:highlight w:val="none"/>
                <w:lang w:val="en-US" w:eastAsia="zh-CN"/>
              </w:rPr>
              <w:t>7.50</w:t>
            </w:r>
          </w:p>
        </w:tc>
        <w:tc>
          <w:tcPr>
            <w:tcW w:w="765" w:type="dxa"/>
            <w:vAlign w:val="center"/>
          </w:tcPr>
          <w:p>
            <w:pPr>
              <w:widowControl/>
              <w:jc w:val="center"/>
              <w:outlineLvl w:val="1"/>
              <w:rPr>
                <w:rFonts w:hint="eastAsia" w:ascii="仿宋_GB2312" w:hAnsi="宋体" w:eastAsia="仿宋_GB2312"/>
                <w:kern w:val="0"/>
                <w:sz w:val="18"/>
                <w:szCs w:val="18"/>
                <w:highlight w:val="none"/>
                <w:lang w:val="en-US" w:eastAsia="zh-CN"/>
              </w:rPr>
            </w:pPr>
          </w:p>
        </w:tc>
        <w:tc>
          <w:tcPr>
            <w:tcW w:w="675" w:type="dxa"/>
            <w:vAlign w:val="center"/>
          </w:tcPr>
          <w:p>
            <w:pPr>
              <w:widowControl/>
              <w:jc w:val="center"/>
              <w:outlineLvl w:val="1"/>
              <w:rPr>
                <w:rFonts w:hint="eastAsia" w:ascii="仿宋_GB2312" w:hAnsi="宋体" w:eastAsia="仿宋_GB2312"/>
                <w:kern w:val="0"/>
                <w:sz w:val="18"/>
                <w:szCs w:val="18"/>
                <w:highlight w:val="none"/>
                <w:lang w:val="en-US" w:eastAsia="zh-CN"/>
              </w:rPr>
            </w:pPr>
          </w:p>
        </w:tc>
        <w:tc>
          <w:tcPr>
            <w:tcW w:w="600" w:type="dxa"/>
            <w:vAlign w:val="center"/>
          </w:tcPr>
          <w:p>
            <w:pPr>
              <w:widowControl/>
              <w:jc w:val="center"/>
              <w:outlineLvl w:val="1"/>
              <w:rPr>
                <w:rFonts w:hint="eastAsia" w:ascii="仿宋_GB2312" w:hAnsi="宋体" w:eastAsia="仿宋_GB2312"/>
                <w:color w:val="auto"/>
                <w:kern w:val="0"/>
                <w:sz w:val="32"/>
                <w:szCs w:val="32"/>
                <w:highlight w:val="none"/>
              </w:rPr>
            </w:pPr>
          </w:p>
        </w:tc>
        <w:tc>
          <w:tcPr>
            <w:tcW w:w="689" w:type="dxa"/>
            <w:vAlign w:val="center"/>
          </w:tcPr>
          <w:p>
            <w:pPr>
              <w:widowControl/>
              <w:jc w:val="center"/>
              <w:outlineLvl w:val="1"/>
              <w:rPr>
                <w:rFonts w:hint="eastAsia" w:ascii="仿宋_GB2312" w:hAnsi="宋体" w:eastAsia="仿宋_GB2312"/>
                <w:color w:val="auto"/>
                <w:kern w:val="0"/>
                <w:sz w:val="32"/>
                <w:szCs w:val="32"/>
                <w:highlight w:val="none"/>
              </w:rPr>
            </w:pPr>
          </w:p>
        </w:tc>
        <w:tc>
          <w:tcPr>
            <w:tcW w:w="375" w:type="dxa"/>
            <w:vAlign w:val="center"/>
          </w:tcPr>
          <w:p>
            <w:pPr>
              <w:widowControl/>
              <w:jc w:val="center"/>
              <w:outlineLvl w:val="1"/>
              <w:rPr>
                <w:rFonts w:hint="eastAsia" w:ascii="仿宋_GB2312" w:hAnsi="宋体" w:eastAsia="仿宋_GB2312"/>
                <w:color w:val="auto"/>
                <w:kern w:val="0"/>
                <w:sz w:val="32"/>
                <w:szCs w:val="32"/>
                <w:highlight w:val="none"/>
              </w:rPr>
            </w:pPr>
          </w:p>
        </w:tc>
        <w:tc>
          <w:tcPr>
            <w:tcW w:w="680" w:type="dxa"/>
            <w:vAlign w:val="center"/>
          </w:tcPr>
          <w:p>
            <w:pPr>
              <w:widowControl/>
              <w:jc w:val="center"/>
              <w:outlineLvl w:val="1"/>
              <w:rPr>
                <w:rFonts w:hint="eastAsia" w:ascii="仿宋_GB2312" w:hAnsi="宋体" w:eastAsia="仿宋_GB2312"/>
                <w:color w:val="auto"/>
                <w:kern w:val="0"/>
                <w:sz w:val="32"/>
                <w:szCs w:val="32"/>
                <w:highlight w:val="none"/>
              </w:rPr>
            </w:pPr>
          </w:p>
        </w:tc>
        <w:tc>
          <w:tcPr>
            <w:tcW w:w="551" w:type="dxa"/>
            <w:vAlign w:val="center"/>
          </w:tcPr>
          <w:p>
            <w:pPr>
              <w:widowControl/>
              <w:jc w:val="center"/>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4"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50" w:type="dxa"/>
            <w:vAlign w:val="center"/>
          </w:tcPr>
          <w:p>
            <w:pPr>
              <w:widowControl/>
              <w:jc w:val="center"/>
              <w:outlineLvl w:val="1"/>
              <w:rPr>
                <w:rFonts w:ascii="仿宋_GB2312" w:hAnsi="宋体" w:eastAsia="仿宋_GB2312"/>
                <w:color w:val="auto"/>
                <w:kern w:val="0"/>
                <w:sz w:val="32"/>
                <w:szCs w:val="32"/>
                <w:highlight w:val="none"/>
              </w:rPr>
            </w:pPr>
          </w:p>
        </w:tc>
        <w:tc>
          <w:tcPr>
            <w:tcW w:w="450" w:type="dxa"/>
            <w:vAlign w:val="center"/>
          </w:tcPr>
          <w:p>
            <w:pPr>
              <w:widowControl/>
              <w:jc w:val="center"/>
              <w:outlineLvl w:val="1"/>
              <w:rPr>
                <w:rFonts w:ascii="仿宋_GB2312" w:hAnsi="宋体" w:eastAsia="仿宋_GB2312"/>
                <w:color w:val="auto"/>
                <w:kern w:val="0"/>
                <w:sz w:val="32"/>
                <w:szCs w:val="32"/>
                <w:highlight w:val="none"/>
              </w:rPr>
            </w:pPr>
          </w:p>
        </w:tc>
        <w:tc>
          <w:tcPr>
            <w:tcW w:w="1126" w:type="dxa"/>
            <w:vAlign w:val="center"/>
          </w:tcPr>
          <w:p>
            <w:pPr>
              <w:widowControl/>
              <w:jc w:val="center"/>
              <w:outlineLvl w:val="1"/>
              <w:rPr>
                <w:rFonts w:ascii="仿宋_GB2312" w:hAnsi="宋体" w:eastAsia="仿宋_GB2312"/>
                <w:color w:val="auto"/>
                <w:kern w:val="0"/>
                <w:sz w:val="32"/>
                <w:szCs w:val="32"/>
                <w:highlight w:val="none"/>
              </w:rPr>
            </w:pPr>
          </w:p>
        </w:tc>
        <w:tc>
          <w:tcPr>
            <w:tcW w:w="2625" w:type="dxa"/>
            <w:vAlign w:val="center"/>
          </w:tcPr>
          <w:p>
            <w:pPr>
              <w:widowControl/>
              <w:jc w:val="center"/>
              <w:outlineLvl w:val="1"/>
              <w:rPr>
                <w:rFonts w:hint="eastAsia"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合 计</w:t>
            </w:r>
          </w:p>
        </w:tc>
        <w:tc>
          <w:tcPr>
            <w:tcW w:w="1560"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12.16</w:t>
            </w:r>
          </w:p>
        </w:tc>
        <w:tc>
          <w:tcPr>
            <w:tcW w:w="720"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1035"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default" w:ascii="仿宋_GB2312" w:hAnsi="宋体" w:eastAsia="仿宋_GB2312"/>
                <w:b/>
                <w:bCs/>
                <w:kern w:val="0"/>
                <w:sz w:val="18"/>
                <w:szCs w:val="18"/>
                <w:highlight w:val="none"/>
                <w:lang w:val="en-US" w:eastAsia="zh-CN"/>
              </w:rPr>
              <w:t>1.80</w:t>
            </w:r>
          </w:p>
        </w:tc>
        <w:tc>
          <w:tcPr>
            <w:tcW w:w="1005" w:type="dxa"/>
            <w:vAlign w:val="center"/>
          </w:tcPr>
          <w:p>
            <w:pPr>
              <w:widowControl/>
              <w:jc w:val="center"/>
              <w:outlineLvl w:val="1"/>
              <w:rPr>
                <w:rFonts w:hint="default" w:ascii="仿宋_GB2312" w:hAnsi="宋体" w:eastAsia="仿宋_GB2312"/>
                <w:b/>
                <w:bCs/>
                <w:kern w:val="0"/>
                <w:sz w:val="18"/>
                <w:szCs w:val="18"/>
                <w:highlight w:val="none"/>
                <w:lang w:val="en-US" w:eastAsia="zh-CN"/>
              </w:rPr>
            </w:pPr>
            <w:r>
              <w:rPr>
                <w:rFonts w:hint="eastAsia" w:ascii="仿宋_GB2312" w:hAnsi="宋体" w:eastAsia="仿宋_GB2312"/>
                <w:b/>
                <w:bCs/>
                <w:kern w:val="0"/>
                <w:sz w:val="18"/>
                <w:szCs w:val="18"/>
                <w:highlight w:val="none"/>
                <w:lang w:val="en-US" w:eastAsia="zh-CN"/>
              </w:rPr>
              <w:t>10.36</w:t>
            </w:r>
          </w:p>
        </w:tc>
        <w:tc>
          <w:tcPr>
            <w:tcW w:w="76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75" w:type="dxa"/>
            <w:vAlign w:val="center"/>
          </w:tcPr>
          <w:p>
            <w:pPr>
              <w:widowControl/>
              <w:jc w:val="center"/>
              <w:outlineLvl w:val="1"/>
              <w:rPr>
                <w:rFonts w:hint="eastAsia" w:ascii="仿宋_GB2312" w:hAnsi="宋体" w:eastAsia="仿宋_GB2312"/>
                <w:b/>
                <w:bCs/>
                <w:kern w:val="0"/>
                <w:sz w:val="18"/>
                <w:szCs w:val="18"/>
                <w:highlight w:val="none"/>
                <w:lang w:val="en-US" w:eastAsia="zh-CN"/>
              </w:rPr>
            </w:pPr>
          </w:p>
        </w:tc>
        <w:tc>
          <w:tcPr>
            <w:tcW w:w="600" w:type="dxa"/>
            <w:vAlign w:val="center"/>
          </w:tcPr>
          <w:p>
            <w:pPr>
              <w:widowControl/>
              <w:jc w:val="center"/>
              <w:outlineLvl w:val="1"/>
              <w:rPr>
                <w:rFonts w:ascii="仿宋_GB2312" w:hAnsi="宋体" w:eastAsia="仿宋_GB2312"/>
                <w:b/>
                <w:bCs/>
                <w:color w:val="auto"/>
                <w:kern w:val="0"/>
                <w:sz w:val="32"/>
                <w:szCs w:val="32"/>
                <w:highlight w:val="none"/>
              </w:rPr>
            </w:pPr>
          </w:p>
        </w:tc>
        <w:tc>
          <w:tcPr>
            <w:tcW w:w="689" w:type="dxa"/>
            <w:vAlign w:val="center"/>
          </w:tcPr>
          <w:p>
            <w:pPr>
              <w:widowControl/>
              <w:jc w:val="center"/>
              <w:outlineLvl w:val="1"/>
              <w:rPr>
                <w:rFonts w:ascii="仿宋_GB2312" w:hAnsi="宋体" w:eastAsia="仿宋_GB2312"/>
                <w:b/>
                <w:bCs/>
                <w:color w:val="auto"/>
                <w:kern w:val="0"/>
                <w:sz w:val="32"/>
                <w:szCs w:val="32"/>
                <w:highlight w:val="none"/>
              </w:rPr>
            </w:pPr>
          </w:p>
        </w:tc>
        <w:tc>
          <w:tcPr>
            <w:tcW w:w="375" w:type="dxa"/>
            <w:vAlign w:val="center"/>
          </w:tcPr>
          <w:p>
            <w:pPr>
              <w:widowControl/>
              <w:jc w:val="center"/>
              <w:outlineLvl w:val="1"/>
              <w:rPr>
                <w:rFonts w:ascii="仿宋_GB2312" w:hAnsi="宋体" w:eastAsia="仿宋_GB2312"/>
                <w:b/>
                <w:bCs/>
                <w:color w:val="auto"/>
                <w:kern w:val="0"/>
                <w:sz w:val="32"/>
                <w:szCs w:val="32"/>
                <w:highlight w:val="none"/>
              </w:rPr>
            </w:pPr>
          </w:p>
        </w:tc>
        <w:tc>
          <w:tcPr>
            <w:tcW w:w="680" w:type="dxa"/>
            <w:vAlign w:val="center"/>
          </w:tcPr>
          <w:p>
            <w:pPr>
              <w:widowControl/>
              <w:jc w:val="center"/>
              <w:outlineLvl w:val="1"/>
              <w:rPr>
                <w:rFonts w:ascii="仿宋_GB2312" w:hAnsi="宋体" w:eastAsia="仿宋_GB2312"/>
                <w:b/>
                <w:bCs/>
                <w:color w:val="auto"/>
                <w:kern w:val="0"/>
                <w:sz w:val="32"/>
                <w:szCs w:val="32"/>
                <w:highlight w:val="none"/>
              </w:rPr>
            </w:pPr>
          </w:p>
        </w:tc>
        <w:tc>
          <w:tcPr>
            <w:tcW w:w="551" w:type="dxa"/>
            <w:vAlign w:val="center"/>
          </w:tcPr>
          <w:p>
            <w:pPr>
              <w:widowControl/>
              <w:jc w:val="center"/>
              <w:outlineLvl w:val="1"/>
              <w:rPr>
                <w:rFonts w:ascii="仿宋_GB2312" w:hAnsi="宋体" w:eastAsia="仿宋_GB2312"/>
                <w:color w:val="auto"/>
                <w:kern w:val="0"/>
                <w:sz w:val="32"/>
                <w:szCs w:val="32"/>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宋体" w:hAnsi="宋体" w:cs="宋体"/>
          <w:b w:val="0"/>
          <w:bCs w:val="0"/>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_GB2312" w:hAnsi="宋体" w:eastAsia="仿宋_GB2312"/>
          <w:b w:val="0"/>
          <w:bCs w:val="0"/>
          <w:color w:val="auto"/>
          <w:kern w:val="0"/>
          <w:sz w:val="28"/>
          <w:szCs w:val="32"/>
          <w:highlight w:val="none"/>
          <w:lang w:val="en-US" w:eastAsia="zh-CN"/>
        </w:rPr>
      </w:pPr>
      <w:r>
        <w:rPr>
          <w:rFonts w:hint="eastAsia" w:ascii="仿宋_GB2312" w:hAnsi="宋体" w:eastAsia="仿宋_GB2312"/>
          <w:b w:val="0"/>
          <w:bCs w:val="0"/>
          <w:color w:val="auto"/>
          <w:kern w:val="0"/>
          <w:sz w:val="28"/>
          <w:szCs w:val="32"/>
          <w:highlight w:val="none"/>
          <w:lang w:val="en-US" w:eastAsia="zh-CN"/>
        </w:rPr>
        <w:t>呼图壁县残疾人联合会2025年没有使用政府性基金预算拨款安排的支出，政府性基金预算支出情况表为空表。</w:t>
      </w:r>
    </w:p>
    <w:p>
      <w:pPr>
        <w:keepNext w:val="0"/>
        <w:keepLines w:val="0"/>
        <w:widowControl/>
        <w:suppressLineNumbers w:val="0"/>
        <w:jc w:val="left"/>
        <w:textAlignment w:val="bottom"/>
        <w:rPr>
          <w:rFonts w:hint="eastAsia" w:ascii="仿宋_GB2312" w:hAnsi="宋体" w:eastAsia="仿宋_GB2312"/>
          <w:b/>
          <w:color w:val="FF0000"/>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呼图壁县残疾人联合会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仿宋_GB2312" w:hAnsi="宋体" w:eastAsia="仿宋_GB2312"/>
          <w:b w:val="0"/>
          <w:bCs w:val="0"/>
          <w:color w:val="auto"/>
          <w:kern w:val="0"/>
          <w:sz w:val="28"/>
          <w:szCs w:val="32"/>
          <w:highlight w:val="none"/>
          <w:lang w:val="en-US" w:eastAsia="zh-CN"/>
        </w:rPr>
      </w:pPr>
    </w:p>
    <w:p>
      <w:pPr>
        <w:keepNext w:val="0"/>
        <w:keepLines w:val="0"/>
        <w:widowControl/>
        <w:suppressLineNumbers w:val="0"/>
        <w:jc w:val="left"/>
        <w:textAlignment w:val="bottom"/>
        <w:rPr>
          <w:rFonts w:hint="eastAsia" w:ascii="仿宋_GB2312" w:hAnsi="宋体" w:eastAsia="仿宋_GB2312"/>
          <w:b w:val="0"/>
          <w:bCs w:val="0"/>
          <w:color w:val="auto"/>
          <w:kern w:val="0"/>
          <w:sz w:val="28"/>
          <w:szCs w:val="32"/>
          <w:highlight w:val="none"/>
          <w:lang w:val="en-US" w:eastAsia="zh-CN"/>
        </w:rPr>
      </w:pPr>
      <w:r>
        <w:rPr>
          <w:rFonts w:hint="eastAsia" w:ascii="仿宋_GB2312" w:hAnsi="宋体" w:eastAsia="仿宋_GB2312"/>
          <w:b w:val="0"/>
          <w:bCs w:val="0"/>
          <w:color w:val="auto"/>
          <w:kern w:val="0"/>
          <w:sz w:val="28"/>
          <w:szCs w:val="32"/>
          <w:highlight w:val="none"/>
          <w:lang w:val="en-US" w:eastAsia="zh-CN"/>
        </w:rPr>
        <w:t>呼图壁县残疾人联合会2025年没有使用国有资本经营预算拨款安排的支出，国有资本经营预算支出情况表为空表。</w:t>
      </w:r>
    </w:p>
    <w:p>
      <w:pPr>
        <w:keepNext w:val="0"/>
        <w:keepLines w:val="0"/>
        <w:widowControl/>
        <w:suppressLineNumbers w:val="0"/>
        <w:jc w:val="left"/>
        <w:textAlignment w:val="bottom"/>
        <w:rPr>
          <w:rFonts w:hint="eastAsia" w:ascii="仿宋" w:hAnsi="仿宋" w:eastAsia="仿宋" w:cs="仿宋"/>
          <w:b w:val="0"/>
          <w:bCs w:val="0"/>
          <w:sz w:val="24"/>
          <w:szCs w:val="24"/>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 xml:space="preserve">呼图壁县残疾人联合会                </w:t>
      </w:r>
      <w:r>
        <w:rPr>
          <w:rFonts w:hint="eastAsia" w:ascii="仿宋_GB2312" w:hAnsi="宋体" w:eastAsia="仿宋_GB2312"/>
          <w:color w:val="auto"/>
          <w:kern w:val="0"/>
          <w:sz w:val="24"/>
          <w:highlight w:val="none"/>
        </w:rPr>
        <w:t xml:space="preserve">               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合计</w:t>
            </w:r>
          </w:p>
        </w:tc>
        <w:tc>
          <w:tcPr>
            <w:tcW w:w="1215" w:type="dxa"/>
            <w:vAlign w:val="center"/>
          </w:tcPr>
          <w:p>
            <w:pPr>
              <w:widowControl/>
              <w:jc w:val="center"/>
              <w:outlineLvl w:val="1"/>
              <w:rPr>
                <w:rFonts w:hint="eastAsia"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lang w:val="en-US" w:eastAsia="zh-CN"/>
              </w:rPr>
              <w:t>1.60</w:t>
            </w:r>
          </w:p>
        </w:tc>
        <w:tc>
          <w:tcPr>
            <w:tcW w:w="1314"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因公出国（境）费</w:t>
            </w:r>
          </w:p>
        </w:tc>
        <w:tc>
          <w:tcPr>
            <w:tcW w:w="1215" w:type="dxa"/>
            <w:vAlign w:val="center"/>
          </w:tcPr>
          <w:p>
            <w:pPr>
              <w:widowControl/>
              <w:jc w:val="center"/>
              <w:outlineLvl w:val="1"/>
              <w:rPr>
                <w:rFonts w:hint="eastAsia" w:ascii="仿宋_GB2312" w:hAnsi="宋体" w:eastAsia="仿宋_GB2312"/>
                <w:b/>
                <w:bCs w:val="0"/>
                <w:color w:val="auto"/>
                <w:kern w:val="0"/>
                <w:sz w:val="21"/>
                <w:szCs w:val="21"/>
                <w:highlight w:val="none"/>
                <w:vertAlign w:val="baseline"/>
              </w:rPr>
            </w:pPr>
          </w:p>
        </w:tc>
        <w:tc>
          <w:tcPr>
            <w:tcW w:w="1314"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公务接待费</w:t>
            </w:r>
          </w:p>
        </w:tc>
        <w:tc>
          <w:tcPr>
            <w:tcW w:w="1215" w:type="dxa"/>
            <w:vAlign w:val="center"/>
          </w:tcPr>
          <w:p>
            <w:pPr>
              <w:widowControl/>
              <w:jc w:val="center"/>
              <w:outlineLvl w:val="1"/>
              <w:rPr>
                <w:rFonts w:hint="eastAsia" w:ascii="仿宋_GB2312" w:hAnsi="宋体" w:eastAsia="仿宋_GB2312"/>
                <w:b/>
                <w:bCs w:val="0"/>
                <w:color w:val="auto"/>
                <w:kern w:val="0"/>
                <w:sz w:val="21"/>
                <w:szCs w:val="21"/>
                <w:highlight w:val="none"/>
                <w:vertAlign w:val="baseline"/>
              </w:rPr>
            </w:pPr>
          </w:p>
        </w:tc>
        <w:tc>
          <w:tcPr>
            <w:tcW w:w="1314" w:type="dxa"/>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公务用车购置及运行费</w:t>
            </w:r>
          </w:p>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（小计）</w:t>
            </w:r>
          </w:p>
        </w:tc>
        <w:tc>
          <w:tcPr>
            <w:tcW w:w="1215" w:type="dxa"/>
            <w:vAlign w:val="center"/>
          </w:tcPr>
          <w:p>
            <w:pPr>
              <w:widowControl/>
              <w:jc w:val="center"/>
              <w:outlineLvl w:val="1"/>
              <w:rPr>
                <w:rFonts w:hint="default"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lang w:val="en-US" w:eastAsia="zh-CN"/>
              </w:rPr>
              <w:t>1.60</w:t>
            </w:r>
          </w:p>
        </w:tc>
        <w:tc>
          <w:tcPr>
            <w:tcW w:w="1314" w:type="dxa"/>
            <w:vAlign w:val="center"/>
          </w:tcPr>
          <w:p>
            <w:pPr>
              <w:widowControl/>
              <w:jc w:val="center"/>
              <w:outlineLvl w:val="1"/>
              <w:rPr>
                <w:rFonts w:hint="default"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10" w:firstLineChars="100"/>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其中：公务用车购置费</w:t>
            </w:r>
          </w:p>
        </w:tc>
        <w:tc>
          <w:tcPr>
            <w:tcW w:w="1215" w:type="dxa"/>
            <w:vAlign w:val="center"/>
          </w:tcPr>
          <w:p>
            <w:pPr>
              <w:widowControl/>
              <w:jc w:val="center"/>
              <w:outlineLvl w:val="1"/>
              <w:rPr>
                <w:rFonts w:hint="default" w:ascii="仿宋_GB2312" w:hAnsi="宋体" w:eastAsia="仿宋_GB2312"/>
                <w:b/>
                <w:bCs w:val="0"/>
                <w:color w:val="auto"/>
                <w:kern w:val="0"/>
                <w:sz w:val="21"/>
                <w:szCs w:val="21"/>
                <w:highlight w:val="none"/>
                <w:vertAlign w:val="baseline"/>
              </w:rPr>
            </w:pPr>
          </w:p>
        </w:tc>
        <w:tc>
          <w:tcPr>
            <w:tcW w:w="1314" w:type="dxa"/>
            <w:vAlign w:val="center"/>
          </w:tcPr>
          <w:p>
            <w:pPr>
              <w:widowControl/>
              <w:jc w:val="center"/>
              <w:outlineLvl w:val="1"/>
              <w:rPr>
                <w:rFonts w:hint="default" w:ascii="仿宋_GB2312" w:hAnsi="宋体" w:eastAsia="仿宋_GB2312"/>
                <w:b w:val="0"/>
                <w:bCs/>
                <w:color w:val="auto"/>
                <w:kern w:val="0"/>
                <w:sz w:val="21"/>
                <w:szCs w:val="21"/>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公务用车运行费</w:t>
            </w:r>
          </w:p>
        </w:tc>
        <w:tc>
          <w:tcPr>
            <w:tcW w:w="1215" w:type="dxa"/>
            <w:vAlign w:val="center"/>
          </w:tcPr>
          <w:p>
            <w:pPr>
              <w:widowControl/>
              <w:jc w:val="center"/>
              <w:outlineLvl w:val="1"/>
              <w:rPr>
                <w:rFonts w:hint="default" w:ascii="仿宋_GB2312" w:hAnsi="宋体" w:eastAsia="仿宋_GB2312"/>
                <w:b/>
                <w:bCs w:val="0"/>
                <w:color w:val="auto"/>
                <w:kern w:val="0"/>
                <w:sz w:val="21"/>
                <w:szCs w:val="21"/>
                <w:highlight w:val="none"/>
                <w:vertAlign w:val="baseline"/>
              </w:rPr>
            </w:pPr>
            <w:r>
              <w:rPr>
                <w:rFonts w:hint="eastAsia" w:ascii="仿宋_GB2312" w:hAnsi="宋体" w:eastAsia="仿宋_GB2312"/>
                <w:b/>
                <w:bCs w:val="0"/>
                <w:color w:val="auto"/>
                <w:kern w:val="0"/>
                <w:sz w:val="21"/>
                <w:szCs w:val="21"/>
                <w:highlight w:val="none"/>
                <w:vertAlign w:val="baseline"/>
                <w:lang w:val="en-US" w:eastAsia="zh-CN"/>
              </w:rPr>
              <w:t>1.60</w:t>
            </w:r>
          </w:p>
        </w:tc>
        <w:tc>
          <w:tcPr>
            <w:tcW w:w="1314" w:type="dxa"/>
            <w:vAlign w:val="center"/>
          </w:tcPr>
          <w:p>
            <w:pPr>
              <w:widowControl/>
              <w:jc w:val="center"/>
              <w:outlineLvl w:val="1"/>
              <w:rPr>
                <w:rFonts w:hint="default"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呼图壁县残疾人联合会</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990"/>
        <w:gridCol w:w="990"/>
        <w:gridCol w:w="675"/>
        <w:gridCol w:w="570"/>
        <w:gridCol w:w="1530"/>
        <w:gridCol w:w="600"/>
        <w:gridCol w:w="630"/>
        <w:gridCol w:w="615"/>
        <w:gridCol w:w="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548"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9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765"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2315"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548"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9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9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245"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3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60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245"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47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rPr>
        <w:tc>
          <w:tcPr>
            <w:tcW w:w="2548"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9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99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675"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57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53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60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63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615"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470"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548" w:type="dxa"/>
            <w:vAlign w:val="top"/>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2024年州本级残疾人事业发展补助资金（第一批）</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4.16</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4.16</w:t>
            </w:r>
          </w:p>
        </w:tc>
        <w:tc>
          <w:tcPr>
            <w:tcW w:w="675"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4.16</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548" w:type="dxa"/>
            <w:vAlign w:val="top"/>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2024年州本级残疾人事业发展补助资金（第一批）</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6.75</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6.75</w:t>
            </w:r>
          </w:p>
        </w:tc>
        <w:tc>
          <w:tcPr>
            <w:tcW w:w="675"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6.75</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548" w:type="dxa"/>
            <w:vAlign w:val="top"/>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昌州财社（2024）67号2024年州本级残疾人事业发展补助资金</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6.45</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6.45</w:t>
            </w:r>
          </w:p>
        </w:tc>
        <w:tc>
          <w:tcPr>
            <w:tcW w:w="675"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6.45</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548" w:type="dxa"/>
            <w:vAlign w:val="top"/>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2024年州本级残疾人事业发展补助资金（第一批）</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0.20</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0.20</w:t>
            </w:r>
          </w:p>
        </w:tc>
        <w:tc>
          <w:tcPr>
            <w:tcW w:w="675"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0.20</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548" w:type="dxa"/>
            <w:vAlign w:val="top"/>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2024年州本级残疾人事业发展补助资金（第一批）</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2.50</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2.50</w:t>
            </w:r>
          </w:p>
        </w:tc>
        <w:tc>
          <w:tcPr>
            <w:tcW w:w="675"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2.50</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548" w:type="dxa"/>
            <w:vAlign w:val="top"/>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2024年州本级残疾人事业发展补助资金（第一批）</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5.63</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5.63</w:t>
            </w:r>
          </w:p>
        </w:tc>
        <w:tc>
          <w:tcPr>
            <w:tcW w:w="675"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5.63</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548" w:type="dxa"/>
            <w:vAlign w:val="top"/>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2024年州本级残疾人事业发展补助资金（第一批）</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1.00</w:t>
            </w:r>
          </w:p>
        </w:tc>
        <w:tc>
          <w:tcPr>
            <w:tcW w:w="99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1.00</w:t>
            </w:r>
          </w:p>
        </w:tc>
        <w:tc>
          <w:tcPr>
            <w:tcW w:w="675"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kern w:val="0"/>
                <w:sz w:val="21"/>
                <w:szCs w:val="21"/>
                <w:highlight w:val="none"/>
                <w:lang w:val="en-US" w:eastAsia="zh-CN"/>
              </w:rPr>
            </w:pPr>
            <w:r>
              <w:rPr>
                <w:rFonts w:hint="default" w:ascii="仿宋_GB2312" w:hAnsi="宋体" w:eastAsia="仿宋_GB2312"/>
                <w:kern w:val="0"/>
                <w:sz w:val="21"/>
                <w:szCs w:val="21"/>
                <w:highlight w:val="none"/>
                <w:lang w:val="en-US" w:eastAsia="zh-CN"/>
              </w:rPr>
              <w:t>1.00</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548" w:type="dxa"/>
            <w:vAlign w:val="center"/>
          </w:tcPr>
          <w:p>
            <w:pPr>
              <w:keepNext w:val="0"/>
              <w:keepLines w:val="0"/>
              <w:widowControl/>
              <w:suppressLineNumbers w:val="0"/>
              <w:jc w:val="left"/>
              <w:textAlignment w:val="top"/>
              <w:rPr>
                <w:rFonts w:hint="default" w:ascii="仿宋_GB2312" w:hAnsi="宋体" w:eastAsia="仿宋_GB2312"/>
                <w:kern w:val="0"/>
                <w:sz w:val="21"/>
                <w:szCs w:val="21"/>
                <w:highlight w:val="none"/>
                <w:lang w:val="en-US" w:eastAsia="zh-CN"/>
              </w:rPr>
            </w:pPr>
          </w:p>
        </w:tc>
        <w:tc>
          <w:tcPr>
            <w:tcW w:w="990" w:type="dxa"/>
            <w:vAlign w:val="center"/>
          </w:tcPr>
          <w:p>
            <w:pPr>
              <w:keepNext w:val="0"/>
              <w:keepLines w:val="0"/>
              <w:widowControl/>
              <w:suppressLineNumbers w:val="0"/>
              <w:jc w:val="center"/>
              <w:textAlignment w:val="top"/>
              <w:rPr>
                <w:rFonts w:hint="eastAsia" w:ascii="仿宋_GB2312" w:hAnsi="宋体" w:eastAsia="仿宋_GB2312"/>
                <w:b/>
                <w:bCs/>
                <w:kern w:val="0"/>
                <w:sz w:val="21"/>
                <w:szCs w:val="21"/>
                <w:highlight w:val="none"/>
                <w:lang w:val="en-US" w:eastAsia="zh-CN"/>
              </w:rPr>
            </w:pPr>
            <w:r>
              <w:rPr>
                <w:rFonts w:hint="eastAsia" w:ascii="仿宋_GB2312" w:hAnsi="宋体" w:eastAsia="仿宋_GB2312"/>
                <w:b/>
                <w:bCs/>
                <w:kern w:val="0"/>
                <w:sz w:val="21"/>
                <w:szCs w:val="21"/>
                <w:highlight w:val="none"/>
                <w:lang w:val="en-US" w:eastAsia="zh-CN"/>
              </w:rPr>
              <w:t>总计</w:t>
            </w:r>
          </w:p>
        </w:tc>
        <w:tc>
          <w:tcPr>
            <w:tcW w:w="990" w:type="dxa"/>
            <w:vAlign w:val="center"/>
          </w:tcPr>
          <w:p>
            <w:pPr>
              <w:keepNext w:val="0"/>
              <w:keepLines w:val="0"/>
              <w:widowControl/>
              <w:suppressLineNumbers w:val="0"/>
              <w:jc w:val="center"/>
              <w:textAlignment w:val="top"/>
              <w:rPr>
                <w:rFonts w:hint="eastAsia" w:ascii="仿宋_GB2312" w:hAnsi="宋体" w:eastAsia="仿宋_GB2312"/>
                <w:b/>
                <w:bCs/>
                <w:kern w:val="0"/>
                <w:sz w:val="21"/>
                <w:szCs w:val="21"/>
                <w:highlight w:val="none"/>
                <w:lang w:val="en-US" w:eastAsia="zh-CN"/>
              </w:rPr>
            </w:pPr>
            <w:r>
              <w:rPr>
                <w:rFonts w:hint="eastAsia" w:ascii="仿宋_GB2312" w:hAnsi="宋体" w:eastAsia="仿宋_GB2312"/>
                <w:b/>
                <w:bCs/>
                <w:kern w:val="0"/>
                <w:sz w:val="21"/>
                <w:szCs w:val="21"/>
                <w:highlight w:val="none"/>
                <w:lang w:val="en-US" w:eastAsia="zh-CN"/>
              </w:rPr>
              <w:t>26.68</w:t>
            </w:r>
          </w:p>
        </w:tc>
        <w:tc>
          <w:tcPr>
            <w:tcW w:w="675" w:type="dxa"/>
            <w:vAlign w:val="center"/>
          </w:tcPr>
          <w:p>
            <w:pPr>
              <w:keepNext w:val="0"/>
              <w:keepLines w:val="0"/>
              <w:widowControl/>
              <w:suppressLineNumbers w:val="0"/>
              <w:jc w:val="center"/>
              <w:textAlignment w:val="top"/>
              <w:rPr>
                <w:rFonts w:hint="eastAsia" w:ascii="仿宋_GB2312" w:hAnsi="宋体" w:eastAsia="仿宋_GB2312"/>
                <w:b/>
                <w:bCs/>
                <w:kern w:val="0"/>
                <w:sz w:val="21"/>
                <w:szCs w:val="21"/>
                <w:highlight w:val="none"/>
                <w:lang w:val="en-US" w:eastAsia="zh-CN"/>
              </w:rPr>
            </w:pPr>
          </w:p>
        </w:tc>
        <w:tc>
          <w:tcPr>
            <w:tcW w:w="570" w:type="dxa"/>
            <w:vAlign w:val="center"/>
          </w:tcPr>
          <w:p>
            <w:pPr>
              <w:keepNext w:val="0"/>
              <w:keepLines w:val="0"/>
              <w:widowControl/>
              <w:suppressLineNumbers w:val="0"/>
              <w:jc w:val="center"/>
              <w:textAlignment w:val="top"/>
              <w:rPr>
                <w:rFonts w:hint="eastAsia" w:ascii="仿宋_GB2312" w:hAnsi="宋体" w:eastAsia="仿宋_GB2312"/>
                <w:b/>
                <w:bCs/>
                <w:kern w:val="0"/>
                <w:sz w:val="21"/>
                <w:szCs w:val="21"/>
                <w:highlight w:val="none"/>
                <w:lang w:val="en-US" w:eastAsia="zh-CN"/>
              </w:rPr>
            </w:pPr>
          </w:p>
        </w:tc>
        <w:tc>
          <w:tcPr>
            <w:tcW w:w="1530" w:type="dxa"/>
            <w:vAlign w:val="center"/>
          </w:tcPr>
          <w:p>
            <w:pPr>
              <w:keepNext w:val="0"/>
              <w:keepLines w:val="0"/>
              <w:widowControl/>
              <w:suppressLineNumbers w:val="0"/>
              <w:jc w:val="center"/>
              <w:textAlignment w:val="top"/>
              <w:rPr>
                <w:rFonts w:hint="default" w:ascii="仿宋_GB2312" w:hAnsi="宋体" w:eastAsia="仿宋_GB2312"/>
                <w:b/>
                <w:bCs/>
                <w:kern w:val="0"/>
                <w:sz w:val="21"/>
                <w:szCs w:val="21"/>
                <w:highlight w:val="none"/>
                <w:lang w:val="en-US" w:eastAsia="zh-CN"/>
              </w:rPr>
            </w:pPr>
            <w:r>
              <w:rPr>
                <w:rFonts w:hint="eastAsia" w:ascii="仿宋_GB2312" w:hAnsi="宋体" w:eastAsia="仿宋_GB2312"/>
                <w:b/>
                <w:bCs/>
                <w:kern w:val="0"/>
                <w:sz w:val="21"/>
                <w:szCs w:val="21"/>
                <w:highlight w:val="none"/>
                <w:lang w:val="en-US" w:eastAsia="zh-CN"/>
              </w:rPr>
              <w:t>26.68</w:t>
            </w:r>
          </w:p>
        </w:tc>
        <w:tc>
          <w:tcPr>
            <w:tcW w:w="600" w:type="dxa"/>
            <w:vAlign w:val="center"/>
          </w:tcPr>
          <w:p>
            <w:pPr>
              <w:keepNext w:val="0"/>
              <w:keepLines w:val="0"/>
              <w:widowControl/>
              <w:suppressLineNumbers w:val="0"/>
              <w:jc w:val="left"/>
              <w:textAlignment w:val="top"/>
              <w:rPr>
                <w:rFonts w:hint="default" w:ascii="Calibri" w:hAnsi="Calibri" w:eastAsia="宋体" w:cs="Calibri"/>
                <w:i w:val="0"/>
                <w:color w:val="000000"/>
                <w:kern w:val="0"/>
                <w:sz w:val="21"/>
                <w:szCs w:val="21"/>
                <w:highlight w:val="none"/>
                <w:u w:val="none"/>
                <w:lang w:val="en-US" w:eastAsia="zh-CN" w:bidi="ar"/>
              </w:rPr>
            </w:pPr>
          </w:p>
        </w:tc>
        <w:tc>
          <w:tcPr>
            <w:tcW w:w="630" w:type="dxa"/>
            <w:vAlign w:val="center"/>
          </w:tcPr>
          <w:p>
            <w:pPr>
              <w:spacing w:line="600" w:lineRule="exact"/>
              <w:jc w:val="center"/>
              <w:rPr>
                <w:rFonts w:ascii="仿宋" w:hAnsi="仿宋" w:eastAsia="仿宋" w:cs="仿宋_GB2312"/>
                <w:bCs/>
                <w:color w:val="auto"/>
                <w:kern w:val="0"/>
                <w:sz w:val="21"/>
                <w:szCs w:val="21"/>
                <w:highlight w:val="none"/>
              </w:rPr>
            </w:pPr>
          </w:p>
        </w:tc>
        <w:tc>
          <w:tcPr>
            <w:tcW w:w="615" w:type="dxa"/>
            <w:vAlign w:val="center"/>
          </w:tcPr>
          <w:p>
            <w:pPr>
              <w:spacing w:line="600" w:lineRule="exact"/>
              <w:jc w:val="center"/>
              <w:rPr>
                <w:rFonts w:ascii="仿宋" w:hAnsi="仿宋" w:eastAsia="仿宋" w:cs="仿宋_GB2312"/>
                <w:bCs/>
                <w:color w:val="auto"/>
                <w:kern w:val="0"/>
                <w:sz w:val="21"/>
                <w:szCs w:val="21"/>
                <w:highlight w:val="none"/>
              </w:rPr>
            </w:pPr>
          </w:p>
        </w:tc>
        <w:tc>
          <w:tcPr>
            <w:tcW w:w="470" w:type="dxa"/>
            <w:vAlign w:val="center"/>
          </w:tcPr>
          <w:p>
            <w:pPr>
              <w:spacing w:line="600" w:lineRule="exact"/>
              <w:jc w:val="center"/>
              <w:rPr>
                <w:rFonts w:ascii="仿宋" w:hAnsi="仿宋" w:eastAsia="仿宋" w:cs="仿宋_GB2312"/>
                <w:bCs/>
                <w:color w:val="auto"/>
                <w:kern w:val="0"/>
                <w:sz w:val="21"/>
                <w:szCs w:val="21"/>
                <w:highlight w:val="none"/>
              </w:rPr>
            </w:pPr>
          </w:p>
        </w:tc>
      </w:tr>
    </w:tbl>
    <w:p>
      <w:pPr>
        <w:widowControl/>
        <w:outlineLvl w:val="1"/>
        <w:rPr>
          <w:rFonts w:ascii="仿宋_GB2312" w:hAnsi="宋体" w:eastAsia="仿宋_GB2312"/>
          <w:color w:val="FF0000"/>
          <w:kern w:val="0"/>
          <w:sz w:val="32"/>
          <w:szCs w:val="32"/>
          <w:highlight w:val="none"/>
        </w:rPr>
      </w:pPr>
    </w:p>
    <w:p>
      <w:pPr>
        <w:widowControl/>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w:t>
      </w:r>
      <w:r>
        <w:rPr>
          <w:rFonts w:hint="eastAsia" w:ascii="黑体" w:hAnsi="黑体" w:eastAsia="黑体" w:cs="Times New Roman"/>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highlight w:val="none"/>
        </w:rPr>
        <w:t>呼图壁县残疾人联合会</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highlight w:val="none"/>
        </w:rPr>
        <w:t>呼图壁县残疾人联合会</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641.9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rPr>
        <w:t>。</w:t>
      </w:r>
    </w:p>
    <w:p>
      <w:pPr>
        <w:spacing w:line="56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highlight w:val="none"/>
        </w:rPr>
        <w:t>社会保障和就业支出、医疗卫生健康支出、住房保障支出。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highlight w:val="none"/>
        </w:rPr>
        <w:t>呼图壁县残疾人联合会</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呼图壁县残疾人联合会</w:t>
      </w:r>
      <w:r>
        <w:rPr>
          <w:rFonts w:hint="eastAsia" w:ascii="仿宋_GB2312" w:hAnsi="宋体" w:eastAsia="仿宋_GB2312" w:cs="宋体"/>
          <w:kern w:val="0"/>
          <w:sz w:val="32"/>
          <w:szCs w:val="32"/>
          <w:highlight w:val="none"/>
          <w:lang w:val="en-US" w:eastAsia="zh-CN"/>
        </w:rPr>
        <w:t>部门</w:t>
      </w:r>
      <w:r>
        <w:rPr>
          <w:rFonts w:hint="eastAsia" w:ascii="仿宋_GB2312" w:hAnsi="宋体" w:eastAsia="仿宋_GB2312" w:cs="宋体"/>
          <w:kern w:val="0"/>
          <w:sz w:val="32"/>
          <w:szCs w:val="32"/>
          <w:highlight w:val="none"/>
        </w:rPr>
        <w:t>收入预算</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641.9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val="en-US" w:eastAsia="zh-CN"/>
        </w:rPr>
        <w:t>163.06</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25.40</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增加15.02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增长10.14</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2月调出一名一级主任科员，</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2月调入一名四级调研员，四级调研员各项待遇高于一级主任，还因工资调资、职工晋升、绩效奖金、十三个月工资</w:t>
      </w:r>
      <w:r>
        <w:rPr>
          <w:rFonts w:hint="eastAsia" w:ascii="仿宋_GB2312" w:hAnsi="宋体" w:eastAsia="仿宋_GB2312" w:cs="宋体"/>
          <w:kern w:val="0"/>
          <w:sz w:val="32"/>
          <w:szCs w:val="32"/>
          <w:highlight w:val="none"/>
          <w:lang w:eastAsia="zh-CN"/>
        </w:rPr>
        <w:t>等</w:t>
      </w:r>
      <w:r>
        <w:rPr>
          <w:rFonts w:hint="eastAsia" w:ascii="仿宋_GB2312" w:hAnsi="宋体" w:eastAsia="仿宋_GB2312" w:cs="宋体"/>
          <w:kern w:val="0"/>
          <w:sz w:val="32"/>
          <w:szCs w:val="32"/>
          <w:highlight w:val="none"/>
          <w:lang w:val="en-US" w:eastAsia="zh-CN"/>
        </w:rPr>
        <w:t>增加</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Hans"/>
        </w:rPr>
        <w:t>上级</w:t>
      </w:r>
      <w:r>
        <w:rPr>
          <w:rFonts w:hint="eastAsia" w:ascii="仿宋_GB2312" w:hAnsi="宋体" w:eastAsia="仿宋_GB2312" w:cs="宋体"/>
          <w:kern w:val="0"/>
          <w:sz w:val="32"/>
          <w:szCs w:val="32"/>
          <w:highlight w:val="none"/>
        </w:rPr>
        <w:t>一般公共预算</w:t>
      </w:r>
      <w:r>
        <w:rPr>
          <w:rFonts w:hint="eastAsia" w:ascii="仿宋_GB2312" w:hAnsi="宋体" w:eastAsia="仿宋_GB2312" w:cs="宋体"/>
          <w:kern w:val="0"/>
          <w:sz w:val="32"/>
          <w:szCs w:val="32"/>
          <w:highlight w:val="none"/>
          <w:lang w:eastAsia="zh-Hans"/>
        </w:rPr>
        <w:t>安排的转移支付资金</w:t>
      </w:r>
      <w:r>
        <w:rPr>
          <w:rFonts w:hint="eastAsia" w:ascii="仿宋_GB2312" w:hAnsi="宋体" w:eastAsia="仿宋_GB2312" w:cs="宋体"/>
          <w:kern w:val="0"/>
          <w:sz w:val="32"/>
          <w:szCs w:val="32"/>
          <w:highlight w:val="none"/>
          <w:lang w:val="en-US" w:eastAsia="zh-CN"/>
        </w:rPr>
        <w:t>12.16</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1.89</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增加4.16</w:t>
      </w:r>
      <w:r>
        <w:rPr>
          <w:rFonts w:hint="eastAsia" w:ascii="仿宋_GB2312" w:hAnsi="宋体" w:eastAsia="仿宋_GB2312" w:cs="宋体"/>
          <w:kern w:val="0"/>
          <w:sz w:val="32"/>
          <w:szCs w:val="32"/>
          <w:highlight w:val="none"/>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CN"/>
        </w:rPr>
        <w:t>增长52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今年</w:t>
      </w:r>
      <w:r>
        <w:rPr>
          <w:rFonts w:hint="eastAsia" w:ascii="仿宋_GB2312" w:hAnsi="宋体" w:eastAsia="仿宋_GB2312" w:cs="宋体"/>
          <w:color w:val="auto"/>
          <w:kern w:val="0"/>
          <w:sz w:val="32"/>
          <w:szCs w:val="32"/>
          <w:highlight w:val="none"/>
          <w:lang w:eastAsia="zh-Hans"/>
        </w:rPr>
        <w:t>上级</w:t>
      </w:r>
      <w:r>
        <w:rPr>
          <w:rFonts w:hint="eastAsia" w:ascii="仿宋_GB2312" w:hAnsi="宋体" w:eastAsia="仿宋_GB2312" w:cs="宋体"/>
          <w:color w:val="auto"/>
          <w:kern w:val="0"/>
          <w:sz w:val="32"/>
          <w:szCs w:val="32"/>
          <w:highlight w:val="none"/>
          <w:lang w:val="en-US" w:eastAsia="zh-CN"/>
        </w:rPr>
        <w:t>拨付</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eastAsia="zh-Hans"/>
        </w:rPr>
        <w:t>安排的转移支付资金</w:t>
      </w:r>
      <w:r>
        <w:rPr>
          <w:rFonts w:hint="eastAsia" w:ascii="仿宋_GB2312" w:hAnsi="宋体" w:eastAsia="仿宋_GB2312" w:cs="宋体"/>
          <w:color w:val="auto"/>
          <w:kern w:val="0"/>
          <w:sz w:val="32"/>
          <w:szCs w:val="32"/>
          <w:highlight w:val="none"/>
          <w:lang w:val="en-US" w:eastAsia="zh-CN"/>
        </w:rPr>
        <w:t>中基本康复项目和残疾儿童康复项目资金增加</w:t>
      </w:r>
      <w:r>
        <w:rPr>
          <w:rFonts w:hint="eastAsia" w:ascii="仿宋_GB2312" w:hAnsi="宋体" w:eastAsia="仿宋_GB2312" w:cs="宋体"/>
          <w:kern w:val="0"/>
          <w:sz w:val="32"/>
          <w:szCs w:val="32"/>
          <w:highlight w:val="none"/>
        </w:rPr>
        <w:t>。</w:t>
      </w:r>
      <w:r>
        <w:rPr>
          <w:rFonts w:hint="eastAsia" w:ascii="仿宋_GB2312" w:hAnsi="宋体" w:eastAsia="仿宋_GB2312" w:cs="宋体"/>
          <w:color w:val="auto"/>
          <w:kern w:val="0"/>
          <w:sz w:val="32"/>
          <w:szCs w:val="32"/>
          <w:highlight w:val="none"/>
        </w:rPr>
        <w:t xml:space="preserve">   </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政府性基金预算未安排。</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eastAsia="zh-Hans"/>
        </w:rPr>
        <w:t>上级政府性基金安排的转移支付资金</w:t>
      </w:r>
      <w:r>
        <w:rPr>
          <w:rFonts w:hint="eastAsia" w:ascii="仿宋_GB2312" w:hAnsi="宋体" w:eastAsia="仿宋_GB2312" w:cs="宋体"/>
          <w:kern w:val="0"/>
          <w:sz w:val="32"/>
          <w:szCs w:val="32"/>
          <w:highlight w:val="none"/>
        </w:rPr>
        <w:t>未安排。</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国有资本经营预算未安排。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Hans"/>
        </w:rPr>
        <w:t>上级国有资本经营预算安排的转移支付资金</w:t>
      </w:r>
      <w:r>
        <w:rPr>
          <w:rFonts w:hint="eastAsia" w:ascii="仿宋_GB2312" w:hAnsi="宋体"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kern w:val="0"/>
          <w:sz w:val="32"/>
          <w:szCs w:val="32"/>
          <w:highlight w:val="none"/>
        </w:rPr>
        <w:t>单位资金</w:t>
      </w:r>
      <w:r>
        <w:rPr>
          <w:rFonts w:hint="eastAsia" w:ascii="仿宋_GB2312" w:hAnsi="宋体" w:eastAsia="仿宋_GB2312" w:cs="宋体"/>
          <w:kern w:val="0"/>
          <w:sz w:val="32"/>
          <w:szCs w:val="32"/>
          <w:highlight w:val="none"/>
          <w:lang w:val="en-US" w:eastAsia="zh-CN"/>
        </w:rPr>
        <w:t>440</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68.54</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增加296</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增长205.55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年单位资金</w:t>
      </w:r>
      <w:r>
        <w:rPr>
          <w:rFonts w:hint="eastAsia" w:ascii="仿宋_GB2312" w:hAnsi="宋体" w:eastAsia="仿宋_GB2312" w:cs="宋体"/>
          <w:color w:val="auto"/>
          <w:kern w:val="0"/>
          <w:sz w:val="32"/>
          <w:szCs w:val="32"/>
          <w:highlight w:val="none"/>
          <w:lang w:val="en-US" w:eastAsia="zh-CN"/>
        </w:rPr>
        <w:t>增加了呼图壁县残疾人托养中心</w:t>
      </w:r>
      <w:r>
        <w:rPr>
          <w:rFonts w:hint="eastAsia" w:ascii="仿宋_GB2312" w:hAnsi="宋体" w:eastAsia="仿宋_GB2312" w:cs="宋体"/>
          <w:color w:val="auto"/>
          <w:kern w:val="0"/>
          <w:sz w:val="32"/>
          <w:szCs w:val="32"/>
          <w:highlight w:val="none"/>
          <w:lang w:eastAsia="zh-CN"/>
        </w:rPr>
        <w:t>项目资金支出。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财政拨款</w:t>
      </w:r>
      <w:r>
        <w:rPr>
          <w:rFonts w:hint="eastAsia" w:ascii="仿宋_GB2312" w:hAnsi="宋体" w:eastAsia="仿宋_GB2312" w:cs="宋体"/>
          <w:color w:val="auto"/>
          <w:kern w:val="0"/>
          <w:sz w:val="32"/>
          <w:szCs w:val="32"/>
          <w:highlight w:val="none"/>
          <w:lang w:val="en-US" w:eastAsia="zh-Hans"/>
        </w:rPr>
        <w:t>结转</w:t>
      </w:r>
      <w:r>
        <w:rPr>
          <w:rFonts w:hint="eastAsia" w:ascii="仿宋_GB2312" w:hAnsi="宋体" w:eastAsia="仿宋_GB2312" w:cs="宋体"/>
          <w:kern w:val="0"/>
          <w:sz w:val="32"/>
          <w:szCs w:val="32"/>
          <w:highlight w:val="none"/>
          <w:lang w:val="en-US" w:eastAsia="zh-CN"/>
        </w:rPr>
        <w:t>26.68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4.17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18.08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210.23%，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2024年州本级残疾人事业发展补助资金（第一批）和2024年州本级残疾人事业发展补助资金年底下达，根据工作进度支付项目资金，项目资金未使用完毕，结转至2025年继续使用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kern w:val="0"/>
          <w:sz w:val="32"/>
          <w:szCs w:val="32"/>
          <w:highlight w:val="none"/>
        </w:rPr>
        <w:t>呼图壁县残疾人联合会</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呼图壁县残疾人联合会</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年支出预算</w:t>
      </w:r>
      <w:r>
        <w:rPr>
          <w:rFonts w:hint="eastAsia" w:ascii="仿宋_GB2312" w:hAnsi="宋体" w:eastAsia="仿宋_GB2312" w:cs="宋体"/>
          <w:kern w:val="0"/>
          <w:sz w:val="32"/>
          <w:szCs w:val="32"/>
          <w:highlight w:val="none"/>
          <w:lang w:val="en-US" w:eastAsia="zh-CN"/>
        </w:rPr>
        <w:t>641.90</w:t>
      </w:r>
      <w:r>
        <w:rPr>
          <w:rFonts w:hint="eastAsia" w:ascii="仿宋_GB2312" w:hAnsi="宋体" w:eastAsia="仿宋_GB2312" w:cs="宋体"/>
          <w:color w:val="000000"/>
          <w:kern w:val="0"/>
          <w:sz w:val="32"/>
          <w:szCs w:val="32"/>
          <w:highlight w:val="none"/>
        </w:rPr>
        <w:t>万元</w:t>
      </w:r>
      <w:r>
        <w:rPr>
          <w:rFonts w:hint="eastAsia" w:ascii="仿宋_GB2312" w:hAnsi="宋体" w:eastAsia="仿宋_GB2312" w:cs="宋体"/>
          <w:kern w:val="0"/>
          <w:sz w:val="32"/>
          <w:szCs w:val="32"/>
          <w:highlight w:val="none"/>
        </w:rPr>
        <w:t>，其中：</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基本支出</w:t>
      </w:r>
      <w:r>
        <w:rPr>
          <w:rFonts w:hint="eastAsia" w:ascii="仿宋_GB2312" w:hAnsi="宋体" w:eastAsia="仿宋_GB2312" w:cs="宋体"/>
          <w:kern w:val="0"/>
          <w:sz w:val="32"/>
          <w:szCs w:val="32"/>
          <w:highlight w:val="none"/>
          <w:lang w:val="en-US" w:eastAsia="zh-CN"/>
        </w:rPr>
        <w:t>303.06</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47.21</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11.02</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3.77</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2月调出一名一级主任科员，</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2月调入一名四级调研员，四级调研员各项待遇高于一级主任，还因工资调资、职工晋升、绩效奖金、十三个月工资</w:t>
      </w:r>
      <w:r>
        <w:rPr>
          <w:rFonts w:hint="eastAsia" w:ascii="仿宋_GB2312" w:hAnsi="宋体" w:eastAsia="仿宋_GB2312" w:cs="宋体"/>
          <w:kern w:val="0"/>
          <w:sz w:val="32"/>
          <w:szCs w:val="32"/>
          <w:highlight w:val="none"/>
          <w:lang w:eastAsia="zh-CN"/>
        </w:rPr>
        <w:t>等</w:t>
      </w:r>
      <w:r>
        <w:rPr>
          <w:rFonts w:hint="eastAsia" w:ascii="仿宋_GB2312" w:hAnsi="宋体" w:eastAsia="仿宋_GB2312" w:cs="宋体"/>
          <w:kern w:val="0"/>
          <w:sz w:val="32"/>
          <w:szCs w:val="32"/>
          <w:highlight w:val="none"/>
          <w:lang w:val="en-US" w:eastAsia="zh-CN"/>
        </w:rPr>
        <w:t>增加</w:t>
      </w:r>
      <w:r>
        <w:rPr>
          <w:rFonts w:hint="eastAsia" w:ascii="仿宋_GB2312" w:hAnsi="宋体" w:eastAsia="仿宋_GB2312" w:cs="宋体"/>
          <w:kern w:val="0"/>
          <w:sz w:val="32"/>
          <w:szCs w:val="32"/>
          <w:highlight w:val="none"/>
        </w:rPr>
        <w:t>。</w:t>
      </w:r>
    </w:p>
    <w:p>
      <w:pPr>
        <w:spacing w:line="560" w:lineRule="exact"/>
        <w:ind w:firstLine="643" w:firstLineChars="200"/>
        <w:rPr>
          <w:rFonts w:ascii="仿宋_GB2312" w:hAnsi="宋体" w:eastAsia="仿宋_GB2312" w:cs="宋体"/>
          <w:b/>
          <w:kern w:val="0"/>
          <w:sz w:val="32"/>
          <w:szCs w:val="32"/>
          <w:highlight w:val="none"/>
        </w:rPr>
      </w:pP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项目支出</w:t>
      </w:r>
      <w:r>
        <w:rPr>
          <w:rFonts w:hint="eastAsia" w:ascii="仿宋_GB2312" w:hAnsi="宋体" w:eastAsia="仿宋_GB2312" w:cs="宋体"/>
          <w:kern w:val="0"/>
          <w:sz w:val="32"/>
          <w:szCs w:val="32"/>
          <w:highlight w:val="none"/>
          <w:lang w:val="en-US" w:eastAsia="zh-CN"/>
        </w:rPr>
        <w:t>338.84</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52.79</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增加322.24</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增长1941.20</w:t>
      </w:r>
      <w:r>
        <w:rPr>
          <w:rFonts w:hint="eastAsia" w:ascii="仿宋_GB2312" w:hAnsi="宋体" w:eastAsia="仿宋_GB2312" w:cs="宋体"/>
          <w:kern w:val="0"/>
          <w:sz w:val="32"/>
          <w:szCs w:val="32"/>
          <w:highlight w:val="none"/>
        </w:rPr>
        <w:t>%，</w:t>
      </w:r>
      <w:r>
        <w:rPr>
          <w:rFonts w:hint="eastAsia" w:ascii="仿宋_GB2312" w:hAnsi="宋体" w:eastAsia="仿宋_GB2312" w:cs="宋体"/>
          <w:color w:val="auto"/>
          <w:kern w:val="0"/>
          <w:sz w:val="32"/>
          <w:szCs w:val="32"/>
          <w:highlight w:val="none"/>
        </w:rPr>
        <w:t>主要原因是残疾人托养中心项目资金</w:t>
      </w:r>
      <w:r>
        <w:rPr>
          <w:rFonts w:hint="eastAsia" w:ascii="仿宋_GB2312" w:hAnsi="宋体" w:eastAsia="仿宋_GB2312" w:cs="宋体"/>
          <w:color w:val="auto"/>
          <w:kern w:val="0"/>
          <w:sz w:val="32"/>
          <w:szCs w:val="32"/>
          <w:highlight w:val="none"/>
          <w:lang w:eastAsia="zh-CN"/>
        </w:rPr>
        <w:t>和其他残疾人事业支出项目</w:t>
      </w:r>
      <w:r>
        <w:rPr>
          <w:rFonts w:hint="eastAsia" w:ascii="仿宋_GB2312" w:hAnsi="宋体" w:eastAsia="仿宋_GB2312" w:cs="宋体"/>
          <w:color w:val="auto"/>
          <w:kern w:val="0"/>
          <w:sz w:val="32"/>
          <w:szCs w:val="32"/>
          <w:highlight w:val="none"/>
          <w:lang w:val="en-US" w:eastAsia="zh-CN"/>
        </w:rPr>
        <w:t>上级拨款增加，导致当年支出增加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四、关于呼图壁县残疾人联合会</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呼图壁县残疾人联合会</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175.22</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收支预算包括：一般公共预算拨款</w:t>
      </w:r>
      <w:r>
        <w:rPr>
          <w:rFonts w:hint="eastAsia" w:ascii="仿宋_GB2312" w:hAnsi="宋体" w:eastAsia="仿宋_GB2312" w:cs="宋体"/>
          <w:color w:val="auto"/>
          <w:kern w:val="0"/>
          <w:sz w:val="32"/>
          <w:szCs w:val="32"/>
          <w:highlight w:val="none"/>
          <w:lang w:val="en-US" w:eastAsia="zh-CN"/>
        </w:rPr>
        <w:t>175.22</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楷体_GB2312" w:hAnsi="楷体_GB2312" w:eastAsia="仿宋_GB2312" w:cs="楷体_GB2312"/>
          <w:b/>
          <w:bCs/>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149.98</w:t>
      </w:r>
      <w:r>
        <w:rPr>
          <w:rFonts w:hint="eastAsia" w:ascii="仿宋_GB2312" w:hAnsi="宋体" w:eastAsia="仿宋_GB2312" w:cs="宋体"/>
          <w:color w:val="auto"/>
          <w:kern w:val="0"/>
          <w:sz w:val="32"/>
          <w:szCs w:val="32"/>
          <w:highlight w:val="none"/>
        </w:rPr>
        <w:t>万元，主要用于机关事业单位养老保险、离休人员工资支出；卫生健康支出</w:t>
      </w:r>
      <w:r>
        <w:rPr>
          <w:rFonts w:hint="eastAsia" w:ascii="仿宋_GB2312" w:hAnsi="宋体" w:eastAsia="仿宋_GB2312" w:cs="宋体"/>
          <w:color w:val="auto"/>
          <w:kern w:val="0"/>
          <w:sz w:val="32"/>
          <w:szCs w:val="32"/>
          <w:highlight w:val="none"/>
          <w:lang w:val="en-US" w:eastAsia="zh-CN"/>
        </w:rPr>
        <w:t>12.08</w:t>
      </w:r>
      <w:r>
        <w:rPr>
          <w:rFonts w:hint="eastAsia" w:ascii="仿宋_GB2312" w:hAnsi="宋体" w:eastAsia="仿宋_GB2312" w:cs="宋体"/>
          <w:color w:val="auto"/>
          <w:kern w:val="0"/>
          <w:sz w:val="32"/>
          <w:szCs w:val="32"/>
          <w:highlight w:val="none"/>
        </w:rPr>
        <w:t>万元，主要用于行政单位医疗、公务员医疗补助和退休人员大病保险支出；住房保障支出</w:t>
      </w:r>
      <w:r>
        <w:rPr>
          <w:rFonts w:hint="eastAsia" w:ascii="仿宋_GB2312" w:hAnsi="宋体" w:eastAsia="仿宋_GB2312" w:cs="宋体"/>
          <w:color w:val="auto"/>
          <w:kern w:val="0"/>
          <w:sz w:val="32"/>
          <w:szCs w:val="32"/>
          <w:highlight w:val="none"/>
          <w:lang w:val="en-US" w:eastAsia="zh-CN"/>
        </w:rPr>
        <w:t>13.16</w:t>
      </w:r>
      <w:r>
        <w:rPr>
          <w:rFonts w:hint="eastAsia" w:ascii="仿宋_GB2312" w:hAnsi="宋体" w:eastAsia="仿宋_GB2312" w:cs="宋体"/>
          <w:color w:val="auto"/>
          <w:kern w:val="0"/>
          <w:sz w:val="32"/>
          <w:szCs w:val="32"/>
          <w:highlight w:val="none"/>
        </w:rPr>
        <w:t>万元，主要用于住房公积金支出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呼图壁县残疾人联合会</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宋体" w:eastAsia="仿宋_GB2312" w:cs="宋体"/>
          <w:color w:val="auto"/>
          <w:kern w:val="0"/>
          <w:sz w:val="32"/>
          <w:szCs w:val="32"/>
          <w:highlight w:val="none"/>
          <w:lang w:val="en-US" w:eastAsia="zh-CN"/>
        </w:rPr>
        <w:t>175.22</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宋体" w:eastAsia="仿宋_GB2312" w:cs="宋体"/>
          <w:color w:val="auto"/>
          <w:kern w:val="0"/>
          <w:sz w:val="32"/>
          <w:szCs w:val="32"/>
          <w:highlight w:val="none"/>
          <w:lang w:val="en-US" w:eastAsia="zh-CN"/>
        </w:rPr>
        <w:t>163.06</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增加15.02</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增长10.14</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val="en-US" w:eastAsia="zh-CN"/>
        </w:rPr>
        <w:t>是</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2月调出一名一级主任科员，</w:t>
      </w:r>
      <w:r>
        <w:rPr>
          <w:rFonts w:hint="eastAsia" w:ascii="仿宋_GB2312" w:hAnsi="宋体" w:eastAsia="仿宋_GB2312" w:cs="宋体"/>
          <w:kern w:val="0"/>
          <w:sz w:val="32"/>
          <w:szCs w:val="32"/>
          <w:highlight w:val="none"/>
          <w:lang w:eastAsia="zh-CN"/>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2月调入一名四级调研员，四级调研员各项待遇高于一级主任，还因工资调资、职工晋升、绩效奖金、十三个月工资</w:t>
      </w:r>
      <w:r>
        <w:rPr>
          <w:rFonts w:hint="eastAsia" w:ascii="仿宋_GB2312" w:hAnsi="宋体" w:eastAsia="仿宋_GB2312" w:cs="宋体"/>
          <w:kern w:val="0"/>
          <w:sz w:val="32"/>
          <w:szCs w:val="32"/>
          <w:highlight w:val="none"/>
          <w:lang w:eastAsia="zh-CN"/>
        </w:rPr>
        <w:t>等</w:t>
      </w:r>
      <w:r>
        <w:rPr>
          <w:rFonts w:hint="eastAsia" w:ascii="仿宋_GB2312" w:hAnsi="宋体" w:eastAsia="仿宋_GB2312" w:cs="宋体"/>
          <w:kern w:val="0"/>
          <w:sz w:val="32"/>
          <w:szCs w:val="32"/>
          <w:highlight w:val="none"/>
          <w:lang w:val="en-US" w:eastAsia="zh-CN"/>
        </w:rPr>
        <w:t>增加</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12.16</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4.44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下降26.74</w:t>
      </w:r>
      <w:r>
        <w:rPr>
          <w:rFonts w:hint="eastAsia" w:ascii="仿宋_GB2312" w:hAnsi="宋体" w:eastAsia="仿宋_GB2312" w:cs="宋体"/>
          <w:color w:val="auto"/>
          <w:kern w:val="0"/>
          <w:sz w:val="32"/>
          <w:szCs w:val="32"/>
          <w:highlight w:val="none"/>
        </w:rPr>
        <w:t>%，主要原因是残疾人托养中心项目资金</w:t>
      </w:r>
      <w:r>
        <w:rPr>
          <w:rFonts w:hint="eastAsia" w:ascii="仿宋_GB2312" w:hAnsi="宋体" w:eastAsia="仿宋_GB2312" w:cs="宋体"/>
          <w:color w:val="auto"/>
          <w:kern w:val="0"/>
          <w:sz w:val="32"/>
          <w:szCs w:val="32"/>
          <w:highlight w:val="none"/>
          <w:lang w:eastAsia="zh-CN"/>
        </w:rPr>
        <w:t>和其他残疾人事业支出项目</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1.社会保障和就业支出（类）：</w:t>
      </w:r>
      <w:r>
        <w:rPr>
          <w:rFonts w:hint="eastAsia" w:ascii="仿宋_GB2312" w:hAnsi="仿宋_GB2312" w:eastAsia="仿宋_GB2312" w:cs="仿宋_GB2312"/>
          <w:color w:val="auto"/>
          <w:kern w:val="0"/>
          <w:sz w:val="32"/>
          <w:szCs w:val="32"/>
          <w:highlight w:val="none"/>
          <w:lang w:val="en-US" w:eastAsia="zh-CN"/>
        </w:rPr>
        <w:t>137.82</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78.65</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2、卫生健康支出（类）：</w:t>
      </w:r>
      <w:r>
        <w:rPr>
          <w:rFonts w:hint="eastAsia" w:ascii="仿宋_GB2312" w:hAnsi="仿宋_GB2312" w:eastAsia="仿宋_GB2312" w:cs="仿宋_GB2312"/>
          <w:color w:val="auto"/>
          <w:kern w:val="0"/>
          <w:sz w:val="32"/>
          <w:szCs w:val="32"/>
          <w:highlight w:val="none"/>
          <w:lang w:val="en-US" w:eastAsia="zh-CN"/>
        </w:rPr>
        <w:t>12.08</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6.89</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3、残疾人事业（类）：</w:t>
      </w:r>
      <w:r>
        <w:rPr>
          <w:rFonts w:hint="eastAsia" w:ascii="仿宋_GB2312" w:hAnsi="仿宋_GB2312" w:eastAsia="仿宋_GB2312" w:cs="仿宋_GB2312"/>
          <w:color w:val="auto"/>
          <w:kern w:val="0"/>
          <w:sz w:val="32"/>
          <w:szCs w:val="32"/>
          <w:highlight w:val="none"/>
          <w:lang w:val="en-US" w:eastAsia="zh-CN"/>
        </w:rPr>
        <w:t>12.16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6.94</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4、住房保障支出（类）：</w:t>
      </w:r>
      <w:r>
        <w:rPr>
          <w:rFonts w:hint="eastAsia" w:ascii="仿宋_GB2312" w:hAnsi="仿宋_GB2312" w:eastAsia="仿宋_GB2312" w:cs="仿宋_GB2312"/>
          <w:color w:val="auto"/>
          <w:kern w:val="0"/>
          <w:sz w:val="32"/>
          <w:szCs w:val="32"/>
          <w:highlight w:val="none"/>
          <w:lang w:val="en-US" w:eastAsia="zh-CN"/>
        </w:rPr>
        <w:t>13.16</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7.52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1、社会保障和就业支出（类）行政事业单位养老支出（款）行政单位离退休（项）: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5.18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增加5.18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今年根据上级要求将行政编制退休人员和事业编制退休人员支出分开支付，2025年增加退休人员社保等支出，导致支出增加</w:t>
      </w:r>
      <w:r>
        <w:rPr>
          <w:rFonts w:hint="eastAsia" w:ascii="仿宋_GB2312" w:hAnsi="宋体" w:eastAsia="仿宋_GB2312" w:cs="宋体"/>
          <w:color w:val="auto"/>
          <w:kern w:val="0"/>
          <w:sz w:val="32"/>
          <w:szCs w:val="32"/>
          <w:highlight w:val="none"/>
          <w:lang w:val="en-US" w:eastAsia="zh-CN"/>
        </w:rPr>
        <w:t>。</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15.97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增长10.36</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2025年在职人员工资普调资、津贴调整、职工晋升、绩效奖金、十三个月工资</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lang w:val="en-US" w:eastAsia="zh-CN"/>
        </w:rPr>
        <w:t>调整，因此社保缴费基数增加了，导致支出增加。</w:t>
      </w:r>
    </w:p>
    <w:p>
      <w:pPr>
        <w:spacing w:line="560" w:lineRule="exact"/>
        <w:ind w:firstLine="640" w:firstLineChars="200"/>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、社会保障和就业支出（类）残疾人事业（款）行政运行（项）: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60.92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42.48</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default" w:ascii="仿宋_GB2312" w:hAnsi="仿宋_GB2312" w:eastAsia="仿宋_GB2312" w:cs="仿宋_GB2312"/>
          <w:color w:val="auto"/>
          <w:kern w:val="0"/>
          <w:sz w:val="32"/>
          <w:szCs w:val="32"/>
          <w:highlight w:val="none"/>
        </w:rPr>
        <w:t>由于</w:t>
      </w:r>
      <w:r>
        <w:rPr>
          <w:rFonts w:hint="eastAsia" w:ascii="仿宋_GB2312" w:hAnsi="仿宋_GB2312" w:eastAsia="仿宋_GB2312" w:cs="仿宋_GB2312"/>
          <w:color w:val="auto"/>
          <w:kern w:val="0"/>
          <w:sz w:val="32"/>
          <w:szCs w:val="32"/>
          <w:highlight w:val="none"/>
          <w:lang w:val="en-US" w:eastAsia="zh-CN"/>
        </w:rPr>
        <w:t>2023</w:t>
      </w:r>
      <w:r>
        <w:rPr>
          <w:rFonts w:hint="default"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8月人才引进1人，试岗期间只发生活补助，上级文件下达较晚，按上级要求用当年10月工资表做全年预算，2023年10月该同志未办理入编手续，2024年5月根据文件精神，为该人才引进办理入编手续，缴纳社保等，</w:t>
      </w:r>
      <w:r>
        <w:rPr>
          <w:rFonts w:hint="default" w:ascii="仿宋_GB2312" w:hAnsi="仿宋_GB2312" w:eastAsia="仿宋_GB2312" w:cs="仿宋_GB2312"/>
          <w:color w:val="auto"/>
          <w:kern w:val="0"/>
          <w:sz w:val="32"/>
          <w:szCs w:val="32"/>
          <w:highlight w:val="none"/>
        </w:rPr>
        <w:t>导致预算较上年下降。</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、社会保障和就业支出（类）残疾人事业（款）</w:t>
      </w:r>
      <w:r>
        <w:rPr>
          <w:rFonts w:hint="eastAsia" w:ascii="仿宋_GB2312" w:hAnsi="仿宋_GB2312" w:eastAsia="仿宋_GB2312" w:cs="仿宋_GB2312"/>
          <w:color w:val="auto"/>
          <w:kern w:val="0"/>
          <w:sz w:val="32"/>
          <w:szCs w:val="32"/>
          <w:highlight w:val="none"/>
          <w:lang w:eastAsia="zh-CN"/>
        </w:rPr>
        <w:t>残疾人就业</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55.76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47.16</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长548.37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中央、自治区、州上增加了对</w:t>
      </w:r>
      <w:r>
        <w:rPr>
          <w:rFonts w:hint="eastAsia" w:ascii="仿宋_GB2312" w:hAnsi="仿宋_GB2312" w:eastAsia="仿宋_GB2312" w:cs="仿宋_GB2312"/>
          <w:color w:val="auto"/>
          <w:kern w:val="0"/>
          <w:sz w:val="32"/>
          <w:szCs w:val="32"/>
          <w:highlight w:val="none"/>
          <w:lang w:eastAsia="zh-CN"/>
        </w:rPr>
        <w:t>残疾人就业项目</w:t>
      </w:r>
      <w:r>
        <w:rPr>
          <w:rFonts w:hint="eastAsia" w:ascii="仿宋_GB2312" w:hAnsi="仿宋_GB2312" w:eastAsia="仿宋_GB2312" w:cs="仿宋_GB2312"/>
          <w:color w:val="auto"/>
          <w:kern w:val="0"/>
          <w:sz w:val="32"/>
          <w:szCs w:val="32"/>
          <w:highlight w:val="none"/>
          <w:lang w:val="en-US" w:eastAsia="zh-CN"/>
        </w:rPr>
        <w:t>资金的扶持，导致该科目支出增加</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、社会保障和就业支出（类）残疾人事业（款）</w:t>
      </w:r>
      <w:r>
        <w:rPr>
          <w:rFonts w:hint="eastAsia" w:ascii="仿宋_GB2312" w:hAnsi="仿宋_GB2312" w:eastAsia="仿宋_GB2312" w:cs="仿宋_GB2312"/>
          <w:color w:val="auto"/>
          <w:kern w:val="0"/>
          <w:sz w:val="32"/>
          <w:szCs w:val="32"/>
          <w:highlight w:val="none"/>
          <w:lang w:val="en-US" w:eastAsia="zh-CN"/>
        </w:rPr>
        <w:t>其他残疾人事业支出</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12.16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12.16</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中央、自治区、州上增加了其他残疾人事业支出</w:t>
      </w:r>
      <w:r>
        <w:rPr>
          <w:rFonts w:hint="eastAsia" w:ascii="仿宋_GB2312" w:hAnsi="仿宋_GB2312" w:eastAsia="仿宋_GB2312" w:cs="仿宋_GB2312"/>
          <w:color w:val="auto"/>
          <w:kern w:val="0"/>
          <w:sz w:val="32"/>
          <w:szCs w:val="32"/>
          <w:highlight w:val="none"/>
          <w:lang w:eastAsia="zh-CN"/>
        </w:rPr>
        <w:t>项目</w:t>
      </w:r>
      <w:r>
        <w:rPr>
          <w:rFonts w:hint="eastAsia" w:ascii="仿宋_GB2312" w:hAnsi="仿宋_GB2312" w:eastAsia="仿宋_GB2312" w:cs="仿宋_GB2312"/>
          <w:color w:val="auto"/>
          <w:kern w:val="0"/>
          <w:sz w:val="32"/>
          <w:szCs w:val="32"/>
          <w:highlight w:val="none"/>
          <w:lang w:val="en-US" w:eastAsia="zh-CN"/>
        </w:rPr>
        <w:t>资金的扶持，导致该科目支出增加</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、卫生健康支出（类）行政事业单位医疗（款）行政单位医疗（项）：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增加0.13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增长3.35</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2025年在职人员工资普调资、津贴调整、职工晋升、绩效奖金、十三个月工资</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lang w:val="en-US" w:eastAsia="zh-CN"/>
        </w:rPr>
        <w:t>调整，因此社保缴费基数增加了，导致支出增加。</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、卫生健康支出（类）行政事业单位医疗（款）</w:t>
      </w:r>
      <w:r>
        <w:rPr>
          <w:rFonts w:hint="eastAsia" w:ascii="仿宋_GB2312" w:hAnsi="仿宋_GB2312" w:eastAsia="仿宋_GB2312" w:cs="仿宋_GB2312"/>
          <w:color w:val="auto"/>
          <w:kern w:val="0"/>
          <w:sz w:val="32"/>
          <w:szCs w:val="32"/>
          <w:highlight w:val="none"/>
          <w:lang w:eastAsia="zh-CN"/>
        </w:rPr>
        <w:t>事业单位医疗</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3.99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0.63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w:t>
      </w:r>
      <w:r>
        <w:rPr>
          <w:rFonts w:hint="eastAsia" w:ascii="仿宋_GB2312" w:hAnsi="仿宋_GB2312" w:eastAsia="仿宋_GB2312" w:cs="仿宋_GB2312"/>
          <w:color w:val="auto"/>
          <w:kern w:val="0"/>
          <w:sz w:val="32"/>
          <w:szCs w:val="32"/>
          <w:highlight w:val="none"/>
          <w:lang w:val="en-US" w:eastAsia="zh-CN"/>
        </w:rPr>
        <w:t>长18.75</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2025年在职人员工资普调资、津贴调整、职工晋升、绩效奖金、十三个月工资</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lang w:val="en-US" w:eastAsia="zh-CN"/>
        </w:rPr>
        <w:t>调整，因此社保缴费基数增加了，导致支出增加。</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、卫生健康支出（类）行政事业单位医疗（款）公务员医疗补助（项）：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3.99</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增长100.50</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2025年在职人员工资普调资、津贴调整、职工晋升、绩效奖金、十三个月工资</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lang w:val="en-US" w:eastAsia="zh-CN"/>
        </w:rPr>
        <w:t>调整，因此社保缴费基数增加了，导致支出增加。</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、卫生健康支出（类）行政事业单位医疗（款）其他行政事业单位医疗支出（项）：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万元，比上年预算增</w:t>
      </w:r>
      <w:r>
        <w:rPr>
          <w:rFonts w:hint="eastAsia" w:ascii="仿宋_GB2312" w:hAnsi="仿宋_GB2312" w:eastAsia="仿宋_GB2312" w:cs="仿宋_GB2312"/>
          <w:color w:val="auto"/>
          <w:kern w:val="0"/>
          <w:sz w:val="32"/>
          <w:szCs w:val="32"/>
          <w:highlight w:val="none"/>
          <w:lang w:val="en-US" w:eastAsia="zh-CN"/>
        </w:rPr>
        <w:t>加</w:t>
      </w:r>
      <w:r>
        <w:rPr>
          <w:rFonts w:hint="eastAsia" w:ascii="仿宋_GB2312" w:hAnsi="仿宋_GB2312" w:eastAsia="仿宋_GB2312" w:cs="仿宋_GB2312"/>
          <w:color w:val="auto"/>
          <w:kern w:val="0"/>
          <w:sz w:val="32"/>
          <w:szCs w:val="32"/>
          <w:highlight w:val="none"/>
        </w:rPr>
        <w:t>0.0</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2025年在职人员工资普调资、津贴调整、职工晋升、绩效奖金、十三个月工资</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lang w:val="en-US" w:eastAsia="zh-CN"/>
        </w:rPr>
        <w:t>调整，因此社保缴费基数增加了，导致支出增加。</w:t>
      </w:r>
    </w:p>
    <w:p>
      <w:pPr>
        <w:spacing w:line="56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、住房保障支出（类）住房改革支出（款）住房公积金（项）：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13.16</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增加1.26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增长10.58</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w:t>
      </w:r>
      <w:r>
        <w:rPr>
          <w:rFonts w:hint="eastAsia" w:ascii="仿宋_GB2312" w:hAnsi="宋体" w:eastAsia="仿宋_GB2312" w:cs="宋体"/>
          <w:color w:val="auto"/>
          <w:kern w:val="0"/>
          <w:sz w:val="32"/>
          <w:szCs w:val="32"/>
          <w:highlight w:val="none"/>
          <w:lang w:val="en-US" w:eastAsia="zh-CN"/>
        </w:rPr>
        <w:t>2025年在职人员工资普调资、津贴调整、职工晋升、绩效奖金、十三个月工资</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lang w:val="en-US" w:eastAsia="zh-CN"/>
        </w:rPr>
        <w:t>调整，因此社保缴费基数增加了，导致支出增加。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关于呼图壁县残疾人联合会</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呼图壁县残疾人联合会</w:t>
      </w:r>
      <w:r>
        <w:rPr>
          <w:rFonts w:hint="eastAsia" w:ascii="仿宋_GB2312" w:hAnsi="宋体" w:eastAsia="仿宋_GB2312" w:cs="宋体"/>
          <w:color w:val="auto"/>
          <w:spacing w:val="-6"/>
          <w:kern w:val="0"/>
          <w:sz w:val="32"/>
          <w:szCs w:val="32"/>
          <w:highlight w:val="none"/>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163.06</w:t>
      </w:r>
      <w:r>
        <w:rPr>
          <w:rFonts w:hint="eastAsia" w:ascii="仿宋_GB2312" w:hAnsi="宋体" w:eastAsia="仿宋_GB2312" w:cs="宋体"/>
          <w:color w:val="auto"/>
          <w:spacing w:val="-6"/>
          <w:kern w:val="0"/>
          <w:sz w:val="32"/>
          <w:szCs w:val="32"/>
          <w:highlight w:val="none"/>
        </w:rPr>
        <w:t>万元， 其中：</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sz w:val="32"/>
          <w:szCs w:val="32"/>
          <w:highlight w:val="none"/>
        </w:rPr>
        <w:t>人员经费</w:t>
      </w:r>
      <w:r>
        <w:rPr>
          <w:rFonts w:hint="eastAsia" w:ascii="仿宋_GB2312" w:hAnsi="宋体" w:eastAsia="仿宋_GB2312" w:cs="宋体"/>
          <w:color w:val="auto"/>
          <w:spacing w:val="-6"/>
          <w:kern w:val="0"/>
          <w:sz w:val="32"/>
          <w:szCs w:val="32"/>
          <w:highlight w:val="none"/>
          <w:lang w:val="en-US" w:eastAsia="zh-CN"/>
        </w:rPr>
        <w:t>157.78</w:t>
      </w:r>
      <w:r>
        <w:rPr>
          <w:rFonts w:hint="eastAsia" w:ascii="仿宋_GB2312" w:hAnsi="宋体" w:eastAsia="仿宋_GB2312" w:cs="宋体"/>
          <w:color w:val="auto"/>
          <w:sz w:val="32"/>
          <w:szCs w:val="32"/>
          <w:highlight w:val="none"/>
        </w:rPr>
        <w:t>万元，主要包括：</w:t>
      </w:r>
      <w:r>
        <w:rPr>
          <w:rFonts w:hint="eastAsia" w:ascii="仿宋_GB2312" w:hAnsi="宋体" w:eastAsia="仿宋_GB2312" w:cs="宋体"/>
          <w:color w:val="auto"/>
          <w:kern w:val="0"/>
          <w:sz w:val="32"/>
          <w:szCs w:val="32"/>
          <w:highlight w:val="none"/>
        </w:rPr>
        <w:t>基本工资、津贴补贴、奖金、绩效工资、机关事业单位基本养老保险缴费、城镇职工基本医疗保险缴费、公务员医疗补助缴费、其他社会保障缴费、住房公积金、退休费、退休医疗费补助、奖励金。</w:t>
      </w:r>
    </w:p>
    <w:p>
      <w:pPr>
        <w:spacing w:line="56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5.28</w:t>
      </w:r>
      <w:r>
        <w:rPr>
          <w:rFonts w:hint="eastAsia" w:ascii="仿宋_GB2312" w:hAnsi="宋体" w:eastAsia="仿宋_GB2312" w:cs="宋体"/>
          <w:color w:val="auto"/>
          <w:kern w:val="0"/>
          <w:sz w:val="32"/>
          <w:szCs w:val="32"/>
          <w:highlight w:val="none"/>
        </w:rPr>
        <w:t>万元，主要包括：办公费、邮电费、工会经费、公务用车运行维护费。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关于呼图壁县残疾人联合会</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numPr>
          <w:ilvl w:val="0"/>
          <w:numId w:val="0"/>
        </w:num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项目名称：</w:t>
      </w:r>
      <w:r>
        <w:rPr>
          <w:rFonts w:hint="eastAsia" w:ascii="仿宋_GB2312" w:hAnsi="黑体" w:eastAsia="仿宋_GB2312"/>
          <w:sz w:val="32"/>
          <w:szCs w:val="32"/>
          <w:highlight w:val="none"/>
          <w:lang w:val="en-US" w:eastAsia="zh-CN"/>
        </w:rPr>
        <w:t>2025年中央财政残疾人事业发展补助资金</w:t>
      </w:r>
    </w:p>
    <w:p>
      <w:pPr>
        <w:numPr>
          <w:ilvl w:val="0"/>
          <w:numId w:val="0"/>
        </w:numPr>
        <w:spacing w:line="56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关于提前下达</w:t>
      </w:r>
      <w:r>
        <w:rPr>
          <w:rFonts w:hint="eastAsia" w:ascii="仿宋_GB2312" w:hAnsi="黑体" w:eastAsia="仿宋_GB2312"/>
          <w:sz w:val="32"/>
          <w:szCs w:val="32"/>
          <w:highlight w:val="none"/>
        </w:rPr>
        <w:t>2025年中央财政残疾人事业发展补助资金</w:t>
      </w:r>
      <w:r>
        <w:rPr>
          <w:rFonts w:hint="eastAsia" w:ascii="仿宋_GB2312" w:hAnsi="黑体" w:eastAsia="仿宋_GB2312"/>
          <w:sz w:val="32"/>
          <w:szCs w:val="32"/>
          <w:highlight w:val="none"/>
          <w:lang w:val="en-US" w:eastAsia="zh-CN"/>
        </w:rPr>
        <w:t>预算的通知</w:t>
      </w:r>
      <w:r>
        <w:rPr>
          <w:rFonts w:hint="eastAsia" w:ascii="仿宋_GB2312" w:hAnsi="黑体" w:eastAsia="仿宋_GB2312"/>
          <w:sz w:val="32"/>
          <w:szCs w:val="32"/>
          <w:highlight w:val="none"/>
        </w:rPr>
        <w:t>昌州财社（2024）</w:t>
      </w:r>
      <w:r>
        <w:rPr>
          <w:rFonts w:hint="eastAsia" w:ascii="仿宋_GB2312" w:hAnsi="黑体" w:eastAsia="仿宋_GB2312"/>
          <w:sz w:val="32"/>
          <w:szCs w:val="32"/>
          <w:highlight w:val="none"/>
          <w:lang w:val="en-US" w:eastAsia="zh-CN"/>
        </w:rPr>
        <w:t>91</w:t>
      </w:r>
      <w:r>
        <w:rPr>
          <w:rFonts w:hint="eastAsia" w:ascii="仿宋_GB2312" w:hAnsi="黑体" w:eastAsia="仿宋_GB2312"/>
          <w:sz w:val="32"/>
          <w:szCs w:val="32"/>
          <w:highlight w:val="none"/>
        </w:rPr>
        <w:t>号</w:t>
      </w:r>
    </w:p>
    <w:p>
      <w:pPr>
        <w:spacing w:line="56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预算安排规模：</w:t>
      </w:r>
      <w:r>
        <w:rPr>
          <w:rFonts w:hint="eastAsia" w:ascii="仿宋_GB2312" w:hAnsi="黑体" w:eastAsia="仿宋_GB2312"/>
          <w:sz w:val="32"/>
          <w:szCs w:val="32"/>
          <w:highlight w:val="none"/>
          <w:lang w:val="en-US" w:eastAsia="zh-CN"/>
        </w:rPr>
        <w:t>4.66</w:t>
      </w:r>
      <w:r>
        <w:rPr>
          <w:rFonts w:hint="eastAsia" w:ascii="仿宋_GB2312" w:hAnsi="黑体" w:eastAsia="仿宋_GB2312"/>
          <w:sz w:val="32"/>
          <w:szCs w:val="32"/>
          <w:highlight w:val="none"/>
        </w:rPr>
        <w:t>万元</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项目承担单位：呼图壁县残疾</w:t>
      </w:r>
      <w:r>
        <w:rPr>
          <w:rFonts w:hint="eastAsia" w:ascii="仿宋_GB2312" w:hAnsi="宋体" w:eastAsia="仿宋_GB2312" w:cs="宋体"/>
          <w:kern w:val="0"/>
          <w:sz w:val="32"/>
          <w:szCs w:val="32"/>
          <w:highlight w:val="none"/>
        </w:rPr>
        <w:t>人联合会</w:t>
      </w:r>
    </w:p>
    <w:p>
      <w:pPr>
        <w:spacing w:line="560" w:lineRule="exact"/>
        <w:ind w:firstLine="640" w:firstLineChars="200"/>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4.66</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全部</w:t>
      </w:r>
      <w:r>
        <w:rPr>
          <w:rFonts w:hint="eastAsia" w:ascii="仿宋_GB2312" w:hAnsi="宋体" w:eastAsia="仿宋_GB2312" w:cs="宋体"/>
          <w:kern w:val="0"/>
          <w:sz w:val="32"/>
          <w:szCs w:val="32"/>
          <w:highlight w:val="none"/>
          <w:lang w:eastAsia="zh-CN"/>
        </w:rPr>
        <w:t>用于</w:t>
      </w:r>
      <w:r>
        <w:rPr>
          <w:rFonts w:hint="eastAsia" w:ascii="仿宋_GB2312" w:hAnsi="宋体" w:eastAsia="仿宋_GB2312" w:cs="宋体"/>
          <w:kern w:val="0"/>
          <w:sz w:val="32"/>
          <w:szCs w:val="32"/>
          <w:highlight w:val="none"/>
          <w:lang w:val="en-US" w:eastAsia="zh-CN"/>
        </w:rPr>
        <w:t>残疾人基本康复、购买辅具器具、日间照料</w:t>
      </w:r>
      <w:r>
        <w:rPr>
          <w:rFonts w:hint="eastAsia" w:ascii="仿宋_GB2312" w:hAnsi="宋体" w:eastAsia="仿宋_GB2312" w:cs="宋体"/>
          <w:kern w:val="0"/>
          <w:sz w:val="32"/>
          <w:szCs w:val="32"/>
          <w:highlight w:val="none"/>
          <w:lang w:eastAsia="zh-CN"/>
        </w:rPr>
        <w:t>等方面支出。</w:t>
      </w:r>
    </w:p>
    <w:p>
      <w:pPr>
        <w:spacing w:line="560" w:lineRule="exact"/>
        <w:ind w:firstLine="640" w:firstLineChars="200"/>
        <w:rPr>
          <w:rFonts w:hint="eastAsia" w:ascii="仿宋_GB2312" w:hAnsi="宋体" w:eastAsia="仿宋_GB2312" w:cs="宋体"/>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w:t>
      </w:r>
    </w:p>
    <w:p>
      <w:pPr>
        <w:spacing w:line="560" w:lineRule="exact"/>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项目名称：</w:t>
      </w:r>
      <w:r>
        <w:rPr>
          <w:rFonts w:hint="eastAsia" w:ascii="仿宋_GB2312" w:hAnsi="黑体" w:eastAsia="仿宋_GB2312"/>
          <w:sz w:val="32"/>
          <w:szCs w:val="32"/>
          <w:highlight w:val="none"/>
          <w:lang w:val="en-US" w:eastAsia="zh-CN"/>
        </w:rPr>
        <w:t>2025年自治区财政残疾人事业发展补助资金</w:t>
      </w:r>
    </w:p>
    <w:p>
      <w:pPr>
        <w:spacing w:line="56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设立的政策依据：</w:t>
      </w:r>
      <w:r>
        <w:rPr>
          <w:rFonts w:hint="eastAsia" w:ascii="仿宋_GB2312" w:hAnsi="黑体" w:eastAsia="仿宋_GB2312"/>
          <w:sz w:val="32"/>
          <w:szCs w:val="32"/>
          <w:highlight w:val="none"/>
          <w:lang w:val="en-US" w:eastAsia="zh-CN"/>
        </w:rPr>
        <w:t>关于提前下达</w:t>
      </w:r>
      <w:r>
        <w:rPr>
          <w:rFonts w:hint="eastAsia" w:ascii="仿宋_GB2312" w:hAnsi="黑体" w:eastAsia="仿宋_GB2312"/>
          <w:sz w:val="32"/>
          <w:szCs w:val="32"/>
          <w:highlight w:val="none"/>
        </w:rPr>
        <w:t>2025年自治区财政残疾人事业发展补助资金金</w:t>
      </w:r>
      <w:r>
        <w:rPr>
          <w:rFonts w:hint="eastAsia" w:ascii="仿宋_GB2312" w:hAnsi="黑体" w:eastAsia="仿宋_GB2312"/>
          <w:sz w:val="32"/>
          <w:szCs w:val="32"/>
          <w:highlight w:val="none"/>
          <w:lang w:val="en-US" w:eastAsia="zh-CN"/>
        </w:rPr>
        <w:t>预算的通知</w:t>
      </w:r>
      <w:r>
        <w:rPr>
          <w:rFonts w:hint="eastAsia" w:ascii="仿宋_GB2312" w:hAnsi="黑体" w:eastAsia="仿宋_GB2312"/>
          <w:sz w:val="32"/>
          <w:szCs w:val="32"/>
          <w:highlight w:val="none"/>
        </w:rPr>
        <w:t>昌州财社（2024）</w:t>
      </w:r>
      <w:r>
        <w:rPr>
          <w:rFonts w:hint="eastAsia" w:ascii="仿宋_GB2312" w:hAnsi="黑体" w:eastAsia="仿宋_GB2312"/>
          <w:sz w:val="32"/>
          <w:szCs w:val="32"/>
          <w:highlight w:val="none"/>
          <w:lang w:val="en-US" w:eastAsia="zh-CN"/>
        </w:rPr>
        <w:t>92</w:t>
      </w:r>
      <w:r>
        <w:rPr>
          <w:rFonts w:hint="eastAsia" w:ascii="仿宋_GB2312" w:hAnsi="黑体" w:eastAsia="仿宋_GB2312"/>
          <w:sz w:val="32"/>
          <w:szCs w:val="32"/>
          <w:highlight w:val="none"/>
        </w:rPr>
        <w:t>号</w:t>
      </w:r>
    </w:p>
    <w:p>
      <w:pPr>
        <w:spacing w:line="560" w:lineRule="exact"/>
        <w:ind w:firstLine="640" w:firstLineChars="200"/>
        <w:rPr>
          <w:rFonts w:hint="eastAsia" w:ascii="仿宋_GB2312" w:hAnsi="黑体" w:eastAsia="仿宋_GB2312"/>
          <w:sz w:val="32"/>
          <w:szCs w:val="32"/>
          <w:highlight w:val="none"/>
        </w:rPr>
      </w:pPr>
      <w:r>
        <w:rPr>
          <w:rFonts w:hint="eastAsia" w:ascii="仿宋_GB2312" w:hAnsi="黑体" w:eastAsia="仿宋_GB2312"/>
          <w:sz w:val="32"/>
          <w:szCs w:val="32"/>
          <w:highlight w:val="none"/>
        </w:rPr>
        <w:t>预算安排规模：</w:t>
      </w:r>
      <w:r>
        <w:rPr>
          <w:rFonts w:hint="eastAsia" w:ascii="仿宋_GB2312" w:hAnsi="黑体" w:eastAsia="仿宋_GB2312"/>
          <w:sz w:val="32"/>
          <w:szCs w:val="32"/>
          <w:highlight w:val="none"/>
          <w:lang w:val="en-US" w:eastAsia="zh-CN"/>
        </w:rPr>
        <w:t>7.5</w:t>
      </w:r>
      <w:r>
        <w:rPr>
          <w:rFonts w:hint="eastAsia" w:ascii="仿宋_GB2312" w:hAnsi="黑体" w:eastAsia="仿宋_GB2312"/>
          <w:sz w:val="32"/>
          <w:szCs w:val="32"/>
          <w:highlight w:val="none"/>
        </w:rPr>
        <w:t>万元</w:t>
      </w:r>
    </w:p>
    <w:p>
      <w:pPr>
        <w:spacing w:line="560" w:lineRule="exact"/>
        <w:ind w:firstLine="640" w:firstLineChars="200"/>
        <w:rPr>
          <w:rFonts w:ascii="仿宋_GB2312" w:hAnsi="黑体" w:eastAsia="仿宋_GB2312"/>
          <w:sz w:val="32"/>
          <w:szCs w:val="32"/>
          <w:highlight w:val="none"/>
        </w:rPr>
      </w:pPr>
      <w:r>
        <w:rPr>
          <w:rFonts w:hint="eastAsia" w:ascii="仿宋_GB2312" w:hAnsi="黑体" w:eastAsia="仿宋_GB2312"/>
          <w:sz w:val="32"/>
          <w:szCs w:val="32"/>
          <w:highlight w:val="none"/>
        </w:rPr>
        <w:t>项目承担单位：呼图壁县残疾人联合会</w:t>
      </w:r>
    </w:p>
    <w:p>
      <w:pPr>
        <w:spacing w:line="560" w:lineRule="exact"/>
        <w:ind w:firstLine="640" w:firstLineChars="200"/>
        <w:rPr>
          <w:rFonts w:hint="eastAsia" w:ascii="仿宋_GB2312" w:hAnsi="黑体" w:eastAsia="仿宋_GB2312"/>
          <w:sz w:val="32"/>
          <w:szCs w:val="32"/>
          <w:highlight w:val="none"/>
          <w:lang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7.5</w:t>
      </w:r>
      <w:r>
        <w:rPr>
          <w:rFonts w:hint="eastAsia" w:ascii="仿宋_GB2312" w:hAnsi="黑体" w:eastAsia="仿宋_GB2312"/>
          <w:sz w:val="32"/>
          <w:szCs w:val="32"/>
          <w:highlight w:val="none"/>
        </w:rPr>
        <w:t>万元</w:t>
      </w:r>
      <w:bookmarkStart w:id="1" w:name="_GoBack"/>
      <w:bookmarkEnd w:id="1"/>
      <w:r>
        <w:rPr>
          <w:rFonts w:hint="eastAsia" w:ascii="仿宋_GB2312" w:hAnsi="黑体" w:eastAsia="仿宋_GB2312"/>
          <w:sz w:val="32"/>
          <w:szCs w:val="32"/>
          <w:highlight w:val="none"/>
          <w:lang w:val="en-US" w:eastAsia="zh-CN"/>
        </w:rPr>
        <w:t>全部</w:t>
      </w:r>
      <w:r>
        <w:rPr>
          <w:rFonts w:hint="eastAsia" w:ascii="仿宋_GB2312" w:hAnsi="黑体" w:eastAsia="仿宋_GB2312"/>
          <w:sz w:val="32"/>
          <w:szCs w:val="32"/>
          <w:highlight w:val="none"/>
          <w:lang w:eastAsia="zh-CN"/>
        </w:rPr>
        <w:t>用于</w:t>
      </w:r>
      <w:r>
        <w:rPr>
          <w:rFonts w:hint="eastAsia" w:ascii="仿宋_GB2312" w:hAnsi="黑体" w:eastAsia="仿宋_GB2312"/>
          <w:sz w:val="32"/>
          <w:szCs w:val="32"/>
          <w:highlight w:val="none"/>
          <w:lang w:val="en-US" w:eastAsia="zh-CN"/>
        </w:rPr>
        <w:t>残疾人基本康复、残疾人托养中心补助费用</w:t>
      </w:r>
      <w:r>
        <w:rPr>
          <w:rFonts w:hint="eastAsia" w:ascii="仿宋_GB2312" w:hAnsi="黑体" w:eastAsia="仿宋_GB2312"/>
          <w:sz w:val="32"/>
          <w:szCs w:val="32"/>
          <w:highlight w:val="none"/>
          <w:lang w:eastAsia="zh-CN"/>
        </w:rPr>
        <w:t>等方面支出。</w:t>
      </w:r>
    </w:p>
    <w:p>
      <w:pPr>
        <w:spacing w:line="560" w:lineRule="exact"/>
        <w:ind w:firstLine="640" w:firstLineChars="200"/>
        <w:rPr>
          <w:rFonts w:hint="eastAsia" w:ascii="仿宋_GB2312" w:hAnsi="宋体" w:eastAsia="仿宋_GB2312" w:cs="宋体"/>
          <w:b/>
          <w:bCs/>
          <w:kern w:val="0"/>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rPr>
        <w:t>呼图壁县残疾人联合会</w:t>
      </w: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呼图壁县残疾人联合会202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呼图壁县残疾人联合会202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“三公”经费数为</w:t>
      </w:r>
      <w:r>
        <w:rPr>
          <w:rFonts w:hint="eastAsia" w:ascii="仿宋_GB2312" w:hAnsi="宋体" w:eastAsia="仿宋_GB2312" w:cs="宋体"/>
          <w:kern w:val="0"/>
          <w:sz w:val="32"/>
          <w:szCs w:val="32"/>
          <w:highlight w:val="none"/>
          <w:lang w:val="en-US" w:eastAsia="zh-CN"/>
        </w:rPr>
        <w:t>1.6</w:t>
      </w:r>
      <w:r>
        <w:rPr>
          <w:rFonts w:hint="eastAsia" w:ascii="仿宋_GB2312" w:hAnsi="宋体" w:eastAsia="仿宋_GB2312" w:cs="宋体"/>
          <w:kern w:val="0"/>
          <w:sz w:val="32"/>
          <w:szCs w:val="32"/>
          <w:highlight w:val="none"/>
        </w:rPr>
        <w:t>万元，其中：因公出国（境）费0万元，公务</w:t>
      </w:r>
      <w:r>
        <w:rPr>
          <w:rFonts w:hint="eastAsia" w:ascii="仿宋_GB2312" w:hAnsi="宋体" w:eastAsia="仿宋_GB2312" w:cs="宋体"/>
          <w:color w:val="000000"/>
          <w:kern w:val="0"/>
          <w:sz w:val="32"/>
          <w:szCs w:val="32"/>
          <w:highlight w:val="none"/>
        </w:rPr>
        <w:t>用车购置费0</w:t>
      </w:r>
      <w:r>
        <w:rPr>
          <w:rFonts w:hint="eastAsia" w:ascii="仿宋_GB2312" w:hAnsi="宋体" w:eastAsia="仿宋_GB2312" w:cs="宋体"/>
          <w:kern w:val="0"/>
          <w:sz w:val="32"/>
          <w:szCs w:val="32"/>
          <w:highlight w:val="none"/>
        </w:rPr>
        <w:t>万元，公务用车运行费</w:t>
      </w:r>
      <w:r>
        <w:rPr>
          <w:rFonts w:hint="eastAsia" w:ascii="仿宋_GB2312" w:hAnsi="宋体" w:eastAsia="仿宋_GB2312" w:cs="宋体"/>
          <w:kern w:val="0"/>
          <w:sz w:val="32"/>
          <w:szCs w:val="32"/>
          <w:highlight w:val="none"/>
          <w:lang w:val="en-US" w:eastAsia="zh-CN"/>
        </w:rPr>
        <w:t>1.6</w:t>
      </w:r>
      <w:r>
        <w:rPr>
          <w:rFonts w:hint="eastAsia" w:ascii="仿宋_GB2312" w:hAnsi="宋体" w:eastAsia="仿宋_GB2312" w:cs="宋体"/>
          <w:kern w:val="0"/>
          <w:sz w:val="32"/>
          <w:szCs w:val="32"/>
          <w:highlight w:val="none"/>
        </w:rPr>
        <w:t>万元，公务接待费0万元。</w:t>
      </w:r>
    </w:p>
    <w:p>
      <w:pPr>
        <w:spacing w:line="560" w:lineRule="exact"/>
        <w:ind w:firstLine="640" w:firstLineChars="200"/>
        <w:rPr>
          <w:rFonts w:hint="eastAsia" w:ascii="仿宋_GB2312" w:hAnsi="宋体" w:eastAsia="仿宋_GB2312" w:cs="宋体"/>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kern w:val="0"/>
          <w:sz w:val="32"/>
          <w:szCs w:val="32"/>
          <w:highlight w:val="none"/>
        </w:rPr>
        <w:t>，其中：因公出国（境）费增加0万元，增长0%，主要原因是2024年-2025年均未安排此项经费。；公务用车购置费增加0万元，增长0%，主要原因是2024年-2025年均未安排此项经费。；公务用车运行费增加 0.00万元， 增</w:t>
      </w:r>
      <w:r>
        <w:rPr>
          <w:rFonts w:hint="eastAsia" w:ascii="仿宋_GB2312" w:hAnsi="宋体" w:eastAsia="仿宋_GB2312" w:cs="宋体"/>
          <w:kern w:val="0"/>
          <w:sz w:val="32"/>
          <w:szCs w:val="32"/>
          <w:highlight w:val="none"/>
          <w:lang w:val="en-US" w:eastAsia="zh-CN"/>
        </w:rPr>
        <w:t>长</w:t>
      </w:r>
      <w:r>
        <w:rPr>
          <w:rFonts w:hint="eastAsia" w:ascii="仿宋_GB2312" w:hAnsi="宋体" w:eastAsia="仿宋_GB2312" w:cs="宋体"/>
          <w:kern w:val="0"/>
          <w:sz w:val="32"/>
          <w:szCs w:val="32"/>
          <w:highlight w:val="none"/>
        </w:rPr>
        <w:t>0.00%，主要原因是2024年-2025年均未安排此项经费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rPr>
        <w:t>公务接待费减少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万元，增长0%，主要原因是2024年-2025年均未安排此项经费。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rPr>
        <w:t>呼图壁县残疾人联合会</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呼图壁县残疾人联合会2025上年结转结余26.68万元，包括：财政拨款26.68万元，非财政拨款0万元，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1、2024年州本级残疾人事业发展补助资金（第一批）</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主要用于：成人肢体康复补助、残疾儿童康复救助、残疾人社区康复站建设、乡镇卫生院残疾人康复站器材购置等。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2、2024年州本级残疾人事业发展补助资金6.45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主要用于：残疾人稳岗就业扶持资金4.55万元，“爱心天使”助学项目1.9万元等。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kern w:val="0"/>
          <w:sz w:val="32"/>
          <w:szCs w:val="32"/>
          <w:highlight w:val="none"/>
        </w:rPr>
        <w:t>呼图壁县残疾人联合会</w:t>
      </w:r>
      <w:r>
        <w:rPr>
          <w:rFonts w:hint="eastAsia" w:ascii="仿宋_GB2312" w:hAnsi="仿宋_GB2312" w:eastAsia="仿宋_GB2312" w:cs="仿宋_GB2312"/>
          <w:kern w:val="0"/>
          <w:sz w:val="32"/>
          <w:szCs w:val="32"/>
          <w:highlight w:val="none"/>
        </w:rPr>
        <w:t>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年事业单位的机关运行经费财政拨款预算</w:t>
      </w:r>
      <w:r>
        <w:rPr>
          <w:rFonts w:hint="eastAsia" w:ascii="仿宋_GB2312" w:hAnsi="仿宋_GB2312" w:eastAsia="仿宋_GB2312" w:cs="仿宋_GB2312"/>
          <w:kern w:val="0"/>
          <w:sz w:val="32"/>
          <w:szCs w:val="32"/>
          <w:highlight w:val="none"/>
          <w:lang w:val="en-US" w:eastAsia="zh-CN"/>
        </w:rPr>
        <w:t>5.28</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val="en-US" w:eastAsia="zh-CN"/>
        </w:rPr>
        <w:t>增加0.36</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增长7.31</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color w:val="auto"/>
          <w:kern w:val="0"/>
          <w:sz w:val="32"/>
          <w:szCs w:val="32"/>
          <w:highlight w:val="none"/>
        </w:rPr>
        <w:t>。主要原</w:t>
      </w:r>
      <w:r>
        <w:rPr>
          <w:rFonts w:hint="eastAsia" w:ascii="仿宋_GB2312" w:hAnsi="仿宋_GB2312" w:eastAsia="仿宋_GB2312" w:cs="仿宋_GB2312"/>
          <w:kern w:val="0"/>
          <w:sz w:val="32"/>
          <w:szCs w:val="32"/>
          <w:highlight w:val="none"/>
          <w:lang w:val="en-US" w:eastAsia="zh-CN"/>
        </w:rPr>
        <w:t>因是：2</w:t>
      </w:r>
      <w:r>
        <w:rPr>
          <w:rFonts w:hint="default" w:ascii="仿宋_GB2312" w:hAnsi="仿宋_GB2312" w:eastAsia="仿宋_GB2312" w:cs="仿宋_GB2312"/>
          <w:kern w:val="0"/>
          <w:sz w:val="32"/>
          <w:szCs w:val="32"/>
          <w:highlight w:val="none"/>
          <w:lang w:val="en-US" w:eastAsia="zh-CN"/>
        </w:rPr>
        <w:t>02</w:t>
      </w:r>
      <w:r>
        <w:rPr>
          <w:rFonts w:hint="eastAsia" w:ascii="仿宋_GB2312" w:hAnsi="仿宋_GB2312" w:eastAsia="仿宋_GB2312" w:cs="仿宋_GB2312"/>
          <w:kern w:val="0"/>
          <w:sz w:val="32"/>
          <w:szCs w:val="32"/>
          <w:highlight w:val="none"/>
          <w:lang w:val="en-US" w:eastAsia="zh-CN"/>
        </w:rPr>
        <w:t>4</w:t>
      </w:r>
      <w:r>
        <w:rPr>
          <w:rFonts w:hint="default" w:ascii="仿宋_GB2312" w:hAnsi="仿宋_GB2312" w:eastAsia="仿宋_GB2312" w:cs="仿宋_GB2312"/>
          <w:kern w:val="0"/>
          <w:sz w:val="32"/>
          <w:szCs w:val="32"/>
          <w:highlight w:val="none"/>
          <w:lang w:val="en-US" w:eastAsia="zh-CN"/>
        </w:rPr>
        <w:t>年预算用于残疾人事业发展对应的残疾人康复及残疾人就业等预算</w:t>
      </w:r>
      <w:r>
        <w:rPr>
          <w:rFonts w:hint="eastAsia" w:ascii="仿宋_GB2312" w:hAnsi="仿宋_GB2312" w:eastAsia="仿宋_GB2312" w:cs="仿宋_GB2312"/>
          <w:kern w:val="0"/>
          <w:sz w:val="32"/>
          <w:szCs w:val="32"/>
          <w:highlight w:val="none"/>
          <w:lang w:val="en-US" w:eastAsia="zh-CN"/>
        </w:rPr>
        <w:t>较少</w:t>
      </w:r>
      <w:r>
        <w:rPr>
          <w:rFonts w:hint="default" w:ascii="仿宋_GB2312" w:hAnsi="仿宋_GB2312" w:eastAsia="仿宋_GB2312" w:cs="仿宋_GB2312"/>
          <w:kern w:val="0"/>
          <w:sz w:val="32"/>
          <w:szCs w:val="32"/>
          <w:highlight w:val="none"/>
          <w:lang w:val="en-US" w:eastAsia="zh-CN"/>
        </w:rPr>
        <w:t>，用于残疾人稳岗就业、残疾人慰问、残疾人康复机构运行等方面，</w:t>
      </w:r>
      <w:r>
        <w:rPr>
          <w:rFonts w:hint="eastAsia" w:ascii="仿宋_GB2312" w:hAnsi="仿宋_GB2312" w:eastAsia="仿宋_GB2312" w:cs="仿宋_GB2312"/>
          <w:kern w:val="0"/>
          <w:sz w:val="32"/>
          <w:szCs w:val="32"/>
          <w:highlight w:val="none"/>
          <w:lang w:val="en-US" w:eastAsia="zh-CN"/>
        </w:rPr>
        <w:t>2025</w:t>
      </w:r>
      <w:r>
        <w:rPr>
          <w:rFonts w:hint="default" w:ascii="仿宋_GB2312" w:hAnsi="仿宋_GB2312" w:eastAsia="仿宋_GB2312" w:cs="仿宋_GB2312"/>
          <w:kern w:val="0"/>
          <w:sz w:val="32"/>
          <w:szCs w:val="32"/>
          <w:highlight w:val="none"/>
          <w:lang w:val="en-US" w:eastAsia="zh-CN"/>
        </w:rPr>
        <w:t>年根据业务及财政资金情况</w:t>
      </w:r>
      <w:r>
        <w:rPr>
          <w:rFonts w:hint="eastAsia" w:ascii="仿宋_GB2312" w:hAnsi="仿宋_GB2312" w:eastAsia="仿宋_GB2312" w:cs="仿宋_GB2312"/>
          <w:kern w:val="0"/>
          <w:sz w:val="32"/>
          <w:szCs w:val="32"/>
          <w:highlight w:val="none"/>
          <w:lang w:val="en-US" w:eastAsia="zh-CN"/>
        </w:rPr>
        <w:t>增加了预算</w:t>
      </w:r>
      <w:r>
        <w:rPr>
          <w:rFonts w:hint="default" w:ascii="仿宋_GB2312" w:hAnsi="仿宋_GB2312" w:eastAsia="仿宋_GB2312" w:cs="仿宋_GB2312"/>
          <w:kern w:val="0"/>
          <w:sz w:val="32"/>
          <w:szCs w:val="32"/>
          <w:highlight w:val="none"/>
          <w:lang w:val="en-US" w:eastAsia="zh-CN"/>
        </w:rPr>
        <w:t>，导致运行经费</w:t>
      </w:r>
      <w:r>
        <w:rPr>
          <w:rFonts w:hint="eastAsia" w:ascii="仿宋_GB2312" w:hAnsi="仿宋_GB2312" w:eastAsia="仿宋_GB2312" w:cs="仿宋_GB2312"/>
          <w:kern w:val="0"/>
          <w:sz w:val="32"/>
          <w:szCs w:val="32"/>
          <w:highlight w:val="none"/>
          <w:lang w:val="en-US" w:eastAsia="zh-CN"/>
        </w:rPr>
        <w:t>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highlight w:val="none"/>
        </w:rPr>
        <w:t>呼图壁县残疾人联合会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0.69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0.69</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highlight w:val="none"/>
        </w:rPr>
        <w:t>呼图壁县残疾人联合会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宋体" w:eastAsia="仿宋_GB2312" w:cs="宋体"/>
          <w:kern w:val="0"/>
          <w:sz w:val="32"/>
          <w:szCs w:val="32"/>
          <w:highlight w:val="none"/>
          <w:lang w:val="en-US" w:eastAsia="zh-CN"/>
        </w:rPr>
        <w:t>0.56万元</w:t>
      </w:r>
      <w:r>
        <w:rPr>
          <w:rFonts w:hint="eastAsia" w:ascii="仿宋_GB2312" w:hAnsi="仿宋_GB2312" w:eastAsia="仿宋_GB2312" w:cs="仿宋_GB2312"/>
          <w:color w:val="auto"/>
          <w:sz w:val="32"/>
          <w:highlight w:val="none"/>
        </w:rPr>
        <w:t>，</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宋体" w:eastAsia="仿宋_GB2312" w:cs="宋体"/>
          <w:kern w:val="0"/>
          <w:sz w:val="32"/>
          <w:szCs w:val="32"/>
          <w:highlight w:val="none"/>
          <w:lang w:val="en-US" w:eastAsia="zh-CN"/>
        </w:rPr>
        <w:t>0.56万元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年底，</w:t>
      </w:r>
      <w:r>
        <w:rPr>
          <w:rFonts w:hint="eastAsia" w:ascii="仿宋_GB2312" w:hAnsi="宋体" w:eastAsia="仿宋_GB2312" w:cs="宋体"/>
          <w:kern w:val="0"/>
          <w:sz w:val="32"/>
          <w:szCs w:val="32"/>
          <w:highlight w:val="none"/>
        </w:rPr>
        <w:t>呼图壁县残疾人联合会</w:t>
      </w:r>
      <w:r>
        <w:rPr>
          <w:rFonts w:hint="eastAsia" w:ascii="仿宋_GB2312" w:hAnsi="仿宋_GB2312" w:eastAsia="仿宋_GB2312" w:cs="仿宋_GB2312"/>
          <w:kern w:val="0"/>
          <w:sz w:val="32"/>
          <w:szCs w:val="32"/>
          <w:highlight w:val="none"/>
        </w:rPr>
        <w:t>占用使用国有资产总体情况为</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1.房屋</w:t>
      </w:r>
      <w:r>
        <w:rPr>
          <w:rFonts w:hint="eastAsia" w:ascii="仿宋_GB2312" w:hAnsi="宋体" w:eastAsia="仿宋_GB2312" w:cs="宋体"/>
          <w:kern w:val="0"/>
          <w:sz w:val="32"/>
          <w:szCs w:val="32"/>
          <w:highlight w:val="none"/>
        </w:rPr>
        <w:t>570平方米，价值22.83万元。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2.车辆</w:t>
      </w:r>
      <w:r>
        <w:rPr>
          <w:rFonts w:hint="eastAsia" w:ascii="仿宋_GB2312" w:hAnsi="宋体" w:eastAsia="仿宋_GB2312" w:cs="宋体"/>
          <w:kern w:val="0"/>
          <w:sz w:val="32"/>
          <w:szCs w:val="32"/>
          <w:highlight w:val="none"/>
        </w:rPr>
        <w:t>3辆，价值46.93万元；其中：一般公务用车2辆，价值36.7万元；执法执勤用车0辆，价值0万元；其他车辆1辆，价值10.23万元。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3.办公家具价值0万元。</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宋体" w:eastAsia="仿宋_GB2312" w:cs="宋体"/>
          <w:kern w:val="0"/>
          <w:sz w:val="32"/>
          <w:szCs w:val="32"/>
          <w:highlight w:val="none"/>
        </w:rPr>
        <w:t>30.74万元。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部门</w:t>
      </w:r>
      <w:r>
        <w:rPr>
          <w:rFonts w:hint="eastAsia" w:ascii="仿宋_GB2312" w:hAnsi="仿宋_GB2312" w:eastAsia="仿宋_GB2312" w:cs="仿宋_GB2312"/>
          <w:kern w:val="0"/>
          <w:sz w:val="32"/>
          <w:szCs w:val="32"/>
          <w:highlight w:val="none"/>
        </w:rPr>
        <w:t>价值50万元以上大型设备0台，单位价值100万元以上大型设备0台。</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部门</w:t>
      </w:r>
      <w:r>
        <w:rPr>
          <w:rFonts w:hint="eastAsia" w:ascii="仿宋_GB2312" w:hAnsi="仿宋_GB2312" w:eastAsia="仿宋_GB2312" w:cs="仿宋_GB2312"/>
          <w:kern w:val="0"/>
          <w:sz w:val="32"/>
          <w:szCs w:val="32"/>
          <w:highlight w:val="none"/>
        </w:rPr>
        <w:t>预算未安排购置车辆经费，安排购置50万元以上大型设备0台，单位价值100万元以上大型设备0台。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kern w:val="0"/>
          <w:sz w:val="22"/>
          <w:szCs w:val="2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整体预算绩效目标1个，涉及预算金额641.9万元；当年预算安排项目共3个，其中: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涉及预算金额12.16万元；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300</w:t>
      </w:r>
      <w:r>
        <w:rPr>
          <w:rFonts w:hint="eastAsia" w:ascii="仿宋_GB2312" w:hAnsi="仿宋_GB2312" w:eastAsia="仿宋_GB2312" w:cs="仿宋_GB2312"/>
          <w:color w:val="auto"/>
          <w:kern w:val="0"/>
          <w:sz w:val="32"/>
          <w:szCs w:val="32"/>
          <w:highlight w:val="none"/>
        </w:rPr>
        <w:t>万元。具体情况见下表：</w:t>
      </w:r>
    </w:p>
    <w:bookmarkEnd w:id="0"/>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240" w:lineRule="auto"/>
        <w:rPr>
          <w:rFonts w:hint="eastAsia" w:ascii="仿宋_GB2312" w:hAnsi="仿宋_GB2312" w:eastAsia="仿宋_GB2312" w:cs="仿宋_GB2312"/>
          <w:kern w:val="0"/>
          <w:sz w:val="32"/>
          <w:szCs w:val="32"/>
          <w:highlight w:val="none"/>
        </w:rPr>
      </w:pP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left"/>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auto"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color w:val="000000"/>
                <w:kern w:val="0"/>
                <w:sz w:val="18"/>
                <w:szCs w:val="18"/>
                <w:highlight w:val="none"/>
                <w:u w:val="none"/>
                <w:lang w:val="en-US" w:eastAsia="zh-CN" w:bidi="ar"/>
              </w:rPr>
              <w:t>郭玲</w:t>
            </w:r>
          </w:p>
        </w:tc>
        <w:tc>
          <w:tcPr>
            <w:tcW w:w="2114"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auto" w:sz="4" w:space="0"/>
              <w:right w:val="single" w:color="000000" w:sz="4" w:space="0"/>
            </w:tcBorders>
            <w:vAlign w:val="center"/>
          </w:tcPr>
          <w:p>
            <w:pPr>
              <w:jc w:val="both"/>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13565317706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color w:val="000000"/>
                <w:kern w:val="0"/>
                <w:sz w:val="18"/>
                <w:szCs w:val="18"/>
                <w:highlight w:val="none"/>
                <w:u w:val="none"/>
                <w:lang w:val="en-US" w:eastAsia="zh-CN" w:bidi="ar"/>
              </w:rPr>
              <w:t>通过开展残疾人基本康复服务项目年度工作，为肢体、视力、精神、智力残疾人提供基本康复服务，为残疾人配发需要的辅具器具，努力提高受助残疾人生活自理和社会参与能力；为残疾人家庭实施无障碍改造，包括地面平整及坡化、低位灶台、房门改造、坐便器改造、扶手或抓干、浴凳及改善残疾人家居卫生条件的其他设施等无障碍改造；通过残疾人服务相关信息数据的动态更新，及时掌握残疾人的基本服务状况和需求。拓宽残疾人就业渠道。指导、帮助用人单位开发适合残疾人的岗位，鼓励其优先吸纳残疾人就业;联合企业安置残疾人，走访调研社会就业服务中介、就业培训机构等，及时掌握市场用工需求，为残疾人争取就业机会;组织残疾人专场招聘会等活动，充分运用互联网等资源，拓宽残疾人就业渠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color w:val="000000"/>
                <w:kern w:val="0"/>
                <w:sz w:val="18"/>
                <w:szCs w:val="18"/>
                <w:highlight w:val="none"/>
                <w:u w:val="none"/>
                <w:lang w:val="en-US" w:eastAsia="zh-CN" w:bidi="ar"/>
              </w:rPr>
              <w:t>12.16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color w:val="000000"/>
                <w:kern w:val="0"/>
                <w:sz w:val="18"/>
                <w:szCs w:val="18"/>
                <w:highlight w:val="none"/>
                <w:u w:val="none"/>
                <w:lang w:val="en-US" w:eastAsia="zh-CN" w:bidi="ar"/>
              </w:rPr>
              <w:t>189.74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color w:val="000000"/>
                <w:kern w:val="0"/>
                <w:sz w:val="18"/>
                <w:szCs w:val="18"/>
                <w:highlight w:val="none"/>
                <w:u w:val="none"/>
                <w:lang w:val="en-US" w:eastAsia="zh-CN" w:bidi="ar"/>
              </w:rPr>
              <w:t>440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bl>
    <w:tbl>
      <w:tblPr>
        <w:tblStyle w:val="9"/>
        <w:tblpPr w:leftFromText="180" w:rightFromText="180" w:vertAnchor="text" w:horzAnchor="page" w:tblpX="1103" w:tblpY="515"/>
        <w:tblOverlap w:val="never"/>
        <w:tblW w:w="944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10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8" w:hRule="atLeast"/>
        </w:trPr>
        <w:tc>
          <w:tcPr>
            <w:tcW w:w="9444" w:type="dxa"/>
            <w:gridSpan w:val="9"/>
            <w:tcBorders>
              <w:top w:val="nil"/>
              <w:left w:val="nil"/>
              <w:bottom w:val="nil"/>
              <w:right w:val="nil"/>
            </w:tcBorders>
            <w:vAlign w:val="center"/>
          </w:tcPr>
          <w:tbl>
            <w:tblPr>
              <w:tblStyle w:val="9"/>
              <w:tblW w:w="9324"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19"/>
              <w:gridCol w:w="1365"/>
              <w:gridCol w:w="1635"/>
              <w:gridCol w:w="1290"/>
              <w:gridCol w:w="2130"/>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95" w:hRule="atLeast"/>
              </w:trPr>
              <w:tc>
                <w:tcPr>
                  <w:tcW w:w="111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履职效能</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得到基本康复服务残疾儿童人数</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&gt;=1人</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95" w:hRule="atLeast"/>
              </w:trPr>
              <w:tc>
                <w:tcPr>
                  <w:tcW w:w="111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16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服务残疾儿童康复服务覆盖率</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&gt;=90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17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95" w:hRule="atLeast"/>
              </w:trPr>
              <w:tc>
                <w:tcPr>
                  <w:tcW w:w="111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36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16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残疾人辅具采购及时率</w:t>
                  </w:r>
                </w:p>
              </w:tc>
              <w:tc>
                <w:tcPr>
                  <w:tcW w:w="129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&gt;=80%</w:t>
                  </w:r>
                </w:p>
              </w:tc>
              <w:tc>
                <w:tcPr>
                  <w:tcW w:w="213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178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095" w:hRule="atLeast"/>
              </w:trPr>
              <w:tc>
                <w:tcPr>
                  <w:tcW w:w="1119"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组织残疾人专项就业活动次数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&gt;=2次</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44"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33"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呼图壁县残疾人联合会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2025年中央财政残疾人事业发展补助资金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季刚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4.66</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33"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主要用于残疾人基本康复、辅具器具、日间照料等支出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2"/>
                <w:szCs w:val="22"/>
                <w:highlight w:val="none"/>
                <w:u w:val="none"/>
                <w:lang w:val="en-US" w:eastAsia="zh-CN" w:bidi="ar"/>
              </w:rPr>
              <w:t>残疾人基本康复人数</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w:t>
            </w:r>
            <w:r>
              <w:rPr>
                <w:rFonts w:hint="eastAsia" w:ascii="宋体" w:hAnsi="宋体" w:cs="宋体"/>
                <w:i w:val="0"/>
                <w:color w:val="000000"/>
                <w:kern w:val="0"/>
                <w:sz w:val="20"/>
                <w:szCs w:val="20"/>
                <w:highlight w:val="none"/>
                <w:u w:val="none"/>
                <w:lang w:val="en-US" w:eastAsia="zh-CN" w:bidi="ar"/>
              </w:rPr>
              <w:t>10</w:t>
            </w:r>
            <w:r>
              <w:rPr>
                <w:rFonts w:hint="eastAsia" w:ascii="宋体" w:hAnsi="宋体" w:eastAsia="宋体" w:cs="宋体"/>
                <w:i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color w:val="000000"/>
                <w:kern w:val="0"/>
                <w:sz w:val="20"/>
                <w:szCs w:val="20"/>
                <w:highlight w:val="none"/>
                <w:u w:val="none"/>
                <w:lang w:val="en-US" w:eastAsia="zh-CN" w:bidi="ar"/>
              </w:rPr>
              <w:t>2</w:t>
            </w:r>
            <w:r>
              <w:rPr>
                <w:rFonts w:hint="eastAsia" w:ascii="宋体" w:hAnsi="宋体" w:eastAsia="宋体" w:cs="宋体"/>
                <w:i w:val="0"/>
                <w:color w:val="000000"/>
                <w:kern w:val="0"/>
                <w:sz w:val="20"/>
                <w:szCs w:val="20"/>
                <w:highlight w:val="none"/>
                <w:u w:val="none"/>
                <w:lang w:val="en-US" w:eastAsia="zh-CN" w:bidi="ar"/>
              </w:rPr>
              <w:t>人</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2"/>
                <w:szCs w:val="22"/>
                <w:highlight w:val="none"/>
                <w:u w:val="none"/>
                <w:lang w:val="en-US" w:eastAsia="zh-CN" w:bidi="ar"/>
              </w:rPr>
              <w:t>辅具器具使用情况</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w:t>
            </w:r>
            <w:r>
              <w:rPr>
                <w:rFonts w:hint="eastAsia" w:ascii="宋体" w:hAnsi="宋体" w:cs="宋体"/>
                <w:i w:val="0"/>
                <w:color w:val="000000"/>
                <w:kern w:val="0"/>
                <w:sz w:val="20"/>
                <w:szCs w:val="20"/>
                <w:highlight w:val="none"/>
                <w:u w:val="none"/>
                <w:lang w:val="en-US" w:eastAsia="zh-CN" w:bidi="ar"/>
              </w:rPr>
              <w:t>10</w:t>
            </w:r>
            <w:r>
              <w:rPr>
                <w:rFonts w:hint="eastAsia" w:ascii="宋体" w:hAnsi="宋体" w:eastAsia="宋体" w:cs="宋体"/>
                <w:i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color w:val="000000"/>
                <w:kern w:val="0"/>
                <w:sz w:val="20"/>
                <w:szCs w:val="20"/>
                <w:highlight w:val="none"/>
                <w:u w:val="none"/>
                <w:lang w:val="en-US" w:eastAsia="zh-CN" w:bidi="ar"/>
              </w:rPr>
              <w:t>3</w:t>
            </w:r>
            <w:r>
              <w:rPr>
                <w:rFonts w:hint="eastAsia" w:ascii="宋体" w:hAnsi="宋体" w:eastAsia="宋体" w:cs="宋体"/>
                <w:i w:val="0"/>
                <w:color w:val="000000"/>
                <w:kern w:val="0"/>
                <w:sz w:val="20"/>
                <w:szCs w:val="20"/>
                <w:highlight w:val="none"/>
                <w:u w:val="none"/>
                <w:lang w:val="en-US" w:eastAsia="zh-CN" w:bidi="ar"/>
              </w:rPr>
              <w:t>人</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2"/>
                <w:szCs w:val="22"/>
                <w:highlight w:val="none"/>
                <w:u w:val="none"/>
                <w:lang w:val="en-US" w:eastAsia="zh-CN" w:bidi="ar"/>
              </w:rPr>
              <w:t>残疾人基本康复覆盖率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w:t>
            </w:r>
            <w:r>
              <w:rPr>
                <w:rFonts w:hint="eastAsia" w:ascii="宋体" w:hAnsi="宋体" w:cs="宋体"/>
                <w:i w:val="0"/>
                <w:color w:val="000000"/>
                <w:kern w:val="0"/>
                <w:sz w:val="20"/>
                <w:szCs w:val="20"/>
                <w:highlight w:val="none"/>
                <w:u w:val="none"/>
                <w:lang w:val="en-US" w:eastAsia="zh-CN" w:bidi="ar"/>
              </w:rPr>
              <w:t>0</w:t>
            </w:r>
            <w:r>
              <w:rPr>
                <w:rFonts w:hint="eastAsia" w:ascii="宋体" w:hAnsi="宋体" w:eastAsia="宋体" w:cs="宋体"/>
                <w:i w:val="0"/>
                <w:color w:val="000000"/>
                <w:kern w:val="0"/>
                <w:sz w:val="20"/>
                <w:szCs w:val="20"/>
                <w:highlight w:val="none"/>
                <w:u w:val="none"/>
                <w:lang w:val="en-US" w:eastAsia="zh-CN" w:bidi="ar"/>
              </w:rPr>
              <w:t>%</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残疾人基本康复服务水平</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有所改善</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有所改善</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残疾人非常满意</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有所</w:t>
            </w:r>
            <w:r>
              <w:rPr>
                <w:rFonts w:hint="eastAsia" w:ascii="宋体" w:hAnsi="宋体" w:cs="宋体"/>
                <w:i w:val="0"/>
                <w:color w:val="000000"/>
                <w:kern w:val="0"/>
                <w:sz w:val="20"/>
                <w:szCs w:val="20"/>
                <w:highlight w:val="none"/>
                <w:u w:val="none"/>
                <w:lang w:val="en-US" w:eastAsia="zh-CN" w:bidi="ar"/>
              </w:rPr>
              <w:t>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有所</w:t>
            </w:r>
            <w:r>
              <w:rPr>
                <w:rFonts w:hint="eastAsia" w:ascii="宋体" w:hAnsi="宋体" w:cs="宋体"/>
                <w:i w:val="0"/>
                <w:color w:val="000000"/>
                <w:kern w:val="0"/>
                <w:sz w:val="20"/>
                <w:szCs w:val="20"/>
                <w:highlight w:val="none"/>
                <w:u w:val="none"/>
                <w:lang w:val="en-US" w:eastAsia="zh-CN" w:bidi="ar"/>
              </w:rPr>
              <w:t>提高</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按评判等级赋分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2"/>
                <w:szCs w:val="22"/>
                <w:highlight w:val="none"/>
                <w:u w:val="none"/>
                <w:lang w:val="en-US" w:eastAsia="zh-CN" w:bidi="ar"/>
              </w:rPr>
              <w:t>残疾人及家庭都很满意</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w:t>
            </w:r>
            <w:r>
              <w:rPr>
                <w:rFonts w:hint="eastAsia" w:ascii="宋体" w:hAnsi="宋体" w:cs="宋体"/>
                <w:i w:val="0"/>
                <w:color w:val="000000"/>
                <w:kern w:val="0"/>
                <w:sz w:val="20"/>
                <w:szCs w:val="20"/>
                <w:highlight w:val="none"/>
                <w:u w:val="none"/>
                <w:lang w:val="en-US" w:eastAsia="zh-CN" w:bidi="ar"/>
              </w:rPr>
              <w:t>0</w:t>
            </w:r>
            <w:r>
              <w:rPr>
                <w:rFonts w:hint="eastAsia" w:ascii="宋体" w:hAnsi="宋体" w:eastAsia="宋体" w:cs="宋体"/>
                <w:i w:val="0"/>
                <w:color w:val="000000"/>
                <w:kern w:val="0"/>
                <w:sz w:val="20"/>
                <w:szCs w:val="20"/>
                <w:highlight w:val="none"/>
                <w:u w:val="none"/>
                <w:lang w:val="en-US" w:eastAsia="zh-CN" w:bidi="ar"/>
              </w:rPr>
              <w:t>%</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9</w:t>
            </w:r>
            <w:r>
              <w:rPr>
                <w:rFonts w:hint="eastAsia" w:ascii="宋体" w:hAnsi="宋体" w:cs="宋体"/>
                <w:i w:val="0"/>
                <w:color w:val="000000"/>
                <w:kern w:val="0"/>
                <w:sz w:val="20"/>
                <w:szCs w:val="20"/>
                <w:highlight w:val="none"/>
                <w:u w:val="none"/>
                <w:lang w:val="en-US" w:eastAsia="zh-CN" w:bidi="ar"/>
              </w:rPr>
              <w:t>0</w:t>
            </w:r>
            <w:r>
              <w:rPr>
                <w:rFonts w:hint="eastAsia" w:ascii="宋体" w:hAnsi="宋体" w:eastAsia="宋体" w:cs="宋体"/>
                <w:i w:val="0"/>
                <w:color w:val="000000"/>
                <w:kern w:val="0"/>
                <w:sz w:val="20"/>
                <w:szCs w:val="20"/>
                <w:highlight w:val="none"/>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9444" w:type="dxa"/>
            <w:gridSpan w:val="9"/>
            <w:tcBorders>
              <w:top w:val="nil"/>
              <w:left w:val="nil"/>
              <w:bottom w:val="nil"/>
              <w:right w:val="nil"/>
            </w:tcBorders>
            <w:vAlign w:val="center"/>
          </w:tcPr>
          <w:tbl>
            <w:tblPr>
              <w:tblStyle w:val="9"/>
              <w:tblW w:w="9429" w:type="dxa"/>
              <w:tblInd w:w="-1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fixed"/>
              <w:tblCellMar>
                <w:top w:w="15" w:type="dxa"/>
                <w:left w:w="15" w:type="dxa"/>
                <w:bottom w:w="15" w:type="dxa"/>
                <w:right w:w="15" w:type="dxa"/>
              </w:tblCellMar>
            </w:tblPr>
            <w:tblGrid>
              <w:gridCol w:w="791"/>
              <w:gridCol w:w="1215"/>
              <w:gridCol w:w="1305"/>
              <w:gridCol w:w="870"/>
              <w:gridCol w:w="2550"/>
              <w:gridCol w:w="26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15" w:type="dxa"/>
                  <w:left w:w="15" w:type="dxa"/>
                  <w:bottom w:w="15" w:type="dxa"/>
                  <w:right w:w="15" w:type="dxa"/>
                </w:tblCellMar>
              </w:tblPrEx>
              <w:trPr>
                <w:trHeight w:val="1095" w:hRule="atLeast"/>
              </w:trPr>
              <w:tc>
                <w:tcPr>
                  <w:tcW w:w="7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履职效能</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得到基本康复服务残疾儿童人数</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&gt;=1人</w:t>
                  </w:r>
                </w:p>
              </w:tc>
              <w:tc>
                <w:tcPr>
                  <w:tcW w:w="25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26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15" w:type="dxa"/>
                  <w:left w:w="15" w:type="dxa"/>
                  <w:bottom w:w="15" w:type="dxa"/>
                  <w:right w:w="15" w:type="dxa"/>
                </w:tblCellMar>
              </w:tblPrEx>
              <w:trPr>
                <w:trHeight w:val="1095" w:hRule="atLeast"/>
              </w:trPr>
              <w:tc>
                <w:tcPr>
                  <w:tcW w:w="79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质量指标</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服务残疾儿童康复服务覆盖率</w:t>
                  </w: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&gt;=90</w:t>
                  </w:r>
                </w:p>
              </w:tc>
              <w:tc>
                <w:tcPr>
                  <w:tcW w:w="25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26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95" w:hRule="atLeast"/>
              </w:trPr>
              <w:tc>
                <w:tcPr>
                  <w:tcW w:w="79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1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时效指标</w:t>
                  </w:r>
                </w:p>
              </w:tc>
              <w:tc>
                <w:tcPr>
                  <w:tcW w:w="130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残疾人辅具采购及时率</w:t>
                  </w:r>
                </w:p>
              </w:tc>
              <w:tc>
                <w:tcPr>
                  <w:tcW w:w="87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&gt;=80%</w:t>
                  </w:r>
                </w:p>
              </w:tc>
              <w:tc>
                <w:tcPr>
                  <w:tcW w:w="25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269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15" w:type="dxa"/>
                  <w:left w:w="15" w:type="dxa"/>
                  <w:bottom w:w="15" w:type="dxa"/>
                  <w:right w:w="15" w:type="dxa"/>
                </w:tblCellMar>
              </w:tblPrEx>
              <w:trPr>
                <w:trHeight w:val="1095" w:hRule="atLeast"/>
              </w:trPr>
              <w:tc>
                <w:tcPr>
                  <w:tcW w:w="791"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highlight w:val="none"/>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数量指标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组织残疾人专项就业活动次数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&gt;=2次</w:t>
                  </w:r>
                </w:p>
              </w:tc>
              <w:tc>
                <w:tcPr>
                  <w:tcW w:w="2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呼图壁县残联2024年工作总结及2025年工作计划</w:t>
                  </w:r>
                </w:p>
              </w:tc>
              <w:tc>
                <w:tcPr>
                  <w:tcW w:w="26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30</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44"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433"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呼图壁县残疾人联合会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2025年自治区财政残疾人事业发展补助资金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季刚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7.50</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7.50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433"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主要用于残疾人基本康复、辅具器具、日间照料等支出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2"/>
                <w:szCs w:val="22"/>
                <w:highlight w:val="none"/>
                <w:u w:val="none"/>
                <w:lang w:val="en-US" w:eastAsia="zh-CN" w:bidi="ar"/>
              </w:rPr>
              <w:t>残疾人基本康复人数</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w:t>
            </w:r>
            <w:r>
              <w:rPr>
                <w:rFonts w:hint="eastAsia" w:ascii="宋体" w:hAnsi="宋体" w:cs="宋体"/>
                <w:i w:val="0"/>
                <w:color w:val="000000"/>
                <w:kern w:val="0"/>
                <w:sz w:val="20"/>
                <w:szCs w:val="20"/>
                <w:highlight w:val="none"/>
                <w:u w:val="none"/>
                <w:lang w:val="en-US" w:eastAsia="zh-CN" w:bidi="ar"/>
              </w:rPr>
              <w:t>1</w:t>
            </w:r>
            <w:r>
              <w:rPr>
                <w:rFonts w:hint="eastAsia" w:ascii="宋体" w:hAnsi="宋体" w:eastAsia="宋体" w:cs="宋体"/>
                <w:i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color w:val="000000"/>
                <w:kern w:val="0"/>
                <w:sz w:val="20"/>
                <w:szCs w:val="20"/>
                <w:highlight w:val="none"/>
                <w:u w:val="none"/>
                <w:lang w:val="en-US" w:eastAsia="zh-CN" w:bidi="ar"/>
              </w:rPr>
              <w:t>1</w:t>
            </w:r>
            <w:r>
              <w:rPr>
                <w:rFonts w:hint="eastAsia" w:ascii="宋体" w:hAnsi="宋体" w:eastAsia="宋体" w:cs="宋体"/>
                <w:i w:val="0"/>
                <w:color w:val="000000"/>
                <w:kern w:val="0"/>
                <w:sz w:val="20"/>
                <w:szCs w:val="20"/>
                <w:highlight w:val="none"/>
                <w:u w:val="none"/>
                <w:lang w:val="en-US" w:eastAsia="zh-CN" w:bidi="ar"/>
              </w:rPr>
              <w:t>人</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default" w:ascii="Calibri" w:hAnsi="Calibri" w:eastAsia="宋体" w:cs="Calibri"/>
                <w:i w:val="0"/>
                <w:color w:val="000000"/>
                <w:kern w:val="0"/>
                <w:sz w:val="22"/>
                <w:szCs w:val="22"/>
                <w:highlight w:val="none"/>
                <w:u w:val="none"/>
                <w:lang w:val="en-US" w:eastAsia="zh-CN" w:bidi="ar"/>
              </w:rPr>
              <w:t>服务残疾儿童康复服务覆盖率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w:t>
            </w:r>
            <w:r>
              <w:rPr>
                <w:rFonts w:hint="eastAsia" w:ascii="宋体" w:hAnsi="宋体" w:cs="宋体"/>
                <w:i w:val="0"/>
                <w:color w:val="000000"/>
                <w:kern w:val="0"/>
                <w:sz w:val="20"/>
                <w:szCs w:val="20"/>
                <w:highlight w:val="none"/>
                <w:u w:val="none"/>
                <w:lang w:val="en-US" w:eastAsia="zh-CN" w:bidi="ar"/>
              </w:rPr>
              <w:t>0</w:t>
            </w:r>
            <w:r>
              <w:rPr>
                <w:rFonts w:hint="eastAsia" w:ascii="宋体" w:hAnsi="宋体" w:eastAsia="宋体" w:cs="宋体"/>
                <w:i w:val="0"/>
                <w:color w:val="000000"/>
                <w:kern w:val="0"/>
                <w:sz w:val="20"/>
                <w:szCs w:val="20"/>
                <w:highlight w:val="none"/>
                <w:u w:val="none"/>
                <w:lang w:val="en-US" w:eastAsia="zh-CN" w:bidi="ar"/>
              </w:rPr>
              <w:t>%</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按照完成比例赋分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残疾人基本康复服务水平</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有所改善</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有所改善</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残疾人非常满意</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有所提高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有所提高</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残疾人及家庭都很满意</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&gt;=9</w:t>
            </w:r>
            <w:r>
              <w:rPr>
                <w:rFonts w:hint="eastAsia" w:ascii="宋体" w:hAnsi="宋体" w:cs="宋体"/>
                <w:i w:val="0"/>
                <w:color w:val="000000"/>
                <w:kern w:val="0"/>
                <w:sz w:val="20"/>
                <w:szCs w:val="20"/>
                <w:highlight w:val="none"/>
                <w:u w:val="none"/>
                <w:lang w:val="en-US" w:eastAsia="zh-CN" w:bidi="ar"/>
              </w:rPr>
              <w:t>0</w:t>
            </w:r>
            <w:r>
              <w:rPr>
                <w:rFonts w:hint="eastAsia" w:ascii="宋体" w:hAnsi="宋体" w:eastAsia="宋体" w:cs="宋体"/>
                <w:i w:val="0"/>
                <w:color w:val="000000"/>
                <w:kern w:val="0"/>
                <w:sz w:val="20"/>
                <w:szCs w:val="20"/>
                <w:highlight w:val="none"/>
                <w:u w:val="none"/>
                <w:lang w:val="en-US" w:eastAsia="zh-CN" w:bidi="ar"/>
              </w:rPr>
              <w:t>%</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9</w:t>
            </w:r>
            <w:r>
              <w:rPr>
                <w:rFonts w:hint="eastAsia" w:ascii="宋体" w:hAnsi="宋体" w:cs="宋体"/>
                <w:i w:val="0"/>
                <w:color w:val="000000"/>
                <w:kern w:val="0"/>
                <w:sz w:val="20"/>
                <w:szCs w:val="20"/>
                <w:highlight w:val="none"/>
                <w:u w:val="none"/>
                <w:lang w:val="en-US" w:eastAsia="zh-CN" w:bidi="ar"/>
              </w:rPr>
              <w:t>0</w:t>
            </w:r>
            <w:r>
              <w:rPr>
                <w:rFonts w:hint="eastAsia" w:ascii="宋体" w:hAnsi="宋体" w:eastAsia="宋体" w:cs="宋体"/>
                <w:i w:val="0"/>
                <w:color w:val="000000"/>
                <w:kern w:val="0"/>
                <w:sz w:val="20"/>
                <w:szCs w:val="20"/>
                <w:highlight w:val="none"/>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满意度赋分</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highlight w:val="none"/>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eastAsia="zh-CN"/>
        </w:rPr>
      </w:pPr>
      <w:r>
        <w:rPr>
          <w:rFonts w:hint="eastAsia" w:ascii="仿宋_GB2312" w:eastAsia="仿宋_GB2312"/>
          <w:sz w:val="32"/>
          <w:szCs w:val="32"/>
          <w:highlight w:val="none"/>
          <w:lang w:val="en-US" w:eastAsia="zh-CN"/>
        </w:rPr>
        <w:t>本单位</w:t>
      </w:r>
      <w:r>
        <w:rPr>
          <w:rFonts w:hint="eastAsia" w:ascii="仿宋_GB2312" w:eastAsia="仿宋_GB2312"/>
          <w:sz w:val="32"/>
          <w:szCs w:val="32"/>
          <w:highlight w:val="none"/>
          <w:lang w:val="en-US" w:eastAsia="zh-Hans"/>
        </w:rPr>
        <w:t>非财政拨款项目</w:t>
      </w:r>
      <w:r>
        <w:rPr>
          <w:rFonts w:hint="eastAsia" w:ascii="仿宋_GB2312" w:eastAsia="仿宋_GB2312"/>
          <w:sz w:val="32"/>
          <w:szCs w:val="32"/>
          <w:highlight w:val="none"/>
          <w:lang w:val="en-US" w:eastAsia="zh-CN"/>
        </w:rPr>
        <w:t>1个，</w:t>
      </w:r>
      <w:r>
        <w:rPr>
          <w:rFonts w:hint="eastAsia" w:ascii="仿宋_GB2312" w:eastAsia="仿宋_GB2312"/>
          <w:sz w:val="32"/>
          <w:szCs w:val="32"/>
          <w:highlight w:val="none"/>
        </w:rPr>
        <w:t>涉及预算金额</w:t>
      </w:r>
      <w:r>
        <w:rPr>
          <w:rFonts w:hint="eastAsia" w:ascii="仿宋_GB2312" w:eastAsia="仿宋_GB2312"/>
          <w:sz w:val="32"/>
          <w:szCs w:val="32"/>
          <w:highlight w:val="none"/>
          <w:lang w:val="en-US" w:eastAsia="zh-CN"/>
        </w:rPr>
        <w:t>300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，主要原因是用于弥补日常公用经费，</w:t>
      </w:r>
      <w:r>
        <w:rPr>
          <w:rFonts w:hint="eastAsia" w:ascii="仿宋_GB2312" w:eastAsia="仿宋_GB2312"/>
          <w:sz w:val="32"/>
          <w:szCs w:val="32"/>
          <w:highlight w:val="none"/>
        </w:rPr>
        <w:t>不公开绩效目标表</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40" w:hanging="5440" w:hangingChars="17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呼图壁县残疾人联合会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2E6A44"/>
    <w:rsid w:val="0053262D"/>
    <w:rsid w:val="00651C3E"/>
    <w:rsid w:val="00686B9C"/>
    <w:rsid w:val="008A1270"/>
    <w:rsid w:val="008E252D"/>
    <w:rsid w:val="00967B97"/>
    <w:rsid w:val="00C03477"/>
    <w:rsid w:val="00E00390"/>
    <w:rsid w:val="00E41A1F"/>
    <w:rsid w:val="00E5453A"/>
    <w:rsid w:val="00F33A8F"/>
    <w:rsid w:val="010F6743"/>
    <w:rsid w:val="0121039D"/>
    <w:rsid w:val="012F40A3"/>
    <w:rsid w:val="013805A3"/>
    <w:rsid w:val="014A020E"/>
    <w:rsid w:val="017A3BCE"/>
    <w:rsid w:val="017B2F92"/>
    <w:rsid w:val="01A37A94"/>
    <w:rsid w:val="01A60743"/>
    <w:rsid w:val="01AA1E06"/>
    <w:rsid w:val="01C90F9D"/>
    <w:rsid w:val="01DA57DF"/>
    <w:rsid w:val="01FA2E5F"/>
    <w:rsid w:val="020E507E"/>
    <w:rsid w:val="02445DC1"/>
    <w:rsid w:val="02675B73"/>
    <w:rsid w:val="02732F8E"/>
    <w:rsid w:val="02854F18"/>
    <w:rsid w:val="02A27B9D"/>
    <w:rsid w:val="02AC39EC"/>
    <w:rsid w:val="02B113D5"/>
    <w:rsid w:val="02CB7F49"/>
    <w:rsid w:val="02F842E5"/>
    <w:rsid w:val="03027D63"/>
    <w:rsid w:val="03407624"/>
    <w:rsid w:val="037800D1"/>
    <w:rsid w:val="03C525F2"/>
    <w:rsid w:val="03EB17BC"/>
    <w:rsid w:val="04267087"/>
    <w:rsid w:val="04267B2D"/>
    <w:rsid w:val="044C330C"/>
    <w:rsid w:val="04D85FA8"/>
    <w:rsid w:val="051218A8"/>
    <w:rsid w:val="05397FD9"/>
    <w:rsid w:val="05474FC3"/>
    <w:rsid w:val="057A5F58"/>
    <w:rsid w:val="05CA273A"/>
    <w:rsid w:val="06454BB5"/>
    <w:rsid w:val="065C6A91"/>
    <w:rsid w:val="06765AA8"/>
    <w:rsid w:val="068C4498"/>
    <w:rsid w:val="070E6657"/>
    <w:rsid w:val="073E3159"/>
    <w:rsid w:val="077932A4"/>
    <w:rsid w:val="07C66B99"/>
    <w:rsid w:val="07D5763A"/>
    <w:rsid w:val="080E3E4F"/>
    <w:rsid w:val="08243AE5"/>
    <w:rsid w:val="084451C2"/>
    <w:rsid w:val="08450B28"/>
    <w:rsid w:val="08480B67"/>
    <w:rsid w:val="08762705"/>
    <w:rsid w:val="088F5575"/>
    <w:rsid w:val="08902347"/>
    <w:rsid w:val="08A9177E"/>
    <w:rsid w:val="08E81855"/>
    <w:rsid w:val="093D5BBB"/>
    <w:rsid w:val="09522D80"/>
    <w:rsid w:val="09725B6D"/>
    <w:rsid w:val="09F67F20"/>
    <w:rsid w:val="09FA1829"/>
    <w:rsid w:val="0A207071"/>
    <w:rsid w:val="0A2E3F8C"/>
    <w:rsid w:val="0A4168EC"/>
    <w:rsid w:val="0A461A51"/>
    <w:rsid w:val="0AD12F86"/>
    <w:rsid w:val="0AD672A7"/>
    <w:rsid w:val="0ADD6C61"/>
    <w:rsid w:val="0AE0628F"/>
    <w:rsid w:val="0B1E45FD"/>
    <w:rsid w:val="0B247F12"/>
    <w:rsid w:val="0B2873C3"/>
    <w:rsid w:val="0B2A12DF"/>
    <w:rsid w:val="0B7C3034"/>
    <w:rsid w:val="0B7E3F1F"/>
    <w:rsid w:val="0B841FFD"/>
    <w:rsid w:val="0BA65BD5"/>
    <w:rsid w:val="0BD56A2F"/>
    <w:rsid w:val="0BEB41F3"/>
    <w:rsid w:val="0BF349A9"/>
    <w:rsid w:val="0C0A3890"/>
    <w:rsid w:val="0C570677"/>
    <w:rsid w:val="0C673B49"/>
    <w:rsid w:val="0C8B4E3E"/>
    <w:rsid w:val="0CB37D0E"/>
    <w:rsid w:val="0CD20198"/>
    <w:rsid w:val="0CE12D1A"/>
    <w:rsid w:val="0CEC568C"/>
    <w:rsid w:val="0D1A74EE"/>
    <w:rsid w:val="0D6055B2"/>
    <w:rsid w:val="0D695BF1"/>
    <w:rsid w:val="0D6E5FD0"/>
    <w:rsid w:val="0D702A4D"/>
    <w:rsid w:val="0DCA5B36"/>
    <w:rsid w:val="0E19400B"/>
    <w:rsid w:val="0E320E7D"/>
    <w:rsid w:val="0E406045"/>
    <w:rsid w:val="0E9208E7"/>
    <w:rsid w:val="102037BC"/>
    <w:rsid w:val="10587512"/>
    <w:rsid w:val="105D0E37"/>
    <w:rsid w:val="108453B5"/>
    <w:rsid w:val="10916BDA"/>
    <w:rsid w:val="10AE035D"/>
    <w:rsid w:val="10C80D97"/>
    <w:rsid w:val="11036B00"/>
    <w:rsid w:val="11301FEB"/>
    <w:rsid w:val="113E64CC"/>
    <w:rsid w:val="113F0803"/>
    <w:rsid w:val="11483221"/>
    <w:rsid w:val="116000B4"/>
    <w:rsid w:val="11837321"/>
    <w:rsid w:val="118E51E1"/>
    <w:rsid w:val="11B6451D"/>
    <w:rsid w:val="11EB13E4"/>
    <w:rsid w:val="121E62E8"/>
    <w:rsid w:val="12D85C39"/>
    <w:rsid w:val="130D39B6"/>
    <w:rsid w:val="13891ADA"/>
    <w:rsid w:val="13912AD1"/>
    <w:rsid w:val="139513AE"/>
    <w:rsid w:val="149411FE"/>
    <w:rsid w:val="14D61F8E"/>
    <w:rsid w:val="150B78EE"/>
    <w:rsid w:val="15164BCA"/>
    <w:rsid w:val="151A2E67"/>
    <w:rsid w:val="15416666"/>
    <w:rsid w:val="159167F4"/>
    <w:rsid w:val="15CD6947"/>
    <w:rsid w:val="16090F74"/>
    <w:rsid w:val="161178FA"/>
    <w:rsid w:val="16542A55"/>
    <w:rsid w:val="1697741D"/>
    <w:rsid w:val="16B2682B"/>
    <w:rsid w:val="16EC0A62"/>
    <w:rsid w:val="17823800"/>
    <w:rsid w:val="17850A0F"/>
    <w:rsid w:val="179F5CFA"/>
    <w:rsid w:val="17B970F3"/>
    <w:rsid w:val="17EC5CBD"/>
    <w:rsid w:val="19304012"/>
    <w:rsid w:val="19A215AC"/>
    <w:rsid w:val="19F41674"/>
    <w:rsid w:val="19FA5225"/>
    <w:rsid w:val="1A132B78"/>
    <w:rsid w:val="1A5C3F31"/>
    <w:rsid w:val="1A64093C"/>
    <w:rsid w:val="1A97747A"/>
    <w:rsid w:val="1AC437A4"/>
    <w:rsid w:val="1B153D26"/>
    <w:rsid w:val="1B233B42"/>
    <w:rsid w:val="1BC82569"/>
    <w:rsid w:val="1BEB54C3"/>
    <w:rsid w:val="1BF24FA6"/>
    <w:rsid w:val="1BF52BDC"/>
    <w:rsid w:val="1BFD4BD7"/>
    <w:rsid w:val="1C176488"/>
    <w:rsid w:val="1C3C6084"/>
    <w:rsid w:val="1C5A576D"/>
    <w:rsid w:val="1C8C02F2"/>
    <w:rsid w:val="1C9E1CAF"/>
    <w:rsid w:val="1CF943A8"/>
    <w:rsid w:val="1D0B68F6"/>
    <w:rsid w:val="1D232D15"/>
    <w:rsid w:val="1D2A3569"/>
    <w:rsid w:val="1D3E1AFE"/>
    <w:rsid w:val="1DE34CE5"/>
    <w:rsid w:val="1E6432D4"/>
    <w:rsid w:val="1E6A596D"/>
    <w:rsid w:val="1E89232D"/>
    <w:rsid w:val="1EB61656"/>
    <w:rsid w:val="1F98205E"/>
    <w:rsid w:val="200303A1"/>
    <w:rsid w:val="2005520B"/>
    <w:rsid w:val="200F7A29"/>
    <w:rsid w:val="20304FED"/>
    <w:rsid w:val="20407429"/>
    <w:rsid w:val="204F7AEE"/>
    <w:rsid w:val="20670E4F"/>
    <w:rsid w:val="20CA7993"/>
    <w:rsid w:val="20CF3CE4"/>
    <w:rsid w:val="20D13976"/>
    <w:rsid w:val="20DD55C0"/>
    <w:rsid w:val="210C1EAD"/>
    <w:rsid w:val="21607417"/>
    <w:rsid w:val="21BD51E0"/>
    <w:rsid w:val="22796C31"/>
    <w:rsid w:val="228C693A"/>
    <w:rsid w:val="22922CB8"/>
    <w:rsid w:val="22CD1B97"/>
    <w:rsid w:val="22DB78DD"/>
    <w:rsid w:val="233B01D0"/>
    <w:rsid w:val="244D65B8"/>
    <w:rsid w:val="24525D99"/>
    <w:rsid w:val="247B1E60"/>
    <w:rsid w:val="248B412F"/>
    <w:rsid w:val="2492221D"/>
    <w:rsid w:val="24A0450B"/>
    <w:rsid w:val="24B42D8E"/>
    <w:rsid w:val="24E22490"/>
    <w:rsid w:val="24EA5F9E"/>
    <w:rsid w:val="250855AF"/>
    <w:rsid w:val="2524677D"/>
    <w:rsid w:val="25316725"/>
    <w:rsid w:val="258B383C"/>
    <w:rsid w:val="25C7076D"/>
    <w:rsid w:val="25F421D2"/>
    <w:rsid w:val="263B7010"/>
    <w:rsid w:val="265D43D8"/>
    <w:rsid w:val="266B1614"/>
    <w:rsid w:val="269B5D8A"/>
    <w:rsid w:val="26B4291F"/>
    <w:rsid w:val="26BD282A"/>
    <w:rsid w:val="26E769FA"/>
    <w:rsid w:val="2768368D"/>
    <w:rsid w:val="279F7F04"/>
    <w:rsid w:val="27B45E46"/>
    <w:rsid w:val="27B96E81"/>
    <w:rsid w:val="27CB43EF"/>
    <w:rsid w:val="27ED4979"/>
    <w:rsid w:val="28025AB9"/>
    <w:rsid w:val="284D72C2"/>
    <w:rsid w:val="28691657"/>
    <w:rsid w:val="286D65BC"/>
    <w:rsid w:val="28966EC8"/>
    <w:rsid w:val="2897117E"/>
    <w:rsid w:val="28D9041B"/>
    <w:rsid w:val="28E1163C"/>
    <w:rsid w:val="28EA7F6B"/>
    <w:rsid w:val="29103A2D"/>
    <w:rsid w:val="291D0A48"/>
    <w:rsid w:val="293B2E83"/>
    <w:rsid w:val="295A3BE2"/>
    <w:rsid w:val="29C061F8"/>
    <w:rsid w:val="2A0533F1"/>
    <w:rsid w:val="2A517734"/>
    <w:rsid w:val="2A554319"/>
    <w:rsid w:val="2AD640D4"/>
    <w:rsid w:val="2AF54E4D"/>
    <w:rsid w:val="2AFC4894"/>
    <w:rsid w:val="2B331DB1"/>
    <w:rsid w:val="2B3A05DE"/>
    <w:rsid w:val="2B4C1443"/>
    <w:rsid w:val="2B5D3350"/>
    <w:rsid w:val="2B630397"/>
    <w:rsid w:val="2B6901C6"/>
    <w:rsid w:val="2B6D69D1"/>
    <w:rsid w:val="2BCA7957"/>
    <w:rsid w:val="2BCE394B"/>
    <w:rsid w:val="2D0D0EE5"/>
    <w:rsid w:val="2D290E34"/>
    <w:rsid w:val="2D4241CE"/>
    <w:rsid w:val="2D480265"/>
    <w:rsid w:val="2D977453"/>
    <w:rsid w:val="2E1E5A7B"/>
    <w:rsid w:val="2E266AF4"/>
    <w:rsid w:val="2E2943BA"/>
    <w:rsid w:val="2E506608"/>
    <w:rsid w:val="2E9D20C9"/>
    <w:rsid w:val="2EF22236"/>
    <w:rsid w:val="2FED29FE"/>
    <w:rsid w:val="300E1D4A"/>
    <w:rsid w:val="303C7B04"/>
    <w:rsid w:val="30477344"/>
    <w:rsid w:val="30511569"/>
    <w:rsid w:val="30655D1B"/>
    <w:rsid w:val="306E6090"/>
    <w:rsid w:val="30A337D5"/>
    <w:rsid w:val="30B05F05"/>
    <w:rsid w:val="30C41CA3"/>
    <w:rsid w:val="310F3573"/>
    <w:rsid w:val="314E5DC7"/>
    <w:rsid w:val="31511C89"/>
    <w:rsid w:val="31944FAB"/>
    <w:rsid w:val="319B388F"/>
    <w:rsid w:val="31A10052"/>
    <w:rsid w:val="31E06E84"/>
    <w:rsid w:val="31F1357D"/>
    <w:rsid w:val="320B0C65"/>
    <w:rsid w:val="322E2CB5"/>
    <w:rsid w:val="323A4C76"/>
    <w:rsid w:val="325F4447"/>
    <w:rsid w:val="32756777"/>
    <w:rsid w:val="328E2DC6"/>
    <w:rsid w:val="32D560F7"/>
    <w:rsid w:val="330A070F"/>
    <w:rsid w:val="331C5308"/>
    <w:rsid w:val="334F16AB"/>
    <w:rsid w:val="33A76F60"/>
    <w:rsid w:val="33AB1655"/>
    <w:rsid w:val="340E01F2"/>
    <w:rsid w:val="341D7AC3"/>
    <w:rsid w:val="341E7629"/>
    <w:rsid w:val="343C76F0"/>
    <w:rsid w:val="34525EEE"/>
    <w:rsid w:val="345C634E"/>
    <w:rsid w:val="35791D1C"/>
    <w:rsid w:val="35CC4954"/>
    <w:rsid w:val="35CF5C81"/>
    <w:rsid w:val="35D03558"/>
    <w:rsid w:val="35F117C8"/>
    <w:rsid w:val="35FE6707"/>
    <w:rsid w:val="365655D1"/>
    <w:rsid w:val="36982E4A"/>
    <w:rsid w:val="369A6B14"/>
    <w:rsid w:val="36BC48BD"/>
    <w:rsid w:val="36C36E4D"/>
    <w:rsid w:val="36E04473"/>
    <w:rsid w:val="36ED6689"/>
    <w:rsid w:val="370F38BE"/>
    <w:rsid w:val="371C4B13"/>
    <w:rsid w:val="37A70E10"/>
    <w:rsid w:val="37D63FE6"/>
    <w:rsid w:val="380F6006"/>
    <w:rsid w:val="38284F1B"/>
    <w:rsid w:val="38712C53"/>
    <w:rsid w:val="388B00C4"/>
    <w:rsid w:val="389966B1"/>
    <w:rsid w:val="38C710FC"/>
    <w:rsid w:val="38EF47E2"/>
    <w:rsid w:val="38F40535"/>
    <w:rsid w:val="396267AC"/>
    <w:rsid w:val="397C5B3A"/>
    <w:rsid w:val="3989747E"/>
    <w:rsid w:val="39B0409D"/>
    <w:rsid w:val="39E4495F"/>
    <w:rsid w:val="39EB3AA3"/>
    <w:rsid w:val="39EB7A3D"/>
    <w:rsid w:val="3A06359B"/>
    <w:rsid w:val="3A0D5B41"/>
    <w:rsid w:val="3A3969D9"/>
    <w:rsid w:val="3A61615F"/>
    <w:rsid w:val="3A9C3CBE"/>
    <w:rsid w:val="3AC60AFD"/>
    <w:rsid w:val="3ACA7503"/>
    <w:rsid w:val="3B2F2537"/>
    <w:rsid w:val="3B6172D6"/>
    <w:rsid w:val="3B696003"/>
    <w:rsid w:val="3BA01D50"/>
    <w:rsid w:val="3BAC49DD"/>
    <w:rsid w:val="3BE41197"/>
    <w:rsid w:val="3BE45FB7"/>
    <w:rsid w:val="3BF21AC7"/>
    <w:rsid w:val="3BFA7458"/>
    <w:rsid w:val="3C013037"/>
    <w:rsid w:val="3C1434D2"/>
    <w:rsid w:val="3C3B5E0F"/>
    <w:rsid w:val="3C690BEE"/>
    <w:rsid w:val="3C754674"/>
    <w:rsid w:val="3C962326"/>
    <w:rsid w:val="3CB64376"/>
    <w:rsid w:val="3CCD244B"/>
    <w:rsid w:val="3D157AC5"/>
    <w:rsid w:val="3D4A2C32"/>
    <w:rsid w:val="3DC048AD"/>
    <w:rsid w:val="3E07337F"/>
    <w:rsid w:val="3E232937"/>
    <w:rsid w:val="3E9726BC"/>
    <w:rsid w:val="3EC75905"/>
    <w:rsid w:val="3ED53E7A"/>
    <w:rsid w:val="3FD47A09"/>
    <w:rsid w:val="3FDF4D23"/>
    <w:rsid w:val="3FE00DE8"/>
    <w:rsid w:val="3FF40F1B"/>
    <w:rsid w:val="40022F93"/>
    <w:rsid w:val="40726ACA"/>
    <w:rsid w:val="40C22599"/>
    <w:rsid w:val="40C5238A"/>
    <w:rsid w:val="41083B3B"/>
    <w:rsid w:val="41270465"/>
    <w:rsid w:val="418F10C4"/>
    <w:rsid w:val="419D7D59"/>
    <w:rsid w:val="41C310BB"/>
    <w:rsid w:val="41D76F8E"/>
    <w:rsid w:val="41DB2FFE"/>
    <w:rsid w:val="422E383A"/>
    <w:rsid w:val="42770E8F"/>
    <w:rsid w:val="42A710A8"/>
    <w:rsid w:val="42D1385F"/>
    <w:rsid w:val="42F24AF1"/>
    <w:rsid w:val="42F779C3"/>
    <w:rsid w:val="4313549B"/>
    <w:rsid w:val="431433C7"/>
    <w:rsid w:val="431D1004"/>
    <w:rsid w:val="43456AB2"/>
    <w:rsid w:val="43502DA9"/>
    <w:rsid w:val="439044FB"/>
    <w:rsid w:val="43C26223"/>
    <w:rsid w:val="43D260DD"/>
    <w:rsid w:val="43D8307E"/>
    <w:rsid w:val="44507CD3"/>
    <w:rsid w:val="446C06E6"/>
    <w:rsid w:val="447B2694"/>
    <w:rsid w:val="448C04EB"/>
    <w:rsid w:val="44AF5181"/>
    <w:rsid w:val="44B94873"/>
    <w:rsid w:val="44FA52DF"/>
    <w:rsid w:val="455A018C"/>
    <w:rsid w:val="45D52237"/>
    <w:rsid w:val="46926FB1"/>
    <w:rsid w:val="46B02CAB"/>
    <w:rsid w:val="46C647D3"/>
    <w:rsid w:val="46CE3131"/>
    <w:rsid w:val="471C49BA"/>
    <w:rsid w:val="48263DA7"/>
    <w:rsid w:val="483A1FA4"/>
    <w:rsid w:val="486124CB"/>
    <w:rsid w:val="4864069D"/>
    <w:rsid w:val="48AC05C9"/>
    <w:rsid w:val="48AC2280"/>
    <w:rsid w:val="48FA02C5"/>
    <w:rsid w:val="49087ADD"/>
    <w:rsid w:val="491D6A49"/>
    <w:rsid w:val="493059DD"/>
    <w:rsid w:val="493F1D6F"/>
    <w:rsid w:val="494F7907"/>
    <w:rsid w:val="495B7468"/>
    <w:rsid w:val="497035BA"/>
    <w:rsid w:val="49922933"/>
    <w:rsid w:val="4A1560EA"/>
    <w:rsid w:val="4A222452"/>
    <w:rsid w:val="4A465446"/>
    <w:rsid w:val="4A835809"/>
    <w:rsid w:val="4A947DC0"/>
    <w:rsid w:val="4AA32C90"/>
    <w:rsid w:val="4AA64D8F"/>
    <w:rsid w:val="4AAC33C3"/>
    <w:rsid w:val="4ADC4232"/>
    <w:rsid w:val="4ADF73DC"/>
    <w:rsid w:val="4B137AD5"/>
    <w:rsid w:val="4B1B26BD"/>
    <w:rsid w:val="4B1F2F9B"/>
    <w:rsid w:val="4B315A3D"/>
    <w:rsid w:val="4B6A3B13"/>
    <w:rsid w:val="4B9E52C8"/>
    <w:rsid w:val="4C0055E5"/>
    <w:rsid w:val="4C164F48"/>
    <w:rsid w:val="4C236DCB"/>
    <w:rsid w:val="4C3677AE"/>
    <w:rsid w:val="4C46533D"/>
    <w:rsid w:val="4C706B3A"/>
    <w:rsid w:val="4C7E1988"/>
    <w:rsid w:val="4CCD0794"/>
    <w:rsid w:val="4CDA6399"/>
    <w:rsid w:val="4D1457CB"/>
    <w:rsid w:val="4D1D46FC"/>
    <w:rsid w:val="4D480606"/>
    <w:rsid w:val="4D533379"/>
    <w:rsid w:val="4DB76979"/>
    <w:rsid w:val="4DE05956"/>
    <w:rsid w:val="4E3003EE"/>
    <w:rsid w:val="4E4A482B"/>
    <w:rsid w:val="4E4D0AF4"/>
    <w:rsid w:val="4EE007FC"/>
    <w:rsid w:val="4EE340A5"/>
    <w:rsid w:val="4EFA6CEB"/>
    <w:rsid w:val="4F3B332E"/>
    <w:rsid w:val="4FCA101D"/>
    <w:rsid w:val="4FD25CE8"/>
    <w:rsid w:val="4FE0762E"/>
    <w:rsid w:val="50372504"/>
    <w:rsid w:val="50D42095"/>
    <w:rsid w:val="50F813B4"/>
    <w:rsid w:val="51A6392D"/>
    <w:rsid w:val="51C145C8"/>
    <w:rsid w:val="51C15CED"/>
    <w:rsid w:val="51C5064C"/>
    <w:rsid w:val="51D443B6"/>
    <w:rsid w:val="522562FC"/>
    <w:rsid w:val="52285DEB"/>
    <w:rsid w:val="5247554B"/>
    <w:rsid w:val="52914C55"/>
    <w:rsid w:val="52AD62F0"/>
    <w:rsid w:val="52CF22CD"/>
    <w:rsid w:val="53083061"/>
    <w:rsid w:val="534B0506"/>
    <w:rsid w:val="53953B88"/>
    <w:rsid w:val="53A94D0A"/>
    <w:rsid w:val="53B32F70"/>
    <w:rsid w:val="544357BB"/>
    <w:rsid w:val="54531CF4"/>
    <w:rsid w:val="546308FE"/>
    <w:rsid w:val="550135CD"/>
    <w:rsid w:val="55246BF4"/>
    <w:rsid w:val="55372013"/>
    <w:rsid w:val="557967CF"/>
    <w:rsid w:val="55AA7FA7"/>
    <w:rsid w:val="55B04923"/>
    <w:rsid w:val="56260078"/>
    <w:rsid w:val="562F3816"/>
    <w:rsid w:val="566C3F7C"/>
    <w:rsid w:val="569270B4"/>
    <w:rsid w:val="569D4044"/>
    <w:rsid w:val="56B07781"/>
    <w:rsid w:val="56E254E2"/>
    <w:rsid w:val="56EA33DB"/>
    <w:rsid w:val="56FE59C9"/>
    <w:rsid w:val="570D735E"/>
    <w:rsid w:val="571B2674"/>
    <w:rsid w:val="572B6C6E"/>
    <w:rsid w:val="573862AB"/>
    <w:rsid w:val="57C56F8A"/>
    <w:rsid w:val="57D556B1"/>
    <w:rsid w:val="5810737B"/>
    <w:rsid w:val="58206530"/>
    <w:rsid w:val="583E4EB8"/>
    <w:rsid w:val="58623938"/>
    <w:rsid w:val="586428D7"/>
    <w:rsid w:val="589917F1"/>
    <w:rsid w:val="58CC692C"/>
    <w:rsid w:val="59593C69"/>
    <w:rsid w:val="59B241EC"/>
    <w:rsid w:val="59D62EB7"/>
    <w:rsid w:val="5A5E27F6"/>
    <w:rsid w:val="5A6D2649"/>
    <w:rsid w:val="5A704801"/>
    <w:rsid w:val="5A8629D0"/>
    <w:rsid w:val="5A8C5E4D"/>
    <w:rsid w:val="5AED2A9A"/>
    <w:rsid w:val="5AFA6E1B"/>
    <w:rsid w:val="5B337C47"/>
    <w:rsid w:val="5B4D7DF3"/>
    <w:rsid w:val="5B887BA4"/>
    <w:rsid w:val="5B986373"/>
    <w:rsid w:val="5BA86D70"/>
    <w:rsid w:val="5BAD1A83"/>
    <w:rsid w:val="5C223CAD"/>
    <w:rsid w:val="5C307318"/>
    <w:rsid w:val="5CD21AB9"/>
    <w:rsid w:val="5CE5634A"/>
    <w:rsid w:val="5D00454F"/>
    <w:rsid w:val="5D185CB2"/>
    <w:rsid w:val="5D81036F"/>
    <w:rsid w:val="5D9E1657"/>
    <w:rsid w:val="5DDC3845"/>
    <w:rsid w:val="5E0A31FA"/>
    <w:rsid w:val="5E1C33F4"/>
    <w:rsid w:val="5E225DE5"/>
    <w:rsid w:val="5E257683"/>
    <w:rsid w:val="5E7802BC"/>
    <w:rsid w:val="5EBF2675"/>
    <w:rsid w:val="5ED10F50"/>
    <w:rsid w:val="5EE078B0"/>
    <w:rsid w:val="5EF62429"/>
    <w:rsid w:val="5F0D5523"/>
    <w:rsid w:val="5F21091D"/>
    <w:rsid w:val="5F2346ED"/>
    <w:rsid w:val="5F2B5575"/>
    <w:rsid w:val="5F3511AE"/>
    <w:rsid w:val="5F4F7B8D"/>
    <w:rsid w:val="5F5C6C6E"/>
    <w:rsid w:val="5F9A3192"/>
    <w:rsid w:val="5FAC7E2F"/>
    <w:rsid w:val="5FD3219C"/>
    <w:rsid w:val="5FD41CDD"/>
    <w:rsid w:val="60383261"/>
    <w:rsid w:val="60503927"/>
    <w:rsid w:val="606E3D2B"/>
    <w:rsid w:val="60DB1D38"/>
    <w:rsid w:val="60E006E5"/>
    <w:rsid w:val="61086613"/>
    <w:rsid w:val="615366D9"/>
    <w:rsid w:val="61686204"/>
    <w:rsid w:val="61827ECE"/>
    <w:rsid w:val="619177B0"/>
    <w:rsid w:val="61944DED"/>
    <w:rsid w:val="61FE3AA9"/>
    <w:rsid w:val="62254EBC"/>
    <w:rsid w:val="62332921"/>
    <w:rsid w:val="62917095"/>
    <w:rsid w:val="62BB733C"/>
    <w:rsid w:val="62EE4509"/>
    <w:rsid w:val="63022DFF"/>
    <w:rsid w:val="630E06E5"/>
    <w:rsid w:val="631D201D"/>
    <w:rsid w:val="63274E07"/>
    <w:rsid w:val="634E5618"/>
    <w:rsid w:val="63B1721D"/>
    <w:rsid w:val="6408782B"/>
    <w:rsid w:val="64F01AE0"/>
    <w:rsid w:val="65322CBF"/>
    <w:rsid w:val="656B7873"/>
    <w:rsid w:val="65775884"/>
    <w:rsid w:val="65A9124D"/>
    <w:rsid w:val="65B35574"/>
    <w:rsid w:val="65C658ED"/>
    <w:rsid w:val="66515D68"/>
    <w:rsid w:val="67097932"/>
    <w:rsid w:val="672764A8"/>
    <w:rsid w:val="678B5E8B"/>
    <w:rsid w:val="679B3CAD"/>
    <w:rsid w:val="67DD60EF"/>
    <w:rsid w:val="68033400"/>
    <w:rsid w:val="687C1185"/>
    <w:rsid w:val="688C486B"/>
    <w:rsid w:val="68A82FFC"/>
    <w:rsid w:val="68CC52CB"/>
    <w:rsid w:val="68DE4FFE"/>
    <w:rsid w:val="68E01648"/>
    <w:rsid w:val="68EE60F8"/>
    <w:rsid w:val="691B0000"/>
    <w:rsid w:val="69255C34"/>
    <w:rsid w:val="694B58D7"/>
    <w:rsid w:val="69983CC6"/>
    <w:rsid w:val="69C3359C"/>
    <w:rsid w:val="69CE4E15"/>
    <w:rsid w:val="69CF20AA"/>
    <w:rsid w:val="69D75F50"/>
    <w:rsid w:val="69E7514E"/>
    <w:rsid w:val="6A145288"/>
    <w:rsid w:val="6A612A01"/>
    <w:rsid w:val="6A9D0257"/>
    <w:rsid w:val="6AEC49CE"/>
    <w:rsid w:val="6AF60DCD"/>
    <w:rsid w:val="6B3E7E06"/>
    <w:rsid w:val="6B7F3246"/>
    <w:rsid w:val="6B901A69"/>
    <w:rsid w:val="6B94119F"/>
    <w:rsid w:val="6BF904A6"/>
    <w:rsid w:val="6C07307F"/>
    <w:rsid w:val="6C1846EE"/>
    <w:rsid w:val="6C7317B5"/>
    <w:rsid w:val="6CB5251A"/>
    <w:rsid w:val="6CB71E22"/>
    <w:rsid w:val="6CC03366"/>
    <w:rsid w:val="6CD429A0"/>
    <w:rsid w:val="6CDC3EA7"/>
    <w:rsid w:val="6DA606EC"/>
    <w:rsid w:val="6DAD2EFB"/>
    <w:rsid w:val="6DD0609B"/>
    <w:rsid w:val="6DF73ADA"/>
    <w:rsid w:val="6E065CB4"/>
    <w:rsid w:val="6E08480A"/>
    <w:rsid w:val="6E101791"/>
    <w:rsid w:val="6E262CA9"/>
    <w:rsid w:val="6E85582E"/>
    <w:rsid w:val="6E8D4DB9"/>
    <w:rsid w:val="6EA65129"/>
    <w:rsid w:val="6EF07839"/>
    <w:rsid w:val="6F3A3354"/>
    <w:rsid w:val="6F3E1015"/>
    <w:rsid w:val="6F42157B"/>
    <w:rsid w:val="6F63000B"/>
    <w:rsid w:val="6F7A5B2B"/>
    <w:rsid w:val="6FCF0C72"/>
    <w:rsid w:val="6FDB3510"/>
    <w:rsid w:val="6FEF30AE"/>
    <w:rsid w:val="70093DCC"/>
    <w:rsid w:val="70285E6E"/>
    <w:rsid w:val="708F1CE8"/>
    <w:rsid w:val="70B2714E"/>
    <w:rsid w:val="70B85AB3"/>
    <w:rsid w:val="71381194"/>
    <w:rsid w:val="71384F7B"/>
    <w:rsid w:val="71500A63"/>
    <w:rsid w:val="717C1858"/>
    <w:rsid w:val="72010356"/>
    <w:rsid w:val="720A3211"/>
    <w:rsid w:val="725271AF"/>
    <w:rsid w:val="72B56DCF"/>
    <w:rsid w:val="72E964BC"/>
    <w:rsid w:val="731F30D9"/>
    <w:rsid w:val="735C7C42"/>
    <w:rsid w:val="7377033D"/>
    <w:rsid w:val="73AA27F1"/>
    <w:rsid w:val="73FE3EDC"/>
    <w:rsid w:val="74017384"/>
    <w:rsid w:val="74246B14"/>
    <w:rsid w:val="744C41AA"/>
    <w:rsid w:val="74A4133B"/>
    <w:rsid w:val="74D07EF1"/>
    <w:rsid w:val="74D1295F"/>
    <w:rsid w:val="75B570E6"/>
    <w:rsid w:val="75BF3AC1"/>
    <w:rsid w:val="760E48CE"/>
    <w:rsid w:val="766D5F57"/>
    <w:rsid w:val="7695655F"/>
    <w:rsid w:val="7706409E"/>
    <w:rsid w:val="77370D03"/>
    <w:rsid w:val="7797777E"/>
    <w:rsid w:val="77BB392C"/>
    <w:rsid w:val="780A1873"/>
    <w:rsid w:val="78543A4E"/>
    <w:rsid w:val="787D11B8"/>
    <w:rsid w:val="78A771BA"/>
    <w:rsid w:val="78AC6820"/>
    <w:rsid w:val="78D746AC"/>
    <w:rsid w:val="792C5912"/>
    <w:rsid w:val="797F3AE5"/>
    <w:rsid w:val="79905F48"/>
    <w:rsid w:val="7A155907"/>
    <w:rsid w:val="7A6C1FF8"/>
    <w:rsid w:val="7A8F373C"/>
    <w:rsid w:val="7AC515E8"/>
    <w:rsid w:val="7ADA675F"/>
    <w:rsid w:val="7AE126BE"/>
    <w:rsid w:val="7B1B6A3B"/>
    <w:rsid w:val="7B3E4A38"/>
    <w:rsid w:val="7B4A724F"/>
    <w:rsid w:val="7B58035A"/>
    <w:rsid w:val="7B991BA3"/>
    <w:rsid w:val="7BB14873"/>
    <w:rsid w:val="7BB34E39"/>
    <w:rsid w:val="7C606D66"/>
    <w:rsid w:val="7C8405BC"/>
    <w:rsid w:val="7C985AF7"/>
    <w:rsid w:val="7CB20951"/>
    <w:rsid w:val="7CBA4FE2"/>
    <w:rsid w:val="7CE945FD"/>
    <w:rsid w:val="7CFC361E"/>
    <w:rsid w:val="7D040A2A"/>
    <w:rsid w:val="7D06612B"/>
    <w:rsid w:val="7D754721"/>
    <w:rsid w:val="7D7D7E51"/>
    <w:rsid w:val="7DA23EB2"/>
    <w:rsid w:val="7DD52B2F"/>
    <w:rsid w:val="7E1A069F"/>
    <w:rsid w:val="7E2A0470"/>
    <w:rsid w:val="7E3715D1"/>
    <w:rsid w:val="7E6D4779"/>
    <w:rsid w:val="7E880152"/>
    <w:rsid w:val="7E8B30DA"/>
    <w:rsid w:val="7E9E7BF4"/>
    <w:rsid w:val="7EC40BC0"/>
    <w:rsid w:val="7F0401A3"/>
    <w:rsid w:val="7F141753"/>
    <w:rsid w:val="7F5455B8"/>
    <w:rsid w:val="7FB06F0C"/>
    <w:rsid w:val="7FDD2FD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5383</Words>
  <Characters>7115</Characters>
  <Lines>0</Lines>
  <Paragraphs>0</Paragraphs>
  <TotalTime>5</TotalTime>
  <ScaleCrop>false</ScaleCrop>
  <LinksUpToDate>false</LinksUpToDate>
  <CharactersWithSpaces>7898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2025-05-27T04:36:00Z</cp:lastPrinted>
  <dcterms:modified xsi:type="dcterms:W3CDTF">2025-06-03T05:04:10Z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