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pPr>
        <w:pStyle w:val="6"/>
        <w:rPr>
          <w:rFonts w:hint="default"/>
          <w:highlight w:val="none"/>
        </w:rPr>
      </w:pPr>
    </w:p>
    <w:p>
      <w:pPr>
        <w:widowControl/>
        <w:spacing w:before="100" w:beforeAutospacing="1" w:after="100" w:afterAutospacing="1"/>
        <w:jc w:val="center"/>
        <w:outlineLvl w:val="1"/>
        <w:rPr>
          <w:rFonts w:hint="eastAsia" w:ascii="方正小标宋_GBK" w:hAnsi="宋体" w:eastAsia="方正小标宋_GBK"/>
          <w:color w:val="auto"/>
          <w:kern w:val="0"/>
          <w:sz w:val="44"/>
          <w:szCs w:val="44"/>
          <w:highlight w:val="none"/>
          <w:lang w:val="en-US" w:eastAsia="zh-CN"/>
        </w:rPr>
      </w:pPr>
      <w:r>
        <w:rPr>
          <w:rFonts w:hint="eastAsia" w:ascii="方正小标宋_GBK" w:hAnsi="宋体" w:eastAsia="方正小标宋_GBK"/>
          <w:color w:val="auto"/>
          <w:kern w:val="0"/>
          <w:sz w:val="44"/>
          <w:szCs w:val="44"/>
          <w:highlight w:val="none"/>
          <w:lang w:val="en-US" w:eastAsia="zh-CN"/>
        </w:rPr>
        <w:t xml:space="preserve"> </w:t>
      </w:r>
    </w:p>
    <w:p>
      <w:pPr>
        <w:keepNext w:val="0"/>
        <w:keepLines w:val="0"/>
        <w:widowControl/>
        <w:suppressLineNumbers w:val="0"/>
        <w:ind w:firstLine="1928" w:firstLineChars="400"/>
        <w:jc w:val="left"/>
        <w:rPr>
          <w:rFonts w:hint="eastAsia" w:ascii="黑体" w:hAnsi="黑体" w:eastAsia="黑体" w:cs="黑体"/>
          <w:b/>
          <w:bCs/>
          <w:sz w:val="48"/>
          <w:szCs w:val="48"/>
          <w:highlight w:val="none"/>
        </w:rPr>
      </w:pPr>
      <w:r>
        <w:rPr>
          <w:rFonts w:hint="eastAsia" w:ascii="黑体" w:hAnsi="黑体" w:eastAsia="黑体" w:cs="黑体"/>
          <w:b/>
          <w:bCs/>
          <w:color w:val="000000"/>
          <w:kern w:val="0"/>
          <w:sz w:val="48"/>
          <w:szCs w:val="48"/>
          <w:highlight w:val="none"/>
          <w:lang w:val="en-US" w:eastAsia="zh-CN" w:bidi="ar"/>
        </w:rPr>
        <w:t xml:space="preserve">呼图壁县社会保险中心 </w:t>
      </w:r>
    </w:p>
    <w:p>
      <w:pPr>
        <w:keepNext w:val="0"/>
        <w:keepLines w:val="0"/>
        <w:widowControl/>
        <w:suppressLineNumbers w:val="0"/>
        <w:ind w:firstLine="2409" w:firstLineChars="500"/>
        <w:jc w:val="left"/>
        <w:rPr>
          <w:rFonts w:hint="eastAsia" w:ascii="黑体" w:hAnsi="黑体" w:eastAsia="黑体" w:cs="黑体"/>
          <w:b/>
          <w:bCs/>
          <w:color w:val="000000"/>
          <w:kern w:val="0"/>
          <w:sz w:val="48"/>
          <w:szCs w:val="48"/>
          <w:highlight w:val="none"/>
          <w:lang w:val="en-US" w:eastAsia="zh-CN" w:bidi="ar"/>
        </w:rPr>
      </w:pPr>
    </w:p>
    <w:p>
      <w:pPr>
        <w:keepNext w:val="0"/>
        <w:keepLines w:val="0"/>
        <w:widowControl/>
        <w:suppressLineNumbers w:val="0"/>
        <w:ind w:firstLine="1928" w:firstLineChars="400"/>
        <w:jc w:val="left"/>
        <w:rPr>
          <w:rFonts w:hint="eastAsia" w:ascii="黑体" w:hAnsi="黑体" w:eastAsia="黑体"/>
          <w:color w:val="auto"/>
          <w:kern w:val="0"/>
          <w:sz w:val="36"/>
          <w:szCs w:val="32"/>
          <w:highlight w:val="none"/>
        </w:rPr>
      </w:pPr>
      <w:r>
        <w:rPr>
          <w:rFonts w:hint="eastAsia" w:ascii="黑体" w:hAnsi="黑体" w:eastAsia="黑体" w:cs="黑体"/>
          <w:b/>
          <w:bCs/>
          <w:color w:val="000000"/>
          <w:kern w:val="0"/>
          <w:sz w:val="48"/>
          <w:szCs w:val="48"/>
          <w:highlight w:val="none"/>
          <w:lang w:val="en-US" w:eastAsia="zh-CN" w:bidi="ar"/>
        </w:rPr>
        <w:t>2025 年部门预算公开</w:t>
      </w: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sectPr>
          <w:pgSz w:w="11906" w:h="16838"/>
          <w:pgMar w:top="2098" w:right="1418" w:bottom="1928" w:left="1588" w:header="851" w:footer="992" w:gutter="0"/>
          <w:pgBorders>
            <w:top w:val="none" w:sz="0" w:space="0"/>
            <w:left w:val="none" w:sz="0" w:space="0"/>
            <w:bottom w:val="none" w:sz="0" w:space="0"/>
            <w:right w:val="none" w:sz="0" w:space="0"/>
          </w:pgBorders>
          <w:pgNumType w:fmt="numberInDash" w:start="1"/>
          <w:cols w:space="720" w:num="1"/>
          <w:docGrid w:linePitch="312" w:charSpace="0"/>
        </w:sect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s="黑体"/>
          <w:b/>
          <w:bCs/>
          <w:color w:val="auto"/>
          <w:kern w:val="0"/>
          <w:sz w:val="48"/>
          <w:szCs w:val="48"/>
          <w:highlight w:val="none"/>
        </w:rPr>
      </w:pPr>
      <w:r>
        <w:rPr>
          <w:rFonts w:hint="eastAsia" w:ascii="黑体" w:hAnsi="黑体" w:eastAsia="黑体" w:cs="黑体"/>
          <w:b/>
          <w:bCs/>
          <w:color w:val="auto"/>
          <w:kern w:val="0"/>
          <w:sz w:val="48"/>
          <w:szCs w:val="48"/>
          <w:highlight w:val="none"/>
        </w:rPr>
        <w:t>目 录</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黑体" w:hAnsi="黑体" w:eastAsia="黑体" w:cs="黑体"/>
          <w:b/>
          <w:bCs w:val="0"/>
          <w:color w:val="auto"/>
          <w:kern w:val="0"/>
          <w:sz w:val="32"/>
          <w:szCs w:val="32"/>
          <w:highlight w:val="none"/>
        </w:rPr>
      </w:pPr>
      <w:r>
        <w:rPr>
          <w:rFonts w:hint="eastAsia" w:ascii="黑体" w:hAnsi="黑体" w:eastAsia="黑体" w:cs="黑体"/>
          <w:b/>
          <w:bCs w:val="0"/>
          <w:color w:val="auto"/>
          <w:kern w:val="0"/>
          <w:sz w:val="32"/>
          <w:szCs w:val="32"/>
          <w:highlight w:val="none"/>
        </w:rPr>
        <w:t>第一部分</w:t>
      </w:r>
      <w:r>
        <w:rPr>
          <w:rFonts w:hint="eastAsia" w:ascii="黑体" w:hAnsi="黑体" w:eastAsia="黑体" w:cs="黑体"/>
          <w:b/>
          <w:bCs w:val="0"/>
          <w:color w:val="auto"/>
          <w:kern w:val="0"/>
          <w:sz w:val="32"/>
          <w:szCs w:val="32"/>
          <w:highlight w:val="none"/>
          <w:lang w:val="en-US" w:eastAsia="zh-CN"/>
        </w:rPr>
        <w:t xml:space="preserve">  2025年呼图壁县社会保险中心部门</w:t>
      </w:r>
      <w:r>
        <w:rPr>
          <w:rFonts w:hint="eastAsia" w:ascii="黑体" w:hAnsi="黑体" w:eastAsia="黑体" w:cs="黑体"/>
          <w:b/>
          <w:bCs w:val="0"/>
          <w:color w:val="auto"/>
          <w:kern w:val="0"/>
          <w:sz w:val="32"/>
          <w:szCs w:val="32"/>
          <w:highlight w:val="none"/>
        </w:rPr>
        <w:t>概况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一、主要职能</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二、机构设置及人员情况</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黑体" w:hAnsi="黑体" w:eastAsia="黑体" w:cs="黑体"/>
          <w:b/>
          <w:color w:val="auto"/>
          <w:kern w:val="0"/>
          <w:sz w:val="32"/>
          <w:szCs w:val="32"/>
          <w:highlight w:val="none"/>
        </w:rPr>
      </w:pPr>
      <w:r>
        <w:rPr>
          <w:rFonts w:hint="eastAsia" w:ascii="黑体" w:hAnsi="黑体" w:eastAsia="黑体" w:cs="黑体"/>
          <w:b/>
          <w:color w:val="auto"/>
          <w:kern w:val="0"/>
          <w:sz w:val="32"/>
          <w:szCs w:val="32"/>
          <w:highlight w:val="none"/>
        </w:rPr>
        <w:t xml:space="preserve">第二部分  </w:t>
      </w:r>
      <w:r>
        <w:rPr>
          <w:rFonts w:hint="eastAsia" w:ascii="黑体" w:hAnsi="黑体" w:eastAsia="黑体" w:cs="黑体"/>
          <w:b/>
          <w:color w:val="auto"/>
          <w:kern w:val="0"/>
          <w:sz w:val="32"/>
          <w:szCs w:val="32"/>
          <w:highlight w:val="none"/>
          <w:lang w:val="en-US" w:eastAsia="zh-CN"/>
        </w:rPr>
        <w:t>2025年部门</w:t>
      </w:r>
      <w:r>
        <w:rPr>
          <w:rFonts w:hint="eastAsia" w:ascii="黑体" w:hAnsi="黑体" w:eastAsia="黑体" w:cs="黑体"/>
          <w:b/>
          <w:color w:val="auto"/>
          <w:kern w:val="0"/>
          <w:sz w:val="32"/>
          <w:szCs w:val="32"/>
          <w:highlight w:val="none"/>
        </w:rPr>
        <w:t>预算公开表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w:t>
      </w: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rPr>
        <w:t>收支总体情况表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w:t>
      </w: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rPr>
        <w:t>收入总体情况表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w:t>
      </w: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rPr>
        <w:t>支出总体情况表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四、财政拨款收支</w:t>
      </w:r>
      <w:r>
        <w:rPr>
          <w:rFonts w:hint="eastAsia" w:ascii="仿宋_GB2312" w:hAnsi="仿宋_GB2312" w:eastAsia="仿宋_GB2312" w:cs="仿宋_GB2312"/>
          <w:color w:val="auto"/>
          <w:kern w:val="0"/>
          <w:sz w:val="32"/>
          <w:szCs w:val="32"/>
          <w:highlight w:val="none"/>
          <w:lang w:val="en-US" w:eastAsia="zh-CN"/>
        </w:rPr>
        <w:t>预算</w:t>
      </w:r>
      <w:r>
        <w:rPr>
          <w:rFonts w:hint="eastAsia" w:ascii="仿宋_GB2312" w:hAnsi="仿宋_GB2312" w:eastAsia="仿宋_GB2312" w:cs="仿宋_GB2312"/>
          <w:color w:val="auto"/>
          <w:kern w:val="0"/>
          <w:sz w:val="32"/>
          <w:szCs w:val="32"/>
          <w:highlight w:val="none"/>
        </w:rPr>
        <w:t>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五、一般公共预算支出情况表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六、一般公共预算基本支出情况表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七、一般公共预算</w:t>
      </w:r>
      <w:r>
        <w:rPr>
          <w:rFonts w:hint="eastAsia" w:ascii="仿宋_GB2312" w:hAnsi="仿宋_GB2312" w:eastAsia="仿宋_GB2312" w:cs="仿宋_GB2312"/>
          <w:bCs/>
          <w:color w:val="auto"/>
          <w:kern w:val="0"/>
          <w:sz w:val="32"/>
          <w:szCs w:val="32"/>
          <w:highlight w:val="none"/>
        </w:rPr>
        <w:t>项目支出情况表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、政府性基金预算支出情况表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国有资本经营预算支出情况表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十、财政拨款“三公”经费支出情况表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十一、</w:t>
      </w:r>
      <w:r>
        <w:rPr>
          <w:rFonts w:hint="eastAsia" w:ascii="仿宋_GB2312" w:hAnsi="仿宋_GB2312" w:eastAsia="仿宋_GB2312" w:cs="仿宋_GB2312"/>
          <w:color w:val="auto"/>
          <w:kern w:val="0"/>
          <w:sz w:val="32"/>
          <w:szCs w:val="32"/>
          <w:highlight w:val="none"/>
          <w:lang w:val="en-US" w:eastAsia="zh-Hans"/>
        </w:rPr>
        <w:t>上年结转</w:t>
      </w:r>
      <w:r>
        <w:rPr>
          <w:rFonts w:hint="eastAsia" w:ascii="仿宋_GB2312" w:hAnsi="仿宋_GB2312" w:eastAsia="仿宋_GB2312" w:cs="仿宋_GB2312"/>
          <w:color w:val="auto"/>
          <w:kern w:val="0"/>
          <w:sz w:val="32"/>
          <w:szCs w:val="32"/>
          <w:highlight w:val="none"/>
          <w:lang w:val="en-US" w:eastAsia="zh-CN"/>
        </w:rPr>
        <w:t>结余</w:t>
      </w:r>
      <w:r>
        <w:rPr>
          <w:rFonts w:hint="eastAsia" w:ascii="仿宋_GB2312" w:hAnsi="仿宋_GB2312" w:eastAsia="仿宋_GB2312" w:cs="仿宋_GB2312"/>
          <w:color w:val="auto"/>
          <w:kern w:val="0"/>
          <w:sz w:val="32"/>
          <w:szCs w:val="32"/>
          <w:highlight w:val="none"/>
          <w:lang w:val="en-US" w:eastAsia="zh-Hans"/>
        </w:rPr>
        <w:t>情况明细表</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黑体" w:hAnsi="黑体" w:eastAsia="黑体" w:cs="黑体"/>
          <w:b/>
          <w:color w:val="auto"/>
          <w:kern w:val="0"/>
          <w:sz w:val="32"/>
          <w:szCs w:val="32"/>
          <w:highlight w:val="none"/>
        </w:rPr>
        <w:t xml:space="preserve">第三部分  </w:t>
      </w:r>
      <w:r>
        <w:rPr>
          <w:rFonts w:hint="eastAsia" w:ascii="黑体" w:hAnsi="黑体" w:eastAsia="黑体" w:cs="黑体"/>
          <w:b/>
          <w:color w:val="auto"/>
          <w:kern w:val="0"/>
          <w:sz w:val="32"/>
          <w:szCs w:val="32"/>
          <w:highlight w:val="none"/>
          <w:lang w:val="en-US" w:eastAsia="zh-CN"/>
        </w:rPr>
        <w:t>2025年部门</w:t>
      </w:r>
      <w:r>
        <w:rPr>
          <w:rFonts w:hint="eastAsia" w:ascii="黑体" w:hAnsi="黑体" w:eastAsia="黑体" w:cs="黑体"/>
          <w:b/>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一、关于</w:t>
      </w:r>
      <w:r>
        <w:rPr>
          <w:rFonts w:hint="eastAsia" w:ascii="仿宋_GB2312" w:hAnsi="仿宋_GB2312" w:eastAsia="仿宋_GB2312" w:cs="仿宋_GB2312"/>
          <w:color w:val="auto"/>
          <w:kern w:val="0"/>
          <w:sz w:val="32"/>
          <w:szCs w:val="32"/>
          <w:highlight w:val="none"/>
          <w:lang w:val="en-US" w:eastAsia="zh-CN"/>
        </w:rPr>
        <w:t>呼图壁县社会保险中心2025</w:t>
      </w:r>
      <w:r>
        <w:rPr>
          <w:rFonts w:hint="eastAsia" w:ascii="仿宋_GB2312" w:hAnsi="仿宋_GB2312" w:eastAsia="仿宋_GB2312" w:cs="仿宋_GB2312"/>
          <w:color w:val="auto"/>
          <w:kern w:val="0"/>
          <w:sz w:val="32"/>
          <w:szCs w:val="32"/>
          <w:highlight w:val="none"/>
          <w:lang w:val="en-US" w:eastAsia="zh-Hans"/>
        </w:rPr>
        <w:t>年收支预算情况的总体说明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二、关于呼图壁县社会保险中心2025年收入预算情况说明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三、关于</w:t>
      </w:r>
      <w:r>
        <w:rPr>
          <w:rFonts w:hint="eastAsia" w:ascii="仿宋_GB2312" w:hAnsi="仿宋_GB2312" w:eastAsia="仿宋_GB2312" w:cs="仿宋_GB2312"/>
          <w:color w:val="auto"/>
          <w:kern w:val="0"/>
          <w:sz w:val="32"/>
          <w:szCs w:val="32"/>
          <w:highlight w:val="none"/>
          <w:lang w:val="en-US" w:eastAsia="zh-CN"/>
        </w:rPr>
        <w:t>呼图壁县社会保险中心2025</w:t>
      </w:r>
      <w:r>
        <w:rPr>
          <w:rFonts w:hint="eastAsia" w:ascii="仿宋_GB2312" w:hAnsi="仿宋_GB2312" w:eastAsia="仿宋_GB2312" w:cs="仿宋_GB2312"/>
          <w:color w:val="auto"/>
          <w:kern w:val="0"/>
          <w:sz w:val="32"/>
          <w:szCs w:val="32"/>
          <w:highlight w:val="none"/>
          <w:lang w:val="en-US" w:eastAsia="zh-Hans"/>
        </w:rPr>
        <w:t>年支出预算情况说明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四、关于</w:t>
      </w:r>
      <w:r>
        <w:rPr>
          <w:rFonts w:hint="eastAsia" w:ascii="仿宋_GB2312" w:hAnsi="仿宋_GB2312" w:eastAsia="仿宋_GB2312" w:cs="仿宋_GB2312"/>
          <w:color w:val="auto"/>
          <w:kern w:val="0"/>
          <w:sz w:val="32"/>
          <w:szCs w:val="32"/>
          <w:highlight w:val="none"/>
          <w:lang w:val="en-US" w:eastAsia="zh-CN"/>
        </w:rPr>
        <w:t>呼图壁县社会保险中心2025</w:t>
      </w:r>
      <w:r>
        <w:rPr>
          <w:rFonts w:hint="eastAsia" w:ascii="仿宋_GB2312" w:hAnsi="仿宋_GB2312" w:eastAsia="仿宋_GB2312" w:cs="仿宋_GB2312"/>
          <w:color w:val="auto"/>
          <w:kern w:val="0"/>
          <w:sz w:val="32"/>
          <w:szCs w:val="32"/>
          <w:highlight w:val="none"/>
          <w:lang w:val="en-US" w:eastAsia="zh-Hans"/>
        </w:rPr>
        <w:t>年财政拨款收支预算情况的总体说明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五、关于</w:t>
      </w:r>
      <w:r>
        <w:rPr>
          <w:rFonts w:hint="eastAsia" w:ascii="仿宋_GB2312" w:hAnsi="仿宋_GB2312" w:eastAsia="仿宋_GB2312" w:cs="仿宋_GB2312"/>
          <w:color w:val="auto"/>
          <w:kern w:val="0"/>
          <w:sz w:val="32"/>
          <w:szCs w:val="32"/>
          <w:highlight w:val="none"/>
          <w:lang w:val="en-US" w:eastAsia="zh-CN"/>
        </w:rPr>
        <w:t>呼图壁县社会保险中心2025</w:t>
      </w:r>
      <w:r>
        <w:rPr>
          <w:rFonts w:hint="eastAsia" w:ascii="仿宋_GB2312" w:hAnsi="仿宋_GB2312" w:eastAsia="仿宋_GB2312" w:cs="仿宋_GB2312"/>
          <w:color w:val="auto"/>
          <w:kern w:val="0"/>
          <w:sz w:val="32"/>
          <w:szCs w:val="32"/>
          <w:highlight w:val="none"/>
          <w:lang w:val="en-US" w:eastAsia="zh-Hans"/>
        </w:rPr>
        <w:t>年一般公共预算当年拨款情况说明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六、关于</w:t>
      </w:r>
      <w:r>
        <w:rPr>
          <w:rFonts w:hint="eastAsia" w:ascii="仿宋_GB2312" w:hAnsi="仿宋_GB2312" w:eastAsia="仿宋_GB2312" w:cs="仿宋_GB2312"/>
          <w:color w:val="auto"/>
          <w:kern w:val="0"/>
          <w:sz w:val="32"/>
          <w:szCs w:val="32"/>
          <w:highlight w:val="none"/>
          <w:lang w:val="en-US" w:eastAsia="zh-CN"/>
        </w:rPr>
        <w:t>呼图壁县社会保险中心2025</w:t>
      </w:r>
      <w:r>
        <w:rPr>
          <w:rFonts w:hint="eastAsia" w:ascii="仿宋_GB2312" w:hAnsi="仿宋_GB2312" w:eastAsia="仿宋_GB2312" w:cs="仿宋_GB2312"/>
          <w:color w:val="auto"/>
          <w:kern w:val="0"/>
          <w:sz w:val="32"/>
          <w:szCs w:val="32"/>
          <w:highlight w:val="none"/>
          <w:lang w:val="en-US" w:eastAsia="zh-Hans"/>
        </w:rPr>
        <w:t>年一般公共预算基本支出情况说明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七、关于</w:t>
      </w:r>
      <w:r>
        <w:rPr>
          <w:rFonts w:hint="eastAsia" w:ascii="仿宋_GB2312" w:hAnsi="仿宋_GB2312" w:eastAsia="仿宋_GB2312" w:cs="仿宋_GB2312"/>
          <w:color w:val="auto"/>
          <w:kern w:val="0"/>
          <w:sz w:val="32"/>
          <w:szCs w:val="32"/>
          <w:highlight w:val="none"/>
          <w:lang w:val="en-US" w:eastAsia="zh-CN"/>
        </w:rPr>
        <w:t>呼图壁县社会保险中心2025</w:t>
      </w:r>
      <w:r>
        <w:rPr>
          <w:rFonts w:hint="eastAsia" w:ascii="仿宋_GB2312" w:hAnsi="仿宋_GB2312" w:eastAsia="仿宋_GB2312" w:cs="仿宋_GB2312"/>
          <w:color w:val="auto"/>
          <w:kern w:val="0"/>
          <w:sz w:val="32"/>
          <w:szCs w:val="32"/>
          <w:highlight w:val="none"/>
          <w:lang w:val="en-US" w:eastAsia="zh-Hans"/>
        </w:rPr>
        <w:t>年一般公共预算项目支出情况说明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八、关于</w:t>
      </w:r>
      <w:r>
        <w:rPr>
          <w:rFonts w:hint="eastAsia" w:ascii="仿宋_GB2312" w:hAnsi="仿宋_GB2312" w:eastAsia="仿宋_GB2312" w:cs="仿宋_GB2312"/>
          <w:color w:val="auto"/>
          <w:kern w:val="0"/>
          <w:sz w:val="32"/>
          <w:szCs w:val="32"/>
          <w:highlight w:val="none"/>
          <w:lang w:val="en-US" w:eastAsia="zh-CN"/>
        </w:rPr>
        <w:t>呼图壁县社会保险中心2025</w:t>
      </w:r>
      <w:r>
        <w:rPr>
          <w:rFonts w:hint="eastAsia" w:ascii="仿宋_GB2312" w:hAnsi="仿宋_GB2312" w:eastAsia="仿宋_GB2312" w:cs="仿宋_GB2312"/>
          <w:color w:val="auto"/>
          <w:kern w:val="0"/>
          <w:sz w:val="32"/>
          <w:szCs w:val="32"/>
          <w:highlight w:val="none"/>
          <w:lang w:val="en-US" w:eastAsia="zh-Hans"/>
        </w:rPr>
        <w:t>年政府性基金预算拨款情况说明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九、关于</w:t>
      </w:r>
      <w:r>
        <w:rPr>
          <w:rFonts w:hint="eastAsia" w:ascii="仿宋_GB2312" w:hAnsi="仿宋_GB2312" w:eastAsia="仿宋_GB2312" w:cs="仿宋_GB2312"/>
          <w:color w:val="auto"/>
          <w:kern w:val="0"/>
          <w:sz w:val="32"/>
          <w:szCs w:val="32"/>
          <w:highlight w:val="none"/>
          <w:lang w:val="en-US" w:eastAsia="zh-CN"/>
        </w:rPr>
        <w:t>呼图壁县社会保险中心2025</w:t>
      </w:r>
      <w:r>
        <w:rPr>
          <w:rFonts w:hint="eastAsia" w:ascii="仿宋_GB2312" w:hAnsi="仿宋_GB2312" w:eastAsia="仿宋_GB2312" w:cs="仿宋_GB2312"/>
          <w:color w:val="auto"/>
          <w:kern w:val="0"/>
          <w:sz w:val="32"/>
          <w:szCs w:val="32"/>
          <w:highlight w:val="none"/>
          <w:lang w:val="en-US" w:eastAsia="zh-Hans"/>
        </w:rPr>
        <w:t>年国有资本经营预算拨款情况说明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十、关于</w:t>
      </w:r>
      <w:r>
        <w:rPr>
          <w:rFonts w:hint="eastAsia" w:ascii="仿宋_GB2312" w:hAnsi="仿宋_GB2312" w:eastAsia="仿宋_GB2312" w:cs="仿宋_GB2312"/>
          <w:color w:val="auto"/>
          <w:kern w:val="0"/>
          <w:sz w:val="32"/>
          <w:szCs w:val="32"/>
          <w:highlight w:val="none"/>
          <w:lang w:val="en-US" w:eastAsia="zh-CN"/>
        </w:rPr>
        <w:t>呼图壁县社会保险中心2025</w:t>
      </w:r>
      <w:r>
        <w:rPr>
          <w:rFonts w:hint="eastAsia" w:ascii="仿宋_GB2312" w:hAnsi="仿宋_GB2312" w:eastAsia="仿宋_GB2312" w:cs="仿宋_GB2312"/>
          <w:color w:val="auto"/>
          <w:kern w:val="0"/>
          <w:sz w:val="32"/>
          <w:szCs w:val="32"/>
          <w:highlight w:val="none"/>
          <w:lang w:val="en-US" w:eastAsia="zh-Hans"/>
        </w:rPr>
        <w:t>年财政拨款“三公”经费预算情况说明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十一、关于</w:t>
      </w:r>
      <w:r>
        <w:rPr>
          <w:rFonts w:hint="eastAsia" w:ascii="仿宋_GB2312" w:hAnsi="仿宋_GB2312" w:eastAsia="仿宋_GB2312" w:cs="仿宋_GB2312"/>
          <w:color w:val="auto"/>
          <w:kern w:val="0"/>
          <w:sz w:val="32"/>
          <w:szCs w:val="32"/>
          <w:highlight w:val="none"/>
          <w:lang w:val="en-US" w:eastAsia="zh-CN"/>
        </w:rPr>
        <w:t>呼图壁县社会保险中心2025</w:t>
      </w:r>
      <w:r>
        <w:rPr>
          <w:rFonts w:hint="eastAsia" w:ascii="仿宋_GB2312" w:hAnsi="仿宋_GB2312" w:eastAsia="仿宋_GB2312" w:cs="仿宋_GB2312"/>
          <w:color w:val="auto"/>
          <w:kern w:val="0"/>
          <w:sz w:val="32"/>
          <w:szCs w:val="32"/>
          <w:highlight w:val="none"/>
          <w:lang w:val="en-US" w:eastAsia="zh-Hans"/>
        </w:rPr>
        <w:t>年</w:t>
      </w:r>
      <w:r>
        <w:rPr>
          <w:rFonts w:hint="eastAsia" w:ascii="仿宋_GB2312" w:hAnsi="仿宋_GB2312" w:eastAsia="仿宋_GB2312" w:cs="仿宋_GB2312"/>
          <w:color w:val="auto"/>
          <w:kern w:val="0"/>
          <w:sz w:val="32"/>
          <w:szCs w:val="32"/>
          <w:highlight w:val="none"/>
          <w:lang w:val="en-US" w:eastAsia="zh-CN"/>
        </w:rPr>
        <w:t>上年结转结余</w:t>
      </w:r>
      <w:r>
        <w:rPr>
          <w:rFonts w:hint="eastAsia" w:ascii="仿宋_GB2312" w:hAnsi="仿宋_GB2312" w:eastAsia="仿宋_GB2312" w:cs="仿宋_GB2312"/>
          <w:color w:val="auto"/>
          <w:kern w:val="0"/>
          <w:sz w:val="32"/>
          <w:szCs w:val="32"/>
          <w:highlight w:val="none"/>
          <w:lang w:val="en-US" w:eastAsia="zh-Hans"/>
        </w:rPr>
        <w:t>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CN"/>
        </w:rPr>
        <w:t>十二、</w:t>
      </w:r>
      <w:r>
        <w:rPr>
          <w:rFonts w:hint="eastAsia" w:ascii="仿宋_GB2312" w:hAnsi="仿宋_GB2312" w:eastAsia="仿宋_GB2312" w:cs="仿宋_GB2312"/>
          <w:color w:val="auto"/>
          <w:kern w:val="0"/>
          <w:sz w:val="32"/>
          <w:szCs w:val="32"/>
          <w:highlight w:val="none"/>
          <w:lang w:val="en-US" w:eastAsia="zh-Hans"/>
        </w:rPr>
        <w:t>其他重要事项的情况说明</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color w:val="auto"/>
          <w:kern w:val="0"/>
          <w:sz w:val="32"/>
          <w:szCs w:val="32"/>
          <w:highlight w:val="none"/>
        </w:rPr>
        <w:sectPr>
          <w:footerReference r:id="rId3"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cols w:space="720" w:num="1"/>
          <w:docGrid w:linePitch="312" w:charSpace="0"/>
        </w:sectPr>
      </w:pPr>
      <w:r>
        <w:rPr>
          <w:rFonts w:hint="eastAsia" w:ascii="黑体" w:hAnsi="黑体" w:eastAsia="黑体" w:cs="黑体"/>
          <w:b/>
          <w:color w:val="auto"/>
          <w:kern w:val="0"/>
          <w:sz w:val="32"/>
          <w:szCs w:val="32"/>
          <w:highlight w:val="none"/>
        </w:rPr>
        <w:t>第四部分  名词解释</w:t>
      </w: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hint="eastAsia" w:ascii="黑体" w:hAnsi="黑体" w:eastAsia="黑体" w:cs="黑体"/>
          <w:b/>
          <w:color w:val="auto"/>
          <w:kern w:val="0"/>
          <w:sz w:val="36"/>
          <w:szCs w:val="36"/>
          <w:highlight w:val="none"/>
        </w:rPr>
      </w:pPr>
      <w:r>
        <w:rPr>
          <w:rFonts w:hint="eastAsia" w:ascii="黑体" w:hAnsi="黑体" w:eastAsia="黑体" w:cs="黑体"/>
          <w:b/>
          <w:color w:val="auto"/>
          <w:kern w:val="0"/>
          <w:sz w:val="36"/>
          <w:szCs w:val="36"/>
          <w:highlight w:val="none"/>
          <w:lang w:val="en-US" w:eastAsia="zh-CN"/>
        </w:rPr>
        <w:t>第一部分    2025年呼图壁县社会保险中心</w:t>
      </w:r>
      <w:r>
        <w:rPr>
          <w:rFonts w:hint="eastAsia" w:ascii="黑体" w:hAnsi="黑体" w:eastAsia="黑体" w:cs="黑体"/>
          <w:b/>
          <w:color w:val="auto"/>
          <w:kern w:val="0"/>
          <w:sz w:val="36"/>
          <w:szCs w:val="36"/>
          <w:highlight w:val="none"/>
        </w:rPr>
        <w:t>概况</w:t>
      </w:r>
    </w:p>
    <w:p>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hint="eastAsia" w:ascii="黑体" w:hAnsi="黑体" w:eastAsia="黑体" w:cs="黑体"/>
          <w:b/>
          <w:bCs/>
          <w:color w:val="auto"/>
          <w:kern w:val="0"/>
          <w:sz w:val="32"/>
          <w:szCs w:val="32"/>
          <w:highlight w:val="none"/>
        </w:rPr>
      </w:pPr>
      <w:r>
        <w:rPr>
          <w:rFonts w:hint="eastAsia" w:ascii="黑体" w:hAnsi="黑体" w:eastAsia="黑体" w:cs="黑体"/>
          <w:b/>
          <w:bCs/>
          <w:color w:val="auto"/>
          <w:kern w:val="0"/>
          <w:sz w:val="32"/>
          <w:szCs w:val="32"/>
          <w:highlight w:val="none"/>
        </w:rPr>
        <w:t>一、主要职能</w:t>
      </w:r>
    </w:p>
    <w:p>
      <w:pPr>
        <w:pStyle w:val="14"/>
        <w:keepNext w:val="0"/>
        <w:keepLines w:val="0"/>
        <w:pageBreakBefore w:val="0"/>
        <w:widowControl w:val="0"/>
        <w:kinsoku/>
        <w:wordWrap/>
        <w:overflowPunct/>
        <w:topLinePunct w:val="0"/>
        <w:autoSpaceDE/>
        <w:autoSpaceDN/>
        <w:bidi w:val="0"/>
        <w:adjustRightInd/>
        <w:snapToGrid/>
        <w:spacing w:after="0" w:line="560" w:lineRule="exact"/>
        <w:ind w:firstLine="640" w:firstLineChars="200"/>
        <w:textAlignment w:val="auto"/>
        <w:rPr>
          <w:rFonts w:hint="default" w:ascii="Times New Roman" w:hAnsi="Times New Roman" w:eastAsia="仿宋_GB2312" w:cs="Times New Roman"/>
          <w:kern w:val="2"/>
          <w:sz w:val="32"/>
          <w:szCs w:val="32"/>
          <w:highlight w:val="none"/>
          <w:lang w:eastAsia="zh-CN" w:bidi="ar-SA"/>
        </w:rPr>
      </w:pPr>
      <w:r>
        <w:rPr>
          <w:rFonts w:hint="default" w:ascii="Times New Roman" w:hAnsi="Times New Roman" w:eastAsia="仿宋_GB2312" w:cs="Times New Roman"/>
          <w:sz w:val="32"/>
          <w:szCs w:val="32"/>
          <w:highlight w:val="none"/>
        </w:rPr>
        <w:t>（一）贯彻执行</w:t>
      </w:r>
      <w:r>
        <w:rPr>
          <w:rFonts w:hint="default" w:ascii="Times New Roman" w:hAnsi="Times New Roman" w:eastAsia="仿宋_GB2312" w:cs="Times New Roman"/>
          <w:sz w:val="32"/>
          <w:szCs w:val="32"/>
          <w:highlight w:val="none"/>
          <w:lang w:eastAsia="zh-CN"/>
        </w:rPr>
        <w:t>党和</w:t>
      </w:r>
      <w:r>
        <w:rPr>
          <w:rFonts w:hint="default" w:ascii="Times New Roman" w:hAnsi="Times New Roman" w:eastAsia="仿宋_GB2312" w:cs="Times New Roman"/>
          <w:sz w:val="32"/>
          <w:szCs w:val="32"/>
          <w:highlight w:val="none"/>
        </w:rPr>
        <w:t>国家</w:t>
      </w:r>
      <w:r>
        <w:rPr>
          <w:rFonts w:hint="default" w:ascii="Times New Roman" w:hAnsi="Times New Roman" w:eastAsia="仿宋_GB2312" w:cs="Times New Roman"/>
          <w:kern w:val="2"/>
          <w:sz w:val="32"/>
          <w:szCs w:val="32"/>
          <w:highlight w:val="none"/>
          <w:lang w:val="en-US" w:eastAsia="zh-CN" w:bidi="ar-SA"/>
        </w:rPr>
        <w:t>、自治区</w:t>
      </w:r>
      <w:r>
        <w:rPr>
          <w:rFonts w:hint="eastAsia" w:ascii="Times New Roman" w:hAnsi="Times New Roman" w:eastAsia="仿宋_GB2312" w:cs="Times New Roman"/>
          <w:kern w:val="2"/>
          <w:sz w:val="32"/>
          <w:szCs w:val="32"/>
          <w:highlight w:val="none"/>
          <w:lang w:val="en-US" w:eastAsia="zh-CN" w:bidi="ar-SA"/>
        </w:rPr>
        <w:t>、自治州</w:t>
      </w:r>
      <w:r>
        <w:rPr>
          <w:rFonts w:hint="default" w:ascii="Times New Roman" w:hAnsi="Times New Roman" w:eastAsia="仿宋_GB2312" w:cs="Times New Roman"/>
          <w:kern w:val="2"/>
          <w:sz w:val="32"/>
          <w:szCs w:val="32"/>
          <w:highlight w:val="none"/>
          <w:lang w:eastAsia="zh-CN" w:bidi="ar-SA"/>
        </w:rPr>
        <w:t>关于</w:t>
      </w:r>
      <w:r>
        <w:rPr>
          <w:rFonts w:hint="default" w:ascii="Times New Roman" w:hAnsi="Times New Roman" w:eastAsia="仿宋_GB2312" w:cs="Times New Roman"/>
          <w:kern w:val="2"/>
          <w:sz w:val="32"/>
          <w:szCs w:val="32"/>
          <w:highlight w:val="none"/>
          <w:lang w:val="en-US" w:eastAsia="zh-CN" w:bidi="ar-SA"/>
        </w:rPr>
        <w:t>社会保险</w:t>
      </w:r>
      <w:r>
        <w:rPr>
          <w:rFonts w:hint="default" w:ascii="Times New Roman" w:hAnsi="Times New Roman" w:eastAsia="仿宋_GB2312" w:cs="Times New Roman"/>
          <w:kern w:val="2"/>
          <w:sz w:val="32"/>
          <w:szCs w:val="32"/>
          <w:highlight w:val="none"/>
          <w:lang w:eastAsia="zh-CN" w:bidi="ar-SA"/>
        </w:rPr>
        <w:t>工作</w:t>
      </w:r>
      <w:r>
        <w:rPr>
          <w:rFonts w:hint="default" w:ascii="Times New Roman" w:hAnsi="Times New Roman" w:eastAsia="仿宋_GB2312" w:cs="Times New Roman"/>
          <w:kern w:val="2"/>
          <w:sz w:val="32"/>
          <w:szCs w:val="32"/>
          <w:highlight w:val="none"/>
          <w:lang w:val="en-US" w:eastAsia="zh-CN" w:bidi="ar-SA"/>
        </w:rPr>
        <w:t>的方针政策、法律法规</w:t>
      </w:r>
      <w:r>
        <w:rPr>
          <w:rFonts w:hint="default" w:ascii="Times New Roman" w:hAnsi="Times New Roman" w:eastAsia="仿宋_GB2312" w:cs="Times New Roman"/>
          <w:kern w:val="2"/>
          <w:sz w:val="32"/>
          <w:szCs w:val="32"/>
          <w:highlight w:val="none"/>
          <w:lang w:eastAsia="zh-CN" w:bidi="ar-SA"/>
        </w:rPr>
        <w:t>。</w:t>
      </w:r>
    </w:p>
    <w:p>
      <w:pPr>
        <w:pStyle w:val="14"/>
        <w:keepNext w:val="0"/>
        <w:keepLines w:val="0"/>
        <w:pageBreakBefore w:val="0"/>
        <w:widowControl w:val="0"/>
        <w:kinsoku/>
        <w:wordWrap/>
        <w:overflowPunct/>
        <w:topLinePunct w:val="0"/>
        <w:autoSpaceDE/>
        <w:autoSpaceDN/>
        <w:bidi w:val="0"/>
        <w:adjustRightInd/>
        <w:snapToGrid/>
        <w:spacing w:after="0" w:line="560" w:lineRule="exact"/>
        <w:ind w:firstLine="640" w:firstLineChars="200"/>
        <w:textAlignment w:val="auto"/>
        <w:rPr>
          <w:rFonts w:hint="default" w:ascii="Times New Roman" w:hAnsi="Times New Roman" w:eastAsia="仿宋_GB2312" w:cs="Times New Roman"/>
          <w:kern w:val="2"/>
          <w:sz w:val="32"/>
          <w:szCs w:val="32"/>
          <w:highlight w:val="none"/>
          <w:lang w:val="en-US" w:eastAsia="zh-CN" w:bidi="ar-SA"/>
        </w:rPr>
      </w:pPr>
      <w:r>
        <w:rPr>
          <w:rFonts w:hint="default" w:ascii="Times New Roman" w:hAnsi="Times New Roman" w:eastAsia="仿宋_GB2312" w:cs="Times New Roman"/>
          <w:kern w:val="2"/>
          <w:sz w:val="32"/>
          <w:szCs w:val="32"/>
          <w:highlight w:val="none"/>
          <w:lang w:eastAsia="zh-CN" w:bidi="ar-SA"/>
        </w:rPr>
        <w:t>（二）</w:t>
      </w:r>
      <w:r>
        <w:rPr>
          <w:rFonts w:hint="default" w:ascii="Times New Roman" w:hAnsi="Times New Roman" w:eastAsia="仿宋_GB2312" w:cs="Times New Roman"/>
          <w:sz w:val="32"/>
          <w:szCs w:val="32"/>
          <w:highlight w:val="none"/>
        </w:rPr>
        <w:t>贯彻执行</w:t>
      </w:r>
      <w:r>
        <w:rPr>
          <w:rFonts w:hint="eastAsia" w:ascii="Times New Roman" w:hAnsi="Times New Roman" w:eastAsia="仿宋_GB2312" w:cs="Times New Roman"/>
          <w:kern w:val="2"/>
          <w:sz w:val="32"/>
          <w:szCs w:val="32"/>
          <w:highlight w:val="none"/>
          <w:lang w:val="en-US" w:eastAsia="zh-CN" w:bidi="ar-SA"/>
        </w:rPr>
        <w:t>区、</w:t>
      </w:r>
      <w:r>
        <w:rPr>
          <w:rFonts w:hint="default" w:ascii="Times New Roman" w:hAnsi="Times New Roman" w:eastAsia="仿宋_GB2312" w:cs="Times New Roman"/>
          <w:kern w:val="2"/>
          <w:sz w:val="32"/>
          <w:szCs w:val="32"/>
          <w:highlight w:val="none"/>
          <w:lang w:val="en-US" w:eastAsia="zh-CN" w:bidi="ar-SA"/>
        </w:rPr>
        <w:t>州社会保险经办标准并组织实施；研究提出完善社会保险政策的意见。</w:t>
      </w:r>
    </w:p>
    <w:p>
      <w:pPr>
        <w:pStyle w:val="14"/>
        <w:keepNext w:val="0"/>
        <w:keepLines w:val="0"/>
        <w:pageBreakBefore w:val="0"/>
        <w:widowControl w:val="0"/>
        <w:kinsoku/>
        <w:wordWrap/>
        <w:overflowPunct/>
        <w:topLinePunct w:val="0"/>
        <w:autoSpaceDE/>
        <w:autoSpaceDN/>
        <w:bidi w:val="0"/>
        <w:adjustRightInd/>
        <w:snapToGrid/>
        <w:spacing w:after="0" w:line="560" w:lineRule="exact"/>
        <w:ind w:firstLine="640" w:firstLineChars="200"/>
        <w:textAlignment w:val="auto"/>
        <w:rPr>
          <w:rFonts w:hint="default" w:ascii="Times New Roman" w:hAnsi="Times New Roman" w:eastAsia="仿宋_GB2312" w:cs="Times New Roman"/>
          <w:color w:val="FF0000"/>
          <w:sz w:val="32"/>
          <w:szCs w:val="32"/>
          <w:highlight w:val="none"/>
        </w:rPr>
      </w:pPr>
      <w:r>
        <w:rPr>
          <w:rFonts w:hint="default" w:ascii="Times New Roman" w:hAnsi="Times New Roman" w:eastAsia="仿宋_GB2312" w:cs="Times New Roman"/>
          <w:sz w:val="32"/>
          <w:szCs w:val="32"/>
          <w:highlight w:val="none"/>
        </w:rPr>
        <w:t>（三）</w:t>
      </w:r>
      <w:r>
        <w:rPr>
          <w:rFonts w:hint="default" w:ascii="Times New Roman" w:hAnsi="Times New Roman" w:eastAsia="仿宋_GB2312" w:cs="Times New Roman"/>
          <w:sz w:val="32"/>
          <w:szCs w:val="32"/>
          <w:highlight w:val="none"/>
          <w:lang w:eastAsia="zh-CN"/>
        </w:rPr>
        <w:t>经办</w:t>
      </w:r>
      <w:r>
        <w:rPr>
          <w:rFonts w:hint="eastAsia" w:ascii="Times New Roman" w:hAnsi="Times New Roman" w:eastAsia="仿宋_GB2312" w:cs="Times New Roman"/>
          <w:sz w:val="32"/>
          <w:szCs w:val="32"/>
          <w:highlight w:val="none"/>
          <w:lang w:eastAsia="zh-CN"/>
        </w:rPr>
        <w:t>全县</w:t>
      </w:r>
      <w:r>
        <w:rPr>
          <w:rFonts w:hint="default" w:ascii="Times New Roman" w:hAnsi="Times New Roman" w:eastAsia="仿宋_GB2312" w:cs="Times New Roman"/>
          <w:sz w:val="32"/>
          <w:szCs w:val="32"/>
          <w:highlight w:val="none"/>
        </w:rPr>
        <w:t>范围内社会保险登记、个人权益记录、社会保险关系转移接续、待遇领取资格认证</w:t>
      </w: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待遇核定和支付等；</w:t>
      </w:r>
      <w:r>
        <w:rPr>
          <w:rFonts w:hint="default" w:ascii="Times New Roman" w:hAnsi="Times New Roman" w:eastAsia="仿宋_GB2312" w:cs="Times New Roman"/>
          <w:sz w:val="32"/>
          <w:szCs w:val="32"/>
          <w:highlight w:val="none"/>
          <w:lang w:eastAsia="zh-CN"/>
        </w:rPr>
        <w:t>指导</w:t>
      </w:r>
      <w:r>
        <w:rPr>
          <w:rFonts w:hint="eastAsia" w:ascii="Times New Roman" w:hAnsi="Times New Roman" w:eastAsia="仿宋_GB2312" w:cs="Times New Roman"/>
          <w:sz w:val="32"/>
          <w:szCs w:val="32"/>
          <w:highlight w:val="none"/>
          <w:lang w:eastAsia="zh-CN"/>
        </w:rPr>
        <w:t>乡镇、村（社区）</w:t>
      </w:r>
      <w:r>
        <w:rPr>
          <w:rFonts w:hint="default" w:ascii="Times New Roman" w:hAnsi="Times New Roman" w:eastAsia="仿宋_GB2312" w:cs="Times New Roman"/>
          <w:sz w:val="32"/>
          <w:szCs w:val="32"/>
          <w:highlight w:val="none"/>
        </w:rPr>
        <w:t>社会保险业务经办工作。</w:t>
      </w:r>
    </w:p>
    <w:p>
      <w:pPr>
        <w:pStyle w:val="14"/>
        <w:keepNext w:val="0"/>
        <w:keepLines w:val="0"/>
        <w:pageBreakBefore w:val="0"/>
        <w:widowControl w:val="0"/>
        <w:kinsoku/>
        <w:wordWrap/>
        <w:overflowPunct/>
        <w:topLinePunct w:val="0"/>
        <w:autoSpaceDE/>
        <w:autoSpaceDN/>
        <w:bidi w:val="0"/>
        <w:adjustRightInd/>
        <w:snapToGrid/>
        <w:spacing w:after="0"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（四）</w:t>
      </w:r>
      <w:r>
        <w:rPr>
          <w:rFonts w:hint="eastAsia" w:ascii="Times New Roman" w:hAnsi="Times New Roman" w:eastAsia="仿宋_GB2312" w:cs="Times New Roman"/>
          <w:sz w:val="32"/>
          <w:szCs w:val="32"/>
          <w:highlight w:val="none"/>
          <w:lang w:eastAsia="zh-CN"/>
        </w:rPr>
        <w:t>贯彻</w:t>
      </w:r>
      <w:r>
        <w:rPr>
          <w:rFonts w:hint="default" w:ascii="Times New Roman" w:hAnsi="Times New Roman" w:eastAsia="仿宋_GB2312" w:cs="Times New Roman"/>
          <w:sz w:val="32"/>
          <w:szCs w:val="32"/>
          <w:highlight w:val="none"/>
        </w:rPr>
        <w:t>执行社会保险基金财务管理法规，开展社会保险统计、数据管理和分析应用工作；</w:t>
      </w:r>
      <w:r>
        <w:rPr>
          <w:rFonts w:hint="eastAsia" w:ascii="Times New Roman" w:hAnsi="Times New Roman" w:eastAsia="仿宋_GB2312" w:cs="Times New Roman"/>
          <w:sz w:val="32"/>
          <w:szCs w:val="32"/>
          <w:highlight w:val="none"/>
          <w:lang w:eastAsia="zh-CN"/>
        </w:rPr>
        <w:t>落实执行县市级</w:t>
      </w:r>
      <w:r>
        <w:rPr>
          <w:rFonts w:hint="default" w:ascii="Times New Roman" w:hAnsi="Times New Roman" w:eastAsia="仿宋_GB2312" w:cs="Times New Roman"/>
          <w:sz w:val="32"/>
          <w:szCs w:val="32"/>
          <w:highlight w:val="none"/>
        </w:rPr>
        <w:t>统筹的社会保险基金的经办管理；定期向社会公布社会保险基金收入、支出、结余情况。</w:t>
      </w:r>
    </w:p>
    <w:p>
      <w:pPr>
        <w:pStyle w:val="14"/>
        <w:keepNext w:val="0"/>
        <w:keepLines w:val="0"/>
        <w:pageBreakBefore w:val="0"/>
        <w:widowControl w:val="0"/>
        <w:kinsoku/>
        <w:wordWrap/>
        <w:overflowPunct/>
        <w:topLinePunct w:val="0"/>
        <w:autoSpaceDE/>
        <w:autoSpaceDN/>
        <w:bidi w:val="0"/>
        <w:adjustRightInd/>
        <w:snapToGrid/>
        <w:spacing w:after="0"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（五）</w:t>
      </w:r>
      <w:r>
        <w:rPr>
          <w:rFonts w:hint="default" w:ascii="Times New Roman" w:hAnsi="Times New Roman" w:eastAsia="仿宋_GB2312" w:cs="Times New Roman"/>
          <w:sz w:val="32"/>
          <w:szCs w:val="32"/>
          <w:highlight w:val="none"/>
          <w:lang w:eastAsia="zh-CN"/>
        </w:rPr>
        <w:t>负责</w:t>
      </w:r>
      <w:r>
        <w:rPr>
          <w:rFonts w:hint="eastAsia" w:ascii="Times New Roman" w:hAnsi="Times New Roman" w:eastAsia="仿宋_GB2312" w:cs="Times New Roman"/>
          <w:sz w:val="32"/>
          <w:szCs w:val="32"/>
          <w:highlight w:val="none"/>
          <w:lang w:eastAsia="zh-CN"/>
        </w:rPr>
        <w:t>全县</w:t>
      </w:r>
      <w:r>
        <w:rPr>
          <w:rFonts w:hint="default" w:ascii="Times New Roman" w:hAnsi="Times New Roman" w:eastAsia="仿宋_GB2312" w:cs="Times New Roman"/>
          <w:sz w:val="32"/>
          <w:szCs w:val="32"/>
          <w:highlight w:val="none"/>
        </w:rPr>
        <w:t>社会保险信息系统的运行管理和网络安全工作；负责社会保险信息数据查询、比对工作；负责社会保障卡发行管理。</w:t>
      </w:r>
    </w:p>
    <w:p>
      <w:pPr>
        <w:pStyle w:val="14"/>
        <w:keepNext w:val="0"/>
        <w:keepLines w:val="0"/>
        <w:pageBreakBefore w:val="0"/>
        <w:widowControl w:val="0"/>
        <w:kinsoku/>
        <w:wordWrap/>
        <w:overflowPunct/>
        <w:topLinePunct w:val="0"/>
        <w:autoSpaceDE/>
        <w:autoSpaceDN/>
        <w:bidi w:val="0"/>
        <w:adjustRightInd/>
        <w:snapToGrid/>
        <w:spacing w:after="0"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（六）建立健全社会保险业务、财务、安全和风险管理等内部控制制度；开展社会保险登记和待遇支付的稽核工作；建立健全稽核业务规范</w:t>
      </w: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负责反欺诈及社会保险征信等工作。</w:t>
      </w:r>
    </w:p>
    <w:p>
      <w:pPr>
        <w:pStyle w:val="14"/>
        <w:keepNext w:val="0"/>
        <w:keepLines w:val="0"/>
        <w:pageBreakBefore w:val="0"/>
        <w:widowControl w:val="0"/>
        <w:kinsoku/>
        <w:wordWrap/>
        <w:overflowPunct/>
        <w:topLinePunct w:val="0"/>
        <w:autoSpaceDE/>
        <w:autoSpaceDN/>
        <w:bidi w:val="0"/>
        <w:adjustRightInd/>
        <w:snapToGrid/>
        <w:spacing w:after="0" w:line="560" w:lineRule="exact"/>
        <w:ind w:firstLine="640" w:firstLineChars="200"/>
        <w:jc w:val="both"/>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七</w:t>
      </w:r>
      <w:r>
        <w:rPr>
          <w:rFonts w:hint="default" w:ascii="Times New Roman" w:hAnsi="Times New Roman" w:eastAsia="仿宋_GB2312" w:cs="Times New Roman"/>
          <w:sz w:val="32"/>
          <w:szCs w:val="32"/>
          <w:highlight w:val="none"/>
        </w:rPr>
        <w:t>）建立健全</w:t>
      </w:r>
      <w:r>
        <w:rPr>
          <w:rFonts w:hint="eastAsia" w:ascii="Times New Roman" w:hAnsi="Times New Roman" w:eastAsia="仿宋_GB2312" w:cs="Times New Roman"/>
          <w:sz w:val="32"/>
          <w:szCs w:val="32"/>
          <w:highlight w:val="none"/>
          <w:lang w:eastAsia="zh-CN"/>
        </w:rPr>
        <w:t>全县</w:t>
      </w:r>
      <w:r>
        <w:rPr>
          <w:rFonts w:hint="default" w:ascii="Times New Roman" w:hAnsi="Times New Roman" w:eastAsia="仿宋_GB2312" w:cs="Times New Roman"/>
          <w:sz w:val="32"/>
          <w:szCs w:val="32"/>
          <w:highlight w:val="none"/>
        </w:rPr>
        <w:t>社会保险业务档案管理制度</w:t>
      </w: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负责档案管理。</w:t>
      </w:r>
    </w:p>
    <w:p>
      <w:pPr>
        <w:pStyle w:val="14"/>
        <w:keepNext w:val="0"/>
        <w:keepLines w:val="0"/>
        <w:pageBreakBefore w:val="0"/>
        <w:widowControl w:val="0"/>
        <w:kinsoku/>
        <w:wordWrap/>
        <w:overflowPunct/>
        <w:topLinePunct w:val="0"/>
        <w:autoSpaceDE/>
        <w:autoSpaceDN/>
        <w:bidi w:val="0"/>
        <w:adjustRightInd/>
        <w:snapToGrid/>
        <w:spacing w:after="0" w:line="560" w:lineRule="exact"/>
        <w:ind w:firstLine="626" w:firstLineChars="200"/>
        <w:jc w:val="both"/>
        <w:textAlignment w:val="auto"/>
        <w:rPr>
          <w:rFonts w:ascii="仿宋_GB2312" w:hAnsi="宋体" w:eastAsia="仿宋_GB2312" w:cs="宋体"/>
          <w:bCs/>
          <w:color w:val="auto"/>
          <w:kern w:val="0"/>
          <w:sz w:val="32"/>
          <w:szCs w:val="32"/>
          <w:highlight w:val="none"/>
        </w:rPr>
      </w:pPr>
      <w:r>
        <w:rPr>
          <w:rFonts w:hint="default" w:ascii="Times New Roman" w:hAnsi="Times New Roman" w:eastAsia="仿宋_GB2312" w:cs="Times New Roman"/>
          <w:w w:val="98"/>
          <w:sz w:val="32"/>
          <w:szCs w:val="32"/>
          <w:highlight w:val="none"/>
        </w:rPr>
        <w:t>（</w:t>
      </w:r>
      <w:r>
        <w:rPr>
          <w:rFonts w:hint="default" w:ascii="Times New Roman" w:hAnsi="Times New Roman" w:eastAsia="仿宋_GB2312" w:cs="Times New Roman"/>
          <w:w w:val="98"/>
          <w:sz w:val="32"/>
          <w:szCs w:val="32"/>
          <w:highlight w:val="none"/>
          <w:lang w:eastAsia="zh-CN"/>
        </w:rPr>
        <w:t>八</w:t>
      </w:r>
      <w:r>
        <w:rPr>
          <w:rFonts w:hint="default" w:ascii="Times New Roman" w:hAnsi="Times New Roman" w:eastAsia="仿宋_GB2312" w:cs="Times New Roman"/>
          <w:w w:val="98"/>
          <w:sz w:val="32"/>
          <w:szCs w:val="32"/>
          <w:highlight w:val="none"/>
        </w:rPr>
        <w:t>）完成</w:t>
      </w:r>
      <w:r>
        <w:rPr>
          <w:rFonts w:hint="eastAsia" w:ascii="Times New Roman" w:hAnsi="Times New Roman" w:eastAsia="仿宋_GB2312" w:cs="Times New Roman"/>
          <w:w w:val="98"/>
          <w:sz w:val="32"/>
          <w:szCs w:val="32"/>
          <w:highlight w:val="none"/>
          <w:lang w:eastAsia="zh-CN"/>
        </w:rPr>
        <w:t>县</w:t>
      </w:r>
      <w:r>
        <w:rPr>
          <w:rFonts w:hint="default" w:ascii="Times New Roman" w:hAnsi="Times New Roman" w:eastAsia="仿宋_GB2312" w:cs="Times New Roman"/>
          <w:w w:val="98"/>
          <w:sz w:val="32"/>
          <w:szCs w:val="32"/>
          <w:highlight w:val="none"/>
        </w:rPr>
        <w:t>人力资源和社会保障局交办的其他任务。</w:t>
      </w:r>
    </w:p>
    <w:p>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hint="eastAsia" w:ascii="黑体" w:hAnsi="黑体" w:eastAsia="黑体" w:cs="黑体"/>
          <w:b/>
          <w:bCs/>
          <w:color w:val="auto"/>
          <w:kern w:val="0"/>
          <w:sz w:val="32"/>
          <w:szCs w:val="32"/>
          <w:highlight w:val="none"/>
        </w:rPr>
      </w:pPr>
      <w:r>
        <w:rPr>
          <w:rFonts w:hint="eastAsia" w:ascii="黑体" w:hAnsi="黑体" w:eastAsia="黑体" w:cs="黑体"/>
          <w:b/>
          <w:bCs/>
          <w:color w:val="auto"/>
          <w:kern w:val="0"/>
          <w:sz w:val="32"/>
          <w:szCs w:val="32"/>
          <w:highlight w:val="none"/>
        </w:rPr>
        <w:t>二、机构设置及人员情况</w:t>
      </w:r>
    </w:p>
    <w:p>
      <w:pPr>
        <w:keepNext w:val="0"/>
        <w:keepLines w:val="0"/>
        <w:pageBreakBefore w:val="0"/>
        <w:widowControl/>
        <w:kinsoku/>
        <w:wordWrap/>
        <w:overflowPunct/>
        <w:topLinePunct w:val="0"/>
        <w:autoSpaceDE/>
        <w:autoSpaceDN/>
        <w:bidi w:val="0"/>
        <w:adjustRightInd/>
        <w:snapToGrid/>
        <w:spacing w:beforeLines="0" w:line="540" w:lineRule="exact"/>
        <w:jc w:val="left"/>
        <w:textAlignment w:val="auto"/>
        <w:rPr>
          <w:rFonts w:hint="eastAsia" w:ascii="仿宋_GB2312" w:hAnsi="仿宋" w:eastAsia="仿宋_GB2312"/>
          <w:sz w:val="32"/>
          <w:szCs w:val="32"/>
          <w:highlight w:val="none"/>
        </w:rPr>
      </w:pPr>
      <w:r>
        <w:rPr>
          <w:rFonts w:hint="eastAsia" w:ascii="仿宋_GB2312" w:hAnsi="宋体" w:eastAsia="仿宋_GB2312" w:cs="宋体"/>
          <w:color w:val="auto"/>
          <w:kern w:val="0"/>
          <w:sz w:val="32"/>
          <w:szCs w:val="32"/>
          <w:highlight w:val="none"/>
        </w:rPr>
        <w:t xml:space="preserve">   </w:t>
      </w:r>
      <w:r>
        <w:rPr>
          <w:rFonts w:hint="eastAsia" w:ascii="仿宋_GB2312" w:hAnsi="宋体" w:eastAsia="仿宋_GB2312" w:cs="宋体"/>
          <w:color w:val="FF0000"/>
          <w:kern w:val="0"/>
          <w:sz w:val="32"/>
          <w:szCs w:val="32"/>
          <w:highlight w:val="none"/>
        </w:rPr>
        <w:t xml:space="preserve"> </w:t>
      </w:r>
      <w:r>
        <w:rPr>
          <w:rFonts w:hint="eastAsia" w:ascii="仿宋_GB2312" w:hAnsi="仿宋" w:eastAsia="仿宋_GB2312"/>
          <w:sz w:val="32"/>
          <w:szCs w:val="32"/>
          <w:highlight w:val="none"/>
        </w:rPr>
        <w:t>呼图壁县社会保险</w:t>
      </w:r>
      <w:r>
        <w:rPr>
          <w:rFonts w:hint="eastAsia" w:ascii="仿宋_GB2312" w:hAnsi="仿宋" w:eastAsia="仿宋_GB2312"/>
          <w:sz w:val="32"/>
          <w:szCs w:val="32"/>
          <w:highlight w:val="none"/>
          <w:lang w:eastAsia="zh-CN"/>
        </w:rPr>
        <w:t>中心</w:t>
      </w:r>
      <w:r>
        <w:rPr>
          <w:rFonts w:hint="eastAsia" w:ascii="仿宋_GB2312" w:hAnsi="黑体" w:eastAsia="仿宋_GB2312" w:cs="宋体"/>
          <w:bCs/>
          <w:color w:val="auto"/>
          <w:kern w:val="0"/>
          <w:sz w:val="32"/>
          <w:szCs w:val="32"/>
          <w:highlight w:val="none"/>
        </w:rPr>
        <w:t>无下属预算单位，</w:t>
      </w:r>
      <w:r>
        <w:rPr>
          <w:rFonts w:hint="eastAsia" w:ascii="仿宋_GB2312" w:hAnsi="仿宋" w:eastAsia="仿宋_GB2312"/>
          <w:sz w:val="32"/>
          <w:szCs w:val="32"/>
          <w:highlight w:val="none"/>
        </w:rPr>
        <w:t>下设</w:t>
      </w:r>
      <w:r>
        <w:rPr>
          <w:rFonts w:hint="eastAsia" w:ascii="仿宋_GB2312" w:hAnsi="仿宋" w:eastAsia="仿宋_GB2312"/>
          <w:sz w:val="32"/>
          <w:szCs w:val="32"/>
          <w:highlight w:val="none"/>
          <w:lang w:val="en-US" w:eastAsia="zh-CN"/>
        </w:rPr>
        <w:t>7</w:t>
      </w:r>
      <w:r>
        <w:rPr>
          <w:rFonts w:hint="eastAsia" w:ascii="仿宋_GB2312" w:hAnsi="仿宋" w:eastAsia="仿宋_GB2312"/>
          <w:sz w:val="32"/>
          <w:szCs w:val="32"/>
          <w:highlight w:val="none"/>
        </w:rPr>
        <w:t>个</w:t>
      </w:r>
      <w:r>
        <w:rPr>
          <w:rFonts w:hint="eastAsia" w:ascii="仿宋_GB2312" w:hAnsi="仿宋" w:eastAsia="仿宋_GB2312"/>
          <w:sz w:val="32"/>
          <w:szCs w:val="32"/>
          <w:highlight w:val="none"/>
          <w:lang w:eastAsia="zh-CN"/>
        </w:rPr>
        <w:t>科室</w:t>
      </w:r>
      <w:r>
        <w:rPr>
          <w:rFonts w:hint="eastAsia" w:ascii="仿宋_GB2312" w:hAnsi="仿宋" w:eastAsia="仿宋_GB2312"/>
          <w:sz w:val="32"/>
          <w:szCs w:val="32"/>
          <w:highlight w:val="none"/>
        </w:rPr>
        <w:t>，分别是：党政综合办、基金财务科、</w:t>
      </w:r>
      <w:r>
        <w:rPr>
          <w:rFonts w:hint="eastAsia" w:ascii="仿宋_GB2312" w:hAnsi="仿宋" w:eastAsia="仿宋_GB2312"/>
          <w:sz w:val="32"/>
          <w:szCs w:val="32"/>
          <w:highlight w:val="none"/>
          <w:lang w:eastAsia="zh-CN"/>
        </w:rPr>
        <w:t>社会保险</w:t>
      </w:r>
      <w:r>
        <w:rPr>
          <w:rFonts w:hint="eastAsia" w:ascii="仿宋_GB2312" w:hAnsi="仿宋" w:eastAsia="仿宋_GB2312"/>
          <w:sz w:val="32"/>
          <w:szCs w:val="32"/>
          <w:highlight w:val="none"/>
        </w:rPr>
        <w:t>征缴科、待遇支付科、</w:t>
      </w:r>
      <w:r>
        <w:rPr>
          <w:rFonts w:hint="eastAsia" w:ascii="仿宋_GB2312" w:hAnsi="仿宋" w:eastAsia="仿宋_GB2312"/>
          <w:sz w:val="32"/>
          <w:szCs w:val="32"/>
          <w:highlight w:val="none"/>
          <w:lang w:eastAsia="zh-CN"/>
        </w:rPr>
        <w:t>待遇复核科、</w:t>
      </w:r>
      <w:r>
        <w:rPr>
          <w:rFonts w:hint="eastAsia" w:ascii="仿宋_GB2312" w:hAnsi="仿宋" w:eastAsia="仿宋_GB2312"/>
          <w:sz w:val="32"/>
          <w:szCs w:val="32"/>
          <w:highlight w:val="none"/>
        </w:rPr>
        <w:t>稽核科、综合业务科。</w:t>
      </w:r>
    </w:p>
    <w:p>
      <w:pPr>
        <w:pStyle w:val="15"/>
        <w:spacing w:line="560" w:lineRule="exact"/>
        <w:ind w:firstLine="560"/>
        <w:rPr>
          <w:rFonts w:hint="eastAsia" w:ascii="仿宋_GB2312" w:hAnsi="仿宋" w:eastAsia="仿宋_GB2312" w:cs="Times New Roman"/>
          <w:kern w:val="2"/>
          <w:sz w:val="32"/>
          <w:szCs w:val="32"/>
          <w:highlight w:val="none"/>
          <w:lang w:val="en-US" w:eastAsia="zh-CN" w:bidi="ar-SA"/>
        </w:rPr>
      </w:pPr>
      <w:r>
        <w:rPr>
          <w:rFonts w:hint="eastAsia" w:ascii="仿宋_GB2312" w:hAnsi="仿宋" w:eastAsia="仿宋_GB2312" w:cs="Times New Roman"/>
          <w:kern w:val="2"/>
          <w:sz w:val="32"/>
          <w:szCs w:val="32"/>
          <w:highlight w:val="none"/>
          <w:lang w:val="en-US" w:eastAsia="zh-CN" w:bidi="ar-SA"/>
        </w:rPr>
        <w:t>呼图壁县社会保险中心年初编制数22，实有人数34人。其中：在职19人，减少1人；退休15人，增加1人；离休0人，增加0人。</w:t>
      </w: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eastAsia" w:ascii="仿宋_GB2312" w:hAnsi="仿宋" w:eastAsia="仿宋_GB2312" w:cs="Times New Roman"/>
          <w:kern w:val="2"/>
          <w:sz w:val="32"/>
          <w:szCs w:val="32"/>
          <w:highlight w:val="none"/>
          <w:lang w:val="en-US" w:eastAsia="zh-CN" w:bidi="ar-SA"/>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tabs>
          <w:tab w:val="left" w:pos="3612"/>
        </w:tabs>
        <w:kinsoku/>
        <w:wordWrap/>
        <w:overflowPunct/>
        <w:topLinePunct w:val="0"/>
        <w:autoSpaceDE/>
        <w:autoSpaceDN/>
        <w:bidi w:val="0"/>
        <w:adjustRightInd/>
        <w:snapToGrid/>
        <w:spacing w:before="0" w:beforeLines="0" w:line="440" w:lineRule="exact"/>
        <w:jc w:val="left"/>
        <w:textAlignment w:val="auto"/>
        <w:outlineLvl w:val="1"/>
        <w:rPr>
          <w:rFonts w:hint="eastAsia" w:ascii="黑体" w:hAnsi="黑体" w:eastAsia="黑体"/>
          <w:color w:val="auto"/>
          <w:kern w:val="0"/>
          <w:sz w:val="32"/>
          <w:szCs w:val="32"/>
          <w:highlight w:val="none"/>
          <w:lang w:eastAsia="zh-CN"/>
        </w:rPr>
      </w:pPr>
      <w:r>
        <w:rPr>
          <w:rFonts w:hint="eastAsia" w:ascii="黑体" w:hAnsi="黑体" w:eastAsia="黑体"/>
          <w:color w:val="auto"/>
          <w:kern w:val="0"/>
          <w:sz w:val="32"/>
          <w:szCs w:val="32"/>
          <w:highlight w:val="none"/>
          <w:lang w:eastAsia="zh-CN"/>
        </w:rPr>
        <w:tab/>
      </w:r>
    </w:p>
    <w:p>
      <w:pPr>
        <w:keepNext w:val="0"/>
        <w:keepLines w:val="0"/>
        <w:pageBreakBefore w:val="0"/>
        <w:widowControl/>
        <w:tabs>
          <w:tab w:val="left" w:pos="3612"/>
        </w:tabs>
        <w:kinsoku/>
        <w:wordWrap/>
        <w:overflowPunct/>
        <w:topLinePunct w:val="0"/>
        <w:autoSpaceDE/>
        <w:autoSpaceDN/>
        <w:bidi w:val="0"/>
        <w:adjustRightInd/>
        <w:snapToGrid/>
        <w:spacing w:before="0" w:beforeLines="0" w:line="440" w:lineRule="exact"/>
        <w:jc w:val="left"/>
        <w:textAlignment w:val="auto"/>
        <w:outlineLvl w:val="1"/>
        <w:rPr>
          <w:rFonts w:hint="eastAsia" w:ascii="黑体" w:hAnsi="黑体" w:eastAsia="黑体"/>
          <w:color w:val="auto"/>
          <w:kern w:val="0"/>
          <w:sz w:val="32"/>
          <w:szCs w:val="32"/>
          <w:highlight w:val="none"/>
          <w:lang w:eastAsia="zh-CN"/>
        </w:rPr>
      </w:pPr>
    </w:p>
    <w:p>
      <w:pPr>
        <w:keepNext w:val="0"/>
        <w:keepLines w:val="0"/>
        <w:pageBreakBefore w:val="0"/>
        <w:widowControl/>
        <w:tabs>
          <w:tab w:val="left" w:pos="3612"/>
        </w:tabs>
        <w:kinsoku/>
        <w:wordWrap/>
        <w:overflowPunct/>
        <w:topLinePunct w:val="0"/>
        <w:autoSpaceDE/>
        <w:autoSpaceDN/>
        <w:bidi w:val="0"/>
        <w:adjustRightInd/>
        <w:snapToGrid/>
        <w:spacing w:before="0" w:beforeLines="0" w:line="440" w:lineRule="exact"/>
        <w:jc w:val="left"/>
        <w:textAlignment w:val="auto"/>
        <w:outlineLvl w:val="1"/>
        <w:rPr>
          <w:rFonts w:hint="eastAsia" w:ascii="黑体" w:hAnsi="黑体" w:eastAsia="黑体"/>
          <w:color w:val="auto"/>
          <w:kern w:val="0"/>
          <w:sz w:val="32"/>
          <w:szCs w:val="32"/>
          <w:highlight w:val="none"/>
          <w:lang w:eastAsia="zh-CN"/>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s="黑体"/>
          <w:b/>
          <w:bCs/>
          <w:color w:val="auto"/>
          <w:kern w:val="0"/>
          <w:sz w:val="44"/>
          <w:szCs w:val="44"/>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s="黑体"/>
          <w:b/>
          <w:bCs/>
          <w:color w:val="auto"/>
          <w:kern w:val="0"/>
          <w:sz w:val="44"/>
          <w:szCs w:val="44"/>
          <w:highlight w:val="none"/>
        </w:rPr>
      </w:pPr>
      <w:r>
        <w:rPr>
          <w:rFonts w:hint="eastAsia" w:ascii="黑体" w:hAnsi="黑体" w:eastAsia="黑体" w:cs="黑体"/>
          <w:b/>
          <w:bCs/>
          <w:color w:val="auto"/>
          <w:kern w:val="0"/>
          <w:sz w:val="44"/>
          <w:szCs w:val="44"/>
          <w:highlight w:val="none"/>
        </w:rPr>
        <w:t xml:space="preserve">第二部分  </w:t>
      </w:r>
      <w:r>
        <w:rPr>
          <w:rFonts w:hint="eastAsia" w:ascii="黑体" w:hAnsi="黑体" w:eastAsia="黑体" w:cs="黑体"/>
          <w:b/>
          <w:bCs/>
          <w:color w:val="auto"/>
          <w:kern w:val="0"/>
          <w:sz w:val="44"/>
          <w:szCs w:val="44"/>
          <w:highlight w:val="none"/>
          <w:lang w:val="en-US" w:eastAsia="zh-CN"/>
        </w:rPr>
        <w:t>2025</w:t>
      </w:r>
      <w:r>
        <w:rPr>
          <w:rFonts w:hint="eastAsia" w:ascii="黑体" w:hAnsi="黑体" w:eastAsia="黑体" w:cs="黑体"/>
          <w:b/>
          <w:bCs/>
          <w:color w:val="auto"/>
          <w:kern w:val="0"/>
          <w:sz w:val="44"/>
          <w:szCs w:val="44"/>
          <w:highlight w:val="none"/>
        </w:rPr>
        <w:t>年</w:t>
      </w:r>
      <w:r>
        <w:rPr>
          <w:rFonts w:hint="eastAsia" w:ascii="黑体" w:hAnsi="黑体" w:eastAsia="黑体" w:cs="黑体"/>
          <w:b/>
          <w:bCs/>
          <w:color w:val="auto"/>
          <w:kern w:val="0"/>
          <w:sz w:val="44"/>
          <w:szCs w:val="44"/>
          <w:highlight w:val="none"/>
          <w:lang w:eastAsia="zh-CN"/>
        </w:rPr>
        <w:t>部门</w:t>
      </w:r>
      <w:r>
        <w:rPr>
          <w:rFonts w:hint="eastAsia" w:ascii="黑体" w:hAnsi="黑体" w:eastAsia="黑体" w:cs="黑体"/>
          <w:b/>
          <w:bCs/>
          <w:color w:val="auto"/>
          <w:kern w:val="0"/>
          <w:sz w:val="44"/>
          <w:szCs w:val="44"/>
          <w:highlight w:val="none"/>
        </w:rPr>
        <w:t>预算公开表</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表1</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黑体" w:hAnsi="黑体" w:eastAsia="黑体" w:cs="黑体"/>
          <w:b/>
          <w:bCs w:val="0"/>
          <w:color w:val="auto"/>
          <w:kern w:val="0"/>
          <w:sz w:val="32"/>
          <w:szCs w:val="32"/>
          <w:highlight w:val="none"/>
        </w:rPr>
      </w:pPr>
      <w:r>
        <w:rPr>
          <w:rFonts w:hint="eastAsia" w:ascii="黑体" w:hAnsi="黑体" w:eastAsia="黑体" w:cs="黑体"/>
          <w:b/>
          <w:bCs w:val="0"/>
          <w:color w:val="auto"/>
          <w:kern w:val="0"/>
          <w:sz w:val="32"/>
          <w:szCs w:val="32"/>
          <w:highlight w:val="none"/>
          <w:lang w:eastAsia="zh-CN"/>
        </w:rPr>
        <w:t>部门</w:t>
      </w:r>
      <w:r>
        <w:rPr>
          <w:rFonts w:hint="eastAsia" w:ascii="黑体" w:hAnsi="黑体" w:eastAsia="黑体" w:cs="黑体"/>
          <w:b/>
          <w:bCs w:val="0"/>
          <w:color w:val="auto"/>
          <w:kern w:val="0"/>
          <w:sz w:val="32"/>
          <w:szCs w:val="32"/>
          <w:highlight w:val="none"/>
        </w:rPr>
        <w:t>收支总体情况表</w:t>
      </w:r>
    </w:p>
    <w:p>
      <w:pPr>
        <w:widowControl/>
        <w:spacing w:line="280" w:lineRule="exact"/>
        <w:jc w:val="center"/>
        <w:outlineLvl w:val="1"/>
        <w:rPr>
          <w:rFonts w:ascii="仿宋_GB2312" w:hAnsi="宋体" w:eastAsia="仿宋_GB2312"/>
          <w:b/>
          <w:color w:val="auto"/>
          <w:kern w:val="0"/>
          <w:sz w:val="32"/>
          <w:szCs w:val="32"/>
          <w:highlight w:val="none"/>
        </w:rPr>
      </w:pPr>
    </w:p>
    <w:p>
      <w:pPr>
        <w:widowControl/>
        <w:spacing w:line="280" w:lineRule="exac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编制</w:t>
      </w:r>
      <w:r>
        <w:rPr>
          <w:rFonts w:hint="eastAsia" w:ascii="仿宋_GB2312" w:hAnsi="宋体" w:eastAsia="仿宋_GB2312"/>
          <w:color w:val="auto"/>
          <w:kern w:val="0"/>
          <w:sz w:val="20"/>
          <w:szCs w:val="20"/>
          <w:highlight w:val="none"/>
          <w:lang w:eastAsia="zh-CN"/>
        </w:rPr>
        <w:t>部门</w:t>
      </w:r>
      <w:r>
        <w:rPr>
          <w:rFonts w:hint="eastAsia" w:ascii="仿宋_GB2312" w:hAnsi="宋体" w:eastAsia="仿宋_GB2312"/>
          <w:color w:val="auto"/>
          <w:kern w:val="0"/>
          <w:sz w:val="20"/>
          <w:szCs w:val="20"/>
          <w:highlight w:val="none"/>
        </w:rPr>
        <w:t>：</w:t>
      </w:r>
      <w:r>
        <w:rPr>
          <w:rFonts w:hint="eastAsia" w:ascii="仿宋_GB2312" w:hAnsi="宋体" w:eastAsia="仿宋_GB2312"/>
          <w:color w:val="auto"/>
          <w:kern w:val="0"/>
          <w:sz w:val="20"/>
          <w:szCs w:val="20"/>
          <w:highlight w:val="none"/>
          <w:lang w:eastAsia="zh-CN"/>
        </w:rPr>
        <w:t>呼图壁县社会保险中心</w:t>
      </w:r>
      <w:r>
        <w:rPr>
          <w:rFonts w:hint="eastAsia" w:ascii="仿宋_GB2312" w:hAnsi="宋体" w:eastAsia="仿宋_GB2312"/>
          <w:color w:val="auto"/>
          <w:kern w:val="0"/>
          <w:sz w:val="20"/>
          <w:szCs w:val="20"/>
          <w:highlight w:val="none"/>
        </w:rPr>
        <w:t xml:space="preserve">                                             </w:t>
      </w:r>
      <w:r>
        <w:rPr>
          <w:rFonts w:hint="eastAsia" w:ascii="仿宋_GB2312" w:hAnsi="宋体" w:eastAsia="仿宋_GB2312"/>
          <w:color w:val="auto"/>
          <w:kern w:val="0"/>
          <w:sz w:val="20"/>
          <w:szCs w:val="20"/>
          <w:highlight w:val="none"/>
          <w:lang w:val="en-US" w:eastAsia="zh-CN"/>
        </w:rPr>
        <w:t xml:space="preserve"> </w:t>
      </w:r>
      <w:r>
        <w:rPr>
          <w:rFonts w:hint="eastAsia" w:ascii="仿宋_GB2312" w:hAnsi="宋体" w:eastAsia="仿宋_GB2312"/>
          <w:color w:val="auto"/>
          <w:kern w:val="0"/>
          <w:sz w:val="20"/>
          <w:szCs w:val="20"/>
          <w:highlight w:val="none"/>
        </w:rPr>
        <w:t>单位：万元</w:t>
      </w:r>
    </w:p>
    <w:tbl>
      <w:tblPr>
        <w:tblStyle w:val="9"/>
        <w:tblW w:w="9177" w:type="dxa"/>
        <w:tblInd w:w="93" w:type="dxa"/>
        <w:tblLayout w:type="autofit"/>
        <w:tblCellMar>
          <w:top w:w="0" w:type="dxa"/>
          <w:left w:w="108" w:type="dxa"/>
          <w:bottom w:w="0" w:type="dxa"/>
          <w:right w:w="108" w:type="dxa"/>
        </w:tblCellMar>
      </w:tblPr>
      <w:tblGrid>
        <w:gridCol w:w="3357"/>
        <w:gridCol w:w="1425"/>
        <w:gridCol w:w="2730"/>
        <w:gridCol w:w="1665"/>
      </w:tblGrid>
      <w:tr>
        <w:tblPrEx>
          <w:tblCellMar>
            <w:top w:w="0" w:type="dxa"/>
            <w:left w:w="108" w:type="dxa"/>
            <w:bottom w:w="0" w:type="dxa"/>
            <w:right w:w="108" w:type="dxa"/>
          </w:tblCellMar>
        </w:tblPrEx>
        <w:trPr>
          <w:trHeight w:val="360" w:hRule="atLeast"/>
        </w:trPr>
        <w:tc>
          <w:tcPr>
            <w:tcW w:w="4782" w:type="dxa"/>
            <w:gridSpan w:val="2"/>
            <w:tcBorders>
              <w:top w:val="single" w:color="auto" w:sz="4" w:space="0"/>
              <w:left w:val="single" w:color="auto" w:sz="4" w:space="0"/>
              <w:bottom w:val="single" w:color="auto" w:sz="4" w:space="0"/>
              <w:right w:val="single" w:color="000000" w:sz="4" w:space="0"/>
            </w:tcBorders>
            <w:noWrap w:val="0"/>
            <w:vAlign w:val="bottom"/>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收     入</w:t>
            </w:r>
          </w:p>
        </w:tc>
        <w:tc>
          <w:tcPr>
            <w:tcW w:w="4395" w:type="dxa"/>
            <w:gridSpan w:val="2"/>
            <w:tcBorders>
              <w:top w:val="single" w:color="auto" w:sz="4" w:space="0"/>
              <w:left w:val="nil"/>
              <w:bottom w:val="single" w:color="auto" w:sz="4" w:space="0"/>
              <w:right w:val="single" w:color="auto" w:sz="4" w:space="0"/>
            </w:tcBorders>
            <w:noWrap w:val="0"/>
            <w:vAlign w:val="bottom"/>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支     出</w:t>
            </w:r>
          </w:p>
        </w:tc>
      </w:tr>
      <w:tr>
        <w:tblPrEx>
          <w:tblCellMar>
            <w:top w:w="0" w:type="dxa"/>
            <w:left w:w="108" w:type="dxa"/>
            <w:bottom w:w="0" w:type="dxa"/>
            <w:right w:w="108" w:type="dxa"/>
          </w:tblCellMar>
        </w:tblPrEx>
        <w:trPr>
          <w:trHeight w:val="312" w:hRule="exact"/>
        </w:trPr>
        <w:tc>
          <w:tcPr>
            <w:tcW w:w="3357"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b/>
                <w:color w:val="auto"/>
                <w:kern w:val="0"/>
                <w:sz w:val="20"/>
                <w:szCs w:val="20"/>
                <w:highlight w:val="none"/>
              </w:rPr>
              <w:t>项     目</w:t>
            </w:r>
          </w:p>
        </w:tc>
        <w:tc>
          <w:tcPr>
            <w:tcW w:w="142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c>
          <w:tcPr>
            <w:tcW w:w="2730"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功能分类</w:t>
            </w:r>
          </w:p>
        </w:tc>
        <w:tc>
          <w:tcPr>
            <w:tcW w:w="166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r>
      <w:tr>
        <w:tblPrEx>
          <w:tblCellMar>
            <w:top w:w="0" w:type="dxa"/>
            <w:left w:w="108" w:type="dxa"/>
            <w:bottom w:w="0" w:type="dxa"/>
            <w:right w:w="108" w:type="dxa"/>
          </w:tblCellMar>
        </w:tblPrEx>
        <w:trPr>
          <w:trHeight w:val="312" w:hRule="exact"/>
        </w:trPr>
        <w:tc>
          <w:tcPr>
            <w:tcW w:w="3357"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bCs/>
                <w:color w:val="auto"/>
                <w:kern w:val="0"/>
                <w:sz w:val="18"/>
                <w:szCs w:val="18"/>
                <w:highlight w:val="none"/>
                <w:shd w:val="clear" w:color="auto" w:fill="auto"/>
              </w:rPr>
            </w:pPr>
            <w:r>
              <w:rPr>
                <w:rFonts w:hint="eastAsia" w:ascii="仿宋_GB2312" w:hAnsi="宋体" w:eastAsia="仿宋_GB2312" w:cs="宋体"/>
                <w:b/>
                <w:bCs/>
                <w:color w:val="auto"/>
                <w:kern w:val="0"/>
                <w:sz w:val="18"/>
                <w:szCs w:val="18"/>
                <w:highlight w:val="none"/>
                <w:shd w:val="clear" w:color="auto" w:fill="auto"/>
              </w:rPr>
              <w:t>一、本年收入</w:t>
            </w:r>
          </w:p>
        </w:tc>
        <w:tc>
          <w:tcPr>
            <w:tcW w:w="1425"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仿宋_GB2312" w:hAnsi="宋体" w:eastAsia="仿宋_GB2312" w:cs="宋体"/>
                <w:b/>
                <w:bCs/>
                <w:color w:val="auto"/>
                <w:kern w:val="0"/>
                <w:sz w:val="18"/>
                <w:szCs w:val="18"/>
                <w:highlight w:val="none"/>
                <w:lang w:val="en-US"/>
              </w:rPr>
            </w:pPr>
            <w:r>
              <w:rPr>
                <w:rFonts w:hint="eastAsia" w:ascii="仿宋_GB2312" w:hAnsi="宋体" w:eastAsia="仿宋_GB2312" w:cs="宋体"/>
                <w:b/>
                <w:bCs/>
                <w:color w:val="auto"/>
                <w:kern w:val="0"/>
                <w:sz w:val="18"/>
                <w:szCs w:val="18"/>
                <w:highlight w:val="none"/>
                <w:lang w:val="en-US" w:eastAsia="zh-CN"/>
              </w:rPr>
              <w:t>754.53</w:t>
            </w:r>
          </w:p>
        </w:tc>
        <w:tc>
          <w:tcPr>
            <w:tcW w:w="2730" w:type="dxa"/>
            <w:tcBorders>
              <w:top w:val="nil"/>
              <w:left w:val="nil"/>
              <w:bottom w:val="single" w:color="auto" w:sz="4" w:space="0"/>
              <w:right w:val="nil"/>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rPr>
            </w:pPr>
          </w:p>
        </w:tc>
        <w:tc>
          <w:tcPr>
            <w:tcW w:w="166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357"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bCs/>
                <w:color w:val="auto"/>
                <w:kern w:val="0"/>
                <w:sz w:val="18"/>
                <w:szCs w:val="18"/>
                <w:highlight w:val="none"/>
                <w:shd w:val="clear" w:color="auto" w:fill="auto"/>
              </w:rPr>
            </w:pPr>
            <w:r>
              <w:rPr>
                <w:rFonts w:hint="eastAsia" w:ascii="仿宋_GB2312" w:hAnsi="宋体" w:eastAsia="仿宋_GB2312" w:cs="宋体"/>
                <w:b/>
                <w:bCs/>
                <w:color w:val="auto"/>
                <w:kern w:val="0"/>
                <w:sz w:val="18"/>
                <w:szCs w:val="18"/>
                <w:highlight w:val="none"/>
                <w:shd w:val="clear" w:color="auto" w:fill="auto"/>
              </w:rPr>
              <w:t>1.一般公共预算拨款</w:t>
            </w:r>
          </w:p>
        </w:tc>
        <w:tc>
          <w:tcPr>
            <w:tcW w:w="142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18"/>
                <w:szCs w:val="18"/>
                <w:highlight w:val="none"/>
              </w:rPr>
            </w:pPr>
            <w:r>
              <w:rPr>
                <w:rFonts w:hint="eastAsia" w:ascii="仿宋_GB2312" w:hAnsi="宋体" w:eastAsia="仿宋_GB2312" w:cs="宋体"/>
                <w:b/>
                <w:bCs/>
                <w:color w:val="auto"/>
                <w:kern w:val="0"/>
                <w:sz w:val="18"/>
                <w:szCs w:val="18"/>
                <w:highlight w:val="none"/>
                <w:lang w:val="en-US" w:eastAsia="zh-CN"/>
              </w:rPr>
              <w:t>719.31</w:t>
            </w:r>
          </w:p>
        </w:tc>
        <w:tc>
          <w:tcPr>
            <w:tcW w:w="2730"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202 外交支出</w:t>
            </w:r>
          </w:p>
        </w:tc>
        <w:tc>
          <w:tcPr>
            <w:tcW w:w="166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357"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其中：一般财力</w:t>
            </w:r>
          </w:p>
        </w:tc>
        <w:tc>
          <w:tcPr>
            <w:tcW w:w="142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716.38</w:t>
            </w:r>
          </w:p>
        </w:tc>
        <w:tc>
          <w:tcPr>
            <w:tcW w:w="2730"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203 国防支出</w:t>
            </w:r>
          </w:p>
        </w:tc>
        <w:tc>
          <w:tcPr>
            <w:tcW w:w="166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75" w:hRule="exact"/>
        </w:trPr>
        <w:tc>
          <w:tcPr>
            <w:tcW w:w="3357"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上级一般公共预算安排转移支付</w:t>
            </w:r>
          </w:p>
        </w:tc>
        <w:tc>
          <w:tcPr>
            <w:tcW w:w="142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2.92</w:t>
            </w:r>
          </w:p>
        </w:tc>
        <w:tc>
          <w:tcPr>
            <w:tcW w:w="2730"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204 公共安全支出</w:t>
            </w:r>
          </w:p>
        </w:tc>
        <w:tc>
          <w:tcPr>
            <w:tcW w:w="166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357"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eastAsia="zh-CN"/>
              </w:rPr>
            </w:pPr>
            <w:r>
              <w:rPr>
                <w:rFonts w:hint="eastAsia" w:ascii="仿宋_GB2312" w:hAnsi="宋体" w:eastAsia="仿宋_GB2312" w:cs="宋体"/>
                <w:b/>
                <w:bCs/>
                <w:color w:val="auto"/>
                <w:kern w:val="0"/>
                <w:sz w:val="18"/>
                <w:szCs w:val="18"/>
                <w:highlight w:val="none"/>
                <w:shd w:val="clear" w:color="auto" w:fill="auto"/>
              </w:rPr>
              <w:t>2.</w:t>
            </w:r>
            <w:r>
              <w:rPr>
                <w:rFonts w:hint="eastAsia" w:ascii="仿宋_GB2312" w:hAnsi="宋体" w:eastAsia="仿宋_GB2312" w:cs="宋体"/>
                <w:b/>
                <w:bCs/>
                <w:color w:val="auto"/>
                <w:kern w:val="0"/>
                <w:sz w:val="18"/>
                <w:szCs w:val="18"/>
                <w:highlight w:val="none"/>
                <w:shd w:val="clear" w:color="auto" w:fill="auto"/>
                <w:lang w:val="en-US" w:eastAsia="zh-CN"/>
              </w:rPr>
              <w:t>政府性</w:t>
            </w:r>
            <w:r>
              <w:rPr>
                <w:rFonts w:hint="eastAsia" w:ascii="仿宋_GB2312" w:hAnsi="宋体" w:eastAsia="仿宋_GB2312" w:cs="宋体"/>
                <w:b/>
                <w:bCs/>
                <w:color w:val="auto"/>
                <w:kern w:val="0"/>
                <w:sz w:val="18"/>
                <w:szCs w:val="18"/>
                <w:highlight w:val="none"/>
                <w:shd w:val="clear" w:color="auto" w:fill="auto"/>
              </w:rPr>
              <w:t>基金预算拨款</w:t>
            </w:r>
            <w:r>
              <w:rPr>
                <w:rFonts w:hint="eastAsia" w:ascii="仿宋_GB2312" w:hAnsi="宋体" w:eastAsia="仿宋_GB2312" w:cs="宋体"/>
                <w:color w:val="auto"/>
                <w:kern w:val="0"/>
                <w:sz w:val="18"/>
                <w:szCs w:val="18"/>
                <w:highlight w:val="none"/>
                <w:shd w:val="clear" w:color="auto" w:fill="auto"/>
                <w:lang w:eastAsia="zh-CN"/>
              </w:rPr>
              <w:tab/>
            </w:r>
          </w:p>
        </w:tc>
        <w:tc>
          <w:tcPr>
            <w:tcW w:w="142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p>
        </w:tc>
        <w:tc>
          <w:tcPr>
            <w:tcW w:w="2730"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205 教育支出</w:t>
            </w:r>
          </w:p>
        </w:tc>
        <w:tc>
          <w:tcPr>
            <w:tcW w:w="166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357"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其中：政府性基金收入</w:t>
            </w:r>
          </w:p>
        </w:tc>
        <w:tc>
          <w:tcPr>
            <w:tcW w:w="142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p>
        </w:tc>
        <w:tc>
          <w:tcPr>
            <w:tcW w:w="2730"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206 科学技术支出</w:t>
            </w:r>
          </w:p>
        </w:tc>
        <w:tc>
          <w:tcPr>
            <w:tcW w:w="166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357"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上级政府性基金安排转移支付</w:t>
            </w:r>
          </w:p>
        </w:tc>
        <w:tc>
          <w:tcPr>
            <w:tcW w:w="142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p>
        </w:tc>
        <w:tc>
          <w:tcPr>
            <w:tcW w:w="2730"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207 文化旅游体育与传媒支出</w:t>
            </w:r>
          </w:p>
        </w:tc>
        <w:tc>
          <w:tcPr>
            <w:tcW w:w="166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357"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bCs/>
                <w:color w:val="auto"/>
                <w:kern w:val="0"/>
                <w:sz w:val="18"/>
                <w:szCs w:val="18"/>
                <w:highlight w:val="none"/>
                <w:shd w:val="clear" w:color="auto" w:fill="auto"/>
              </w:rPr>
            </w:pPr>
            <w:r>
              <w:rPr>
                <w:rFonts w:hint="eastAsia" w:ascii="仿宋_GB2312" w:hAnsi="宋体" w:eastAsia="仿宋_GB2312" w:cs="宋体"/>
                <w:b/>
                <w:bCs/>
                <w:color w:val="auto"/>
                <w:kern w:val="0"/>
                <w:sz w:val="18"/>
                <w:szCs w:val="18"/>
                <w:highlight w:val="none"/>
                <w:shd w:val="clear" w:color="auto" w:fill="auto"/>
              </w:rPr>
              <w:t>3.国有资本经营预算拨款</w:t>
            </w:r>
          </w:p>
        </w:tc>
        <w:tc>
          <w:tcPr>
            <w:tcW w:w="142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p>
        </w:tc>
        <w:tc>
          <w:tcPr>
            <w:tcW w:w="2730"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208 社会保障和就业支出</w:t>
            </w:r>
          </w:p>
        </w:tc>
        <w:tc>
          <w:tcPr>
            <w:tcW w:w="166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仿宋_GB2312" w:hAnsi="宋体" w:eastAsia="仿宋_GB2312" w:cs="宋体"/>
                <w:color w:val="auto"/>
                <w:kern w:val="0"/>
                <w:sz w:val="18"/>
                <w:szCs w:val="18"/>
                <w:highlight w:val="none"/>
                <w:lang w:val="en-US"/>
              </w:rPr>
            </w:pPr>
            <w:r>
              <w:rPr>
                <w:rFonts w:hint="eastAsia" w:ascii="仿宋_GB2312" w:hAnsi="宋体" w:eastAsia="仿宋_GB2312" w:cs="宋体"/>
                <w:color w:val="auto"/>
                <w:kern w:val="0"/>
                <w:sz w:val="18"/>
                <w:szCs w:val="18"/>
                <w:highlight w:val="none"/>
                <w:lang w:val="en-US" w:eastAsia="zh-CN"/>
              </w:rPr>
              <w:t>714.9</w:t>
            </w:r>
          </w:p>
        </w:tc>
      </w:tr>
      <w:tr>
        <w:tblPrEx>
          <w:tblCellMar>
            <w:top w:w="0" w:type="dxa"/>
            <w:left w:w="108" w:type="dxa"/>
            <w:bottom w:w="0" w:type="dxa"/>
            <w:right w:w="108" w:type="dxa"/>
          </w:tblCellMar>
        </w:tblPrEx>
        <w:trPr>
          <w:trHeight w:val="315" w:hRule="exact"/>
        </w:trPr>
        <w:tc>
          <w:tcPr>
            <w:tcW w:w="3357"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其中：国有资本经营收入</w:t>
            </w:r>
          </w:p>
        </w:tc>
        <w:tc>
          <w:tcPr>
            <w:tcW w:w="1425" w:type="dxa"/>
            <w:tcBorders>
              <w:top w:val="nil"/>
              <w:left w:val="nil"/>
              <w:bottom w:val="single" w:color="auto" w:sz="4" w:space="0"/>
              <w:right w:val="single" w:color="auto" w:sz="4" w:space="0"/>
            </w:tcBorders>
            <w:noWrap w:val="0"/>
            <w:vAlign w:val="bottom"/>
          </w:tcPr>
          <w:p>
            <w:pPr>
              <w:widowControl/>
              <w:spacing w:line="280" w:lineRule="exact"/>
              <w:jc w:val="center"/>
              <w:rPr>
                <w:rFonts w:ascii="仿宋_GB2312" w:hAnsi="宋体" w:eastAsia="仿宋_GB2312" w:cs="宋体"/>
                <w:color w:val="auto"/>
                <w:kern w:val="0"/>
                <w:sz w:val="18"/>
                <w:szCs w:val="18"/>
                <w:highlight w:val="none"/>
              </w:rPr>
            </w:pPr>
          </w:p>
        </w:tc>
        <w:tc>
          <w:tcPr>
            <w:tcW w:w="2730"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209 社会保险基金支出</w:t>
            </w:r>
          </w:p>
        </w:tc>
        <w:tc>
          <w:tcPr>
            <w:tcW w:w="166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297" w:hRule="exact"/>
        </w:trPr>
        <w:tc>
          <w:tcPr>
            <w:tcW w:w="3357"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上级国有资本经营预算安排转移支付</w:t>
            </w:r>
          </w:p>
        </w:tc>
        <w:tc>
          <w:tcPr>
            <w:tcW w:w="1425" w:type="dxa"/>
            <w:tcBorders>
              <w:top w:val="nil"/>
              <w:left w:val="nil"/>
              <w:bottom w:val="single" w:color="auto" w:sz="4" w:space="0"/>
              <w:right w:val="single" w:color="auto" w:sz="4" w:space="0"/>
            </w:tcBorders>
            <w:noWrap w:val="0"/>
            <w:vAlign w:val="bottom"/>
          </w:tcPr>
          <w:p>
            <w:pPr>
              <w:widowControl/>
              <w:spacing w:line="280" w:lineRule="exact"/>
              <w:jc w:val="center"/>
              <w:rPr>
                <w:rFonts w:hint="eastAsia" w:ascii="仿宋_GB2312" w:hAnsi="宋体" w:eastAsia="仿宋_GB2312" w:cs="宋体"/>
                <w:color w:val="auto"/>
                <w:kern w:val="0"/>
                <w:sz w:val="18"/>
                <w:szCs w:val="18"/>
                <w:highlight w:val="none"/>
              </w:rPr>
            </w:pPr>
          </w:p>
        </w:tc>
        <w:tc>
          <w:tcPr>
            <w:tcW w:w="2730"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210</w:t>
            </w:r>
            <w:r>
              <w:rPr>
                <w:rFonts w:hint="eastAsia" w:ascii="仿宋_GB2312" w:hAnsi="宋体" w:eastAsia="仿宋_GB2312" w:cs="宋体"/>
                <w:color w:val="auto"/>
                <w:kern w:val="0"/>
                <w:sz w:val="18"/>
                <w:szCs w:val="18"/>
                <w:highlight w:val="none"/>
                <w:lang w:val="en-US" w:eastAsia="zh-CN"/>
              </w:rPr>
              <w:t xml:space="preserve"> </w:t>
            </w:r>
            <w:r>
              <w:rPr>
                <w:rFonts w:hint="eastAsia" w:ascii="仿宋_GB2312" w:hAnsi="宋体" w:eastAsia="仿宋_GB2312" w:cs="宋体"/>
                <w:color w:val="auto"/>
                <w:kern w:val="0"/>
                <w:sz w:val="18"/>
                <w:szCs w:val="18"/>
                <w:highlight w:val="none"/>
              </w:rPr>
              <w:t>卫生健康支出</w:t>
            </w:r>
          </w:p>
        </w:tc>
        <w:tc>
          <w:tcPr>
            <w:tcW w:w="166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23.97</w:t>
            </w:r>
          </w:p>
        </w:tc>
      </w:tr>
      <w:tr>
        <w:tblPrEx>
          <w:tblCellMar>
            <w:top w:w="0" w:type="dxa"/>
            <w:left w:w="108" w:type="dxa"/>
            <w:bottom w:w="0" w:type="dxa"/>
            <w:right w:w="108" w:type="dxa"/>
          </w:tblCellMar>
        </w:tblPrEx>
        <w:trPr>
          <w:trHeight w:val="312" w:hRule="exact"/>
        </w:trPr>
        <w:tc>
          <w:tcPr>
            <w:tcW w:w="3357"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b/>
                <w:bCs/>
                <w:color w:val="auto"/>
                <w:kern w:val="0"/>
                <w:sz w:val="18"/>
                <w:szCs w:val="18"/>
                <w:highlight w:val="none"/>
                <w:shd w:val="clear" w:color="auto" w:fill="auto"/>
              </w:rPr>
            </w:pPr>
            <w:r>
              <w:rPr>
                <w:rFonts w:hint="eastAsia" w:ascii="仿宋_GB2312" w:hAnsi="宋体" w:eastAsia="仿宋_GB2312" w:cs="宋体"/>
                <w:b/>
                <w:bCs/>
                <w:color w:val="auto"/>
                <w:kern w:val="0"/>
                <w:sz w:val="18"/>
                <w:szCs w:val="18"/>
                <w:highlight w:val="none"/>
                <w:shd w:val="clear" w:color="auto" w:fill="auto"/>
              </w:rPr>
              <w:t>4.财政专户核拨</w:t>
            </w:r>
          </w:p>
        </w:tc>
        <w:tc>
          <w:tcPr>
            <w:tcW w:w="1425" w:type="dxa"/>
            <w:tcBorders>
              <w:top w:val="nil"/>
              <w:left w:val="nil"/>
              <w:bottom w:val="single" w:color="auto" w:sz="4" w:space="0"/>
              <w:right w:val="single" w:color="auto" w:sz="4" w:space="0"/>
            </w:tcBorders>
            <w:noWrap w:val="0"/>
            <w:vAlign w:val="bottom"/>
          </w:tcPr>
          <w:p>
            <w:pPr>
              <w:widowControl/>
              <w:spacing w:line="280" w:lineRule="exact"/>
              <w:jc w:val="center"/>
              <w:rPr>
                <w:rFonts w:ascii="仿宋_GB2312" w:hAnsi="宋体" w:eastAsia="仿宋_GB2312" w:cs="宋体"/>
                <w:color w:val="auto"/>
                <w:kern w:val="0"/>
                <w:sz w:val="18"/>
                <w:szCs w:val="18"/>
                <w:highlight w:val="none"/>
              </w:rPr>
            </w:pPr>
          </w:p>
        </w:tc>
        <w:tc>
          <w:tcPr>
            <w:tcW w:w="2730"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211 节能环保支出</w:t>
            </w:r>
          </w:p>
        </w:tc>
        <w:tc>
          <w:tcPr>
            <w:tcW w:w="166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357"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b/>
                <w:bCs/>
                <w:color w:val="auto"/>
                <w:kern w:val="0"/>
                <w:sz w:val="18"/>
                <w:szCs w:val="18"/>
                <w:highlight w:val="none"/>
                <w:shd w:val="clear" w:color="auto" w:fill="auto"/>
              </w:rPr>
            </w:pPr>
            <w:r>
              <w:rPr>
                <w:rFonts w:hint="eastAsia" w:ascii="仿宋_GB2312" w:hAnsi="宋体" w:eastAsia="仿宋_GB2312" w:cs="宋体"/>
                <w:b/>
                <w:bCs/>
                <w:color w:val="auto"/>
                <w:kern w:val="0"/>
                <w:sz w:val="18"/>
                <w:szCs w:val="18"/>
                <w:highlight w:val="none"/>
                <w:shd w:val="clear" w:color="auto" w:fill="auto"/>
              </w:rPr>
              <w:t>5.单位资金</w:t>
            </w:r>
          </w:p>
        </w:tc>
        <w:tc>
          <w:tcPr>
            <w:tcW w:w="1425" w:type="dxa"/>
            <w:tcBorders>
              <w:top w:val="nil"/>
              <w:left w:val="nil"/>
              <w:bottom w:val="single" w:color="auto" w:sz="4" w:space="0"/>
              <w:right w:val="single" w:color="auto" w:sz="4" w:space="0"/>
            </w:tcBorders>
            <w:noWrap w:val="0"/>
            <w:vAlign w:val="bottom"/>
          </w:tcPr>
          <w:p>
            <w:pPr>
              <w:widowControl/>
              <w:spacing w:line="280" w:lineRule="exact"/>
              <w:jc w:val="center"/>
              <w:rPr>
                <w:rFonts w:hint="default" w:ascii="仿宋_GB2312" w:hAnsi="宋体" w:eastAsia="仿宋_GB2312" w:cs="宋体"/>
                <w:b/>
                <w:bCs/>
                <w:color w:val="auto"/>
                <w:kern w:val="0"/>
                <w:sz w:val="18"/>
                <w:szCs w:val="18"/>
                <w:highlight w:val="none"/>
                <w:lang w:val="en-US" w:eastAsia="zh-CN"/>
              </w:rPr>
            </w:pPr>
            <w:r>
              <w:rPr>
                <w:rFonts w:hint="eastAsia" w:ascii="仿宋_GB2312" w:hAnsi="宋体" w:eastAsia="仿宋_GB2312" w:cs="宋体"/>
                <w:b/>
                <w:bCs/>
                <w:color w:val="auto"/>
                <w:kern w:val="0"/>
                <w:sz w:val="18"/>
                <w:szCs w:val="18"/>
                <w:highlight w:val="none"/>
                <w:lang w:val="en-US" w:eastAsia="zh-CN"/>
              </w:rPr>
              <w:t>35.22</w:t>
            </w:r>
          </w:p>
        </w:tc>
        <w:tc>
          <w:tcPr>
            <w:tcW w:w="2730"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212 城乡社区支出</w:t>
            </w:r>
          </w:p>
        </w:tc>
        <w:tc>
          <w:tcPr>
            <w:tcW w:w="166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357"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其中：事业收入</w:t>
            </w:r>
          </w:p>
        </w:tc>
        <w:tc>
          <w:tcPr>
            <w:tcW w:w="1425" w:type="dxa"/>
            <w:tcBorders>
              <w:top w:val="nil"/>
              <w:left w:val="nil"/>
              <w:bottom w:val="single" w:color="auto" w:sz="4" w:space="0"/>
              <w:right w:val="single" w:color="auto" w:sz="4" w:space="0"/>
            </w:tcBorders>
            <w:noWrap w:val="0"/>
            <w:vAlign w:val="bottom"/>
          </w:tcPr>
          <w:p>
            <w:pPr>
              <w:widowControl/>
              <w:spacing w:line="280" w:lineRule="exact"/>
              <w:jc w:val="center"/>
              <w:rPr>
                <w:rFonts w:ascii="仿宋_GB2312" w:hAnsi="宋体" w:eastAsia="仿宋_GB2312" w:cs="宋体"/>
                <w:color w:val="auto"/>
                <w:kern w:val="0"/>
                <w:sz w:val="18"/>
                <w:szCs w:val="18"/>
                <w:highlight w:val="none"/>
              </w:rPr>
            </w:pPr>
          </w:p>
        </w:tc>
        <w:tc>
          <w:tcPr>
            <w:tcW w:w="2730"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213 农林水支出</w:t>
            </w:r>
          </w:p>
        </w:tc>
        <w:tc>
          <w:tcPr>
            <w:tcW w:w="166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357"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上级补助收入</w:t>
            </w:r>
          </w:p>
        </w:tc>
        <w:tc>
          <w:tcPr>
            <w:tcW w:w="1425" w:type="dxa"/>
            <w:tcBorders>
              <w:top w:val="nil"/>
              <w:left w:val="nil"/>
              <w:bottom w:val="single" w:color="auto" w:sz="4" w:space="0"/>
              <w:right w:val="single" w:color="auto" w:sz="4" w:space="0"/>
            </w:tcBorders>
            <w:noWrap w:val="0"/>
            <w:vAlign w:val="bottom"/>
          </w:tcPr>
          <w:p>
            <w:pPr>
              <w:widowControl/>
              <w:spacing w:line="280" w:lineRule="exact"/>
              <w:jc w:val="center"/>
              <w:rPr>
                <w:rFonts w:ascii="仿宋_GB2312" w:hAnsi="宋体" w:eastAsia="仿宋_GB2312" w:cs="宋体"/>
                <w:color w:val="auto"/>
                <w:kern w:val="0"/>
                <w:sz w:val="18"/>
                <w:szCs w:val="18"/>
                <w:highlight w:val="none"/>
              </w:rPr>
            </w:pPr>
          </w:p>
        </w:tc>
        <w:tc>
          <w:tcPr>
            <w:tcW w:w="2730"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214 交通运输支出</w:t>
            </w:r>
          </w:p>
        </w:tc>
        <w:tc>
          <w:tcPr>
            <w:tcW w:w="166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357"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附属单位上缴收入</w:t>
            </w:r>
          </w:p>
        </w:tc>
        <w:tc>
          <w:tcPr>
            <w:tcW w:w="1425" w:type="dxa"/>
            <w:tcBorders>
              <w:top w:val="nil"/>
              <w:left w:val="nil"/>
              <w:bottom w:val="single" w:color="auto" w:sz="4" w:space="0"/>
              <w:right w:val="single" w:color="auto" w:sz="4" w:space="0"/>
            </w:tcBorders>
            <w:noWrap w:val="0"/>
            <w:vAlign w:val="bottom"/>
          </w:tcPr>
          <w:p>
            <w:pPr>
              <w:widowControl/>
              <w:spacing w:line="280" w:lineRule="exact"/>
              <w:jc w:val="center"/>
              <w:rPr>
                <w:rFonts w:ascii="仿宋_GB2312" w:hAnsi="宋体" w:eastAsia="仿宋_GB2312" w:cs="宋体"/>
                <w:color w:val="auto"/>
                <w:kern w:val="0"/>
                <w:sz w:val="18"/>
                <w:szCs w:val="18"/>
                <w:highlight w:val="none"/>
              </w:rPr>
            </w:pPr>
          </w:p>
        </w:tc>
        <w:tc>
          <w:tcPr>
            <w:tcW w:w="2730"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215 资源勘探</w:t>
            </w:r>
            <w:r>
              <w:rPr>
                <w:rFonts w:hint="eastAsia" w:ascii="仿宋_GB2312" w:hAnsi="宋体" w:eastAsia="仿宋_GB2312" w:cs="宋体"/>
                <w:color w:val="auto"/>
                <w:kern w:val="0"/>
                <w:sz w:val="18"/>
                <w:szCs w:val="18"/>
                <w:highlight w:val="none"/>
                <w:lang w:val="en-US" w:eastAsia="zh-Hans"/>
              </w:rPr>
              <w:t>工业</w:t>
            </w:r>
            <w:r>
              <w:rPr>
                <w:rFonts w:hint="eastAsia" w:ascii="仿宋_GB2312" w:hAnsi="宋体" w:eastAsia="仿宋_GB2312" w:cs="宋体"/>
                <w:color w:val="auto"/>
                <w:kern w:val="0"/>
                <w:sz w:val="18"/>
                <w:szCs w:val="18"/>
                <w:highlight w:val="none"/>
              </w:rPr>
              <w:t>信息等支出</w:t>
            </w:r>
          </w:p>
        </w:tc>
        <w:tc>
          <w:tcPr>
            <w:tcW w:w="166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280" w:hRule="exact"/>
        </w:trPr>
        <w:tc>
          <w:tcPr>
            <w:tcW w:w="3357"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事业单位经营收入</w:t>
            </w:r>
          </w:p>
        </w:tc>
        <w:tc>
          <w:tcPr>
            <w:tcW w:w="1425" w:type="dxa"/>
            <w:tcBorders>
              <w:top w:val="nil"/>
              <w:left w:val="nil"/>
              <w:bottom w:val="single" w:color="auto" w:sz="4" w:space="0"/>
              <w:right w:val="single" w:color="auto" w:sz="4" w:space="0"/>
            </w:tcBorders>
            <w:noWrap w:val="0"/>
            <w:vAlign w:val="bottom"/>
          </w:tcPr>
          <w:p>
            <w:pPr>
              <w:widowControl/>
              <w:spacing w:line="280" w:lineRule="exact"/>
              <w:jc w:val="center"/>
              <w:rPr>
                <w:rFonts w:ascii="仿宋_GB2312" w:hAnsi="宋体" w:eastAsia="仿宋_GB2312" w:cs="宋体"/>
                <w:color w:val="auto"/>
                <w:kern w:val="0"/>
                <w:sz w:val="18"/>
                <w:szCs w:val="18"/>
                <w:highlight w:val="none"/>
              </w:rPr>
            </w:pPr>
          </w:p>
        </w:tc>
        <w:tc>
          <w:tcPr>
            <w:tcW w:w="2730"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216 商业服务业等支出</w:t>
            </w:r>
          </w:p>
        </w:tc>
        <w:tc>
          <w:tcPr>
            <w:tcW w:w="166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357"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其他收入</w:t>
            </w:r>
          </w:p>
        </w:tc>
        <w:tc>
          <w:tcPr>
            <w:tcW w:w="1425" w:type="dxa"/>
            <w:tcBorders>
              <w:top w:val="nil"/>
              <w:left w:val="nil"/>
              <w:bottom w:val="single" w:color="auto" w:sz="4" w:space="0"/>
              <w:right w:val="single" w:color="auto" w:sz="4" w:space="0"/>
            </w:tcBorders>
            <w:noWrap w:val="0"/>
            <w:vAlign w:val="bottom"/>
          </w:tcPr>
          <w:p>
            <w:pPr>
              <w:widowControl/>
              <w:spacing w:line="280" w:lineRule="exact"/>
              <w:jc w:val="center"/>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35.22</w:t>
            </w:r>
          </w:p>
        </w:tc>
        <w:tc>
          <w:tcPr>
            <w:tcW w:w="2730"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217 金融支出</w:t>
            </w:r>
          </w:p>
        </w:tc>
        <w:tc>
          <w:tcPr>
            <w:tcW w:w="166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357"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b/>
                <w:bCs/>
                <w:color w:val="auto"/>
                <w:kern w:val="0"/>
                <w:sz w:val="18"/>
                <w:szCs w:val="18"/>
                <w:highlight w:val="none"/>
                <w:shd w:val="clear" w:color="auto" w:fill="auto"/>
              </w:rPr>
            </w:pPr>
            <w:r>
              <w:rPr>
                <w:rFonts w:hint="eastAsia" w:ascii="仿宋_GB2312" w:hAnsi="宋体" w:eastAsia="仿宋_GB2312" w:cs="宋体"/>
                <w:b/>
                <w:bCs/>
                <w:color w:val="auto"/>
                <w:kern w:val="0"/>
                <w:sz w:val="18"/>
                <w:szCs w:val="18"/>
                <w:highlight w:val="none"/>
                <w:shd w:val="clear" w:color="auto" w:fill="auto"/>
              </w:rPr>
              <w:t>二、上年结转结余</w:t>
            </w:r>
          </w:p>
        </w:tc>
        <w:tc>
          <w:tcPr>
            <w:tcW w:w="1425" w:type="dxa"/>
            <w:tcBorders>
              <w:top w:val="nil"/>
              <w:left w:val="nil"/>
              <w:bottom w:val="single" w:color="auto" w:sz="4" w:space="0"/>
              <w:right w:val="single" w:color="auto" w:sz="4" w:space="0"/>
            </w:tcBorders>
            <w:noWrap w:val="0"/>
            <w:vAlign w:val="bottom"/>
          </w:tcPr>
          <w:p>
            <w:pPr>
              <w:widowControl/>
              <w:spacing w:line="280" w:lineRule="exact"/>
              <w:jc w:val="center"/>
              <w:rPr>
                <w:rFonts w:hint="default" w:ascii="仿宋_GB2312" w:hAnsi="宋体" w:eastAsia="仿宋_GB2312" w:cs="宋体"/>
                <w:b/>
                <w:bCs/>
                <w:color w:val="auto"/>
                <w:kern w:val="0"/>
                <w:sz w:val="18"/>
                <w:szCs w:val="18"/>
                <w:highlight w:val="none"/>
                <w:lang w:val="en-US" w:eastAsia="zh-CN"/>
              </w:rPr>
            </w:pPr>
            <w:r>
              <w:rPr>
                <w:rFonts w:hint="eastAsia" w:ascii="仿宋_GB2312" w:hAnsi="宋体" w:eastAsia="仿宋_GB2312" w:cs="宋体"/>
                <w:b/>
                <w:bCs/>
                <w:color w:val="auto"/>
                <w:kern w:val="0"/>
                <w:sz w:val="18"/>
                <w:szCs w:val="18"/>
                <w:highlight w:val="none"/>
                <w:lang w:val="en-US" w:eastAsia="zh-CN"/>
              </w:rPr>
              <w:t>10.6</w:t>
            </w:r>
          </w:p>
        </w:tc>
        <w:tc>
          <w:tcPr>
            <w:tcW w:w="2730"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219 援助其他地区支出</w:t>
            </w:r>
          </w:p>
        </w:tc>
        <w:tc>
          <w:tcPr>
            <w:tcW w:w="166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357"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b/>
                <w:bCs/>
                <w:color w:val="auto"/>
                <w:kern w:val="0"/>
                <w:sz w:val="18"/>
                <w:szCs w:val="18"/>
                <w:highlight w:val="none"/>
                <w:shd w:val="clear" w:color="auto" w:fill="auto"/>
              </w:rPr>
            </w:pPr>
            <w:r>
              <w:rPr>
                <w:rFonts w:hint="eastAsia" w:ascii="仿宋_GB2312" w:hAnsi="宋体" w:eastAsia="仿宋_GB2312" w:cs="宋体"/>
                <w:b/>
                <w:bCs/>
                <w:color w:val="auto"/>
                <w:kern w:val="0"/>
                <w:sz w:val="18"/>
                <w:szCs w:val="18"/>
                <w:highlight w:val="none"/>
                <w:shd w:val="clear" w:color="auto" w:fill="auto"/>
              </w:rPr>
              <w:t>1.财政拨款结转</w:t>
            </w:r>
          </w:p>
        </w:tc>
        <w:tc>
          <w:tcPr>
            <w:tcW w:w="1425" w:type="dxa"/>
            <w:tcBorders>
              <w:top w:val="nil"/>
              <w:left w:val="nil"/>
              <w:bottom w:val="single" w:color="auto" w:sz="4" w:space="0"/>
              <w:right w:val="single" w:color="auto" w:sz="4" w:space="0"/>
            </w:tcBorders>
            <w:noWrap w:val="0"/>
            <w:vAlign w:val="bottom"/>
          </w:tcPr>
          <w:p>
            <w:pPr>
              <w:widowControl/>
              <w:spacing w:line="280" w:lineRule="exact"/>
              <w:jc w:val="center"/>
              <w:rPr>
                <w:rFonts w:hint="default" w:ascii="仿宋_GB2312" w:hAnsi="宋体" w:eastAsia="仿宋_GB2312" w:cs="宋体"/>
                <w:b/>
                <w:bCs/>
                <w:color w:val="auto"/>
                <w:kern w:val="0"/>
                <w:sz w:val="18"/>
                <w:szCs w:val="18"/>
                <w:highlight w:val="none"/>
                <w:lang w:val="en-US" w:eastAsia="zh-CN"/>
              </w:rPr>
            </w:pPr>
            <w:r>
              <w:rPr>
                <w:rFonts w:hint="eastAsia" w:ascii="仿宋_GB2312" w:hAnsi="宋体" w:eastAsia="仿宋_GB2312" w:cs="宋体"/>
                <w:b/>
                <w:bCs/>
                <w:color w:val="auto"/>
                <w:kern w:val="0"/>
                <w:sz w:val="18"/>
                <w:szCs w:val="18"/>
                <w:highlight w:val="none"/>
                <w:lang w:val="en-US" w:eastAsia="zh-CN"/>
              </w:rPr>
              <w:t>10.6</w:t>
            </w:r>
          </w:p>
        </w:tc>
        <w:tc>
          <w:tcPr>
            <w:tcW w:w="2730"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220 自然资源海洋气象等支出</w:t>
            </w:r>
          </w:p>
        </w:tc>
        <w:tc>
          <w:tcPr>
            <w:tcW w:w="166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357"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其中：一般公共预算拨款</w:t>
            </w:r>
          </w:p>
        </w:tc>
        <w:tc>
          <w:tcPr>
            <w:tcW w:w="1425" w:type="dxa"/>
            <w:tcBorders>
              <w:top w:val="nil"/>
              <w:left w:val="nil"/>
              <w:bottom w:val="single" w:color="auto" w:sz="4" w:space="0"/>
              <w:right w:val="single" w:color="auto" w:sz="4" w:space="0"/>
            </w:tcBorders>
            <w:noWrap w:val="0"/>
            <w:vAlign w:val="bottom"/>
          </w:tcPr>
          <w:p>
            <w:pPr>
              <w:widowControl/>
              <w:spacing w:line="280" w:lineRule="exact"/>
              <w:jc w:val="center"/>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10.6</w:t>
            </w:r>
          </w:p>
        </w:tc>
        <w:tc>
          <w:tcPr>
            <w:tcW w:w="2730"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221 住房保障支出</w:t>
            </w:r>
          </w:p>
        </w:tc>
        <w:tc>
          <w:tcPr>
            <w:tcW w:w="166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26.26</w:t>
            </w:r>
          </w:p>
        </w:tc>
      </w:tr>
      <w:tr>
        <w:tblPrEx>
          <w:tblCellMar>
            <w:top w:w="0" w:type="dxa"/>
            <w:left w:w="108" w:type="dxa"/>
            <w:bottom w:w="0" w:type="dxa"/>
            <w:right w:w="108" w:type="dxa"/>
          </w:tblCellMar>
        </w:tblPrEx>
        <w:trPr>
          <w:trHeight w:val="312" w:hRule="exact"/>
        </w:trPr>
        <w:tc>
          <w:tcPr>
            <w:tcW w:w="3357"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p>
        </w:tc>
        <w:tc>
          <w:tcPr>
            <w:tcW w:w="1425" w:type="dxa"/>
            <w:tcBorders>
              <w:top w:val="nil"/>
              <w:left w:val="nil"/>
              <w:bottom w:val="single" w:color="auto" w:sz="4" w:space="0"/>
              <w:right w:val="single" w:color="auto" w:sz="4" w:space="0"/>
            </w:tcBorders>
            <w:noWrap w:val="0"/>
            <w:vAlign w:val="bottom"/>
          </w:tcPr>
          <w:p>
            <w:pPr>
              <w:widowControl/>
              <w:spacing w:line="280" w:lineRule="exact"/>
              <w:jc w:val="center"/>
              <w:rPr>
                <w:rFonts w:ascii="仿宋_GB2312" w:hAnsi="宋体" w:eastAsia="仿宋_GB2312" w:cs="宋体"/>
                <w:color w:val="auto"/>
                <w:kern w:val="0"/>
                <w:sz w:val="18"/>
                <w:szCs w:val="18"/>
                <w:highlight w:val="none"/>
              </w:rPr>
            </w:pPr>
          </w:p>
        </w:tc>
        <w:tc>
          <w:tcPr>
            <w:tcW w:w="2730"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222 粮油物资储备支出</w:t>
            </w:r>
          </w:p>
        </w:tc>
        <w:tc>
          <w:tcPr>
            <w:tcW w:w="166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357"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国有资本经营预算拨款</w:t>
            </w:r>
          </w:p>
        </w:tc>
        <w:tc>
          <w:tcPr>
            <w:tcW w:w="1425" w:type="dxa"/>
            <w:tcBorders>
              <w:top w:val="nil"/>
              <w:left w:val="nil"/>
              <w:bottom w:val="single" w:color="auto" w:sz="4" w:space="0"/>
              <w:right w:val="single" w:color="auto" w:sz="4" w:space="0"/>
            </w:tcBorders>
            <w:noWrap w:val="0"/>
            <w:vAlign w:val="bottom"/>
          </w:tcPr>
          <w:p>
            <w:pPr>
              <w:widowControl/>
              <w:spacing w:line="280" w:lineRule="exact"/>
              <w:jc w:val="center"/>
              <w:rPr>
                <w:rFonts w:hint="eastAsia" w:ascii="仿宋_GB2312" w:hAnsi="宋体" w:eastAsia="仿宋_GB2312" w:cs="宋体"/>
                <w:color w:val="auto"/>
                <w:kern w:val="0"/>
                <w:sz w:val="18"/>
                <w:szCs w:val="18"/>
                <w:highlight w:val="none"/>
              </w:rPr>
            </w:pPr>
          </w:p>
        </w:tc>
        <w:tc>
          <w:tcPr>
            <w:tcW w:w="2730"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223 国有资本经营预算支出</w:t>
            </w:r>
          </w:p>
        </w:tc>
        <w:tc>
          <w:tcPr>
            <w:tcW w:w="166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357"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b/>
                <w:bCs/>
                <w:color w:val="auto"/>
                <w:kern w:val="0"/>
                <w:sz w:val="18"/>
                <w:szCs w:val="18"/>
                <w:highlight w:val="none"/>
                <w:shd w:val="clear" w:color="auto" w:fill="auto"/>
              </w:rPr>
              <w:t>2.非财政拨款结余</w:t>
            </w:r>
          </w:p>
        </w:tc>
        <w:tc>
          <w:tcPr>
            <w:tcW w:w="1425" w:type="dxa"/>
            <w:tcBorders>
              <w:top w:val="nil"/>
              <w:left w:val="nil"/>
              <w:bottom w:val="single" w:color="auto" w:sz="4" w:space="0"/>
              <w:right w:val="single" w:color="auto" w:sz="4" w:space="0"/>
            </w:tcBorders>
            <w:noWrap w:val="0"/>
            <w:vAlign w:val="bottom"/>
          </w:tcPr>
          <w:p>
            <w:pPr>
              <w:widowControl/>
              <w:spacing w:line="280" w:lineRule="exact"/>
              <w:jc w:val="center"/>
              <w:rPr>
                <w:rFonts w:hint="default" w:ascii="仿宋_GB2312" w:hAnsi="宋体" w:eastAsia="仿宋_GB2312" w:cs="宋体"/>
                <w:color w:val="auto"/>
                <w:kern w:val="0"/>
                <w:sz w:val="18"/>
                <w:szCs w:val="18"/>
                <w:highlight w:val="none"/>
                <w:lang w:val="en-US" w:eastAsia="zh-CN"/>
              </w:rPr>
            </w:pPr>
          </w:p>
        </w:tc>
        <w:tc>
          <w:tcPr>
            <w:tcW w:w="2730"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224</w:t>
            </w:r>
            <w:r>
              <w:rPr>
                <w:rFonts w:hint="eastAsia" w:ascii="仿宋_GB2312" w:hAnsi="宋体" w:eastAsia="仿宋_GB2312" w:cs="宋体"/>
                <w:color w:val="auto"/>
                <w:kern w:val="0"/>
                <w:sz w:val="18"/>
                <w:szCs w:val="18"/>
                <w:highlight w:val="none"/>
                <w:lang w:val="en-US" w:eastAsia="zh-CN"/>
              </w:rPr>
              <w:t xml:space="preserve"> </w:t>
            </w:r>
            <w:r>
              <w:rPr>
                <w:rFonts w:hint="eastAsia" w:ascii="仿宋_GB2312" w:hAnsi="宋体" w:eastAsia="仿宋_GB2312" w:cs="宋体"/>
                <w:color w:val="auto"/>
                <w:kern w:val="0"/>
                <w:sz w:val="18"/>
                <w:szCs w:val="18"/>
                <w:highlight w:val="none"/>
              </w:rPr>
              <w:t>灾害防治及应急管理支出</w:t>
            </w:r>
          </w:p>
        </w:tc>
        <w:tc>
          <w:tcPr>
            <w:tcW w:w="166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357"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其中：财政专户核拨</w:t>
            </w:r>
          </w:p>
        </w:tc>
        <w:tc>
          <w:tcPr>
            <w:tcW w:w="1425" w:type="dxa"/>
            <w:tcBorders>
              <w:top w:val="nil"/>
              <w:left w:val="nil"/>
              <w:bottom w:val="single" w:color="auto" w:sz="4" w:space="0"/>
              <w:right w:val="single" w:color="auto" w:sz="4" w:space="0"/>
            </w:tcBorders>
            <w:noWrap w:val="0"/>
            <w:vAlign w:val="bottom"/>
          </w:tcPr>
          <w:p>
            <w:pPr>
              <w:widowControl/>
              <w:spacing w:line="280" w:lineRule="exact"/>
              <w:jc w:val="center"/>
              <w:rPr>
                <w:rFonts w:hint="eastAsia" w:ascii="仿宋_GB2312" w:hAnsi="宋体" w:eastAsia="仿宋_GB2312" w:cs="宋体"/>
                <w:color w:val="auto"/>
                <w:kern w:val="0"/>
                <w:sz w:val="18"/>
                <w:szCs w:val="18"/>
                <w:highlight w:val="none"/>
              </w:rPr>
            </w:pPr>
          </w:p>
        </w:tc>
        <w:tc>
          <w:tcPr>
            <w:tcW w:w="2730"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227 预备费</w:t>
            </w:r>
          </w:p>
        </w:tc>
        <w:tc>
          <w:tcPr>
            <w:tcW w:w="166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357"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单位资金</w:t>
            </w:r>
          </w:p>
        </w:tc>
        <w:tc>
          <w:tcPr>
            <w:tcW w:w="1425" w:type="dxa"/>
            <w:tcBorders>
              <w:top w:val="nil"/>
              <w:left w:val="nil"/>
              <w:bottom w:val="single" w:color="auto" w:sz="4" w:space="0"/>
              <w:right w:val="single" w:color="auto" w:sz="4" w:space="0"/>
            </w:tcBorders>
            <w:noWrap w:val="0"/>
            <w:vAlign w:val="bottom"/>
          </w:tcPr>
          <w:p>
            <w:pPr>
              <w:widowControl/>
              <w:spacing w:line="280" w:lineRule="exact"/>
              <w:jc w:val="center"/>
              <w:rPr>
                <w:rFonts w:ascii="仿宋_GB2312" w:hAnsi="宋体" w:eastAsia="仿宋_GB2312" w:cs="宋体"/>
                <w:color w:val="auto"/>
                <w:kern w:val="0"/>
                <w:sz w:val="18"/>
                <w:szCs w:val="18"/>
                <w:highlight w:val="none"/>
              </w:rPr>
            </w:pPr>
          </w:p>
        </w:tc>
        <w:tc>
          <w:tcPr>
            <w:tcW w:w="2730"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229 其他支出</w:t>
            </w:r>
          </w:p>
        </w:tc>
        <w:tc>
          <w:tcPr>
            <w:tcW w:w="166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296" w:hRule="exact"/>
        </w:trPr>
        <w:tc>
          <w:tcPr>
            <w:tcW w:w="3357"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p>
        </w:tc>
        <w:tc>
          <w:tcPr>
            <w:tcW w:w="1425" w:type="dxa"/>
            <w:tcBorders>
              <w:top w:val="nil"/>
              <w:left w:val="nil"/>
              <w:bottom w:val="single" w:color="auto" w:sz="4" w:space="0"/>
              <w:right w:val="single" w:color="auto" w:sz="4" w:space="0"/>
            </w:tcBorders>
            <w:noWrap w:val="0"/>
            <w:vAlign w:val="bottom"/>
          </w:tcPr>
          <w:p>
            <w:pPr>
              <w:widowControl/>
              <w:spacing w:line="280" w:lineRule="exact"/>
              <w:jc w:val="center"/>
              <w:rPr>
                <w:rFonts w:hint="eastAsia" w:ascii="仿宋_GB2312" w:hAnsi="宋体" w:eastAsia="仿宋_GB2312" w:cs="宋体"/>
                <w:color w:val="auto"/>
                <w:kern w:val="0"/>
                <w:sz w:val="18"/>
                <w:szCs w:val="18"/>
                <w:highlight w:val="none"/>
              </w:rPr>
            </w:pPr>
          </w:p>
        </w:tc>
        <w:tc>
          <w:tcPr>
            <w:tcW w:w="2730"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230</w:t>
            </w:r>
            <w:r>
              <w:rPr>
                <w:rFonts w:hint="eastAsia" w:ascii="仿宋_GB2312" w:hAnsi="宋体" w:eastAsia="仿宋_GB2312" w:cs="宋体"/>
                <w:color w:val="auto"/>
                <w:kern w:val="0"/>
                <w:sz w:val="18"/>
                <w:szCs w:val="18"/>
                <w:highlight w:val="none"/>
                <w:lang w:val="en-US" w:eastAsia="zh-CN"/>
              </w:rPr>
              <w:t xml:space="preserve"> </w:t>
            </w:r>
            <w:r>
              <w:rPr>
                <w:rFonts w:hint="eastAsia" w:ascii="仿宋_GB2312" w:hAnsi="宋体" w:eastAsia="仿宋_GB2312" w:cs="宋体"/>
                <w:color w:val="auto"/>
                <w:kern w:val="0"/>
                <w:sz w:val="18"/>
                <w:szCs w:val="18"/>
                <w:highlight w:val="none"/>
              </w:rPr>
              <w:t>转移性支出</w:t>
            </w:r>
          </w:p>
        </w:tc>
        <w:tc>
          <w:tcPr>
            <w:tcW w:w="166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20" w:hRule="exact"/>
        </w:trPr>
        <w:tc>
          <w:tcPr>
            <w:tcW w:w="3357"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1425" w:type="dxa"/>
            <w:tcBorders>
              <w:top w:val="nil"/>
              <w:left w:val="nil"/>
              <w:bottom w:val="single" w:color="auto" w:sz="4" w:space="0"/>
              <w:right w:val="single" w:color="auto" w:sz="4" w:space="0"/>
            </w:tcBorders>
            <w:noWrap w:val="0"/>
            <w:vAlign w:val="bottom"/>
          </w:tcPr>
          <w:p>
            <w:pPr>
              <w:widowControl/>
              <w:spacing w:line="280" w:lineRule="exact"/>
              <w:jc w:val="center"/>
              <w:rPr>
                <w:rFonts w:ascii="仿宋_GB2312" w:hAnsi="宋体" w:eastAsia="仿宋_GB2312" w:cs="宋体"/>
                <w:color w:val="auto"/>
                <w:kern w:val="0"/>
                <w:sz w:val="18"/>
                <w:szCs w:val="18"/>
                <w:highlight w:val="none"/>
              </w:rPr>
            </w:pPr>
          </w:p>
        </w:tc>
        <w:tc>
          <w:tcPr>
            <w:tcW w:w="2730"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231 债务还本支出</w:t>
            </w:r>
          </w:p>
        </w:tc>
        <w:tc>
          <w:tcPr>
            <w:tcW w:w="166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357"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425" w:type="dxa"/>
            <w:tcBorders>
              <w:top w:val="nil"/>
              <w:left w:val="nil"/>
              <w:bottom w:val="single" w:color="auto" w:sz="4" w:space="0"/>
              <w:right w:val="single" w:color="auto" w:sz="4" w:space="0"/>
            </w:tcBorders>
            <w:noWrap w:val="0"/>
            <w:vAlign w:val="bottom"/>
          </w:tcPr>
          <w:p>
            <w:pPr>
              <w:widowControl/>
              <w:spacing w:line="280" w:lineRule="exact"/>
              <w:jc w:val="center"/>
              <w:rPr>
                <w:rFonts w:ascii="仿宋_GB2312" w:hAnsi="宋体" w:eastAsia="仿宋_GB2312" w:cs="宋体"/>
                <w:color w:val="auto"/>
                <w:kern w:val="0"/>
                <w:sz w:val="18"/>
                <w:szCs w:val="18"/>
                <w:highlight w:val="none"/>
              </w:rPr>
            </w:pPr>
          </w:p>
        </w:tc>
        <w:tc>
          <w:tcPr>
            <w:tcW w:w="2730"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232 债务付息支出</w:t>
            </w:r>
          </w:p>
        </w:tc>
        <w:tc>
          <w:tcPr>
            <w:tcW w:w="166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357"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425" w:type="dxa"/>
            <w:tcBorders>
              <w:top w:val="nil"/>
              <w:left w:val="nil"/>
              <w:bottom w:val="single" w:color="auto" w:sz="4" w:space="0"/>
              <w:right w:val="single" w:color="auto" w:sz="4" w:space="0"/>
            </w:tcBorders>
            <w:noWrap w:val="0"/>
            <w:vAlign w:val="bottom"/>
          </w:tcPr>
          <w:p>
            <w:pPr>
              <w:widowControl/>
              <w:spacing w:line="280" w:lineRule="exact"/>
              <w:jc w:val="center"/>
              <w:rPr>
                <w:rFonts w:ascii="仿宋_GB2312" w:hAnsi="宋体" w:eastAsia="仿宋_GB2312" w:cs="宋体"/>
                <w:color w:val="auto"/>
                <w:kern w:val="0"/>
                <w:sz w:val="18"/>
                <w:szCs w:val="18"/>
                <w:highlight w:val="none"/>
              </w:rPr>
            </w:pPr>
          </w:p>
        </w:tc>
        <w:tc>
          <w:tcPr>
            <w:tcW w:w="2730"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166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357" w:type="dxa"/>
            <w:tcBorders>
              <w:top w:val="nil"/>
              <w:left w:val="single" w:color="auto" w:sz="4" w:space="0"/>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p>
        </w:tc>
        <w:tc>
          <w:tcPr>
            <w:tcW w:w="142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p>
        </w:tc>
        <w:tc>
          <w:tcPr>
            <w:tcW w:w="2730"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xml:space="preserve">                    </w:t>
            </w:r>
          </w:p>
        </w:tc>
        <w:tc>
          <w:tcPr>
            <w:tcW w:w="166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357" w:type="dxa"/>
            <w:tcBorders>
              <w:top w:val="nil"/>
              <w:left w:val="single" w:color="auto" w:sz="4" w:space="0"/>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142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18"/>
                <w:szCs w:val="18"/>
                <w:highlight w:val="none"/>
              </w:rPr>
            </w:pPr>
          </w:p>
        </w:tc>
        <w:tc>
          <w:tcPr>
            <w:tcW w:w="2730" w:type="dxa"/>
            <w:tcBorders>
              <w:top w:val="nil"/>
              <w:left w:val="nil"/>
              <w:bottom w:val="single" w:color="auto" w:sz="4" w:space="0"/>
              <w:right w:val="single" w:color="auto" w:sz="4" w:space="0"/>
            </w:tcBorders>
            <w:noWrap w:val="0"/>
            <w:vAlign w:val="center"/>
          </w:tcPr>
          <w:p>
            <w:pPr>
              <w:widowControl/>
              <w:spacing w:line="280" w:lineRule="exact"/>
              <w:jc w:val="left"/>
              <w:textAlignment w:val="center"/>
              <w:rPr>
                <w:rFonts w:hint="eastAsia" w:ascii="仿宋_GB2312" w:hAnsi="宋体" w:eastAsia="仿宋_GB2312" w:cs="宋体"/>
                <w:color w:val="auto"/>
                <w:kern w:val="0"/>
                <w:sz w:val="18"/>
                <w:szCs w:val="18"/>
                <w:highlight w:val="none"/>
                <w:lang w:bidi="ar"/>
              </w:rPr>
            </w:pPr>
          </w:p>
        </w:tc>
        <w:tc>
          <w:tcPr>
            <w:tcW w:w="166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65" w:hRule="atLeast"/>
        </w:trPr>
        <w:tc>
          <w:tcPr>
            <w:tcW w:w="3357" w:type="dxa"/>
            <w:tcBorders>
              <w:top w:val="nil"/>
              <w:left w:val="single" w:color="auto" w:sz="4" w:space="0"/>
              <w:bottom w:val="single" w:color="auto" w:sz="4" w:space="0"/>
              <w:right w:val="nil"/>
            </w:tcBorders>
            <w:noWrap w:val="0"/>
            <w:vAlign w:val="center"/>
          </w:tcPr>
          <w:p>
            <w:pPr>
              <w:widowControl/>
              <w:spacing w:line="280" w:lineRule="exact"/>
              <w:jc w:val="center"/>
              <w:rPr>
                <w:rFonts w:ascii="仿宋_GB2312" w:hAnsi="宋体" w:eastAsia="仿宋_GB2312" w:cs="宋体"/>
                <w:b/>
                <w:bCs/>
                <w:color w:val="auto"/>
                <w:kern w:val="0"/>
                <w:sz w:val="18"/>
                <w:szCs w:val="18"/>
                <w:highlight w:val="none"/>
              </w:rPr>
            </w:pPr>
            <w:r>
              <w:rPr>
                <w:rFonts w:hint="eastAsia" w:ascii="仿宋_GB2312" w:hAnsi="宋体" w:eastAsia="仿宋_GB2312" w:cs="宋体"/>
                <w:b/>
                <w:bCs/>
                <w:color w:val="auto"/>
                <w:kern w:val="0"/>
                <w:sz w:val="18"/>
                <w:szCs w:val="18"/>
                <w:highlight w:val="none"/>
              </w:rPr>
              <w:t>收  入  总  计</w:t>
            </w:r>
          </w:p>
        </w:tc>
        <w:tc>
          <w:tcPr>
            <w:tcW w:w="142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仿宋_GB2312" w:hAnsi="宋体" w:eastAsia="仿宋_GB2312" w:cs="宋体"/>
                <w:b/>
                <w:bCs/>
                <w:color w:val="auto"/>
                <w:kern w:val="0"/>
                <w:sz w:val="18"/>
                <w:szCs w:val="18"/>
                <w:highlight w:val="none"/>
                <w:lang w:val="en-US" w:eastAsia="zh-CN"/>
              </w:rPr>
            </w:pPr>
            <w:r>
              <w:rPr>
                <w:rFonts w:hint="eastAsia" w:ascii="仿宋_GB2312" w:hAnsi="宋体" w:eastAsia="仿宋_GB2312" w:cs="宋体"/>
                <w:b/>
                <w:bCs/>
                <w:color w:val="auto"/>
                <w:kern w:val="0"/>
                <w:sz w:val="18"/>
                <w:szCs w:val="18"/>
                <w:highlight w:val="none"/>
                <w:lang w:val="en-US" w:eastAsia="zh-CN"/>
              </w:rPr>
              <w:t>765.13</w:t>
            </w:r>
          </w:p>
        </w:tc>
        <w:tc>
          <w:tcPr>
            <w:tcW w:w="2730" w:type="dxa"/>
            <w:tcBorders>
              <w:top w:val="nil"/>
              <w:left w:val="nil"/>
              <w:bottom w:val="single" w:color="auto" w:sz="4" w:space="0"/>
              <w:right w:val="nil"/>
            </w:tcBorders>
            <w:noWrap w:val="0"/>
            <w:vAlign w:val="center"/>
          </w:tcPr>
          <w:p>
            <w:pPr>
              <w:widowControl/>
              <w:spacing w:line="280" w:lineRule="exact"/>
              <w:jc w:val="center"/>
              <w:rPr>
                <w:rFonts w:ascii="仿宋_GB2312" w:hAnsi="宋体" w:eastAsia="仿宋_GB2312" w:cs="宋体"/>
                <w:b/>
                <w:bCs/>
                <w:color w:val="auto"/>
                <w:kern w:val="0"/>
                <w:sz w:val="18"/>
                <w:szCs w:val="18"/>
                <w:highlight w:val="none"/>
              </w:rPr>
            </w:pPr>
            <w:r>
              <w:rPr>
                <w:rFonts w:hint="eastAsia" w:ascii="仿宋_GB2312" w:hAnsi="宋体" w:eastAsia="仿宋_GB2312" w:cs="宋体"/>
                <w:b/>
                <w:bCs/>
                <w:color w:val="auto"/>
                <w:kern w:val="0"/>
                <w:sz w:val="18"/>
                <w:szCs w:val="18"/>
                <w:highlight w:val="none"/>
              </w:rPr>
              <w:t>支  出  总  计</w:t>
            </w:r>
          </w:p>
        </w:tc>
        <w:tc>
          <w:tcPr>
            <w:tcW w:w="166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r>
              <w:rPr>
                <w:rFonts w:hint="eastAsia" w:ascii="仿宋_GB2312" w:hAnsi="宋体" w:eastAsia="仿宋_GB2312" w:cs="宋体"/>
                <w:b/>
                <w:bCs/>
                <w:color w:val="auto"/>
                <w:kern w:val="0"/>
                <w:sz w:val="18"/>
                <w:szCs w:val="18"/>
                <w:highlight w:val="none"/>
                <w:lang w:val="en-US" w:eastAsia="zh-CN"/>
              </w:rPr>
              <w:t>765.13</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sectPr>
          <w:footerReference r:id="rId4" w:type="default"/>
          <w:pgSz w:w="11906" w:h="16838"/>
          <w:pgMar w:top="2098" w:right="1531" w:bottom="1984" w:left="1531"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表2</w:t>
      </w:r>
    </w:p>
    <w:p>
      <w:pPr>
        <w:keepNext w:val="0"/>
        <w:keepLines w:val="0"/>
        <w:pageBreakBefore w:val="0"/>
        <w:widowControl/>
        <w:kinsoku/>
        <w:wordWrap/>
        <w:overflowPunct/>
        <w:topLinePunct w:val="0"/>
        <w:autoSpaceDE/>
        <w:autoSpaceDN/>
        <w:bidi w:val="0"/>
        <w:adjustRightInd/>
        <w:snapToGrid/>
        <w:spacing w:line="440" w:lineRule="exact"/>
        <w:jc w:val="center"/>
        <w:textAlignment w:val="auto"/>
        <w:outlineLvl w:val="1"/>
        <w:rPr>
          <w:rFonts w:hint="eastAsia" w:ascii="黑体" w:hAnsi="黑体" w:eastAsia="黑体" w:cs="黑体"/>
          <w:b/>
          <w:color w:val="auto"/>
          <w:kern w:val="0"/>
          <w:sz w:val="32"/>
          <w:szCs w:val="32"/>
          <w:highlight w:val="none"/>
          <w:lang w:eastAsia="zh-CN"/>
        </w:rPr>
      </w:pPr>
      <w:r>
        <w:rPr>
          <w:rFonts w:hint="eastAsia" w:ascii="黑体" w:hAnsi="黑体" w:eastAsia="黑体" w:cs="黑体"/>
          <w:b/>
          <w:bCs w:val="0"/>
          <w:color w:val="auto"/>
          <w:kern w:val="0"/>
          <w:sz w:val="32"/>
          <w:szCs w:val="32"/>
          <w:highlight w:val="none"/>
          <w:lang w:eastAsia="zh-CN"/>
        </w:rPr>
        <w:t>部门</w:t>
      </w:r>
      <w:r>
        <w:rPr>
          <w:rFonts w:hint="eastAsia" w:ascii="黑体" w:hAnsi="黑体" w:eastAsia="黑体" w:cs="黑体"/>
          <w:b/>
          <w:bCs w:val="0"/>
          <w:color w:val="auto"/>
          <w:kern w:val="0"/>
          <w:sz w:val="32"/>
          <w:szCs w:val="32"/>
          <w:highlight w:val="none"/>
        </w:rPr>
        <w:t>收入总体情况表</w:t>
      </w:r>
    </w:p>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编制</w:t>
      </w:r>
      <w:r>
        <w:rPr>
          <w:rFonts w:hint="eastAsia" w:ascii="仿宋_GB2312" w:hAnsi="宋体" w:eastAsia="仿宋_GB2312"/>
          <w:color w:val="auto"/>
          <w:kern w:val="0"/>
          <w:sz w:val="20"/>
          <w:szCs w:val="20"/>
          <w:highlight w:val="none"/>
          <w:lang w:eastAsia="zh-CN"/>
        </w:rPr>
        <w:t>部门</w:t>
      </w:r>
      <w:r>
        <w:rPr>
          <w:rFonts w:hint="eastAsia" w:ascii="仿宋_GB2312" w:hAnsi="宋体" w:eastAsia="仿宋_GB2312"/>
          <w:color w:val="auto"/>
          <w:kern w:val="0"/>
          <w:sz w:val="20"/>
          <w:szCs w:val="20"/>
          <w:highlight w:val="none"/>
        </w:rPr>
        <w:t>：</w:t>
      </w:r>
      <w:r>
        <w:rPr>
          <w:rFonts w:hint="eastAsia" w:ascii="仿宋_GB2312" w:hAnsi="宋体" w:eastAsia="仿宋_GB2312"/>
          <w:color w:val="auto"/>
          <w:kern w:val="0"/>
          <w:sz w:val="20"/>
          <w:szCs w:val="20"/>
          <w:highlight w:val="none"/>
          <w:lang w:eastAsia="zh-CN"/>
        </w:rPr>
        <w:t>呼图壁县社会保险中心</w:t>
      </w:r>
      <w:r>
        <w:rPr>
          <w:rFonts w:hint="eastAsia" w:ascii="仿宋_GB2312" w:hAnsi="宋体" w:eastAsia="仿宋_GB2312"/>
          <w:color w:val="auto"/>
          <w:kern w:val="0"/>
          <w:sz w:val="20"/>
          <w:szCs w:val="20"/>
          <w:highlight w:val="none"/>
        </w:rPr>
        <w:t xml:space="preserve">                                               单位：万元</w:t>
      </w:r>
    </w:p>
    <w:tbl>
      <w:tblPr>
        <w:tblStyle w:val="9"/>
        <w:tblW w:w="4998" w:type="pct"/>
        <w:tblInd w:w="0" w:type="dxa"/>
        <w:tblLayout w:type="autofit"/>
        <w:tblCellMar>
          <w:top w:w="0" w:type="dxa"/>
          <w:left w:w="108" w:type="dxa"/>
          <w:bottom w:w="0" w:type="dxa"/>
          <w:right w:w="108" w:type="dxa"/>
        </w:tblCellMar>
      </w:tblPr>
      <w:tblGrid>
        <w:gridCol w:w="779"/>
        <w:gridCol w:w="498"/>
        <w:gridCol w:w="516"/>
        <w:gridCol w:w="1103"/>
        <w:gridCol w:w="1064"/>
        <w:gridCol w:w="984"/>
        <w:gridCol w:w="945"/>
        <w:gridCol w:w="729"/>
        <w:gridCol w:w="454"/>
        <w:gridCol w:w="844"/>
        <w:gridCol w:w="927"/>
        <w:gridCol w:w="934"/>
        <w:gridCol w:w="766"/>
        <w:gridCol w:w="968"/>
        <w:gridCol w:w="828"/>
        <w:gridCol w:w="628"/>
      </w:tblGrid>
      <w:tr>
        <w:tblPrEx>
          <w:tblCellMar>
            <w:top w:w="0" w:type="dxa"/>
            <w:left w:w="108" w:type="dxa"/>
            <w:bottom w:w="0" w:type="dxa"/>
            <w:right w:w="108" w:type="dxa"/>
          </w:tblCellMar>
        </w:tblPrEx>
        <w:trPr>
          <w:trHeight w:val="657" w:hRule="atLeast"/>
        </w:trPr>
        <w:tc>
          <w:tcPr>
            <w:tcW w:w="691" w:type="pct"/>
            <w:gridSpan w:val="3"/>
            <w:tcBorders>
              <w:top w:val="single" w:color="auto" w:sz="4" w:space="0"/>
              <w:left w:val="single" w:color="auto" w:sz="4" w:space="0"/>
              <w:bottom w:val="single" w:color="auto" w:sz="4" w:space="0"/>
              <w:right w:val="single" w:color="auto" w:sz="4" w:space="0"/>
            </w:tcBorders>
            <w:noWrap w:val="0"/>
            <w:vAlign w:val="center"/>
          </w:tcPr>
          <w:p>
            <w:pPr>
              <w:tabs>
                <w:tab w:val="left" w:pos="420"/>
              </w:tabs>
              <w:jc w:val="center"/>
              <w:rPr>
                <w:rFonts w:ascii="仿宋_GB2312" w:hAnsi="宋体" w:eastAsia="仿宋_GB2312" w:cs="宋体"/>
                <w:b/>
                <w:color w:val="auto"/>
                <w:sz w:val="21"/>
                <w:szCs w:val="21"/>
                <w:highlight w:val="none"/>
              </w:rPr>
            </w:pPr>
            <w:r>
              <w:rPr>
                <w:rFonts w:hint="eastAsia" w:ascii="仿宋_GB2312" w:eastAsia="仿宋_GB2312"/>
                <w:b/>
                <w:color w:val="auto"/>
                <w:sz w:val="21"/>
                <w:szCs w:val="21"/>
                <w:highlight w:val="none"/>
              </w:rPr>
              <w:t>功能分类科目编码</w:t>
            </w:r>
          </w:p>
        </w:tc>
        <w:tc>
          <w:tcPr>
            <w:tcW w:w="425" w:type="pct"/>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color w:val="auto"/>
                <w:sz w:val="21"/>
                <w:szCs w:val="21"/>
                <w:highlight w:val="none"/>
              </w:rPr>
            </w:pPr>
            <w:r>
              <w:rPr>
                <w:rFonts w:hint="eastAsia" w:ascii="仿宋_GB2312" w:eastAsia="仿宋_GB2312"/>
                <w:b/>
                <w:color w:val="auto"/>
                <w:sz w:val="21"/>
                <w:szCs w:val="21"/>
                <w:highlight w:val="none"/>
              </w:rPr>
              <w:t>功能分类科目名称</w:t>
            </w:r>
          </w:p>
        </w:tc>
        <w:tc>
          <w:tcPr>
            <w:tcW w:w="410" w:type="pct"/>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val="0"/>
                <w:color w:val="auto"/>
                <w:sz w:val="21"/>
                <w:szCs w:val="21"/>
                <w:highlight w:val="none"/>
              </w:rPr>
            </w:pPr>
            <w:r>
              <w:rPr>
                <w:rFonts w:hint="eastAsia" w:ascii="仿宋_GB2312" w:eastAsia="仿宋_GB2312"/>
                <w:b/>
                <w:bCs w:val="0"/>
                <w:color w:val="auto"/>
                <w:sz w:val="21"/>
                <w:szCs w:val="21"/>
                <w:highlight w:val="none"/>
              </w:rPr>
              <w:t>总  计</w:t>
            </w:r>
          </w:p>
        </w:tc>
        <w:tc>
          <w:tcPr>
            <w:tcW w:w="2241" w:type="pct"/>
            <w:gridSpan w:val="7"/>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b/>
                <w:bCs w:val="0"/>
                <w:color w:val="auto"/>
                <w:sz w:val="21"/>
                <w:szCs w:val="21"/>
                <w:highlight w:val="none"/>
              </w:rPr>
            </w:pPr>
            <w:r>
              <w:rPr>
                <w:rFonts w:hint="eastAsia" w:ascii="仿宋_GB2312" w:hAnsi="宋体" w:eastAsia="仿宋_GB2312" w:cs="宋体"/>
                <w:b/>
                <w:bCs w:val="0"/>
                <w:color w:val="auto"/>
                <w:sz w:val="21"/>
                <w:szCs w:val="21"/>
                <w:highlight w:val="none"/>
              </w:rPr>
              <w:t>财  政  拨  款  (  补  助  )</w:t>
            </w:r>
          </w:p>
        </w:tc>
        <w:tc>
          <w:tcPr>
            <w:tcW w:w="295" w:type="pct"/>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bCs w:val="0"/>
                <w:color w:val="auto"/>
                <w:sz w:val="21"/>
                <w:szCs w:val="21"/>
                <w:highlight w:val="none"/>
              </w:rPr>
            </w:pPr>
            <w:r>
              <w:rPr>
                <w:rFonts w:hint="eastAsia" w:ascii="仿宋_GB2312" w:eastAsia="仿宋_GB2312"/>
                <w:b/>
                <w:bCs w:val="0"/>
                <w:color w:val="auto"/>
                <w:sz w:val="21"/>
                <w:szCs w:val="21"/>
                <w:highlight w:val="none"/>
              </w:rPr>
              <w:t>财政专户（教育收费）</w:t>
            </w:r>
          </w:p>
        </w:tc>
        <w:tc>
          <w:tcPr>
            <w:tcW w:w="373" w:type="pct"/>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color w:val="auto"/>
                <w:sz w:val="21"/>
                <w:szCs w:val="21"/>
                <w:highlight w:val="none"/>
              </w:rPr>
            </w:pPr>
            <w:r>
              <w:rPr>
                <w:rFonts w:hint="eastAsia" w:ascii="仿宋_GB2312" w:eastAsia="仿宋_GB2312"/>
                <w:b/>
                <w:color w:val="auto"/>
                <w:sz w:val="21"/>
                <w:szCs w:val="21"/>
                <w:highlight w:val="none"/>
              </w:rPr>
              <w:t>单位资金</w:t>
            </w:r>
          </w:p>
        </w:tc>
        <w:tc>
          <w:tcPr>
            <w:tcW w:w="319" w:type="pct"/>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color w:val="auto"/>
                <w:sz w:val="21"/>
                <w:szCs w:val="21"/>
                <w:highlight w:val="none"/>
              </w:rPr>
            </w:pPr>
            <w:r>
              <w:rPr>
                <w:rFonts w:hint="eastAsia" w:ascii="仿宋_GB2312" w:eastAsia="仿宋_GB2312"/>
                <w:b/>
                <w:color w:val="auto"/>
                <w:sz w:val="21"/>
                <w:szCs w:val="21"/>
                <w:highlight w:val="none"/>
              </w:rPr>
              <w:t>财政拨款结转</w:t>
            </w:r>
          </w:p>
        </w:tc>
        <w:tc>
          <w:tcPr>
            <w:tcW w:w="242" w:type="pct"/>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color w:val="auto"/>
                <w:sz w:val="21"/>
                <w:szCs w:val="21"/>
                <w:highlight w:val="none"/>
              </w:rPr>
            </w:pPr>
            <w:r>
              <w:rPr>
                <w:rFonts w:hint="eastAsia" w:ascii="仿宋_GB2312" w:eastAsia="仿宋_GB2312"/>
                <w:b/>
                <w:color w:val="auto"/>
                <w:sz w:val="21"/>
                <w:szCs w:val="21"/>
                <w:highlight w:val="none"/>
              </w:rPr>
              <w:t>非财政拨款结转结余</w:t>
            </w:r>
          </w:p>
        </w:tc>
      </w:tr>
      <w:tr>
        <w:tblPrEx>
          <w:tblCellMar>
            <w:top w:w="0" w:type="dxa"/>
            <w:left w:w="108" w:type="dxa"/>
            <w:bottom w:w="0" w:type="dxa"/>
            <w:right w:w="108" w:type="dxa"/>
          </w:tblCellMar>
        </w:tblPrEx>
        <w:trPr>
          <w:trHeight w:val="2240" w:hRule="atLeast"/>
        </w:trPr>
        <w:tc>
          <w:tcPr>
            <w:tcW w:w="300" w:type="pct"/>
            <w:tcBorders>
              <w:left w:val="single" w:color="auto" w:sz="4" w:space="0"/>
              <w:bottom w:val="single" w:color="auto" w:sz="4" w:space="0"/>
              <w:right w:val="single" w:color="auto" w:sz="4" w:space="0"/>
            </w:tcBorders>
            <w:noWrap w:val="0"/>
            <w:vAlign w:val="center"/>
          </w:tcPr>
          <w:p>
            <w:pPr>
              <w:jc w:val="center"/>
              <w:rPr>
                <w:rFonts w:hint="eastAsia" w:ascii="仿宋_GB2312" w:eastAsia="仿宋_GB2312"/>
                <w:b/>
                <w:color w:val="auto"/>
                <w:sz w:val="21"/>
                <w:szCs w:val="21"/>
                <w:highlight w:val="none"/>
                <w:lang w:val="en-US" w:eastAsia="zh-Hans"/>
              </w:rPr>
            </w:pPr>
            <w:r>
              <w:rPr>
                <w:rFonts w:hint="eastAsia" w:ascii="仿宋_GB2312" w:eastAsia="仿宋_GB2312"/>
                <w:b/>
                <w:color w:val="auto"/>
                <w:sz w:val="21"/>
                <w:szCs w:val="21"/>
                <w:highlight w:val="none"/>
                <w:lang w:val="en-US" w:eastAsia="zh-Hans"/>
              </w:rPr>
              <w:t>类</w:t>
            </w:r>
          </w:p>
        </w:tc>
        <w:tc>
          <w:tcPr>
            <w:tcW w:w="192" w:type="pct"/>
            <w:tcBorders>
              <w:left w:val="nil"/>
              <w:bottom w:val="single" w:color="auto" w:sz="4" w:space="0"/>
              <w:right w:val="single" w:color="auto" w:sz="4" w:space="0"/>
            </w:tcBorders>
            <w:noWrap w:val="0"/>
            <w:vAlign w:val="center"/>
          </w:tcPr>
          <w:p>
            <w:pPr>
              <w:jc w:val="center"/>
              <w:rPr>
                <w:rFonts w:hint="eastAsia" w:ascii="仿宋_GB2312" w:eastAsia="仿宋_GB2312"/>
                <w:b/>
                <w:color w:val="auto"/>
                <w:sz w:val="21"/>
                <w:szCs w:val="21"/>
                <w:highlight w:val="none"/>
                <w:lang w:val="en-US" w:eastAsia="zh-Hans"/>
              </w:rPr>
            </w:pPr>
            <w:r>
              <w:rPr>
                <w:rFonts w:hint="eastAsia" w:ascii="仿宋_GB2312" w:eastAsia="仿宋_GB2312"/>
                <w:b/>
                <w:color w:val="auto"/>
                <w:sz w:val="21"/>
                <w:szCs w:val="21"/>
                <w:highlight w:val="none"/>
                <w:lang w:val="en-US" w:eastAsia="zh-Hans"/>
              </w:rPr>
              <w:t>款</w:t>
            </w:r>
          </w:p>
        </w:tc>
        <w:tc>
          <w:tcPr>
            <w:tcW w:w="198" w:type="pct"/>
            <w:tcBorders>
              <w:left w:val="nil"/>
              <w:bottom w:val="single" w:color="auto" w:sz="4" w:space="0"/>
              <w:right w:val="single" w:color="auto" w:sz="4" w:space="0"/>
            </w:tcBorders>
            <w:noWrap w:val="0"/>
            <w:vAlign w:val="center"/>
          </w:tcPr>
          <w:p>
            <w:pPr>
              <w:jc w:val="center"/>
              <w:rPr>
                <w:rFonts w:hint="eastAsia" w:ascii="仿宋_GB2312" w:eastAsia="仿宋_GB2312"/>
                <w:b/>
                <w:color w:val="auto"/>
                <w:sz w:val="21"/>
                <w:szCs w:val="21"/>
                <w:highlight w:val="none"/>
                <w:lang w:val="en-US" w:eastAsia="zh-Hans"/>
              </w:rPr>
            </w:pPr>
            <w:r>
              <w:rPr>
                <w:rFonts w:hint="eastAsia" w:ascii="仿宋_GB2312" w:eastAsia="仿宋_GB2312"/>
                <w:b/>
                <w:color w:val="auto"/>
                <w:sz w:val="21"/>
                <w:szCs w:val="21"/>
                <w:highlight w:val="none"/>
                <w:lang w:val="en-US" w:eastAsia="zh-Hans"/>
              </w:rPr>
              <w:t>项</w:t>
            </w:r>
          </w:p>
        </w:tc>
        <w:tc>
          <w:tcPr>
            <w:tcW w:w="425" w:type="pct"/>
            <w:vMerge w:val="continue"/>
            <w:tcBorders>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color w:val="auto"/>
                <w:sz w:val="21"/>
                <w:szCs w:val="21"/>
                <w:highlight w:val="none"/>
              </w:rPr>
            </w:pPr>
          </w:p>
        </w:tc>
        <w:tc>
          <w:tcPr>
            <w:tcW w:w="410" w:type="pct"/>
            <w:vMerge w:val="continue"/>
            <w:tcBorders>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color w:val="auto"/>
                <w:sz w:val="21"/>
                <w:szCs w:val="21"/>
                <w:highlight w:val="none"/>
              </w:rPr>
            </w:pPr>
          </w:p>
        </w:tc>
        <w:tc>
          <w:tcPr>
            <w:tcW w:w="379" w:type="pct"/>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1"/>
                <w:szCs w:val="21"/>
                <w:highlight w:val="none"/>
              </w:rPr>
            </w:pPr>
            <w:r>
              <w:rPr>
                <w:rFonts w:hint="eastAsia" w:ascii="仿宋_GB2312" w:hAnsi="宋体" w:eastAsia="仿宋_GB2312" w:cs="宋体"/>
                <w:b/>
                <w:bCs/>
                <w:color w:val="auto"/>
                <w:sz w:val="21"/>
                <w:szCs w:val="21"/>
                <w:highlight w:val="none"/>
              </w:rPr>
              <w:t>财政拨款(补助)小计</w:t>
            </w:r>
          </w:p>
        </w:tc>
        <w:tc>
          <w:tcPr>
            <w:tcW w:w="364" w:type="pct"/>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1"/>
                <w:szCs w:val="21"/>
                <w:highlight w:val="none"/>
              </w:rPr>
            </w:pPr>
            <w:r>
              <w:rPr>
                <w:rFonts w:hint="eastAsia" w:ascii="仿宋_GB2312" w:hAnsi="宋体" w:eastAsia="仿宋_GB2312" w:cs="宋体"/>
                <w:b/>
                <w:bCs/>
                <w:color w:val="auto"/>
                <w:sz w:val="21"/>
                <w:szCs w:val="21"/>
                <w:highlight w:val="none"/>
              </w:rPr>
              <w:t>一般公共预算</w:t>
            </w:r>
          </w:p>
        </w:tc>
        <w:tc>
          <w:tcPr>
            <w:tcW w:w="281" w:type="pct"/>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1"/>
                <w:szCs w:val="21"/>
                <w:highlight w:val="none"/>
              </w:rPr>
            </w:pPr>
            <w:r>
              <w:rPr>
                <w:rFonts w:hint="eastAsia" w:ascii="仿宋_GB2312" w:hAnsi="宋体" w:eastAsia="仿宋_GB2312" w:cs="宋体"/>
                <w:b/>
                <w:bCs/>
                <w:color w:val="auto"/>
                <w:sz w:val="21"/>
                <w:szCs w:val="21"/>
                <w:highlight w:val="none"/>
              </w:rPr>
              <w:t>上级一般公共预算安排的转移支付</w:t>
            </w:r>
          </w:p>
        </w:tc>
        <w:tc>
          <w:tcPr>
            <w:tcW w:w="175" w:type="pct"/>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1"/>
                <w:szCs w:val="21"/>
                <w:highlight w:val="none"/>
              </w:rPr>
            </w:pPr>
            <w:r>
              <w:rPr>
                <w:rFonts w:hint="eastAsia" w:ascii="仿宋_GB2312" w:hAnsi="宋体" w:eastAsia="仿宋_GB2312" w:cs="宋体"/>
                <w:b/>
                <w:bCs/>
                <w:color w:val="auto"/>
                <w:sz w:val="21"/>
                <w:szCs w:val="21"/>
                <w:highlight w:val="none"/>
              </w:rPr>
              <w:t>政府性基金预算</w:t>
            </w:r>
          </w:p>
        </w:tc>
        <w:tc>
          <w:tcPr>
            <w:tcW w:w="325" w:type="pct"/>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1"/>
                <w:szCs w:val="21"/>
                <w:highlight w:val="none"/>
              </w:rPr>
            </w:pPr>
            <w:r>
              <w:rPr>
                <w:rFonts w:hint="eastAsia" w:ascii="仿宋_GB2312" w:hAnsi="宋体" w:eastAsia="仿宋_GB2312" w:cs="宋体"/>
                <w:b/>
                <w:bCs/>
                <w:color w:val="auto"/>
                <w:sz w:val="21"/>
                <w:szCs w:val="21"/>
                <w:highlight w:val="none"/>
              </w:rPr>
              <w:t>上级政府性基金安排的转移支付</w:t>
            </w:r>
          </w:p>
        </w:tc>
        <w:tc>
          <w:tcPr>
            <w:tcW w:w="357" w:type="pct"/>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1"/>
                <w:szCs w:val="21"/>
                <w:highlight w:val="none"/>
              </w:rPr>
            </w:pPr>
            <w:r>
              <w:rPr>
                <w:rFonts w:hint="eastAsia" w:ascii="仿宋_GB2312" w:hAnsi="宋体" w:eastAsia="仿宋_GB2312" w:cs="宋体"/>
                <w:b/>
                <w:bCs/>
                <w:color w:val="auto"/>
                <w:sz w:val="21"/>
                <w:szCs w:val="21"/>
                <w:highlight w:val="none"/>
              </w:rPr>
              <w:t>国有资本经营预算</w:t>
            </w:r>
          </w:p>
        </w:tc>
        <w:tc>
          <w:tcPr>
            <w:tcW w:w="357" w:type="pct"/>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1"/>
                <w:szCs w:val="21"/>
                <w:highlight w:val="none"/>
              </w:rPr>
            </w:pPr>
            <w:r>
              <w:rPr>
                <w:rFonts w:hint="eastAsia" w:ascii="仿宋_GB2312" w:hAnsi="宋体" w:eastAsia="仿宋_GB2312" w:cs="宋体"/>
                <w:b/>
                <w:bCs/>
                <w:color w:val="auto"/>
                <w:sz w:val="21"/>
                <w:szCs w:val="21"/>
                <w:highlight w:val="none"/>
              </w:rPr>
              <w:t>上级国有资本经营预算安排的转移支付</w:t>
            </w:r>
          </w:p>
        </w:tc>
        <w:tc>
          <w:tcPr>
            <w:tcW w:w="295" w:type="pct"/>
            <w:vMerge w:val="continue"/>
            <w:tcBorders>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color w:val="auto"/>
                <w:sz w:val="21"/>
                <w:szCs w:val="21"/>
                <w:highlight w:val="none"/>
              </w:rPr>
            </w:pPr>
          </w:p>
        </w:tc>
        <w:tc>
          <w:tcPr>
            <w:tcW w:w="373" w:type="pct"/>
            <w:vMerge w:val="continue"/>
            <w:tcBorders>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color w:val="auto"/>
                <w:sz w:val="21"/>
                <w:szCs w:val="21"/>
                <w:highlight w:val="none"/>
              </w:rPr>
            </w:pPr>
          </w:p>
        </w:tc>
        <w:tc>
          <w:tcPr>
            <w:tcW w:w="319" w:type="pct"/>
            <w:vMerge w:val="continue"/>
            <w:tcBorders>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color w:val="auto"/>
                <w:sz w:val="21"/>
                <w:szCs w:val="21"/>
                <w:highlight w:val="none"/>
              </w:rPr>
            </w:pPr>
          </w:p>
        </w:tc>
        <w:tc>
          <w:tcPr>
            <w:tcW w:w="242" w:type="pct"/>
            <w:vMerge w:val="continue"/>
            <w:tcBorders>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color w:val="auto"/>
                <w:sz w:val="21"/>
                <w:szCs w:val="21"/>
                <w:highlight w:val="none"/>
              </w:rPr>
            </w:pPr>
          </w:p>
        </w:tc>
      </w:tr>
      <w:tr>
        <w:tblPrEx>
          <w:tblCellMar>
            <w:top w:w="0" w:type="dxa"/>
            <w:left w:w="108" w:type="dxa"/>
            <w:bottom w:w="0" w:type="dxa"/>
            <w:right w:w="108" w:type="dxa"/>
          </w:tblCellMar>
        </w:tblPrEx>
        <w:trPr>
          <w:trHeight w:val="465" w:hRule="atLeast"/>
        </w:trPr>
        <w:tc>
          <w:tcPr>
            <w:tcW w:w="300" w:type="pct"/>
            <w:tcBorders>
              <w:top w:val="nil"/>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b/>
                <w:bCs/>
                <w:color w:val="auto"/>
                <w:sz w:val="18"/>
                <w:szCs w:val="18"/>
                <w:highlight w:val="none"/>
              </w:rPr>
            </w:pPr>
            <w:r>
              <w:rPr>
                <w:rFonts w:hint="eastAsia" w:ascii="仿宋_GB2312" w:eastAsia="仿宋_GB2312"/>
                <w:b/>
                <w:bCs/>
                <w:color w:val="auto"/>
                <w:sz w:val="18"/>
                <w:szCs w:val="18"/>
                <w:highlight w:val="none"/>
                <w:lang w:val="en-US" w:eastAsia="zh-CN"/>
              </w:rPr>
              <w:t>208</w:t>
            </w:r>
          </w:p>
        </w:tc>
        <w:tc>
          <w:tcPr>
            <w:tcW w:w="192" w:type="pct"/>
            <w:tcBorders>
              <w:top w:val="nil"/>
              <w:left w:val="nil"/>
              <w:bottom w:val="single" w:color="auto" w:sz="4" w:space="0"/>
              <w:right w:val="single" w:color="auto" w:sz="4" w:space="0"/>
            </w:tcBorders>
            <w:noWrap w:val="0"/>
            <w:vAlign w:val="center"/>
          </w:tcPr>
          <w:p>
            <w:pPr>
              <w:jc w:val="center"/>
              <w:rPr>
                <w:rFonts w:ascii="仿宋_GB2312" w:hAnsi="宋体" w:eastAsia="仿宋_GB2312" w:cs="宋体"/>
                <w:b/>
                <w:bCs/>
                <w:color w:val="auto"/>
                <w:sz w:val="18"/>
                <w:szCs w:val="18"/>
                <w:highlight w:val="none"/>
              </w:rPr>
            </w:pPr>
          </w:p>
        </w:tc>
        <w:tc>
          <w:tcPr>
            <w:tcW w:w="198" w:type="pct"/>
            <w:tcBorders>
              <w:top w:val="nil"/>
              <w:left w:val="nil"/>
              <w:bottom w:val="single" w:color="auto" w:sz="4" w:space="0"/>
              <w:right w:val="single" w:color="auto" w:sz="4" w:space="0"/>
            </w:tcBorders>
            <w:noWrap w:val="0"/>
            <w:vAlign w:val="center"/>
          </w:tcPr>
          <w:p>
            <w:pPr>
              <w:jc w:val="center"/>
              <w:rPr>
                <w:rFonts w:ascii="仿宋_GB2312" w:hAnsi="宋体" w:eastAsia="仿宋_GB2312" w:cs="宋体"/>
                <w:b/>
                <w:bCs/>
                <w:color w:val="auto"/>
                <w:sz w:val="18"/>
                <w:szCs w:val="18"/>
                <w:highlight w:val="none"/>
              </w:rPr>
            </w:pPr>
          </w:p>
        </w:tc>
        <w:tc>
          <w:tcPr>
            <w:tcW w:w="425" w:type="pct"/>
            <w:tcBorders>
              <w:top w:val="nil"/>
              <w:left w:val="nil"/>
              <w:bottom w:val="single" w:color="auto" w:sz="4" w:space="0"/>
              <w:right w:val="single" w:color="auto" w:sz="4" w:space="0"/>
            </w:tcBorders>
            <w:noWrap w:val="0"/>
            <w:vAlign w:val="center"/>
          </w:tcPr>
          <w:p>
            <w:pPr>
              <w:jc w:val="center"/>
              <w:rPr>
                <w:rFonts w:ascii="仿宋_GB2312" w:hAnsi="宋体" w:eastAsia="仿宋_GB2312" w:cs="宋体"/>
                <w:b/>
                <w:bCs/>
                <w:color w:val="auto"/>
                <w:sz w:val="18"/>
                <w:szCs w:val="18"/>
                <w:highlight w:val="none"/>
              </w:rPr>
            </w:pPr>
            <w:r>
              <w:rPr>
                <w:rFonts w:hint="eastAsia" w:ascii="仿宋_GB2312" w:eastAsia="仿宋_GB2312"/>
                <w:b/>
                <w:bCs/>
                <w:color w:val="auto"/>
                <w:sz w:val="18"/>
                <w:szCs w:val="18"/>
                <w:highlight w:val="none"/>
              </w:rPr>
              <w:t>社会保障和就业支出</w:t>
            </w:r>
          </w:p>
        </w:tc>
        <w:tc>
          <w:tcPr>
            <w:tcW w:w="410" w:type="pct"/>
            <w:tcBorders>
              <w:top w:val="nil"/>
              <w:left w:val="nil"/>
              <w:bottom w:val="single" w:color="auto" w:sz="4" w:space="0"/>
              <w:right w:val="single" w:color="auto" w:sz="4" w:space="0"/>
            </w:tcBorders>
            <w:noWrap w:val="0"/>
            <w:vAlign w:val="center"/>
          </w:tcPr>
          <w:p>
            <w:pPr>
              <w:jc w:val="center"/>
              <w:rPr>
                <w:rFonts w:ascii="仿宋_GB2312" w:hAnsi="宋体" w:eastAsia="仿宋_GB2312" w:cs="宋体"/>
                <w:b/>
                <w:bCs/>
                <w:color w:val="auto"/>
                <w:sz w:val="18"/>
                <w:szCs w:val="18"/>
                <w:highlight w:val="none"/>
              </w:rPr>
            </w:pPr>
            <w:r>
              <w:rPr>
                <w:rFonts w:hint="eastAsia" w:ascii="仿宋_GB2312" w:eastAsia="仿宋_GB2312"/>
                <w:b/>
                <w:bCs/>
                <w:color w:val="auto"/>
                <w:sz w:val="18"/>
                <w:szCs w:val="18"/>
                <w:highlight w:val="none"/>
              </w:rPr>
              <w:t>714.90</w:t>
            </w:r>
          </w:p>
        </w:tc>
        <w:tc>
          <w:tcPr>
            <w:tcW w:w="379" w:type="pct"/>
            <w:tcBorders>
              <w:top w:val="nil"/>
              <w:left w:val="nil"/>
              <w:bottom w:val="single" w:color="auto" w:sz="4" w:space="0"/>
              <w:right w:val="single" w:color="auto" w:sz="4" w:space="0"/>
            </w:tcBorders>
            <w:noWrap w:val="0"/>
            <w:vAlign w:val="center"/>
          </w:tcPr>
          <w:p>
            <w:pPr>
              <w:jc w:val="center"/>
              <w:rPr>
                <w:rFonts w:ascii="仿宋_GB2312" w:hAnsi="宋体" w:eastAsia="仿宋_GB2312" w:cs="宋体"/>
                <w:b/>
                <w:bCs/>
                <w:color w:val="auto"/>
                <w:sz w:val="18"/>
                <w:szCs w:val="18"/>
                <w:highlight w:val="none"/>
              </w:rPr>
            </w:pPr>
            <w:r>
              <w:rPr>
                <w:rFonts w:hint="eastAsia" w:ascii="仿宋_GB2312" w:eastAsia="仿宋_GB2312"/>
                <w:b/>
                <w:bCs/>
                <w:color w:val="auto"/>
                <w:sz w:val="18"/>
                <w:szCs w:val="18"/>
                <w:highlight w:val="none"/>
              </w:rPr>
              <w:t>669.08</w:t>
            </w:r>
          </w:p>
        </w:tc>
        <w:tc>
          <w:tcPr>
            <w:tcW w:w="364" w:type="pct"/>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b/>
                <w:bCs/>
                <w:color w:val="auto"/>
                <w:sz w:val="18"/>
                <w:szCs w:val="18"/>
                <w:highlight w:val="none"/>
                <w:lang w:val="en-US" w:eastAsia="zh-CN"/>
              </w:rPr>
            </w:pPr>
            <w:r>
              <w:rPr>
                <w:rFonts w:hint="eastAsia" w:ascii="仿宋_GB2312" w:eastAsia="仿宋_GB2312"/>
                <w:b/>
                <w:bCs/>
                <w:color w:val="auto"/>
                <w:sz w:val="18"/>
                <w:szCs w:val="18"/>
                <w:highlight w:val="none"/>
                <w:lang w:val="en-US" w:eastAsia="zh-CN"/>
              </w:rPr>
              <w:t>666.16</w:t>
            </w:r>
          </w:p>
        </w:tc>
        <w:tc>
          <w:tcPr>
            <w:tcW w:w="281" w:type="pct"/>
            <w:tcBorders>
              <w:top w:val="nil"/>
              <w:left w:val="nil"/>
              <w:bottom w:val="single" w:color="auto" w:sz="4" w:space="0"/>
              <w:right w:val="single" w:color="auto" w:sz="4" w:space="0"/>
            </w:tcBorders>
            <w:noWrap w:val="0"/>
            <w:vAlign w:val="center"/>
          </w:tcPr>
          <w:p>
            <w:pPr>
              <w:jc w:val="center"/>
              <w:rPr>
                <w:rFonts w:ascii="仿宋_GB2312" w:hAnsi="宋体" w:eastAsia="仿宋_GB2312" w:cs="宋体"/>
                <w:b/>
                <w:bCs/>
                <w:color w:val="auto"/>
                <w:sz w:val="18"/>
                <w:szCs w:val="18"/>
                <w:highlight w:val="none"/>
              </w:rPr>
            </w:pPr>
            <w:r>
              <w:rPr>
                <w:rFonts w:hint="eastAsia" w:ascii="仿宋_GB2312" w:hAnsi="宋体" w:eastAsia="仿宋_GB2312" w:cs="宋体"/>
                <w:b/>
                <w:bCs/>
                <w:color w:val="auto"/>
                <w:sz w:val="18"/>
                <w:szCs w:val="18"/>
                <w:highlight w:val="none"/>
              </w:rPr>
              <w:t>2.92</w:t>
            </w:r>
          </w:p>
        </w:tc>
        <w:tc>
          <w:tcPr>
            <w:tcW w:w="175" w:type="pct"/>
            <w:tcBorders>
              <w:top w:val="nil"/>
              <w:left w:val="nil"/>
              <w:bottom w:val="single" w:color="auto" w:sz="4" w:space="0"/>
              <w:right w:val="single" w:color="auto" w:sz="4" w:space="0"/>
            </w:tcBorders>
            <w:noWrap w:val="0"/>
            <w:vAlign w:val="center"/>
          </w:tcPr>
          <w:p>
            <w:pPr>
              <w:jc w:val="center"/>
              <w:rPr>
                <w:rFonts w:ascii="仿宋_GB2312" w:hAnsi="宋体" w:eastAsia="仿宋_GB2312" w:cs="宋体"/>
                <w:b/>
                <w:bCs/>
                <w:color w:val="auto"/>
                <w:sz w:val="18"/>
                <w:szCs w:val="18"/>
                <w:highlight w:val="none"/>
              </w:rPr>
            </w:pPr>
          </w:p>
        </w:tc>
        <w:tc>
          <w:tcPr>
            <w:tcW w:w="325" w:type="pct"/>
            <w:tcBorders>
              <w:top w:val="nil"/>
              <w:left w:val="nil"/>
              <w:bottom w:val="single" w:color="auto" w:sz="4" w:space="0"/>
              <w:right w:val="single" w:color="auto" w:sz="4" w:space="0"/>
            </w:tcBorders>
            <w:noWrap w:val="0"/>
            <w:vAlign w:val="center"/>
          </w:tcPr>
          <w:p>
            <w:pPr>
              <w:jc w:val="center"/>
              <w:rPr>
                <w:rFonts w:ascii="仿宋_GB2312" w:hAnsi="宋体" w:eastAsia="仿宋_GB2312" w:cs="宋体"/>
                <w:b/>
                <w:bCs/>
                <w:color w:val="auto"/>
                <w:sz w:val="18"/>
                <w:szCs w:val="18"/>
                <w:highlight w:val="none"/>
              </w:rPr>
            </w:pPr>
          </w:p>
        </w:tc>
        <w:tc>
          <w:tcPr>
            <w:tcW w:w="357" w:type="pct"/>
            <w:tcBorders>
              <w:top w:val="nil"/>
              <w:left w:val="nil"/>
              <w:bottom w:val="single" w:color="auto" w:sz="4" w:space="0"/>
              <w:right w:val="single" w:color="auto" w:sz="4" w:space="0"/>
            </w:tcBorders>
            <w:noWrap w:val="0"/>
            <w:vAlign w:val="center"/>
          </w:tcPr>
          <w:p>
            <w:pPr>
              <w:jc w:val="center"/>
              <w:rPr>
                <w:rFonts w:ascii="仿宋_GB2312" w:hAnsi="宋体" w:eastAsia="仿宋_GB2312" w:cs="宋体"/>
                <w:b/>
                <w:bCs/>
                <w:color w:val="auto"/>
                <w:sz w:val="18"/>
                <w:szCs w:val="18"/>
                <w:highlight w:val="none"/>
              </w:rPr>
            </w:pPr>
          </w:p>
        </w:tc>
        <w:tc>
          <w:tcPr>
            <w:tcW w:w="357" w:type="pct"/>
            <w:tcBorders>
              <w:top w:val="nil"/>
              <w:left w:val="nil"/>
              <w:bottom w:val="single" w:color="auto" w:sz="4" w:space="0"/>
              <w:right w:val="single" w:color="auto" w:sz="4" w:space="0"/>
            </w:tcBorders>
            <w:noWrap w:val="0"/>
            <w:vAlign w:val="center"/>
          </w:tcPr>
          <w:p>
            <w:pPr>
              <w:jc w:val="center"/>
              <w:rPr>
                <w:rFonts w:ascii="仿宋_GB2312" w:hAnsi="宋体" w:eastAsia="仿宋_GB2312" w:cs="宋体"/>
                <w:b/>
                <w:bCs/>
                <w:color w:val="auto"/>
                <w:sz w:val="18"/>
                <w:szCs w:val="18"/>
                <w:highlight w:val="none"/>
              </w:rPr>
            </w:pPr>
          </w:p>
        </w:tc>
        <w:tc>
          <w:tcPr>
            <w:tcW w:w="295" w:type="pct"/>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b/>
                <w:bCs/>
                <w:color w:val="auto"/>
                <w:sz w:val="18"/>
                <w:szCs w:val="18"/>
                <w:highlight w:val="none"/>
              </w:rPr>
            </w:pPr>
          </w:p>
        </w:tc>
        <w:tc>
          <w:tcPr>
            <w:tcW w:w="373" w:type="pct"/>
            <w:tcBorders>
              <w:top w:val="nil"/>
              <w:left w:val="single" w:color="auto" w:sz="4" w:space="0"/>
              <w:bottom w:val="single" w:color="auto" w:sz="4" w:space="0"/>
              <w:right w:val="single" w:color="auto" w:sz="4" w:space="0"/>
            </w:tcBorders>
            <w:noWrap w:val="0"/>
            <w:vAlign w:val="center"/>
          </w:tcPr>
          <w:p>
            <w:pPr>
              <w:jc w:val="center"/>
              <w:rPr>
                <w:rFonts w:hint="default" w:ascii="仿宋_GB2312" w:eastAsia="仿宋_GB2312"/>
                <w:b/>
                <w:bCs/>
                <w:color w:val="auto"/>
                <w:sz w:val="18"/>
                <w:szCs w:val="18"/>
                <w:highlight w:val="none"/>
                <w:lang w:val="en-US" w:eastAsia="zh-CN"/>
              </w:rPr>
            </w:pPr>
            <w:r>
              <w:rPr>
                <w:rFonts w:hint="eastAsia" w:ascii="仿宋_GB2312" w:eastAsia="仿宋_GB2312"/>
                <w:b/>
                <w:bCs/>
                <w:color w:val="auto"/>
                <w:sz w:val="18"/>
                <w:szCs w:val="18"/>
                <w:highlight w:val="none"/>
                <w:lang w:val="en-US" w:eastAsia="zh-CN"/>
              </w:rPr>
              <w:t>35.22</w:t>
            </w:r>
          </w:p>
        </w:tc>
        <w:tc>
          <w:tcPr>
            <w:tcW w:w="319" w:type="pct"/>
            <w:tcBorders>
              <w:top w:val="nil"/>
              <w:left w:val="single" w:color="auto" w:sz="4" w:space="0"/>
              <w:bottom w:val="single" w:color="auto" w:sz="4" w:space="0"/>
              <w:right w:val="single" w:color="auto" w:sz="4" w:space="0"/>
            </w:tcBorders>
            <w:noWrap w:val="0"/>
            <w:vAlign w:val="center"/>
          </w:tcPr>
          <w:p>
            <w:pPr>
              <w:jc w:val="center"/>
              <w:rPr>
                <w:rFonts w:hint="default" w:ascii="仿宋_GB2312" w:eastAsia="仿宋_GB2312"/>
                <w:b/>
                <w:bCs/>
                <w:color w:val="auto"/>
                <w:sz w:val="18"/>
                <w:szCs w:val="18"/>
                <w:highlight w:val="none"/>
                <w:lang w:val="en-US" w:eastAsia="zh-CN"/>
              </w:rPr>
            </w:pPr>
            <w:r>
              <w:rPr>
                <w:rFonts w:hint="eastAsia" w:ascii="仿宋_GB2312" w:eastAsia="仿宋_GB2312"/>
                <w:b/>
                <w:bCs/>
                <w:color w:val="auto"/>
                <w:sz w:val="18"/>
                <w:szCs w:val="18"/>
                <w:highlight w:val="none"/>
                <w:lang w:val="en-US" w:eastAsia="zh-CN"/>
              </w:rPr>
              <w:t>10.6</w:t>
            </w:r>
          </w:p>
        </w:tc>
        <w:tc>
          <w:tcPr>
            <w:tcW w:w="242" w:type="pct"/>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b/>
                <w:bCs/>
                <w:color w:val="auto"/>
                <w:sz w:val="18"/>
                <w:szCs w:val="18"/>
                <w:highlight w:val="none"/>
              </w:rPr>
            </w:pPr>
          </w:p>
        </w:tc>
      </w:tr>
      <w:tr>
        <w:tblPrEx>
          <w:tblCellMar>
            <w:top w:w="0" w:type="dxa"/>
            <w:left w:w="108" w:type="dxa"/>
            <w:bottom w:w="0" w:type="dxa"/>
            <w:right w:w="108" w:type="dxa"/>
          </w:tblCellMar>
        </w:tblPrEx>
        <w:trPr>
          <w:trHeight w:val="465" w:hRule="atLeast"/>
        </w:trPr>
        <w:tc>
          <w:tcPr>
            <w:tcW w:w="300" w:type="pct"/>
            <w:tcBorders>
              <w:top w:val="nil"/>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b/>
                <w:bCs/>
                <w:color w:val="auto"/>
                <w:sz w:val="18"/>
                <w:szCs w:val="18"/>
                <w:highlight w:val="none"/>
              </w:rPr>
            </w:pPr>
            <w:r>
              <w:rPr>
                <w:rFonts w:hint="eastAsia" w:ascii="仿宋_GB2312" w:eastAsia="仿宋_GB2312"/>
                <w:b/>
                <w:bCs/>
                <w:color w:val="auto"/>
                <w:sz w:val="18"/>
                <w:szCs w:val="18"/>
                <w:highlight w:val="none"/>
              </w:rPr>
              <w:t>208</w:t>
            </w:r>
          </w:p>
        </w:tc>
        <w:tc>
          <w:tcPr>
            <w:tcW w:w="192" w:type="pct"/>
            <w:tcBorders>
              <w:top w:val="nil"/>
              <w:left w:val="nil"/>
              <w:bottom w:val="single" w:color="auto" w:sz="4" w:space="0"/>
              <w:right w:val="single" w:color="auto" w:sz="4" w:space="0"/>
            </w:tcBorders>
            <w:shd w:val="clear" w:color="auto" w:fill="auto"/>
            <w:noWrap w:val="0"/>
            <w:vAlign w:val="center"/>
          </w:tcPr>
          <w:p>
            <w:pPr>
              <w:jc w:val="center"/>
              <w:rPr>
                <w:rFonts w:ascii="仿宋_GB2312" w:hAnsi="宋体" w:eastAsia="仿宋_GB2312" w:cs="宋体"/>
                <w:b/>
                <w:bCs/>
                <w:color w:val="auto"/>
                <w:kern w:val="2"/>
                <w:sz w:val="18"/>
                <w:szCs w:val="18"/>
                <w:highlight w:val="none"/>
                <w:lang w:val="en-US" w:eastAsia="zh-CN" w:bidi="ar-SA"/>
              </w:rPr>
            </w:pPr>
            <w:r>
              <w:rPr>
                <w:rFonts w:hint="eastAsia" w:ascii="仿宋_GB2312" w:eastAsia="仿宋_GB2312"/>
                <w:b/>
                <w:bCs/>
                <w:color w:val="auto"/>
                <w:sz w:val="18"/>
                <w:szCs w:val="18"/>
                <w:highlight w:val="none"/>
              </w:rPr>
              <w:t>01</w:t>
            </w:r>
          </w:p>
        </w:tc>
        <w:tc>
          <w:tcPr>
            <w:tcW w:w="198" w:type="pct"/>
            <w:tcBorders>
              <w:top w:val="nil"/>
              <w:left w:val="nil"/>
              <w:bottom w:val="single" w:color="auto" w:sz="4" w:space="0"/>
              <w:right w:val="single" w:color="auto" w:sz="4" w:space="0"/>
            </w:tcBorders>
            <w:shd w:val="clear" w:color="auto" w:fill="auto"/>
            <w:noWrap w:val="0"/>
            <w:vAlign w:val="center"/>
          </w:tcPr>
          <w:p>
            <w:pPr>
              <w:jc w:val="center"/>
              <w:rPr>
                <w:rFonts w:ascii="仿宋_GB2312" w:hAnsi="宋体" w:eastAsia="仿宋_GB2312" w:cs="宋体"/>
                <w:b/>
                <w:bCs/>
                <w:color w:val="auto"/>
                <w:kern w:val="2"/>
                <w:sz w:val="18"/>
                <w:szCs w:val="18"/>
                <w:highlight w:val="none"/>
                <w:lang w:val="en-US" w:eastAsia="zh-CN" w:bidi="ar-SA"/>
              </w:rPr>
            </w:pPr>
          </w:p>
        </w:tc>
        <w:tc>
          <w:tcPr>
            <w:tcW w:w="425" w:type="pct"/>
            <w:tcBorders>
              <w:top w:val="nil"/>
              <w:left w:val="nil"/>
              <w:bottom w:val="single" w:color="auto" w:sz="4" w:space="0"/>
              <w:right w:val="single" w:color="auto" w:sz="4" w:space="0"/>
            </w:tcBorders>
            <w:noWrap w:val="0"/>
            <w:vAlign w:val="center"/>
          </w:tcPr>
          <w:p>
            <w:pPr>
              <w:jc w:val="center"/>
              <w:rPr>
                <w:rFonts w:ascii="仿宋_GB2312" w:hAnsi="宋体" w:eastAsia="仿宋_GB2312" w:cs="宋体"/>
                <w:b/>
                <w:bCs/>
                <w:color w:val="auto"/>
                <w:sz w:val="18"/>
                <w:szCs w:val="18"/>
                <w:highlight w:val="none"/>
              </w:rPr>
            </w:pPr>
            <w:r>
              <w:rPr>
                <w:rFonts w:hint="eastAsia" w:ascii="仿宋_GB2312" w:eastAsia="仿宋_GB2312"/>
                <w:b/>
                <w:bCs/>
                <w:color w:val="auto"/>
                <w:sz w:val="18"/>
                <w:szCs w:val="18"/>
                <w:highlight w:val="none"/>
              </w:rPr>
              <w:t>人力资源和社会保障管理事务</w:t>
            </w:r>
          </w:p>
        </w:tc>
        <w:tc>
          <w:tcPr>
            <w:tcW w:w="410" w:type="pct"/>
            <w:tcBorders>
              <w:top w:val="nil"/>
              <w:left w:val="nil"/>
              <w:bottom w:val="single" w:color="auto" w:sz="4" w:space="0"/>
              <w:right w:val="single" w:color="auto" w:sz="4" w:space="0"/>
            </w:tcBorders>
            <w:noWrap w:val="0"/>
            <w:vAlign w:val="center"/>
          </w:tcPr>
          <w:p>
            <w:pPr>
              <w:jc w:val="center"/>
              <w:rPr>
                <w:rFonts w:ascii="仿宋_GB2312" w:hAnsi="宋体" w:eastAsia="仿宋_GB2312" w:cs="宋体"/>
                <w:b/>
                <w:bCs/>
                <w:color w:val="auto"/>
                <w:sz w:val="18"/>
                <w:szCs w:val="18"/>
                <w:highlight w:val="none"/>
              </w:rPr>
            </w:pPr>
            <w:r>
              <w:rPr>
                <w:rFonts w:hint="eastAsia" w:ascii="仿宋_GB2312" w:eastAsia="仿宋_GB2312"/>
                <w:b/>
                <w:bCs/>
                <w:color w:val="auto"/>
                <w:sz w:val="18"/>
                <w:szCs w:val="18"/>
                <w:highlight w:val="none"/>
              </w:rPr>
              <w:t>669.91</w:t>
            </w:r>
          </w:p>
        </w:tc>
        <w:tc>
          <w:tcPr>
            <w:tcW w:w="379" w:type="pct"/>
            <w:tcBorders>
              <w:top w:val="nil"/>
              <w:left w:val="nil"/>
              <w:bottom w:val="single" w:color="auto" w:sz="4" w:space="0"/>
              <w:right w:val="single" w:color="auto" w:sz="4" w:space="0"/>
            </w:tcBorders>
            <w:noWrap w:val="0"/>
            <w:vAlign w:val="center"/>
          </w:tcPr>
          <w:p>
            <w:pPr>
              <w:jc w:val="center"/>
              <w:rPr>
                <w:rFonts w:ascii="仿宋_GB2312" w:hAnsi="宋体" w:eastAsia="仿宋_GB2312" w:cs="宋体"/>
                <w:b/>
                <w:bCs/>
                <w:color w:val="auto"/>
                <w:sz w:val="18"/>
                <w:szCs w:val="18"/>
                <w:highlight w:val="none"/>
              </w:rPr>
            </w:pPr>
            <w:r>
              <w:rPr>
                <w:rFonts w:hint="eastAsia" w:ascii="仿宋_GB2312" w:eastAsia="仿宋_GB2312"/>
                <w:b/>
                <w:bCs/>
                <w:color w:val="auto"/>
                <w:sz w:val="18"/>
                <w:szCs w:val="18"/>
                <w:highlight w:val="none"/>
              </w:rPr>
              <w:t>625.04</w:t>
            </w:r>
          </w:p>
        </w:tc>
        <w:tc>
          <w:tcPr>
            <w:tcW w:w="364" w:type="pct"/>
            <w:tcBorders>
              <w:top w:val="nil"/>
              <w:left w:val="nil"/>
              <w:bottom w:val="single" w:color="auto" w:sz="4" w:space="0"/>
              <w:right w:val="single" w:color="auto" w:sz="4" w:space="0"/>
            </w:tcBorders>
            <w:noWrap w:val="0"/>
            <w:vAlign w:val="center"/>
          </w:tcPr>
          <w:p>
            <w:pPr>
              <w:jc w:val="center"/>
              <w:rPr>
                <w:rFonts w:ascii="仿宋_GB2312" w:hAnsi="宋体" w:eastAsia="仿宋_GB2312" w:cs="宋体"/>
                <w:b/>
                <w:bCs/>
                <w:color w:val="auto"/>
                <w:sz w:val="18"/>
                <w:szCs w:val="18"/>
                <w:highlight w:val="none"/>
              </w:rPr>
            </w:pPr>
            <w:r>
              <w:rPr>
                <w:rFonts w:hint="eastAsia" w:ascii="仿宋_GB2312" w:eastAsia="仿宋_GB2312"/>
                <w:b/>
                <w:bCs/>
                <w:color w:val="auto"/>
                <w:sz w:val="18"/>
                <w:szCs w:val="18"/>
                <w:highlight w:val="none"/>
              </w:rPr>
              <w:t>625.04</w:t>
            </w:r>
          </w:p>
        </w:tc>
        <w:tc>
          <w:tcPr>
            <w:tcW w:w="281" w:type="pct"/>
            <w:tcBorders>
              <w:top w:val="nil"/>
              <w:left w:val="nil"/>
              <w:bottom w:val="single" w:color="auto" w:sz="4" w:space="0"/>
              <w:right w:val="single" w:color="auto" w:sz="4" w:space="0"/>
            </w:tcBorders>
            <w:noWrap w:val="0"/>
            <w:vAlign w:val="center"/>
          </w:tcPr>
          <w:p>
            <w:pPr>
              <w:jc w:val="center"/>
              <w:rPr>
                <w:rFonts w:ascii="仿宋_GB2312" w:hAnsi="宋体" w:eastAsia="仿宋_GB2312" w:cs="宋体"/>
                <w:b/>
                <w:bCs/>
                <w:color w:val="auto"/>
                <w:sz w:val="18"/>
                <w:szCs w:val="18"/>
                <w:highlight w:val="none"/>
              </w:rPr>
            </w:pPr>
          </w:p>
        </w:tc>
        <w:tc>
          <w:tcPr>
            <w:tcW w:w="175" w:type="pct"/>
            <w:tcBorders>
              <w:top w:val="nil"/>
              <w:left w:val="nil"/>
              <w:bottom w:val="single" w:color="auto" w:sz="4" w:space="0"/>
              <w:right w:val="single" w:color="auto" w:sz="4" w:space="0"/>
            </w:tcBorders>
            <w:noWrap w:val="0"/>
            <w:vAlign w:val="center"/>
          </w:tcPr>
          <w:p>
            <w:pPr>
              <w:jc w:val="center"/>
              <w:rPr>
                <w:rFonts w:ascii="仿宋_GB2312" w:hAnsi="宋体" w:eastAsia="仿宋_GB2312" w:cs="宋体"/>
                <w:b/>
                <w:bCs/>
                <w:color w:val="auto"/>
                <w:sz w:val="18"/>
                <w:szCs w:val="18"/>
                <w:highlight w:val="none"/>
              </w:rPr>
            </w:pPr>
          </w:p>
        </w:tc>
        <w:tc>
          <w:tcPr>
            <w:tcW w:w="325" w:type="pct"/>
            <w:tcBorders>
              <w:top w:val="nil"/>
              <w:left w:val="nil"/>
              <w:bottom w:val="single" w:color="auto" w:sz="4" w:space="0"/>
              <w:right w:val="single" w:color="auto" w:sz="4" w:space="0"/>
            </w:tcBorders>
            <w:noWrap w:val="0"/>
            <w:vAlign w:val="center"/>
          </w:tcPr>
          <w:p>
            <w:pPr>
              <w:jc w:val="center"/>
              <w:rPr>
                <w:rFonts w:ascii="仿宋_GB2312" w:hAnsi="宋体" w:eastAsia="仿宋_GB2312" w:cs="宋体"/>
                <w:b/>
                <w:bCs/>
                <w:color w:val="auto"/>
                <w:sz w:val="18"/>
                <w:szCs w:val="18"/>
                <w:highlight w:val="none"/>
              </w:rPr>
            </w:pPr>
          </w:p>
        </w:tc>
        <w:tc>
          <w:tcPr>
            <w:tcW w:w="357" w:type="pct"/>
            <w:tcBorders>
              <w:top w:val="nil"/>
              <w:left w:val="nil"/>
              <w:bottom w:val="single" w:color="auto" w:sz="4" w:space="0"/>
              <w:right w:val="single" w:color="auto" w:sz="4" w:space="0"/>
            </w:tcBorders>
            <w:noWrap w:val="0"/>
            <w:vAlign w:val="center"/>
          </w:tcPr>
          <w:p>
            <w:pPr>
              <w:jc w:val="center"/>
              <w:rPr>
                <w:rFonts w:ascii="仿宋_GB2312" w:hAnsi="宋体" w:eastAsia="仿宋_GB2312" w:cs="宋体"/>
                <w:b/>
                <w:bCs/>
                <w:color w:val="auto"/>
                <w:sz w:val="18"/>
                <w:szCs w:val="18"/>
                <w:highlight w:val="none"/>
              </w:rPr>
            </w:pPr>
          </w:p>
        </w:tc>
        <w:tc>
          <w:tcPr>
            <w:tcW w:w="357" w:type="pct"/>
            <w:tcBorders>
              <w:top w:val="nil"/>
              <w:left w:val="nil"/>
              <w:bottom w:val="single" w:color="auto" w:sz="4" w:space="0"/>
              <w:right w:val="single" w:color="auto" w:sz="4" w:space="0"/>
            </w:tcBorders>
            <w:noWrap w:val="0"/>
            <w:vAlign w:val="center"/>
          </w:tcPr>
          <w:p>
            <w:pPr>
              <w:jc w:val="center"/>
              <w:rPr>
                <w:rFonts w:ascii="仿宋_GB2312" w:hAnsi="宋体" w:eastAsia="仿宋_GB2312" w:cs="宋体"/>
                <w:b/>
                <w:bCs/>
                <w:color w:val="auto"/>
                <w:sz w:val="18"/>
                <w:szCs w:val="18"/>
                <w:highlight w:val="none"/>
              </w:rPr>
            </w:pPr>
          </w:p>
        </w:tc>
        <w:tc>
          <w:tcPr>
            <w:tcW w:w="295" w:type="pct"/>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b/>
                <w:bCs/>
                <w:color w:val="auto"/>
                <w:sz w:val="18"/>
                <w:szCs w:val="18"/>
                <w:highlight w:val="none"/>
              </w:rPr>
            </w:pPr>
          </w:p>
        </w:tc>
        <w:tc>
          <w:tcPr>
            <w:tcW w:w="373" w:type="pct"/>
            <w:tcBorders>
              <w:top w:val="nil"/>
              <w:left w:val="single" w:color="auto" w:sz="4" w:space="0"/>
              <w:bottom w:val="single" w:color="auto" w:sz="4" w:space="0"/>
              <w:right w:val="single" w:color="auto" w:sz="4" w:space="0"/>
            </w:tcBorders>
            <w:noWrap w:val="0"/>
            <w:vAlign w:val="center"/>
          </w:tcPr>
          <w:p>
            <w:pPr>
              <w:jc w:val="center"/>
              <w:rPr>
                <w:rFonts w:hint="default" w:ascii="仿宋_GB2312" w:eastAsia="仿宋_GB2312"/>
                <w:b/>
                <w:bCs/>
                <w:color w:val="auto"/>
                <w:sz w:val="18"/>
                <w:szCs w:val="18"/>
                <w:highlight w:val="none"/>
                <w:lang w:val="en-US" w:eastAsia="zh-CN"/>
              </w:rPr>
            </w:pPr>
            <w:r>
              <w:rPr>
                <w:rFonts w:hint="eastAsia" w:ascii="仿宋_GB2312" w:eastAsia="仿宋_GB2312"/>
                <w:b/>
                <w:bCs/>
                <w:color w:val="auto"/>
                <w:sz w:val="18"/>
                <w:szCs w:val="18"/>
                <w:highlight w:val="none"/>
                <w:lang w:val="en-US" w:eastAsia="zh-CN"/>
              </w:rPr>
              <w:t>35.22</w:t>
            </w:r>
          </w:p>
        </w:tc>
        <w:tc>
          <w:tcPr>
            <w:tcW w:w="319" w:type="pct"/>
            <w:tcBorders>
              <w:top w:val="nil"/>
              <w:left w:val="single" w:color="auto" w:sz="4" w:space="0"/>
              <w:bottom w:val="single" w:color="auto" w:sz="4" w:space="0"/>
              <w:right w:val="single" w:color="auto" w:sz="4" w:space="0"/>
            </w:tcBorders>
            <w:noWrap w:val="0"/>
            <w:vAlign w:val="center"/>
          </w:tcPr>
          <w:p>
            <w:pPr>
              <w:jc w:val="center"/>
              <w:rPr>
                <w:rFonts w:hint="default" w:ascii="仿宋_GB2312" w:eastAsia="仿宋_GB2312"/>
                <w:b/>
                <w:bCs/>
                <w:color w:val="auto"/>
                <w:sz w:val="18"/>
                <w:szCs w:val="18"/>
                <w:highlight w:val="none"/>
                <w:lang w:val="en-US" w:eastAsia="zh-CN"/>
              </w:rPr>
            </w:pPr>
            <w:r>
              <w:rPr>
                <w:rFonts w:hint="eastAsia" w:ascii="仿宋_GB2312" w:eastAsia="仿宋_GB2312"/>
                <w:b/>
                <w:bCs/>
                <w:color w:val="auto"/>
                <w:sz w:val="18"/>
                <w:szCs w:val="18"/>
                <w:highlight w:val="none"/>
                <w:lang w:val="en-US" w:eastAsia="zh-CN"/>
              </w:rPr>
              <w:t>9.66</w:t>
            </w:r>
          </w:p>
        </w:tc>
        <w:tc>
          <w:tcPr>
            <w:tcW w:w="242" w:type="pct"/>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b/>
                <w:bCs/>
                <w:color w:val="auto"/>
                <w:sz w:val="18"/>
                <w:szCs w:val="18"/>
                <w:highlight w:val="none"/>
              </w:rPr>
            </w:pPr>
          </w:p>
        </w:tc>
      </w:tr>
      <w:tr>
        <w:tblPrEx>
          <w:tblCellMar>
            <w:top w:w="0" w:type="dxa"/>
            <w:left w:w="108" w:type="dxa"/>
            <w:bottom w:w="0" w:type="dxa"/>
            <w:right w:w="108" w:type="dxa"/>
          </w:tblCellMar>
        </w:tblPrEx>
        <w:trPr>
          <w:trHeight w:val="465" w:hRule="atLeast"/>
        </w:trPr>
        <w:tc>
          <w:tcPr>
            <w:tcW w:w="300" w:type="pct"/>
            <w:tcBorders>
              <w:top w:val="nil"/>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208</w:t>
            </w:r>
          </w:p>
        </w:tc>
        <w:tc>
          <w:tcPr>
            <w:tcW w:w="192" w:type="pct"/>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01</w:t>
            </w:r>
          </w:p>
        </w:tc>
        <w:tc>
          <w:tcPr>
            <w:tcW w:w="198" w:type="pct"/>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09</w:t>
            </w:r>
          </w:p>
        </w:tc>
        <w:tc>
          <w:tcPr>
            <w:tcW w:w="425" w:type="pct"/>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社会保险经办机构</w:t>
            </w:r>
          </w:p>
        </w:tc>
        <w:tc>
          <w:tcPr>
            <w:tcW w:w="410" w:type="pct"/>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660.26</w:t>
            </w:r>
          </w:p>
        </w:tc>
        <w:tc>
          <w:tcPr>
            <w:tcW w:w="379" w:type="pct"/>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625.04</w:t>
            </w:r>
          </w:p>
        </w:tc>
        <w:tc>
          <w:tcPr>
            <w:tcW w:w="364" w:type="pct"/>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625.04</w:t>
            </w:r>
          </w:p>
        </w:tc>
        <w:tc>
          <w:tcPr>
            <w:tcW w:w="281" w:type="pct"/>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175" w:type="pct"/>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325" w:type="pct"/>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357" w:type="pct"/>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357" w:type="pct"/>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295" w:type="pct"/>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373" w:type="pct"/>
            <w:tcBorders>
              <w:top w:val="nil"/>
              <w:left w:val="single" w:color="auto" w:sz="4" w:space="0"/>
              <w:bottom w:val="single" w:color="auto" w:sz="4" w:space="0"/>
              <w:right w:val="single" w:color="auto" w:sz="4" w:space="0"/>
            </w:tcBorders>
            <w:noWrap w:val="0"/>
            <w:vAlign w:val="center"/>
          </w:tcPr>
          <w:p>
            <w:pPr>
              <w:jc w:val="center"/>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35.22</w:t>
            </w:r>
          </w:p>
        </w:tc>
        <w:tc>
          <w:tcPr>
            <w:tcW w:w="319" w:type="pct"/>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242" w:type="pct"/>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r>
      <w:tr>
        <w:tblPrEx>
          <w:tblCellMar>
            <w:top w:w="0" w:type="dxa"/>
            <w:left w:w="108" w:type="dxa"/>
            <w:bottom w:w="0" w:type="dxa"/>
            <w:right w:w="108" w:type="dxa"/>
          </w:tblCellMar>
        </w:tblPrEx>
        <w:trPr>
          <w:trHeight w:val="465" w:hRule="atLeast"/>
        </w:trPr>
        <w:tc>
          <w:tcPr>
            <w:tcW w:w="300" w:type="pct"/>
            <w:tcBorders>
              <w:top w:val="nil"/>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208</w:t>
            </w:r>
          </w:p>
        </w:tc>
        <w:tc>
          <w:tcPr>
            <w:tcW w:w="192" w:type="pct"/>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01</w:t>
            </w:r>
          </w:p>
        </w:tc>
        <w:tc>
          <w:tcPr>
            <w:tcW w:w="198" w:type="pct"/>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99</w:t>
            </w:r>
          </w:p>
        </w:tc>
        <w:tc>
          <w:tcPr>
            <w:tcW w:w="425" w:type="pct"/>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其他人力资源和社会保障管理事务支出</w:t>
            </w:r>
          </w:p>
        </w:tc>
        <w:tc>
          <w:tcPr>
            <w:tcW w:w="410" w:type="pct"/>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9.66</w:t>
            </w:r>
          </w:p>
        </w:tc>
        <w:tc>
          <w:tcPr>
            <w:tcW w:w="379" w:type="pct"/>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364" w:type="pct"/>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281" w:type="pct"/>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175" w:type="pct"/>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325" w:type="pct"/>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357" w:type="pct"/>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357" w:type="pct"/>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295" w:type="pct"/>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373" w:type="pct"/>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319" w:type="pct"/>
            <w:tcBorders>
              <w:top w:val="nil"/>
              <w:left w:val="single" w:color="auto" w:sz="4" w:space="0"/>
              <w:bottom w:val="single" w:color="auto" w:sz="4" w:space="0"/>
              <w:right w:val="single" w:color="auto" w:sz="4" w:space="0"/>
            </w:tcBorders>
            <w:noWrap w:val="0"/>
            <w:vAlign w:val="center"/>
          </w:tcPr>
          <w:p>
            <w:pPr>
              <w:jc w:val="center"/>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9.66</w:t>
            </w:r>
          </w:p>
        </w:tc>
        <w:tc>
          <w:tcPr>
            <w:tcW w:w="242" w:type="pct"/>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r>
      <w:tr>
        <w:tblPrEx>
          <w:tblCellMar>
            <w:top w:w="0" w:type="dxa"/>
            <w:left w:w="108" w:type="dxa"/>
            <w:bottom w:w="0" w:type="dxa"/>
            <w:right w:w="108" w:type="dxa"/>
          </w:tblCellMar>
        </w:tblPrEx>
        <w:trPr>
          <w:trHeight w:val="465" w:hRule="atLeast"/>
        </w:trPr>
        <w:tc>
          <w:tcPr>
            <w:tcW w:w="300" w:type="pct"/>
            <w:tcBorders>
              <w:top w:val="nil"/>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b/>
                <w:bCs/>
                <w:color w:val="auto"/>
                <w:sz w:val="18"/>
                <w:szCs w:val="18"/>
                <w:highlight w:val="none"/>
              </w:rPr>
            </w:pPr>
            <w:r>
              <w:rPr>
                <w:rFonts w:hint="eastAsia" w:ascii="仿宋_GB2312" w:eastAsia="仿宋_GB2312"/>
                <w:b/>
                <w:bCs/>
                <w:color w:val="auto"/>
                <w:sz w:val="18"/>
                <w:szCs w:val="18"/>
                <w:highlight w:val="none"/>
                <w:lang w:val="en-US" w:eastAsia="zh-CN"/>
              </w:rPr>
              <w:t>208</w:t>
            </w:r>
          </w:p>
        </w:tc>
        <w:tc>
          <w:tcPr>
            <w:tcW w:w="192" w:type="pct"/>
            <w:tcBorders>
              <w:top w:val="nil"/>
              <w:left w:val="nil"/>
              <w:bottom w:val="single" w:color="auto" w:sz="4" w:space="0"/>
              <w:right w:val="single" w:color="auto" w:sz="4" w:space="0"/>
            </w:tcBorders>
            <w:noWrap w:val="0"/>
            <w:vAlign w:val="center"/>
          </w:tcPr>
          <w:p>
            <w:pPr>
              <w:jc w:val="center"/>
              <w:rPr>
                <w:rFonts w:ascii="仿宋_GB2312" w:hAnsi="宋体" w:eastAsia="仿宋_GB2312" w:cs="宋体"/>
                <w:b/>
                <w:bCs/>
                <w:color w:val="auto"/>
                <w:sz w:val="18"/>
                <w:szCs w:val="18"/>
                <w:highlight w:val="none"/>
              </w:rPr>
            </w:pPr>
            <w:r>
              <w:rPr>
                <w:rFonts w:hint="eastAsia" w:ascii="仿宋_GB2312" w:eastAsia="仿宋_GB2312"/>
                <w:b/>
                <w:bCs/>
                <w:color w:val="auto"/>
                <w:sz w:val="18"/>
                <w:szCs w:val="18"/>
                <w:highlight w:val="none"/>
                <w:lang w:val="en-US" w:eastAsia="zh-CN"/>
              </w:rPr>
              <w:t>05</w:t>
            </w:r>
          </w:p>
        </w:tc>
        <w:tc>
          <w:tcPr>
            <w:tcW w:w="198" w:type="pct"/>
            <w:tcBorders>
              <w:top w:val="nil"/>
              <w:left w:val="nil"/>
              <w:bottom w:val="single" w:color="auto" w:sz="4" w:space="0"/>
              <w:right w:val="single" w:color="auto" w:sz="4" w:space="0"/>
            </w:tcBorders>
            <w:noWrap w:val="0"/>
            <w:vAlign w:val="center"/>
          </w:tcPr>
          <w:p>
            <w:pPr>
              <w:jc w:val="center"/>
              <w:rPr>
                <w:rFonts w:ascii="仿宋_GB2312" w:hAnsi="宋体" w:eastAsia="仿宋_GB2312" w:cs="宋体"/>
                <w:b/>
                <w:bCs/>
                <w:color w:val="auto"/>
                <w:sz w:val="18"/>
                <w:szCs w:val="18"/>
                <w:highlight w:val="none"/>
              </w:rPr>
            </w:pPr>
          </w:p>
        </w:tc>
        <w:tc>
          <w:tcPr>
            <w:tcW w:w="425" w:type="pct"/>
            <w:tcBorders>
              <w:top w:val="nil"/>
              <w:left w:val="nil"/>
              <w:bottom w:val="single" w:color="auto" w:sz="4" w:space="0"/>
              <w:right w:val="single" w:color="auto" w:sz="4" w:space="0"/>
            </w:tcBorders>
            <w:noWrap w:val="0"/>
            <w:vAlign w:val="center"/>
          </w:tcPr>
          <w:p>
            <w:pPr>
              <w:jc w:val="center"/>
              <w:rPr>
                <w:rFonts w:ascii="仿宋_GB2312" w:hAnsi="宋体" w:eastAsia="仿宋_GB2312" w:cs="宋体"/>
                <w:b/>
                <w:bCs/>
                <w:color w:val="auto"/>
                <w:sz w:val="18"/>
                <w:szCs w:val="18"/>
                <w:highlight w:val="none"/>
              </w:rPr>
            </w:pPr>
            <w:r>
              <w:rPr>
                <w:rFonts w:hint="eastAsia" w:ascii="仿宋_GB2312" w:eastAsia="仿宋_GB2312"/>
                <w:b/>
                <w:bCs/>
                <w:color w:val="auto"/>
                <w:sz w:val="18"/>
                <w:szCs w:val="18"/>
                <w:highlight w:val="none"/>
              </w:rPr>
              <w:t>行政事业单位养老支出</w:t>
            </w:r>
          </w:p>
        </w:tc>
        <w:tc>
          <w:tcPr>
            <w:tcW w:w="410" w:type="pct"/>
            <w:tcBorders>
              <w:top w:val="nil"/>
              <w:left w:val="nil"/>
              <w:bottom w:val="single" w:color="auto" w:sz="4" w:space="0"/>
              <w:right w:val="single" w:color="auto" w:sz="4" w:space="0"/>
            </w:tcBorders>
            <w:noWrap w:val="0"/>
            <w:vAlign w:val="center"/>
          </w:tcPr>
          <w:p>
            <w:pPr>
              <w:jc w:val="center"/>
              <w:rPr>
                <w:rFonts w:ascii="仿宋_GB2312" w:hAnsi="宋体" w:eastAsia="仿宋_GB2312" w:cs="宋体"/>
                <w:b/>
                <w:bCs/>
                <w:color w:val="auto"/>
                <w:sz w:val="18"/>
                <w:szCs w:val="18"/>
                <w:highlight w:val="none"/>
              </w:rPr>
            </w:pPr>
            <w:r>
              <w:rPr>
                <w:rFonts w:hint="eastAsia" w:ascii="仿宋_GB2312" w:eastAsia="仿宋_GB2312"/>
                <w:b/>
                <w:bCs/>
                <w:color w:val="auto"/>
                <w:sz w:val="18"/>
                <w:szCs w:val="18"/>
                <w:highlight w:val="none"/>
              </w:rPr>
              <w:t>41.12</w:t>
            </w:r>
          </w:p>
        </w:tc>
        <w:tc>
          <w:tcPr>
            <w:tcW w:w="379" w:type="pct"/>
            <w:tcBorders>
              <w:top w:val="nil"/>
              <w:left w:val="nil"/>
              <w:bottom w:val="single" w:color="auto" w:sz="4" w:space="0"/>
              <w:right w:val="single" w:color="auto" w:sz="4" w:space="0"/>
            </w:tcBorders>
            <w:noWrap w:val="0"/>
            <w:vAlign w:val="center"/>
          </w:tcPr>
          <w:p>
            <w:pPr>
              <w:jc w:val="center"/>
              <w:rPr>
                <w:rFonts w:ascii="仿宋_GB2312" w:hAnsi="宋体" w:eastAsia="仿宋_GB2312" w:cs="宋体"/>
                <w:b/>
                <w:bCs/>
                <w:color w:val="auto"/>
                <w:sz w:val="18"/>
                <w:szCs w:val="18"/>
                <w:highlight w:val="none"/>
              </w:rPr>
            </w:pPr>
            <w:r>
              <w:rPr>
                <w:rFonts w:hint="eastAsia" w:ascii="仿宋_GB2312" w:eastAsia="仿宋_GB2312"/>
                <w:b/>
                <w:bCs/>
                <w:color w:val="auto"/>
                <w:sz w:val="18"/>
                <w:szCs w:val="18"/>
                <w:highlight w:val="none"/>
              </w:rPr>
              <w:t>41.12</w:t>
            </w:r>
          </w:p>
        </w:tc>
        <w:tc>
          <w:tcPr>
            <w:tcW w:w="364" w:type="pct"/>
            <w:tcBorders>
              <w:top w:val="nil"/>
              <w:left w:val="nil"/>
              <w:bottom w:val="single" w:color="auto" w:sz="4" w:space="0"/>
              <w:right w:val="single" w:color="auto" w:sz="4" w:space="0"/>
            </w:tcBorders>
            <w:noWrap w:val="0"/>
            <w:vAlign w:val="center"/>
          </w:tcPr>
          <w:p>
            <w:pPr>
              <w:jc w:val="center"/>
              <w:rPr>
                <w:rFonts w:ascii="仿宋_GB2312" w:hAnsi="宋体" w:eastAsia="仿宋_GB2312" w:cs="宋体"/>
                <w:b/>
                <w:bCs/>
                <w:color w:val="auto"/>
                <w:sz w:val="18"/>
                <w:szCs w:val="18"/>
                <w:highlight w:val="none"/>
              </w:rPr>
            </w:pPr>
            <w:r>
              <w:rPr>
                <w:rFonts w:hint="eastAsia" w:ascii="仿宋_GB2312" w:eastAsia="仿宋_GB2312"/>
                <w:b/>
                <w:bCs/>
                <w:color w:val="auto"/>
                <w:sz w:val="18"/>
                <w:szCs w:val="18"/>
                <w:highlight w:val="none"/>
              </w:rPr>
              <w:t>41.12</w:t>
            </w:r>
          </w:p>
        </w:tc>
        <w:tc>
          <w:tcPr>
            <w:tcW w:w="281" w:type="pct"/>
            <w:tcBorders>
              <w:top w:val="nil"/>
              <w:left w:val="nil"/>
              <w:bottom w:val="single" w:color="auto" w:sz="4" w:space="0"/>
              <w:right w:val="single" w:color="auto" w:sz="4" w:space="0"/>
            </w:tcBorders>
            <w:noWrap w:val="0"/>
            <w:vAlign w:val="center"/>
          </w:tcPr>
          <w:p>
            <w:pPr>
              <w:jc w:val="center"/>
              <w:rPr>
                <w:rFonts w:ascii="仿宋_GB2312" w:hAnsi="宋体" w:eastAsia="仿宋_GB2312" w:cs="宋体"/>
                <w:b/>
                <w:bCs/>
                <w:color w:val="auto"/>
                <w:sz w:val="18"/>
                <w:szCs w:val="18"/>
                <w:highlight w:val="none"/>
              </w:rPr>
            </w:pPr>
          </w:p>
        </w:tc>
        <w:tc>
          <w:tcPr>
            <w:tcW w:w="175" w:type="pct"/>
            <w:tcBorders>
              <w:top w:val="nil"/>
              <w:left w:val="nil"/>
              <w:bottom w:val="single" w:color="auto" w:sz="4" w:space="0"/>
              <w:right w:val="single" w:color="auto" w:sz="4" w:space="0"/>
            </w:tcBorders>
            <w:noWrap w:val="0"/>
            <w:vAlign w:val="center"/>
          </w:tcPr>
          <w:p>
            <w:pPr>
              <w:jc w:val="center"/>
              <w:rPr>
                <w:rFonts w:ascii="仿宋_GB2312" w:hAnsi="宋体" w:eastAsia="仿宋_GB2312" w:cs="宋体"/>
                <w:b/>
                <w:bCs/>
                <w:color w:val="auto"/>
                <w:sz w:val="18"/>
                <w:szCs w:val="18"/>
                <w:highlight w:val="none"/>
              </w:rPr>
            </w:pPr>
          </w:p>
        </w:tc>
        <w:tc>
          <w:tcPr>
            <w:tcW w:w="325" w:type="pct"/>
            <w:tcBorders>
              <w:top w:val="nil"/>
              <w:left w:val="nil"/>
              <w:bottom w:val="single" w:color="auto" w:sz="4" w:space="0"/>
              <w:right w:val="single" w:color="auto" w:sz="4" w:space="0"/>
            </w:tcBorders>
            <w:noWrap w:val="0"/>
            <w:vAlign w:val="center"/>
          </w:tcPr>
          <w:p>
            <w:pPr>
              <w:jc w:val="center"/>
              <w:rPr>
                <w:rFonts w:ascii="仿宋_GB2312" w:hAnsi="宋体" w:eastAsia="仿宋_GB2312" w:cs="宋体"/>
                <w:b/>
                <w:bCs/>
                <w:color w:val="auto"/>
                <w:sz w:val="18"/>
                <w:szCs w:val="18"/>
                <w:highlight w:val="none"/>
              </w:rPr>
            </w:pPr>
          </w:p>
        </w:tc>
        <w:tc>
          <w:tcPr>
            <w:tcW w:w="357" w:type="pct"/>
            <w:tcBorders>
              <w:top w:val="nil"/>
              <w:left w:val="nil"/>
              <w:bottom w:val="single" w:color="auto" w:sz="4" w:space="0"/>
              <w:right w:val="single" w:color="auto" w:sz="4" w:space="0"/>
            </w:tcBorders>
            <w:noWrap w:val="0"/>
            <w:vAlign w:val="center"/>
          </w:tcPr>
          <w:p>
            <w:pPr>
              <w:jc w:val="center"/>
              <w:rPr>
                <w:rFonts w:ascii="仿宋_GB2312" w:hAnsi="宋体" w:eastAsia="仿宋_GB2312" w:cs="宋体"/>
                <w:b/>
                <w:bCs/>
                <w:color w:val="auto"/>
                <w:sz w:val="18"/>
                <w:szCs w:val="18"/>
                <w:highlight w:val="none"/>
              </w:rPr>
            </w:pPr>
          </w:p>
        </w:tc>
        <w:tc>
          <w:tcPr>
            <w:tcW w:w="357" w:type="pct"/>
            <w:tcBorders>
              <w:top w:val="nil"/>
              <w:left w:val="nil"/>
              <w:bottom w:val="single" w:color="auto" w:sz="4" w:space="0"/>
              <w:right w:val="single" w:color="auto" w:sz="4" w:space="0"/>
            </w:tcBorders>
            <w:noWrap w:val="0"/>
            <w:vAlign w:val="center"/>
          </w:tcPr>
          <w:p>
            <w:pPr>
              <w:jc w:val="center"/>
              <w:rPr>
                <w:rFonts w:ascii="仿宋_GB2312" w:hAnsi="宋体" w:eastAsia="仿宋_GB2312" w:cs="宋体"/>
                <w:b/>
                <w:bCs/>
                <w:color w:val="auto"/>
                <w:sz w:val="18"/>
                <w:szCs w:val="18"/>
                <w:highlight w:val="none"/>
              </w:rPr>
            </w:pPr>
          </w:p>
        </w:tc>
        <w:tc>
          <w:tcPr>
            <w:tcW w:w="295" w:type="pct"/>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b/>
                <w:bCs/>
                <w:color w:val="auto"/>
                <w:sz w:val="18"/>
                <w:szCs w:val="18"/>
                <w:highlight w:val="none"/>
              </w:rPr>
            </w:pPr>
          </w:p>
        </w:tc>
        <w:tc>
          <w:tcPr>
            <w:tcW w:w="373" w:type="pct"/>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b/>
                <w:bCs/>
                <w:color w:val="auto"/>
                <w:sz w:val="18"/>
                <w:szCs w:val="18"/>
                <w:highlight w:val="none"/>
              </w:rPr>
            </w:pPr>
          </w:p>
        </w:tc>
        <w:tc>
          <w:tcPr>
            <w:tcW w:w="319" w:type="pct"/>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b/>
                <w:bCs/>
                <w:color w:val="auto"/>
                <w:sz w:val="18"/>
                <w:szCs w:val="18"/>
                <w:highlight w:val="none"/>
              </w:rPr>
            </w:pPr>
          </w:p>
        </w:tc>
        <w:tc>
          <w:tcPr>
            <w:tcW w:w="242" w:type="pct"/>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b/>
                <w:bCs/>
                <w:color w:val="auto"/>
                <w:sz w:val="18"/>
                <w:szCs w:val="18"/>
                <w:highlight w:val="none"/>
              </w:rPr>
            </w:pPr>
          </w:p>
        </w:tc>
      </w:tr>
      <w:tr>
        <w:tblPrEx>
          <w:tblCellMar>
            <w:top w:w="0" w:type="dxa"/>
            <w:left w:w="108" w:type="dxa"/>
            <w:bottom w:w="0" w:type="dxa"/>
            <w:right w:w="108" w:type="dxa"/>
          </w:tblCellMar>
        </w:tblPrEx>
        <w:trPr>
          <w:trHeight w:val="465" w:hRule="atLeast"/>
        </w:trPr>
        <w:tc>
          <w:tcPr>
            <w:tcW w:w="300" w:type="pct"/>
            <w:tcBorders>
              <w:top w:val="nil"/>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208</w:t>
            </w:r>
          </w:p>
        </w:tc>
        <w:tc>
          <w:tcPr>
            <w:tcW w:w="192" w:type="pct"/>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05</w:t>
            </w:r>
          </w:p>
        </w:tc>
        <w:tc>
          <w:tcPr>
            <w:tcW w:w="198" w:type="pct"/>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02</w:t>
            </w:r>
          </w:p>
        </w:tc>
        <w:tc>
          <w:tcPr>
            <w:tcW w:w="425" w:type="pct"/>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事业单位离退休</w:t>
            </w:r>
          </w:p>
        </w:tc>
        <w:tc>
          <w:tcPr>
            <w:tcW w:w="410" w:type="pct"/>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9.43</w:t>
            </w:r>
          </w:p>
        </w:tc>
        <w:tc>
          <w:tcPr>
            <w:tcW w:w="379" w:type="pct"/>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9.43</w:t>
            </w:r>
          </w:p>
        </w:tc>
        <w:tc>
          <w:tcPr>
            <w:tcW w:w="364" w:type="pct"/>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9.43</w:t>
            </w:r>
          </w:p>
        </w:tc>
        <w:tc>
          <w:tcPr>
            <w:tcW w:w="281" w:type="pct"/>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175" w:type="pct"/>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325" w:type="pct"/>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357" w:type="pct"/>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357" w:type="pct"/>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295" w:type="pct"/>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373" w:type="pct"/>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319" w:type="pct"/>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242" w:type="pct"/>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r>
      <w:tr>
        <w:tblPrEx>
          <w:tblCellMar>
            <w:top w:w="0" w:type="dxa"/>
            <w:left w:w="108" w:type="dxa"/>
            <w:bottom w:w="0" w:type="dxa"/>
            <w:right w:w="108" w:type="dxa"/>
          </w:tblCellMar>
        </w:tblPrEx>
        <w:trPr>
          <w:trHeight w:val="465" w:hRule="atLeast"/>
        </w:trPr>
        <w:tc>
          <w:tcPr>
            <w:tcW w:w="300" w:type="pct"/>
            <w:tcBorders>
              <w:top w:val="nil"/>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208</w:t>
            </w:r>
          </w:p>
        </w:tc>
        <w:tc>
          <w:tcPr>
            <w:tcW w:w="192" w:type="pct"/>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05</w:t>
            </w:r>
          </w:p>
        </w:tc>
        <w:tc>
          <w:tcPr>
            <w:tcW w:w="198" w:type="pct"/>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05</w:t>
            </w:r>
          </w:p>
        </w:tc>
        <w:tc>
          <w:tcPr>
            <w:tcW w:w="425" w:type="pct"/>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机关事业单位基本养老保险缴费支出</w:t>
            </w:r>
          </w:p>
        </w:tc>
        <w:tc>
          <w:tcPr>
            <w:tcW w:w="410" w:type="pct"/>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31.69</w:t>
            </w:r>
          </w:p>
        </w:tc>
        <w:tc>
          <w:tcPr>
            <w:tcW w:w="379" w:type="pct"/>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31.69</w:t>
            </w:r>
          </w:p>
        </w:tc>
        <w:tc>
          <w:tcPr>
            <w:tcW w:w="364" w:type="pct"/>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31.69</w:t>
            </w:r>
          </w:p>
        </w:tc>
        <w:tc>
          <w:tcPr>
            <w:tcW w:w="281" w:type="pct"/>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175" w:type="pct"/>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325" w:type="pct"/>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357" w:type="pct"/>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357" w:type="pct"/>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295" w:type="pct"/>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373" w:type="pct"/>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319" w:type="pct"/>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242" w:type="pct"/>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r>
      <w:tr>
        <w:tblPrEx>
          <w:tblCellMar>
            <w:top w:w="0" w:type="dxa"/>
            <w:left w:w="108" w:type="dxa"/>
            <w:bottom w:w="0" w:type="dxa"/>
            <w:right w:w="108" w:type="dxa"/>
          </w:tblCellMar>
        </w:tblPrEx>
        <w:trPr>
          <w:trHeight w:val="465" w:hRule="atLeast"/>
        </w:trPr>
        <w:tc>
          <w:tcPr>
            <w:tcW w:w="300" w:type="pct"/>
            <w:tcBorders>
              <w:top w:val="nil"/>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b/>
                <w:bCs/>
                <w:color w:val="auto"/>
                <w:sz w:val="18"/>
                <w:szCs w:val="18"/>
                <w:highlight w:val="none"/>
              </w:rPr>
            </w:pPr>
            <w:r>
              <w:rPr>
                <w:rFonts w:hint="eastAsia" w:ascii="仿宋_GB2312" w:eastAsia="仿宋_GB2312"/>
                <w:b/>
                <w:bCs/>
                <w:color w:val="auto"/>
                <w:sz w:val="18"/>
                <w:szCs w:val="18"/>
                <w:highlight w:val="none"/>
                <w:lang w:val="en-US" w:eastAsia="zh-CN"/>
              </w:rPr>
              <w:t>208</w:t>
            </w:r>
          </w:p>
        </w:tc>
        <w:tc>
          <w:tcPr>
            <w:tcW w:w="192" w:type="pct"/>
            <w:tcBorders>
              <w:top w:val="nil"/>
              <w:left w:val="nil"/>
              <w:bottom w:val="single" w:color="auto" w:sz="4" w:space="0"/>
              <w:right w:val="single" w:color="auto" w:sz="4" w:space="0"/>
            </w:tcBorders>
            <w:noWrap w:val="0"/>
            <w:vAlign w:val="center"/>
          </w:tcPr>
          <w:p>
            <w:pPr>
              <w:jc w:val="center"/>
              <w:rPr>
                <w:rFonts w:ascii="仿宋_GB2312" w:hAnsi="宋体" w:eastAsia="仿宋_GB2312" w:cs="宋体"/>
                <w:b/>
                <w:bCs/>
                <w:color w:val="auto"/>
                <w:sz w:val="18"/>
                <w:szCs w:val="18"/>
                <w:highlight w:val="none"/>
              </w:rPr>
            </w:pPr>
            <w:r>
              <w:rPr>
                <w:rFonts w:hint="eastAsia" w:ascii="仿宋_GB2312" w:eastAsia="仿宋_GB2312"/>
                <w:b/>
                <w:bCs/>
                <w:color w:val="auto"/>
                <w:sz w:val="18"/>
                <w:szCs w:val="18"/>
                <w:highlight w:val="none"/>
                <w:lang w:val="en-US" w:eastAsia="zh-CN"/>
              </w:rPr>
              <w:t>06</w:t>
            </w:r>
          </w:p>
        </w:tc>
        <w:tc>
          <w:tcPr>
            <w:tcW w:w="198" w:type="pct"/>
            <w:tcBorders>
              <w:top w:val="nil"/>
              <w:left w:val="nil"/>
              <w:bottom w:val="single" w:color="auto" w:sz="4" w:space="0"/>
              <w:right w:val="single" w:color="auto" w:sz="4" w:space="0"/>
            </w:tcBorders>
            <w:noWrap w:val="0"/>
            <w:vAlign w:val="center"/>
          </w:tcPr>
          <w:p>
            <w:pPr>
              <w:jc w:val="center"/>
              <w:rPr>
                <w:rFonts w:ascii="仿宋_GB2312" w:hAnsi="宋体" w:eastAsia="仿宋_GB2312" w:cs="宋体"/>
                <w:b/>
                <w:bCs/>
                <w:color w:val="auto"/>
                <w:sz w:val="18"/>
                <w:szCs w:val="18"/>
                <w:highlight w:val="none"/>
              </w:rPr>
            </w:pPr>
          </w:p>
        </w:tc>
        <w:tc>
          <w:tcPr>
            <w:tcW w:w="425" w:type="pct"/>
            <w:tcBorders>
              <w:top w:val="nil"/>
              <w:left w:val="nil"/>
              <w:bottom w:val="single" w:color="auto" w:sz="4" w:space="0"/>
              <w:right w:val="single" w:color="auto" w:sz="4" w:space="0"/>
            </w:tcBorders>
            <w:noWrap w:val="0"/>
            <w:vAlign w:val="center"/>
          </w:tcPr>
          <w:p>
            <w:pPr>
              <w:jc w:val="center"/>
              <w:rPr>
                <w:rFonts w:ascii="仿宋_GB2312" w:hAnsi="宋体" w:eastAsia="仿宋_GB2312" w:cs="宋体"/>
                <w:b/>
                <w:bCs/>
                <w:color w:val="auto"/>
                <w:sz w:val="18"/>
                <w:szCs w:val="18"/>
                <w:highlight w:val="none"/>
              </w:rPr>
            </w:pPr>
            <w:r>
              <w:rPr>
                <w:rFonts w:hint="eastAsia" w:ascii="仿宋_GB2312" w:eastAsia="仿宋_GB2312"/>
                <w:b/>
                <w:bCs/>
                <w:color w:val="auto"/>
                <w:sz w:val="18"/>
                <w:szCs w:val="18"/>
                <w:highlight w:val="none"/>
              </w:rPr>
              <w:t>企业改革补助</w:t>
            </w:r>
          </w:p>
        </w:tc>
        <w:tc>
          <w:tcPr>
            <w:tcW w:w="410" w:type="pct"/>
            <w:tcBorders>
              <w:top w:val="nil"/>
              <w:left w:val="nil"/>
              <w:bottom w:val="single" w:color="auto" w:sz="4" w:space="0"/>
              <w:right w:val="single" w:color="auto" w:sz="4" w:space="0"/>
            </w:tcBorders>
            <w:noWrap w:val="0"/>
            <w:vAlign w:val="center"/>
          </w:tcPr>
          <w:p>
            <w:pPr>
              <w:jc w:val="center"/>
              <w:rPr>
                <w:rFonts w:ascii="仿宋_GB2312" w:hAnsi="宋体" w:eastAsia="仿宋_GB2312" w:cs="宋体"/>
                <w:b/>
                <w:bCs/>
                <w:color w:val="auto"/>
                <w:sz w:val="18"/>
                <w:szCs w:val="18"/>
                <w:highlight w:val="none"/>
              </w:rPr>
            </w:pPr>
            <w:r>
              <w:rPr>
                <w:rFonts w:hint="eastAsia" w:ascii="仿宋_GB2312" w:eastAsia="仿宋_GB2312"/>
                <w:b/>
                <w:bCs/>
                <w:color w:val="auto"/>
                <w:sz w:val="18"/>
                <w:szCs w:val="18"/>
                <w:highlight w:val="none"/>
              </w:rPr>
              <w:t>3.87</w:t>
            </w:r>
          </w:p>
        </w:tc>
        <w:tc>
          <w:tcPr>
            <w:tcW w:w="379" w:type="pct"/>
            <w:tcBorders>
              <w:top w:val="nil"/>
              <w:left w:val="nil"/>
              <w:bottom w:val="single" w:color="auto" w:sz="4" w:space="0"/>
              <w:right w:val="single" w:color="auto" w:sz="4" w:space="0"/>
            </w:tcBorders>
            <w:noWrap w:val="0"/>
            <w:vAlign w:val="center"/>
          </w:tcPr>
          <w:p>
            <w:pPr>
              <w:jc w:val="center"/>
              <w:rPr>
                <w:rFonts w:ascii="仿宋_GB2312" w:hAnsi="宋体" w:eastAsia="仿宋_GB2312" w:cs="宋体"/>
                <w:b/>
                <w:bCs/>
                <w:color w:val="auto"/>
                <w:sz w:val="18"/>
                <w:szCs w:val="18"/>
                <w:highlight w:val="none"/>
              </w:rPr>
            </w:pPr>
            <w:r>
              <w:rPr>
                <w:rFonts w:hint="eastAsia" w:ascii="仿宋_GB2312" w:eastAsia="仿宋_GB2312"/>
                <w:b/>
                <w:bCs/>
                <w:color w:val="auto"/>
                <w:sz w:val="18"/>
                <w:szCs w:val="18"/>
                <w:highlight w:val="none"/>
              </w:rPr>
              <w:t>2.92</w:t>
            </w:r>
          </w:p>
        </w:tc>
        <w:tc>
          <w:tcPr>
            <w:tcW w:w="364" w:type="pct"/>
            <w:tcBorders>
              <w:top w:val="nil"/>
              <w:left w:val="nil"/>
              <w:bottom w:val="single" w:color="auto" w:sz="4" w:space="0"/>
              <w:right w:val="single" w:color="auto" w:sz="4" w:space="0"/>
            </w:tcBorders>
            <w:noWrap w:val="0"/>
            <w:vAlign w:val="center"/>
          </w:tcPr>
          <w:p>
            <w:pPr>
              <w:jc w:val="center"/>
              <w:rPr>
                <w:rFonts w:ascii="仿宋_GB2312" w:hAnsi="宋体" w:eastAsia="仿宋_GB2312" w:cs="宋体"/>
                <w:b/>
                <w:bCs/>
                <w:color w:val="auto"/>
                <w:sz w:val="18"/>
                <w:szCs w:val="18"/>
                <w:highlight w:val="none"/>
              </w:rPr>
            </w:pPr>
          </w:p>
        </w:tc>
        <w:tc>
          <w:tcPr>
            <w:tcW w:w="281" w:type="pct"/>
            <w:tcBorders>
              <w:top w:val="nil"/>
              <w:left w:val="nil"/>
              <w:bottom w:val="single" w:color="auto" w:sz="4" w:space="0"/>
              <w:right w:val="single" w:color="auto" w:sz="4" w:space="0"/>
            </w:tcBorders>
            <w:noWrap w:val="0"/>
            <w:vAlign w:val="center"/>
          </w:tcPr>
          <w:p>
            <w:pPr>
              <w:jc w:val="center"/>
              <w:rPr>
                <w:rFonts w:ascii="仿宋_GB2312" w:hAnsi="宋体" w:eastAsia="仿宋_GB2312" w:cs="宋体"/>
                <w:b/>
                <w:bCs/>
                <w:color w:val="auto"/>
                <w:sz w:val="18"/>
                <w:szCs w:val="18"/>
                <w:highlight w:val="none"/>
              </w:rPr>
            </w:pPr>
            <w:r>
              <w:rPr>
                <w:rFonts w:hint="eastAsia" w:ascii="仿宋_GB2312" w:hAnsi="宋体" w:eastAsia="仿宋_GB2312" w:cs="宋体"/>
                <w:b/>
                <w:bCs/>
                <w:color w:val="auto"/>
                <w:sz w:val="18"/>
                <w:szCs w:val="18"/>
                <w:highlight w:val="none"/>
              </w:rPr>
              <w:t>2.92</w:t>
            </w:r>
          </w:p>
        </w:tc>
        <w:tc>
          <w:tcPr>
            <w:tcW w:w="175" w:type="pct"/>
            <w:tcBorders>
              <w:top w:val="nil"/>
              <w:left w:val="nil"/>
              <w:bottom w:val="single" w:color="auto" w:sz="4" w:space="0"/>
              <w:right w:val="single" w:color="auto" w:sz="4" w:space="0"/>
            </w:tcBorders>
            <w:noWrap w:val="0"/>
            <w:vAlign w:val="center"/>
          </w:tcPr>
          <w:p>
            <w:pPr>
              <w:jc w:val="center"/>
              <w:rPr>
                <w:rFonts w:ascii="仿宋_GB2312" w:hAnsi="宋体" w:eastAsia="仿宋_GB2312" w:cs="宋体"/>
                <w:b/>
                <w:bCs/>
                <w:color w:val="auto"/>
                <w:sz w:val="18"/>
                <w:szCs w:val="18"/>
                <w:highlight w:val="none"/>
              </w:rPr>
            </w:pPr>
          </w:p>
        </w:tc>
        <w:tc>
          <w:tcPr>
            <w:tcW w:w="325" w:type="pct"/>
            <w:tcBorders>
              <w:top w:val="nil"/>
              <w:left w:val="nil"/>
              <w:bottom w:val="single" w:color="auto" w:sz="4" w:space="0"/>
              <w:right w:val="single" w:color="auto" w:sz="4" w:space="0"/>
            </w:tcBorders>
            <w:noWrap w:val="0"/>
            <w:vAlign w:val="center"/>
          </w:tcPr>
          <w:p>
            <w:pPr>
              <w:jc w:val="center"/>
              <w:rPr>
                <w:rFonts w:ascii="仿宋_GB2312" w:hAnsi="宋体" w:eastAsia="仿宋_GB2312" w:cs="宋体"/>
                <w:b/>
                <w:bCs/>
                <w:color w:val="auto"/>
                <w:sz w:val="18"/>
                <w:szCs w:val="18"/>
                <w:highlight w:val="none"/>
              </w:rPr>
            </w:pPr>
          </w:p>
        </w:tc>
        <w:tc>
          <w:tcPr>
            <w:tcW w:w="357" w:type="pct"/>
            <w:tcBorders>
              <w:top w:val="nil"/>
              <w:left w:val="nil"/>
              <w:bottom w:val="single" w:color="auto" w:sz="4" w:space="0"/>
              <w:right w:val="single" w:color="auto" w:sz="4" w:space="0"/>
            </w:tcBorders>
            <w:noWrap w:val="0"/>
            <w:vAlign w:val="center"/>
          </w:tcPr>
          <w:p>
            <w:pPr>
              <w:jc w:val="center"/>
              <w:rPr>
                <w:rFonts w:ascii="仿宋_GB2312" w:hAnsi="宋体" w:eastAsia="仿宋_GB2312" w:cs="宋体"/>
                <w:b/>
                <w:bCs/>
                <w:color w:val="auto"/>
                <w:sz w:val="18"/>
                <w:szCs w:val="18"/>
                <w:highlight w:val="none"/>
              </w:rPr>
            </w:pPr>
          </w:p>
        </w:tc>
        <w:tc>
          <w:tcPr>
            <w:tcW w:w="357" w:type="pct"/>
            <w:tcBorders>
              <w:top w:val="nil"/>
              <w:left w:val="nil"/>
              <w:bottom w:val="single" w:color="auto" w:sz="4" w:space="0"/>
              <w:right w:val="single" w:color="auto" w:sz="4" w:space="0"/>
            </w:tcBorders>
            <w:noWrap w:val="0"/>
            <w:vAlign w:val="center"/>
          </w:tcPr>
          <w:p>
            <w:pPr>
              <w:jc w:val="center"/>
              <w:rPr>
                <w:rFonts w:ascii="仿宋_GB2312" w:hAnsi="宋体" w:eastAsia="仿宋_GB2312" w:cs="宋体"/>
                <w:b/>
                <w:bCs/>
                <w:color w:val="auto"/>
                <w:sz w:val="18"/>
                <w:szCs w:val="18"/>
                <w:highlight w:val="none"/>
              </w:rPr>
            </w:pPr>
          </w:p>
        </w:tc>
        <w:tc>
          <w:tcPr>
            <w:tcW w:w="295" w:type="pct"/>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b/>
                <w:bCs/>
                <w:color w:val="auto"/>
                <w:sz w:val="18"/>
                <w:szCs w:val="18"/>
                <w:highlight w:val="none"/>
              </w:rPr>
            </w:pPr>
          </w:p>
        </w:tc>
        <w:tc>
          <w:tcPr>
            <w:tcW w:w="373" w:type="pct"/>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b/>
                <w:bCs/>
                <w:color w:val="auto"/>
                <w:sz w:val="18"/>
                <w:szCs w:val="18"/>
                <w:highlight w:val="none"/>
              </w:rPr>
            </w:pPr>
          </w:p>
        </w:tc>
        <w:tc>
          <w:tcPr>
            <w:tcW w:w="319" w:type="pct"/>
            <w:tcBorders>
              <w:top w:val="nil"/>
              <w:left w:val="single" w:color="auto" w:sz="4" w:space="0"/>
              <w:bottom w:val="single" w:color="auto" w:sz="4" w:space="0"/>
              <w:right w:val="single" w:color="auto" w:sz="4" w:space="0"/>
            </w:tcBorders>
            <w:noWrap w:val="0"/>
            <w:vAlign w:val="center"/>
          </w:tcPr>
          <w:p>
            <w:pPr>
              <w:jc w:val="center"/>
              <w:rPr>
                <w:rFonts w:hint="default" w:ascii="仿宋_GB2312" w:eastAsia="仿宋_GB2312"/>
                <w:b/>
                <w:bCs/>
                <w:color w:val="auto"/>
                <w:sz w:val="18"/>
                <w:szCs w:val="18"/>
                <w:highlight w:val="none"/>
                <w:lang w:val="en-US" w:eastAsia="zh-CN"/>
              </w:rPr>
            </w:pPr>
            <w:r>
              <w:rPr>
                <w:rFonts w:hint="eastAsia" w:ascii="仿宋_GB2312" w:eastAsia="仿宋_GB2312"/>
                <w:b/>
                <w:bCs/>
                <w:color w:val="auto"/>
                <w:sz w:val="18"/>
                <w:szCs w:val="18"/>
                <w:highlight w:val="none"/>
                <w:lang w:val="en-US" w:eastAsia="zh-CN"/>
              </w:rPr>
              <w:t>0.94</w:t>
            </w:r>
          </w:p>
        </w:tc>
        <w:tc>
          <w:tcPr>
            <w:tcW w:w="242" w:type="pct"/>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b/>
                <w:bCs/>
                <w:color w:val="auto"/>
                <w:sz w:val="18"/>
                <w:szCs w:val="18"/>
                <w:highlight w:val="none"/>
              </w:rPr>
            </w:pPr>
          </w:p>
        </w:tc>
      </w:tr>
      <w:tr>
        <w:tblPrEx>
          <w:tblCellMar>
            <w:top w:w="0" w:type="dxa"/>
            <w:left w:w="108" w:type="dxa"/>
            <w:bottom w:w="0" w:type="dxa"/>
            <w:right w:w="108" w:type="dxa"/>
          </w:tblCellMar>
        </w:tblPrEx>
        <w:trPr>
          <w:trHeight w:val="465" w:hRule="atLeast"/>
        </w:trPr>
        <w:tc>
          <w:tcPr>
            <w:tcW w:w="300" w:type="pct"/>
            <w:tcBorders>
              <w:top w:val="nil"/>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208</w:t>
            </w:r>
          </w:p>
        </w:tc>
        <w:tc>
          <w:tcPr>
            <w:tcW w:w="192" w:type="pct"/>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06</w:t>
            </w:r>
          </w:p>
        </w:tc>
        <w:tc>
          <w:tcPr>
            <w:tcW w:w="198" w:type="pct"/>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99</w:t>
            </w:r>
          </w:p>
        </w:tc>
        <w:tc>
          <w:tcPr>
            <w:tcW w:w="425" w:type="pct"/>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其他企业改革发展补助</w:t>
            </w:r>
          </w:p>
        </w:tc>
        <w:tc>
          <w:tcPr>
            <w:tcW w:w="410" w:type="pct"/>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3.87</w:t>
            </w:r>
          </w:p>
        </w:tc>
        <w:tc>
          <w:tcPr>
            <w:tcW w:w="379" w:type="pct"/>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2.92</w:t>
            </w:r>
          </w:p>
        </w:tc>
        <w:tc>
          <w:tcPr>
            <w:tcW w:w="364" w:type="pct"/>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281" w:type="pct"/>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2.92</w:t>
            </w:r>
          </w:p>
        </w:tc>
        <w:tc>
          <w:tcPr>
            <w:tcW w:w="175" w:type="pct"/>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325" w:type="pct"/>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357" w:type="pct"/>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357" w:type="pct"/>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295" w:type="pct"/>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373" w:type="pct"/>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319" w:type="pct"/>
            <w:tcBorders>
              <w:top w:val="nil"/>
              <w:left w:val="single" w:color="auto" w:sz="4" w:space="0"/>
              <w:bottom w:val="single" w:color="auto" w:sz="4" w:space="0"/>
              <w:right w:val="single" w:color="auto" w:sz="4" w:space="0"/>
            </w:tcBorders>
            <w:noWrap w:val="0"/>
            <w:vAlign w:val="center"/>
          </w:tcPr>
          <w:p>
            <w:pPr>
              <w:jc w:val="center"/>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0.94</w:t>
            </w:r>
          </w:p>
        </w:tc>
        <w:tc>
          <w:tcPr>
            <w:tcW w:w="242" w:type="pct"/>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r>
      <w:tr>
        <w:tblPrEx>
          <w:tblCellMar>
            <w:top w:w="0" w:type="dxa"/>
            <w:left w:w="108" w:type="dxa"/>
            <w:bottom w:w="0" w:type="dxa"/>
            <w:right w:w="108" w:type="dxa"/>
          </w:tblCellMar>
        </w:tblPrEx>
        <w:trPr>
          <w:trHeight w:val="465" w:hRule="atLeast"/>
        </w:trPr>
        <w:tc>
          <w:tcPr>
            <w:tcW w:w="300" w:type="pct"/>
            <w:tcBorders>
              <w:top w:val="nil"/>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b/>
                <w:bCs/>
                <w:color w:val="auto"/>
                <w:sz w:val="18"/>
                <w:szCs w:val="18"/>
                <w:highlight w:val="none"/>
              </w:rPr>
            </w:pPr>
            <w:r>
              <w:rPr>
                <w:rFonts w:hint="eastAsia" w:ascii="仿宋_GB2312" w:eastAsia="仿宋_GB2312"/>
                <w:b/>
                <w:bCs/>
                <w:color w:val="auto"/>
                <w:sz w:val="18"/>
                <w:szCs w:val="18"/>
                <w:highlight w:val="none"/>
                <w:lang w:val="en-US" w:eastAsia="zh-CN"/>
              </w:rPr>
              <w:t>210</w:t>
            </w:r>
          </w:p>
        </w:tc>
        <w:tc>
          <w:tcPr>
            <w:tcW w:w="192" w:type="pct"/>
            <w:tcBorders>
              <w:top w:val="nil"/>
              <w:left w:val="nil"/>
              <w:bottom w:val="single" w:color="auto" w:sz="4" w:space="0"/>
              <w:right w:val="single" w:color="auto" w:sz="4" w:space="0"/>
            </w:tcBorders>
            <w:noWrap w:val="0"/>
            <w:vAlign w:val="center"/>
          </w:tcPr>
          <w:p>
            <w:pPr>
              <w:jc w:val="center"/>
              <w:rPr>
                <w:rFonts w:ascii="仿宋_GB2312" w:hAnsi="宋体" w:eastAsia="仿宋_GB2312" w:cs="宋体"/>
                <w:b/>
                <w:bCs/>
                <w:color w:val="auto"/>
                <w:sz w:val="18"/>
                <w:szCs w:val="18"/>
                <w:highlight w:val="none"/>
              </w:rPr>
            </w:pPr>
          </w:p>
        </w:tc>
        <w:tc>
          <w:tcPr>
            <w:tcW w:w="198" w:type="pct"/>
            <w:tcBorders>
              <w:top w:val="nil"/>
              <w:left w:val="nil"/>
              <w:bottom w:val="single" w:color="auto" w:sz="4" w:space="0"/>
              <w:right w:val="single" w:color="auto" w:sz="4" w:space="0"/>
            </w:tcBorders>
            <w:noWrap w:val="0"/>
            <w:vAlign w:val="center"/>
          </w:tcPr>
          <w:p>
            <w:pPr>
              <w:jc w:val="center"/>
              <w:rPr>
                <w:rFonts w:ascii="仿宋_GB2312" w:hAnsi="宋体" w:eastAsia="仿宋_GB2312" w:cs="宋体"/>
                <w:b/>
                <w:bCs/>
                <w:color w:val="auto"/>
                <w:sz w:val="18"/>
                <w:szCs w:val="18"/>
                <w:highlight w:val="none"/>
              </w:rPr>
            </w:pPr>
          </w:p>
        </w:tc>
        <w:tc>
          <w:tcPr>
            <w:tcW w:w="425" w:type="pct"/>
            <w:tcBorders>
              <w:top w:val="nil"/>
              <w:left w:val="nil"/>
              <w:bottom w:val="single" w:color="auto" w:sz="4" w:space="0"/>
              <w:right w:val="single" w:color="auto" w:sz="4" w:space="0"/>
            </w:tcBorders>
            <w:noWrap w:val="0"/>
            <w:vAlign w:val="center"/>
          </w:tcPr>
          <w:p>
            <w:pPr>
              <w:jc w:val="center"/>
              <w:rPr>
                <w:rFonts w:ascii="仿宋_GB2312" w:hAnsi="宋体" w:eastAsia="仿宋_GB2312" w:cs="宋体"/>
                <w:b/>
                <w:bCs/>
                <w:color w:val="auto"/>
                <w:sz w:val="18"/>
                <w:szCs w:val="18"/>
                <w:highlight w:val="none"/>
              </w:rPr>
            </w:pPr>
            <w:r>
              <w:rPr>
                <w:rFonts w:hint="eastAsia" w:ascii="仿宋_GB2312" w:eastAsia="仿宋_GB2312"/>
                <w:b/>
                <w:bCs/>
                <w:color w:val="auto"/>
                <w:sz w:val="18"/>
                <w:szCs w:val="18"/>
                <w:highlight w:val="none"/>
              </w:rPr>
              <w:t>卫生健康支出</w:t>
            </w:r>
          </w:p>
        </w:tc>
        <w:tc>
          <w:tcPr>
            <w:tcW w:w="410" w:type="pct"/>
            <w:tcBorders>
              <w:top w:val="nil"/>
              <w:left w:val="nil"/>
              <w:bottom w:val="single" w:color="auto" w:sz="4" w:space="0"/>
              <w:right w:val="single" w:color="auto" w:sz="4" w:space="0"/>
            </w:tcBorders>
            <w:noWrap w:val="0"/>
            <w:vAlign w:val="center"/>
          </w:tcPr>
          <w:p>
            <w:pPr>
              <w:jc w:val="center"/>
              <w:rPr>
                <w:rFonts w:ascii="仿宋_GB2312" w:hAnsi="宋体" w:eastAsia="仿宋_GB2312" w:cs="宋体"/>
                <w:b/>
                <w:bCs/>
                <w:color w:val="auto"/>
                <w:sz w:val="18"/>
                <w:szCs w:val="18"/>
                <w:highlight w:val="none"/>
              </w:rPr>
            </w:pPr>
            <w:r>
              <w:rPr>
                <w:rFonts w:hint="eastAsia" w:ascii="仿宋_GB2312" w:eastAsia="仿宋_GB2312"/>
                <w:b/>
                <w:bCs/>
                <w:color w:val="auto"/>
                <w:sz w:val="18"/>
                <w:szCs w:val="18"/>
                <w:highlight w:val="none"/>
                <w:lang w:val="en-US" w:eastAsia="zh-CN"/>
              </w:rPr>
              <w:t>23.97</w:t>
            </w:r>
          </w:p>
        </w:tc>
        <w:tc>
          <w:tcPr>
            <w:tcW w:w="379" w:type="pct"/>
            <w:tcBorders>
              <w:top w:val="nil"/>
              <w:left w:val="nil"/>
              <w:bottom w:val="single" w:color="auto" w:sz="4" w:space="0"/>
              <w:right w:val="single" w:color="auto" w:sz="4" w:space="0"/>
            </w:tcBorders>
            <w:noWrap w:val="0"/>
            <w:vAlign w:val="center"/>
          </w:tcPr>
          <w:p>
            <w:pPr>
              <w:jc w:val="center"/>
              <w:rPr>
                <w:rFonts w:ascii="仿宋_GB2312" w:hAnsi="宋体" w:eastAsia="仿宋_GB2312" w:cs="宋体"/>
                <w:b/>
                <w:bCs/>
                <w:color w:val="auto"/>
                <w:sz w:val="18"/>
                <w:szCs w:val="18"/>
                <w:highlight w:val="none"/>
              </w:rPr>
            </w:pPr>
            <w:r>
              <w:rPr>
                <w:rFonts w:hint="eastAsia" w:ascii="仿宋_GB2312" w:eastAsia="仿宋_GB2312"/>
                <w:b/>
                <w:bCs/>
                <w:color w:val="auto"/>
                <w:sz w:val="18"/>
                <w:szCs w:val="18"/>
                <w:highlight w:val="none"/>
                <w:lang w:val="en-US" w:eastAsia="zh-CN"/>
              </w:rPr>
              <w:t>23.97</w:t>
            </w:r>
          </w:p>
        </w:tc>
        <w:tc>
          <w:tcPr>
            <w:tcW w:w="364" w:type="pct"/>
            <w:tcBorders>
              <w:top w:val="nil"/>
              <w:left w:val="nil"/>
              <w:bottom w:val="single" w:color="auto" w:sz="4" w:space="0"/>
              <w:right w:val="single" w:color="auto" w:sz="4" w:space="0"/>
            </w:tcBorders>
            <w:noWrap w:val="0"/>
            <w:vAlign w:val="center"/>
          </w:tcPr>
          <w:p>
            <w:pPr>
              <w:jc w:val="center"/>
              <w:rPr>
                <w:rFonts w:ascii="仿宋_GB2312" w:hAnsi="宋体" w:eastAsia="仿宋_GB2312" w:cs="宋体"/>
                <w:b/>
                <w:bCs/>
                <w:color w:val="auto"/>
                <w:sz w:val="18"/>
                <w:szCs w:val="18"/>
                <w:highlight w:val="none"/>
              </w:rPr>
            </w:pPr>
            <w:r>
              <w:rPr>
                <w:rFonts w:hint="eastAsia" w:ascii="仿宋_GB2312" w:eastAsia="仿宋_GB2312"/>
                <w:b/>
                <w:bCs/>
                <w:color w:val="auto"/>
                <w:sz w:val="18"/>
                <w:szCs w:val="18"/>
                <w:highlight w:val="none"/>
                <w:lang w:val="en-US" w:eastAsia="zh-CN"/>
              </w:rPr>
              <w:t>23.97</w:t>
            </w:r>
          </w:p>
        </w:tc>
        <w:tc>
          <w:tcPr>
            <w:tcW w:w="281" w:type="pct"/>
            <w:tcBorders>
              <w:top w:val="nil"/>
              <w:left w:val="nil"/>
              <w:bottom w:val="single" w:color="auto" w:sz="4" w:space="0"/>
              <w:right w:val="single" w:color="auto" w:sz="4" w:space="0"/>
            </w:tcBorders>
            <w:noWrap w:val="0"/>
            <w:vAlign w:val="center"/>
          </w:tcPr>
          <w:p>
            <w:pPr>
              <w:jc w:val="center"/>
              <w:rPr>
                <w:rFonts w:ascii="仿宋_GB2312" w:hAnsi="宋体" w:eastAsia="仿宋_GB2312" w:cs="宋体"/>
                <w:b/>
                <w:bCs/>
                <w:color w:val="auto"/>
                <w:sz w:val="18"/>
                <w:szCs w:val="18"/>
                <w:highlight w:val="none"/>
              </w:rPr>
            </w:pPr>
          </w:p>
        </w:tc>
        <w:tc>
          <w:tcPr>
            <w:tcW w:w="175" w:type="pct"/>
            <w:tcBorders>
              <w:top w:val="nil"/>
              <w:left w:val="nil"/>
              <w:bottom w:val="single" w:color="auto" w:sz="4" w:space="0"/>
              <w:right w:val="single" w:color="auto" w:sz="4" w:space="0"/>
            </w:tcBorders>
            <w:noWrap w:val="0"/>
            <w:vAlign w:val="center"/>
          </w:tcPr>
          <w:p>
            <w:pPr>
              <w:jc w:val="center"/>
              <w:rPr>
                <w:rFonts w:ascii="仿宋_GB2312" w:hAnsi="宋体" w:eastAsia="仿宋_GB2312" w:cs="宋体"/>
                <w:b/>
                <w:bCs/>
                <w:color w:val="auto"/>
                <w:sz w:val="18"/>
                <w:szCs w:val="18"/>
                <w:highlight w:val="none"/>
              </w:rPr>
            </w:pPr>
          </w:p>
        </w:tc>
        <w:tc>
          <w:tcPr>
            <w:tcW w:w="325" w:type="pct"/>
            <w:tcBorders>
              <w:top w:val="nil"/>
              <w:left w:val="nil"/>
              <w:bottom w:val="single" w:color="auto" w:sz="4" w:space="0"/>
              <w:right w:val="single" w:color="auto" w:sz="4" w:space="0"/>
            </w:tcBorders>
            <w:noWrap w:val="0"/>
            <w:vAlign w:val="center"/>
          </w:tcPr>
          <w:p>
            <w:pPr>
              <w:jc w:val="center"/>
              <w:rPr>
                <w:rFonts w:ascii="仿宋_GB2312" w:hAnsi="宋体" w:eastAsia="仿宋_GB2312" w:cs="宋体"/>
                <w:b/>
                <w:bCs/>
                <w:color w:val="auto"/>
                <w:sz w:val="18"/>
                <w:szCs w:val="18"/>
                <w:highlight w:val="none"/>
              </w:rPr>
            </w:pPr>
          </w:p>
        </w:tc>
        <w:tc>
          <w:tcPr>
            <w:tcW w:w="357" w:type="pct"/>
            <w:tcBorders>
              <w:top w:val="nil"/>
              <w:left w:val="nil"/>
              <w:bottom w:val="single" w:color="auto" w:sz="4" w:space="0"/>
              <w:right w:val="single" w:color="auto" w:sz="4" w:space="0"/>
            </w:tcBorders>
            <w:noWrap w:val="0"/>
            <w:vAlign w:val="center"/>
          </w:tcPr>
          <w:p>
            <w:pPr>
              <w:jc w:val="center"/>
              <w:rPr>
                <w:rFonts w:ascii="仿宋_GB2312" w:hAnsi="宋体" w:eastAsia="仿宋_GB2312" w:cs="宋体"/>
                <w:b/>
                <w:bCs/>
                <w:color w:val="auto"/>
                <w:sz w:val="18"/>
                <w:szCs w:val="18"/>
                <w:highlight w:val="none"/>
              </w:rPr>
            </w:pPr>
          </w:p>
        </w:tc>
        <w:tc>
          <w:tcPr>
            <w:tcW w:w="357" w:type="pct"/>
            <w:tcBorders>
              <w:top w:val="nil"/>
              <w:left w:val="nil"/>
              <w:bottom w:val="single" w:color="auto" w:sz="4" w:space="0"/>
              <w:right w:val="single" w:color="auto" w:sz="4" w:space="0"/>
            </w:tcBorders>
            <w:noWrap w:val="0"/>
            <w:vAlign w:val="center"/>
          </w:tcPr>
          <w:p>
            <w:pPr>
              <w:jc w:val="center"/>
              <w:rPr>
                <w:rFonts w:ascii="仿宋_GB2312" w:hAnsi="宋体" w:eastAsia="仿宋_GB2312" w:cs="宋体"/>
                <w:b/>
                <w:bCs/>
                <w:color w:val="auto"/>
                <w:sz w:val="18"/>
                <w:szCs w:val="18"/>
                <w:highlight w:val="none"/>
              </w:rPr>
            </w:pPr>
          </w:p>
        </w:tc>
        <w:tc>
          <w:tcPr>
            <w:tcW w:w="295" w:type="pct"/>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b/>
                <w:bCs/>
                <w:color w:val="auto"/>
                <w:sz w:val="18"/>
                <w:szCs w:val="18"/>
                <w:highlight w:val="none"/>
              </w:rPr>
            </w:pPr>
          </w:p>
        </w:tc>
        <w:tc>
          <w:tcPr>
            <w:tcW w:w="373" w:type="pct"/>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b/>
                <w:bCs/>
                <w:color w:val="auto"/>
                <w:sz w:val="18"/>
                <w:szCs w:val="18"/>
                <w:highlight w:val="none"/>
              </w:rPr>
            </w:pPr>
          </w:p>
        </w:tc>
        <w:tc>
          <w:tcPr>
            <w:tcW w:w="319" w:type="pct"/>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b/>
                <w:bCs/>
                <w:color w:val="auto"/>
                <w:sz w:val="18"/>
                <w:szCs w:val="18"/>
                <w:highlight w:val="none"/>
              </w:rPr>
            </w:pPr>
          </w:p>
        </w:tc>
        <w:tc>
          <w:tcPr>
            <w:tcW w:w="242" w:type="pct"/>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b/>
                <w:bCs/>
                <w:color w:val="auto"/>
                <w:sz w:val="18"/>
                <w:szCs w:val="18"/>
                <w:highlight w:val="none"/>
              </w:rPr>
            </w:pPr>
          </w:p>
        </w:tc>
      </w:tr>
      <w:tr>
        <w:tblPrEx>
          <w:tblCellMar>
            <w:top w:w="0" w:type="dxa"/>
            <w:left w:w="108" w:type="dxa"/>
            <w:bottom w:w="0" w:type="dxa"/>
            <w:right w:w="108" w:type="dxa"/>
          </w:tblCellMar>
        </w:tblPrEx>
        <w:trPr>
          <w:trHeight w:val="465" w:hRule="atLeast"/>
        </w:trPr>
        <w:tc>
          <w:tcPr>
            <w:tcW w:w="300" w:type="pct"/>
            <w:tcBorders>
              <w:top w:val="nil"/>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b/>
                <w:bCs/>
                <w:color w:val="auto"/>
                <w:sz w:val="18"/>
                <w:szCs w:val="18"/>
                <w:highlight w:val="none"/>
              </w:rPr>
            </w:pPr>
            <w:r>
              <w:rPr>
                <w:rFonts w:hint="eastAsia" w:ascii="仿宋_GB2312" w:eastAsia="仿宋_GB2312"/>
                <w:b/>
                <w:bCs/>
                <w:color w:val="auto"/>
                <w:sz w:val="18"/>
                <w:szCs w:val="18"/>
                <w:highlight w:val="none"/>
                <w:lang w:val="en-US" w:eastAsia="zh-CN"/>
              </w:rPr>
              <w:t>210</w:t>
            </w:r>
          </w:p>
        </w:tc>
        <w:tc>
          <w:tcPr>
            <w:tcW w:w="192" w:type="pct"/>
            <w:tcBorders>
              <w:top w:val="nil"/>
              <w:left w:val="nil"/>
              <w:bottom w:val="single" w:color="auto" w:sz="4" w:space="0"/>
              <w:right w:val="single" w:color="auto" w:sz="4" w:space="0"/>
            </w:tcBorders>
            <w:noWrap w:val="0"/>
            <w:vAlign w:val="center"/>
          </w:tcPr>
          <w:p>
            <w:pPr>
              <w:jc w:val="center"/>
              <w:rPr>
                <w:rFonts w:ascii="仿宋_GB2312" w:hAnsi="宋体" w:eastAsia="仿宋_GB2312" w:cs="宋体"/>
                <w:b/>
                <w:bCs/>
                <w:color w:val="auto"/>
                <w:sz w:val="18"/>
                <w:szCs w:val="18"/>
                <w:highlight w:val="none"/>
              </w:rPr>
            </w:pPr>
            <w:r>
              <w:rPr>
                <w:rFonts w:hint="eastAsia" w:ascii="仿宋_GB2312" w:eastAsia="仿宋_GB2312"/>
                <w:b/>
                <w:bCs/>
                <w:color w:val="auto"/>
                <w:sz w:val="18"/>
                <w:szCs w:val="18"/>
                <w:highlight w:val="none"/>
                <w:lang w:val="en-US" w:eastAsia="zh-CN"/>
              </w:rPr>
              <w:t>11</w:t>
            </w:r>
          </w:p>
        </w:tc>
        <w:tc>
          <w:tcPr>
            <w:tcW w:w="198" w:type="pct"/>
            <w:tcBorders>
              <w:top w:val="nil"/>
              <w:left w:val="nil"/>
              <w:bottom w:val="single" w:color="auto" w:sz="4" w:space="0"/>
              <w:right w:val="single" w:color="auto" w:sz="4" w:space="0"/>
            </w:tcBorders>
            <w:noWrap w:val="0"/>
            <w:vAlign w:val="center"/>
          </w:tcPr>
          <w:p>
            <w:pPr>
              <w:jc w:val="center"/>
              <w:rPr>
                <w:rFonts w:ascii="仿宋_GB2312" w:hAnsi="宋体" w:eastAsia="仿宋_GB2312" w:cs="宋体"/>
                <w:b/>
                <w:bCs/>
                <w:color w:val="auto"/>
                <w:sz w:val="18"/>
                <w:szCs w:val="18"/>
                <w:highlight w:val="none"/>
              </w:rPr>
            </w:pPr>
          </w:p>
        </w:tc>
        <w:tc>
          <w:tcPr>
            <w:tcW w:w="425" w:type="pct"/>
            <w:tcBorders>
              <w:top w:val="nil"/>
              <w:left w:val="nil"/>
              <w:bottom w:val="single" w:color="auto" w:sz="4" w:space="0"/>
              <w:right w:val="single" w:color="auto" w:sz="4" w:space="0"/>
            </w:tcBorders>
            <w:noWrap w:val="0"/>
            <w:vAlign w:val="center"/>
          </w:tcPr>
          <w:p>
            <w:pPr>
              <w:jc w:val="center"/>
              <w:rPr>
                <w:rFonts w:ascii="仿宋_GB2312" w:hAnsi="宋体" w:eastAsia="仿宋_GB2312" w:cs="宋体"/>
                <w:b/>
                <w:bCs/>
                <w:color w:val="auto"/>
                <w:sz w:val="18"/>
                <w:szCs w:val="18"/>
                <w:highlight w:val="none"/>
              </w:rPr>
            </w:pPr>
            <w:r>
              <w:rPr>
                <w:rFonts w:hint="eastAsia" w:ascii="仿宋_GB2312" w:eastAsia="仿宋_GB2312"/>
                <w:b/>
                <w:bCs/>
                <w:color w:val="auto"/>
                <w:sz w:val="18"/>
                <w:szCs w:val="18"/>
                <w:highlight w:val="none"/>
              </w:rPr>
              <w:t>行政事业单位医疗</w:t>
            </w:r>
          </w:p>
        </w:tc>
        <w:tc>
          <w:tcPr>
            <w:tcW w:w="410" w:type="pct"/>
            <w:tcBorders>
              <w:top w:val="nil"/>
              <w:left w:val="nil"/>
              <w:bottom w:val="single" w:color="auto" w:sz="4" w:space="0"/>
              <w:right w:val="single" w:color="auto" w:sz="4" w:space="0"/>
            </w:tcBorders>
            <w:noWrap w:val="0"/>
            <w:vAlign w:val="center"/>
          </w:tcPr>
          <w:p>
            <w:pPr>
              <w:jc w:val="center"/>
              <w:rPr>
                <w:rFonts w:ascii="仿宋_GB2312" w:hAnsi="宋体" w:eastAsia="仿宋_GB2312" w:cs="宋体"/>
                <w:b/>
                <w:bCs/>
                <w:color w:val="auto"/>
                <w:sz w:val="18"/>
                <w:szCs w:val="18"/>
                <w:highlight w:val="none"/>
              </w:rPr>
            </w:pPr>
            <w:r>
              <w:rPr>
                <w:rFonts w:hint="eastAsia" w:ascii="仿宋_GB2312" w:eastAsia="仿宋_GB2312"/>
                <w:b/>
                <w:bCs/>
                <w:color w:val="auto"/>
                <w:sz w:val="18"/>
                <w:szCs w:val="18"/>
                <w:highlight w:val="none"/>
                <w:lang w:val="en-US" w:eastAsia="zh-CN"/>
              </w:rPr>
              <w:t>23.97</w:t>
            </w:r>
          </w:p>
        </w:tc>
        <w:tc>
          <w:tcPr>
            <w:tcW w:w="379" w:type="pct"/>
            <w:tcBorders>
              <w:top w:val="nil"/>
              <w:left w:val="nil"/>
              <w:bottom w:val="single" w:color="auto" w:sz="4" w:space="0"/>
              <w:right w:val="single" w:color="auto" w:sz="4" w:space="0"/>
            </w:tcBorders>
            <w:noWrap w:val="0"/>
            <w:vAlign w:val="center"/>
          </w:tcPr>
          <w:p>
            <w:pPr>
              <w:jc w:val="center"/>
              <w:rPr>
                <w:rFonts w:ascii="仿宋_GB2312" w:hAnsi="宋体" w:eastAsia="仿宋_GB2312" w:cs="宋体"/>
                <w:b/>
                <w:bCs/>
                <w:color w:val="auto"/>
                <w:sz w:val="18"/>
                <w:szCs w:val="18"/>
                <w:highlight w:val="none"/>
              </w:rPr>
            </w:pPr>
            <w:r>
              <w:rPr>
                <w:rFonts w:hint="eastAsia" w:ascii="仿宋_GB2312" w:eastAsia="仿宋_GB2312"/>
                <w:b/>
                <w:bCs/>
                <w:color w:val="auto"/>
                <w:sz w:val="18"/>
                <w:szCs w:val="18"/>
                <w:highlight w:val="none"/>
                <w:lang w:val="en-US" w:eastAsia="zh-CN"/>
              </w:rPr>
              <w:t>23.97</w:t>
            </w:r>
          </w:p>
        </w:tc>
        <w:tc>
          <w:tcPr>
            <w:tcW w:w="364" w:type="pct"/>
            <w:tcBorders>
              <w:top w:val="nil"/>
              <w:left w:val="nil"/>
              <w:bottom w:val="single" w:color="auto" w:sz="4" w:space="0"/>
              <w:right w:val="single" w:color="auto" w:sz="4" w:space="0"/>
            </w:tcBorders>
            <w:noWrap w:val="0"/>
            <w:vAlign w:val="center"/>
          </w:tcPr>
          <w:p>
            <w:pPr>
              <w:jc w:val="center"/>
              <w:rPr>
                <w:rFonts w:ascii="仿宋_GB2312" w:hAnsi="宋体" w:eastAsia="仿宋_GB2312" w:cs="宋体"/>
                <w:b/>
                <w:bCs/>
                <w:color w:val="auto"/>
                <w:sz w:val="18"/>
                <w:szCs w:val="18"/>
                <w:highlight w:val="none"/>
              </w:rPr>
            </w:pPr>
            <w:r>
              <w:rPr>
                <w:rFonts w:hint="eastAsia" w:ascii="仿宋_GB2312" w:eastAsia="仿宋_GB2312"/>
                <w:b/>
                <w:bCs/>
                <w:color w:val="auto"/>
                <w:sz w:val="18"/>
                <w:szCs w:val="18"/>
                <w:highlight w:val="none"/>
                <w:lang w:val="en-US" w:eastAsia="zh-CN"/>
              </w:rPr>
              <w:t>23.97</w:t>
            </w:r>
          </w:p>
        </w:tc>
        <w:tc>
          <w:tcPr>
            <w:tcW w:w="281" w:type="pct"/>
            <w:tcBorders>
              <w:top w:val="nil"/>
              <w:left w:val="nil"/>
              <w:bottom w:val="single" w:color="auto" w:sz="4" w:space="0"/>
              <w:right w:val="single" w:color="auto" w:sz="4" w:space="0"/>
            </w:tcBorders>
            <w:noWrap w:val="0"/>
            <w:vAlign w:val="center"/>
          </w:tcPr>
          <w:p>
            <w:pPr>
              <w:jc w:val="center"/>
              <w:rPr>
                <w:rFonts w:ascii="仿宋_GB2312" w:hAnsi="宋体" w:eastAsia="仿宋_GB2312" w:cs="宋体"/>
                <w:b/>
                <w:bCs/>
                <w:color w:val="auto"/>
                <w:sz w:val="18"/>
                <w:szCs w:val="18"/>
                <w:highlight w:val="none"/>
              </w:rPr>
            </w:pPr>
          </w:p>
        </w:tc>
        <w:tc>
          <w:tcPr>
            <w:tcW w:w="175" w:type="pct"/>
            <w:tcBorders>
              <w:top w:val="nil"/>
              <w:left w:val="nil"/>
              <w:bottom w:val="single" w:color="auto" w:sz="4" w:space="0"/>
              <w:right w:val="single" w:color="auto" w:sz="4" w:space="0"/>
            </w:tcBorders>
            <w:noWrap w:val="0"/>
            <w:vAlign w:val="center"/>
          </w:tcPr>
          <w:p>
            <w:pPr>
              <w:jc w:val="center"/>
              <w:rPr>
                <w:rFonts w:ascii="仿宋_GB2312" w:hAnsi="宋体" w:eastAsia="仿宋_GB2312" w:cs="宋体"/>
                <w:b/>
                <w:bCs/>
                <w:color w:val="auto"/>
                <w:sz w:val="18"/>
                <w:szCs w:val="18"/>
                <w:highlight w:val="none"/>
              </w:rPr>
            </w:pPr>
          </w:p>
        </w:tc>
        <w:tc>
          <w:tcPr>
            <w:tcW w:w="325" w:type="pct"/>
            <w:tcBorders>
              <w:top w:val="nil"/>
              <w:left w:val="nil"/>
              <w:bottom w:val="single" w:color="auto" w:sz="4" w:space="0"/>
              <w:right w:val="single" w:color="auto" w:sz="4" w:space="0"/>
            </w:tcBorders>
            <w:noWrap w:val="0"/>
            <w:vAlign w:val="center"/>
          </w:tcPr>
          <w:p>
            <w:pPr>
              <w:jc w:val="center"/>
              <w:rPr>
                <w:rFonts w:ascii="仿宋_GB2312" w:hAnsi="宋体" w:eastAsia="仿宋_GB2312" w:cs="宋体"/>
                <w:b/>
                <w:bCs/>
                <w:color w:val="auto"/>
                <w:sz w:val="18"/>
                <w:szCs w:val="18"/>
                <w:highlight w:val="none"/>
              </w:rPr>
            </w:pPr>
          </w:p>
        </w:tc>
        <w:tc>
          <w:tcPr>
            <w:tcW w:w="357" w:type="pct"/>
            <w:tcBorders>
              <w:top w:val="nil"/>
              <w:left w:val="nil"/>
              <w:bottom w:val="single" w:color="auto" w:sz="4" w:space="0"/>
              <w:right w:val="single" w:color="auto" w:sz="4" w:space="0"/>
            </w:tcBorders>
            <w:noWrap w:val="0"/>
            <w:vAlign w:val="center"/>
          </w:tcPr>
          <w:p>
            <w:pPr>
              <w:jc w:val="center"/>
              <w:rPr>
                <w:rFonts w:ascii="仿宋_GB2312" w:hAnsi="宋体" w:eastAsia="仿宋_GB2312" w:cs="宋体"/>
                <w:b/>
                <w:bCs/>
                <w:color w:val="auto"/>
                <w:sz w:val="18"/>
                <w:szCs w:val="18"/>
                <w:highlight w:val="none"/>
              </w:rPr>
            </w:pPr>
          </w:p>
        </w:tc>
        <w:tc>
          <w:tcPr>
            <w:tcW w:w="357" w:type="pct"/>
            <w:tcBorders>
              <w:top w:val="nil"/>
              <w:left w:val="nil"/>
              <w:bottom w:val="single" w:color="auto" w:sz="4" w:space="0"/>
              <w:right w:val="single" w:color="auto" w:sz="4" w:space="0"/>
            </w:tcBorders>
            <w:noWrap w:val="0"/>
            <w:vAlign w:val="center"/>
          </w:tcPr>
          <w:p>
            <w:pPr>
              <w:jc w:val="center"/>
              <w:rPr>
                <w:rFonts w:ascii="仿宋_GB2312" w:hAnsi="宋体" w:eastAsia="仿宋_GB2312" w:cs="宋体"/>
                <w:b/>
                <w:bCs/>
                <w:color w:val="auto"/>
                <w:sz w:val="18"/>
                <w:szCs w:val="18"/>
                <w:highlight w:val="none"/>
              </w:rPr>
            </w:pPr>
          </w:p>
        </w:tc>
        <w:tc>
          <w:tcPr>
            <w:tcW w:w="295" w:type="pct"/>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b/>
                <w:bCs/>
                <w:color w:val="auto"/>
                <w:sz w:val="18"/>
                <w:szCs w:val="18"/>
                <w:highlight w:val="none"/>
              </w:rPr>
            </w:pPr>
          </w:p>
        </w:tc>
        <w:tc>
          <w:tcPr>
            <w:tcW w:w="373" w:type="pct"/>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b/>
                <w:bCs/>
                <w:color w:val="auto"/>
                <w:sz w:val="18"/>
                <w:szCs w:val="18"/>
                <w:highlight w:val="none"/>
              </w:rPr>
            </w:pPr>
          </w:p>
        </w:tc>
        <w:tc>
          <w:tcPr>
            <w:tcW w:w="319" w:type="pct"/>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b/>
                <w:bCs/>
                <w:color w:val="auto"/>
                <w:sz w:val="18"/>
                <w:szCs w:val="18"/>
                <w:highlight w:val="none"/>
              </w:rPr>
            </w:pPr>
          </w:p>
        </w:tc>
        <w:tc>
          <w:tcPr>
            <w:tcW w:w="242" w:type="pct"/>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b/>
                <w:bCs/>
                <w:color w:val="auto"/>
                <w:sz w:val="18"/>
                <w:szCs w:val="18"/>
                <w:highlight w:val="none"/>
              </w:rPr>
            </w:pPr>
          </w:p>
        </w:tc>
      </w:tr>
      <w:tr>
        <w:tblPrEx>
          <w:tblCellMar>
            <w:top w:w="0" w:type="dxa"/>
            <w:left w:w="108" w:type="dxa"/>
            <w:bottom w:w="0" w:type="dxa"/>
            <w:right w:w="108" w:type="dxa"/>
          </w:tblCellMar>
        </w:tblPrEx>
        <w:trPr>
          <w:trHeight w:val="465" w:hRule="atLeast"/>
        </w:trPr>
        <w:tc>
          <w:tcPr>
            <w:tcW w:w="300" w:type="pct"/>
            <w:tcBorders>
              <w:top w:val="nil"/>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210</w:t>
            </w:r>
          </w:p>
        </w:tc>
        <w:tc>
          <w:tcPr>
            <w:tcW w:w="192" w:type="pct"/>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11</w:t>
            </w:r>
          </w:p>
        </w:tc>
        <w:tc>
          <w:tcPr>
            <w:tcW w:w="198" w:type="pct"/>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01</w:t>
            </w:r>
          </w:p>
        </w:tc>
        <w:tc>
          <w:tcPr>
            <w:tcW w:w="425" w:type="pct"/>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行政单位医疗</w:t>
            </w:r>
          </w:p>
        </w:tc>
        <w:tc>
          <w:tcPr>
            <w:tcW w:w="410" w:type="pct"/>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12.54</w:t>
            </w:r>
          </w:p>
        </w:tc>
        <w:tc>
          <w:tcPr>
            <w:tcW w:w="379" w:type="pct"/>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12.54</w:t>
            </w:r>
          </w:p>
        </w:tc>
        <w:tc>
          <w:tcPr>
            <w:tcW w:w="364" w:type="pct"/>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12.54</w:t>
            </w:r>
          </w:p>
        </w:tc>
        <w:tc>
          <w:tcPr>
            <w:tcW w:w="281" w:type="pct"/>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175" w:type="pct"/>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325" w:type="pct"/>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357" w:type="pct"/>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357" w:type="pct"/>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295" w:type="pct"/>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373" w:type="pct"/>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319" w:type="pct"/>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242" w:type="pct"/>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r>
      <w:tr>
        <w:tblPrEx>
          <w:tblCellMar>
            <w:top w:w="0" w:type="dxa"/>
            <w:left w:w="108" w:type="dxa"/>
            <w:bottom w:w="0" w:type="dxa"/>
            <w:right w:w="108" w:type="dxa"/>
          </w:tblCellMar>
        </w:tblPrEx>
        <w:trPr>
          <w:trHeight w:val="465" w:hRule="atLeast"/>
        </w:trPr>
        <w:tc>
          <w:tcPr>
            <w:tcW w:w="300" w:type="pct"/>
            <w:tcBorders>
              <w:top w:val="nil"/>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210</w:t>
            </w:r>
          </w:p>
        </w:tc>
        <w:tc>
          <w:tcPr>
            <w:tcW w:w="192" w:type="pct"/>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11</w:t>
            </w:r>
          </w:p>
        </w:tc>
        <w:tc>
          <w:tcPr>
            <w:tcW w:w="198" w:type="pct"/>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02</w:t>
            </w:r>
          </w:p>
        </w:tc>
        <w:tc>
          <w:tcPr>
            <w:tcW w:w="425" w:type="pct"/>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事业单位医疗</w:t>
            </w:r>
          </w:p>
        </w:tc>
        <w:tc>
          <w:tcPr>
            <w:tcW w:w="410" w:type="pct"/>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3.30</w:t>
            </w:r>
          </w:p>
        </w:tc>
        <w:tc>
          <w:tcPr>
            <w:tcW w:w="379" w:type="pct"/>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3.30</w:t>
            </w:r>
          </w:p>
        </w:tc>
        <w:tc>
          <w:tcPr>
            <w:tcW w:w="364" w:type="pct"/>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3.30</w:t>
            </w:r>
          </w:p>
        </w:tc>
        <w:tc>
          <w:tcPr>
            <w:tcW w:w="281" w:type="pct"/>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175" w:type="pct"/>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325" w:type="pct"/>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357" w:type="pct"/>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357" w:type="pct"/>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295" w:type="pct"/>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373" w:type="pct"/>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319" w:type="pct"/>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242" w:type="pct"/>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r>
      <w:tr>
        <w:tblPrEx>
          <w:tblCellMar>
            <w:top w:w="0" w:type="dxa"/>
            <w:left w:w="108" w:type="dxa"/>
            <w:bottom w:w="0" w:type="dxa"/>
            <w:right w:w="108" w:type="dxa"/>
          </w:tblCellMar>
        </w:tblPrEx>
        <w:trPr>
          <w:trHeight w:val="465" w:hRule="atLeast"/>
        </w:trPr>
        <w:tc>
          <w:tcPr>
            <w:tcW w:w="300" w:type="pct"/>
            <w:tcBorders>
              <w:top w:val="nil"/>
              <w:left w:val="single" w:color="auto" w:sz="4" w:space="0"/>
              <w:bottom w:val="single" w:color="auto" w:sz="4" w:space="0"/>
              <w:right w:val="single" w:color="auto" w:sz="4" w:space="0"/>
            </w:tcBorders>
            <w:noWrap w:val="0"/>
            <w:vAlign w:val="center"/>
          </w:tcPr>
          <w:p>
            <w:pPr>
              <w:jc w:val="center"/>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210</w:t>
            </w:r>
          </w:p>
        </w:tc>
        <w:tc>
          <w:tcPr>
            <w:tcW w:w="192" w:type="pct"/>
            <w:tcBorders>
              <w:top w:val="nil"/>
              <w:left w:val="nil"/>
              <w:bottom w:val="single" w:color="auto" w:sz="4" w:space="0"/>
              <w:right w:val="single" w:color="auto" w:sz="4" w:space="0"/>
            </w:tcBorders>
            <w:noWrap w:val="0"/>
            <w:vAlign w:val="center"/>
          </w:tcPr>
          <w:p>
            <w:pPr>
              <w:jc w:val="center"/>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11</w:t>
            </w:r>
          </w:p>
        </w:tc>
        <w:tc>
          <w:tcPr>
            <w:tcW w:w="198" w:type="pct"/>
            <w:tcBorders>
              <w:top w:val="nil"/>
              <w:left w:val="nil"/>
              <w:bottom w:val="single" w:color="auto" w:sz="4" w:space="0"/>
              <w:right w:val="single" w:color="auto" w:sz="4" w:space="0"/>
            </w:tcBorders>
            <w:noWrap w:val="0"/>
            <w:vAlign w:val="center"/>
          </w:tcPr>
          <w:p>
            <w:pPr>
              <w:jc w:val="center"/>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03</w:t>
            </w:r>
          </w:p>
        </w:tc>
        <w:tc>
          <w:tcPr>
            <w:tcW w:w="425" w:type="pct"/>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r>
              <w:rPr>
                <w:rFonts w:hint="eastAsia" w:ascii="仿宋_GB2312" w:eastAsia="仿宋_GB2312"/>
                <w:color w:val="auto"/>
                <w:sz w:val="18"/>
                <w:szCs w:val="18"/>
                <w:highlight w:val="none"/>
              </w:rPr>
              <w:t>公务员医疗补助</w:t>
            </w:r>
          </w:p>
        </w:tc>
        <w:tc>
          <w:tcPr>
            <w:tcW w:w="410" w:type="pct"/>
            <w:tcBorders>
              <w:top w:val="nil"/>
              <w:left w:val="nil"/>
              <w:bottom w:val="single" w:color="auto" w:sz="4" w:space="0"/>
              <w:right w:val="single" w:color="auto" w:sz="4" w:space="0"/>
            </w:tcBorders>
            <w:noWrap w:val="0"/>
            <w:vAlign w:val="center"/>
          </w:tcPr>
          <w:p>
            <w:pPr>
              <w:jc w:val="center"/>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7.92</w:t>
            </w:r>
          </w:p>
        </w:tc>
        <w:tc>
          <w:tcPr>
            <w:tcW w:w="379" w:type="pct"/>
            <w:tcBorders>
              <w:top w:val="nil"/>
              <w:left w:val="nil"/>
              <w:bottom w:val="single" w:color="auto" w:sz="4" w:space="0"/>
              <w:right w:val="single" w:color="auto" w:sz="4" w:space="0"/>
            </w:tcBorders>
            <w:noWrap w:val="0"/>
            <w:vAlign w:val="center"/>
          </w:tcPr>
          <w:p>
            <w:pPr>
              <w:jc w:val="center"/>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7.92</w:t>
            </w:r>
          </w:p>
        </w:tc>
        <w:tc>
          <w:tcPr>
            <w:tcW w:w="364" w:type="pct"/>
            <w:tcBorders>
              <w:top w:val="nil"/>
              <w:left w:val="nil"/>
              <w:bottom w:val="single" w:color="auto" w:sz="4" w:space="0"/>
              <w:right w:val="single" w:color="auto" w:sz="4" w:space="0"/>
            </w:tcBorders>
            <w:noWrap w:val="0"/>
            <w:vAlign w:val="center"/>
          </w:tcPr>
          <w:p>
            <w:pPr>
              <w:jc w:val="center"/>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7.92</w:t>
            </w:r>
          </w:p>
        </w:tc>
        <w:tc>
          <w:tcPr>
            <w:tcW w:w="281" w:type="pct"/>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175" w:type="pct"/>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325" w:type="pct"/>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357" w:type="pct"/>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357" w:type="pct"/>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295" w:type="pct"/>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373" w:type="pct"/>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319" w:type="pct"/>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242" w:type="pct"/>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r>
      <w:tr>
        <w:tblPrEx>
          <w:tblCellMar>
            <w:top w:w="0" w:type="dxa"/>
            <w:left w:w="108" w:type="dxa"/>
            <w:bottom w:w="0" w:type="dxa"/>
            <w:right w:w="108" w:type="dxa"/>
          </w:tblCellMar>
        </w:tblPrEx>
        <w:trPr>
          <w:trHeight w:val="465" w:hRule="atLeast"/>
        </w:trPr>
        <w:tc>
          <w:tcPr>
            <w:tcW w:w="300" w:type="pct"/>
            <w:tcBorders>
              <w:top w:val="nil"/>
              <w:left w:val="single" w:color="auto" w:sz="4" w:space="0"/>
              <w:bottom w:val="single" w:color="auto" w:sz="4" w:space="0"/>
              <w:right w:val="single" w:color="auto" w:sz="4" w:space="0"/>
            </w:tcBorders>
            <w:noWrap w:val="0"/>
            <w:vAlign w:val="center"/>
          </w:tcPr>
          <w:p>
            <w:pPr>
              <w:jc w:val="center"/>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210</w:t>
            </w:r>
          </w:p>
        </w:tc>
        <w:tc>
          <w:tcPr>
            <w:tcW w:w="192" w:type="pct"/>
            <w:tcBorders>
              <w:top w:val="nil"/>
              <w:left w:val="nil"/>
              <w:bottom w:val="single" w:color="auto" w:sz="4" w:space="0"/>
              <w:right w:val="single" w:color="auto" w:sz="4" w:space="0"/>
            </w:tcBorders>
            <w:noWrap w:val="0"/>
            <w:vAlign w:val="center"/>
          </w:tcPr>
          <w:p>
            <w:pPr>
              <w:jc w:val="center"/>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11</w:t>
            </w:r>
          </w:p>
        </w:tc>
        <w:tc>
          <w:tcPr>
            <w:tcW w:w="198" w:type="pct"/>
            <w:tcBorders>
              <w:top w:val="nil"/>
              <w:left w:val="nil"/>
              <w:bottom w:val="single" w:color="auto" w:sz="4" w:space="0"/>
              <w:right w:val="single" w:color="auto" w:sz="4" w:space="0"/>
            </w:tcBorders>
            <w:noWrap w:val="0"/>
            <w:vAlign w:val="center"/>
          </w:tcPr>
          <w:p>
            <w:pPr>
              <w:jc w:val="center"/>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99</w:t>
            </w:r>
          </w:p>
        </w:tc>
        <w:tc>
          <w:tcPr>
            <w:tcW w:w="425" w:type="pct"/>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r>
              <w:rPr>
                <w:rFonts w:hint="eastAsia" w:ascii="仿宋_GB2312" w:eastAsia="仿宋_GB2312"/>
                <w:color w:val="auto"/>
                <w:sz w:val="18"/>
                <w:szCs w:val="18"/>
                <w:highlight w:val="none"/>
              </w:rPr>
              <w:t>其他行政事业单位医疗支出</w:t>
            </w:r>
          </w:p>
        </w:tc>
        <w:tc>
          <w:tcPr>
            <w:tcW w:w="410" w:type="pct"/>
            <w:tcBorders>
              <w:top w:val="nil"/>
              <w:left w:val="nil"/>
              <w:bottom w:val="single" w:color="auto" w:sz="4" w:space="0"/>
              <w:right w:val="single" w:color="auto" w:sz="4" w:space="0"/>
            </w:tcBorders>
            <w:noWrap w:val="0"/>
            <w:vAlign w:val="center"/>
          </w:tcPr>
          <w:p>
            <w:pPr>
              <w:jc w:val="center"/>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0.20</w:t>
            </w:r>
          </w:p>
        </w:tc>
        <w:tc>
          <w:tcPr>
            <w:tcW w:w="379" w:type="pct"/>
            <w:tcBorders>
              <w:top w:val="nil"/>
              <w:left w:val="nil"/>
              <w:bottom w:val="single" w:color="auto" w:sz="4" w:space="0"/>
              <w:right w:val="single" w:color="auto" w:sz="4" w:space="0"/>
            </w:tcBorders>
            <w:noWrap w:val="0"/>
            <w:vAlign w:val="center"/>
          </w:tcPr>
          <w:p>
            <w:pPr>
              <w:jc w:val="center"/>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0.20</w:t>
            </w:r>
          </w:p>
        </w:tc>
        <w:tc>
          <w:tcPr>
            <w:tcW w:w="364" w:type="pct"/>
            <w:tcBorders>
              <w:top w:val="nil"/>
              <w:left w:val="nil"/>
              <w:bottom w:val="single" w:color="auto" w:sz="4" w:space="0"/>
              <w:right w:val="single" w:color="auto" w:sz="4" w:space="0"/>
            </w:tcBorders>
            <w:noWrap w:val="0"/>
            <w:vAlign w:val="center"/>
          </w:tcPr>
          <w:p>
            <w:pPr>
              <w:jc w:val="center"/>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0.20</w:t>
            </w:r>
          </w:p>
        </w:tc>
        <w:tc>
          <w:tcPr>
            <w:tcW w:w="281" w:type="pct"/>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175" w:type="pct"/>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325" w:type="pct"/>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357" w:type="pct"/>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357" w:type="pct"/>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295" w:type="pct"/>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373" w:type="pct"/>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319" w:type="pct"/>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242" w:type="pct"/>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r>
      <w:tr>
        <w:tblPrEx>
          <w:tblCellMar>
            <w:top w:w="0" w:type="dxa"/>
            <w:left w:w="108" w:type="dxa"/>
            <w:bottom w:w="0" w:type="dxa"/>
            <w:right w:w="108" w:type="dxa"/>
          </w:tblCellMar>
        </w:tblPrEx>
        <w:trPr>
          <w:trHeight w:val="465" w:hRule="atLeast"/>
        </w:trPr>
        <w:tc>
          <w:tcPr>
            <w:tcW w:w="300" w:type="pct"/>
            <w:tcBorders>
              <w:top w:val="nil"/>
              <w:left w:val="single" w:color="auto" w:sz="4" w:space="0"/>
              <w:bottom w:val="single" w:color="auto" w:sz="4" w:space="0"/>
              <w:right w:val="single" w:color="auto" w:sz="4" w:space="0"/>
            </w:tcBorders>
            <w:noWrap w:val="0"/>
            <w:vAlign w:val="center"/>
          </w:tcPr>
          <w:p>
            <w:pPr>
              <w:jc w:val="center"/>
              <w:rPr>
                <w:rFonts w:hint="default" w:ascii="仿宋_GB2312" w:eastAsia="仿宋_GB2312"/>
                <w:b/>
                <w:bCs/>
                <w:color w:val="auto"/>
                <w:sz w:val="18"/>
                <w:szCs w:val="18"/>
                <w:highlight w:val="none"/>
                <w:lang w:val="en-US" w:eastAsia="zh-CN"/>
              </w:rPr>
            </w:pPr>
            <w:r>
              <w:rPr>
                <w:rFonts w:hint="eastAsia" w:ascii="仿宋_GB2312" w:eastAsia="仿宋_GB2312"/>
                <w:b/>
                <w:bCs/>
                <w:color w:val="auto"/>
                <w:sz w:val="18"/>
                <w:szCs w:val="18"/>
                <w:highlight w:val="none"/>
                <w:lang w:val="en-US" w:eastAsia="zh-CN"/>
              </w:rPr>
              <w:t>221</w:t>
            </w:r>
          </w:p>
        </w:tc>
        <w:tc>
          <w:tcPr>
            <w:tcW w:w="192" w:type="pct"/>
            <w:tcBorders>
              <w:top w:val="nil"/>
              <w:left w:val="nil"/>
              <w:bottom w:val="single" w:color="auto" w:sz="4" w:space="0"/>
              <w:right w:val="single" w:color="auto" w:sz="4" w:space="0"/>
            </w:tcBorders>
            <w:noWrap w:val="0"/>
            <w:vAlign w:val="center"/>
          </w:tcPr>
          <w:p>
            <w:pPr>
              <w:jc w:val="center"/>
              <w:rPr>
                <w:rFonts w:hint="eastAsia" w:ascii="仿宋_GB2312" w:eastAsia="仿宋_GB2312"/>
                <w:b/>
                <w:bCs/>
                <w:color w:val="auto"/>
                <w:sz w:val="18"/>
                <w:szCs w:val="18"/>
                <w:highlight w:val="none"/>
                <w:lang w:val="en-US" w:eastAsia="zh-CN"/>
              </w:rPr>
            </w:pPr>
          </w:p>
        </w:tc>
        <w:tc>
          <w:tcPr>
            <w:tcW w:w="198" w:type="pct"/>
            <w:tcBorders>
              <w:top w:val="nil"/>
              <w:left w:val="nil"/>
              <w:bottom w:val="single" w:color="auto" w:sz="4" w:space="0"/>
              <w:right w:val="single" w:color="auto" w:sz="4" w:space="0"/>
            </w:tcBorders>
            <w:noWrap w:val="0"/>
            <w:vAlign w:val="center"/>
          </w:tcPr>
          <w:p>
            <w:pPr>
              <w:jc w:val="center"/>
              <w:rPr>
                <w:rFonts w:hint="eastAsia" w:ascii="仿宋_GB2312" w:eastAsia="仿宋_GB2312"/>
                <w:b/>
                <w:bCs/>
                <w:color w:val="auto"/>
                <w:sz w:val="18"/>
                <w:szCs w:val="18"/>
                <w:highlight w:val="none"/>
                <w:lang w:val="en-US" w:eastAsia="zh-CN"/>
              </w:rPr>
            </w:pPr>
          </w:p>
        </w:tc>
        <w:tc>
          <w:tcPr>
            <w:tcW w:w="425" w:type="pct"/>
            <w:tcBorders>
              <w:top w:val="nil"/>
              <w:left w:val="nil"/>
              <w:bottom w:val="single" w:color="auto" w:sz="4" w:space="0"/>
              <w:right w:val="single" w:color="auto" w:sz="4" w:space="0"/>
            </w:tcBorders>
            <w:noWrap w:val="0"/>
            <w:vAlign w:val="center"/>
          </w:tcPr>
          <w:p>
            <w:pPr>
              <w:jc w:val="center"/>
              <w:rPr>
                <w:rFonts w:hint="eastAsia" w:ascii="仿宋_GB2312" w:eastAsia="仿宋_GB2312"/>
                <w:b/>
                <w:bCs/>
                <w:color w:val="auto"/>
                <w:sz w:val="18"/>
                <w:szCs w:val="18"/>
                <w:highlight w:val="none"/>
              </w:rPr>
            </w:pPr>
            <w:r>
              <w:rPr>
                <w:rFonts w:hint="eastAsia" w:ascii="仿宋_GB2312" w:eastAsia="仿宋_GB2312"/>
                <w:b/>
                <w:bCs/>
                <w:color w:val="auto"/>
                <w:sz w:val="18"/>
                <w:szCs w:val="18"/>
                <w:highlight w:val="none"/>
              </w:rPr>
              <w:t>住房保障支出</w:t>
            </w:r>
          </w:p>
        </w:tc>
        <w:tc>
          <w:tcPr>
            <w:tcW w:w="410" w:type="pct"/>
            <w:tcBorders>
              <w:top w:val="nil"/>
              <w:left w:val="nil"/>
              <w:bottom w:val="single" w:color="auto" w:sz="4" w:space="0"/>
              <w:right w:val="single" w:color="auto" w:sz="4" w:space="0"/>
            </w:tcBorders>
            <w:noWrap w:val="0"/>
            <w:vAlign w:val="center"/>
          </w:tcPr>
          <w:p>
            <w:pPr>
              <w:jc w:val="center"/>
              <w:rPr>
                <w:rFonts w:hint="default" w:ascii="仿宋_GB2312" w:eastAsia="仿宋_GB2312"/>
                <w:b/>
                <w:bCs/>
                <w:color w:val="auto"/>
                <w:sz w:val="18"/>
                <w:szCs w:val="18"/>
                <w:highlight w:val="none"/>
                <w:lang w:val="en-US" w:eastAsia="zh-CN"/>
              </w:rPr>
            </w:pPr>
            <w:r>
              <w:rPr>
                <w:rFonts w:hint="eastAsia" w:ascii="仿宋_GB2312" w:eastAsia="仿宋_GB2312"/>
                <w:b/>
                <w:bCs/>
                <w:color w:val="auto"/>
                <w:sz w:val="18"/>
                <w:szCs w:val="18"/>
                <w:highlight w:val="none"/>
                <w:lang w:val="en-US" w:eastAsia="zh-CN"/>
              </w:rPr>
              <w:t>26.26</w:t>
            </w:r>
          </w:p>
        </w:tc>
        <w:tc>
          <w:tcPr>
            <w:tcW w:w="379" w:type="pct"/>
            <w:tcBorders>
              <w:top w:val="nil"/>
              <w:left w:val="nil"/>
              <w:bottom w:val="single" w:color="auto" w:sz="4" w:space="0"/>
              <w:right w:val="single" w:color="auto" w:sz="4" w:space="0"/>
            </w:tcBorders>
            <w:noWrap w:val="0"/>
            <w:vAlign w:val="center"/>
          </w:tcPr>
          <w:p>
            <w:pPr>
              <w:jc w:val="center"/>
              <w:rPr>
                <w:rFonts w:hint="default" w:ascii="仿宋_GB2312" w:eastAsia="仿宋_GB2312"/>
                <w:b/>
                <w:bCs/>
                <w:color w:val="auto"/>
                <w:sz w:val="18"/>
                <w:szCs w:val="18"/>
                <w:highlight w:val="none"/>
                <w:lang w:val="en-US" w:eastAsia="zh-CN"/>
              </w:rPr>
            </w:pPr>
            <w:r>
              <w:rPr>
                <w:rFonts w:hint="eastAsia" w:ascii="仿宋_GB2312" w:eastAsia="仿宋_GB2312"/>
                <w:b/>
                <w:bCs/>
                <w:color w:val="auto"/>
                <w:sz w:val="18"/>
                <w:szCs w:val="18"/>
                <w:highlight w:val="none"/>
                <w:lang w:val="en-US" w:eastAsia="zh-CN"/>
              </w:rPr>
              <w:t>26.26</w:t>
            </w:r>
          </w:p>
        </w:tc>
        <w:tc>
          <w:tcPr>
            <w:tcW w:w="364" w:type="pct"/>
            <w:tcBorders>
              <w:top w:val="nil"/>
              <w:left w:val="nil"/>
              <w:bottom w:val="single" w:color="auto" w:sz="4" w:space="0"/>
              <w:right w:val="single" w:color="auto" w:sz="4" w:space="0"/>
            </w:tcBorders>
            <w:noWrap w:val="0"/>
            <w:vAlign w:val="center"/>
          </w:tcPr>
          <w:p>
            <w:pPr>
              <w:jc w:val="center"/>
              <w:rPr>
                <w:rFonts w:hint="default" w:ascii="仿宋_GB2312" w:eastAsia="仿宋_GB2312"/>
                <w:b/>
                <w:bCs/>
                <w:color w:val="auto"/>
                <w:sz w:val="18"/>
                <w:szCs w:val="18"/>
                <w:highlight w:val="none"/>
                <w:lang w:val="en-US" w:eastAsia="zh-CN"/>
              </w:rPr>
            </w:pPr>
            <w:r>
              <w:rPr>
                <w:rFonts w:hint="eastAsia" w:ascii="仿宋_GB2312" w:eastAsia="仿宋_GB2312"/>
                <w:b/>
                <w:bCs/>
                <w:color w:val="auto"/>
                <w:sz w:val="18"/>
                <w:szCs w:val="18"/>
                <w:highlight w:val="none"/>
                <w:lang w:val="en-US" w:eastAsia="zh-CN"/>
              </w:rPr>
              <w:t>26.26</w:t>
            </w:r>
          </w:p>
        </w:tc>
        <w:tc>
          <w:tcPr>
            <w:tcW w:w="281" w:type="pct"/>
            <w:tcBorders>
              <w:top w:val="nil"/>
              <w:left w:val="nil"/>
              <w:bottom w:val="single" w:color="auto" w:sz="4" w:space="0"/>
              <w:right w:val="single" w:color="auto" w:sz="4" w:space="0"/>
            </w:tcBorders>
            <w:noWrap w:val="0"/>
            <w:vAlign w:val="center"/>
          </w:tcPr>
          <w:p>
            <w:pPr>
              <w:jc w:val="center"/>
              <w:rPr>
                <w:rFonts w:ascii="仿宋_GB2312" w:hAnsi="宋体" w:eastAsia="仿宋_GB2312" w:cs="宋体"/>
                <w:b/>
                <w:bCs/>
                <w:color w:val="auto"/>
                <w:sz w:val="18"/>
                <w:szCs w:val="18"/>
                <w:highlight w:val="none"/>
              </w:rPr>
            </w:pPr>
          </w:p>
        </w:tc>
        <w:tc>
          <w:tcPr>
            <w:tcW w:w="175" w:type="pct"/>
            <w:tcBorders>
              <w:top w:val="nil"/>
              <w:left w:val="nil"/>
              <w:bottom w:val="single" w:color="auto" w:sz="4" w:space="0"/>
              <w:right w:val="single" w:color="auto" w:sz="4" w:space="0"/>
            </w:tcBorders>
            <w:noWrap w:val="0"/>
            <w:vAlign w:val="center"/>
          </w:tcPr>
          <w:p>
            <w:pPr>
              <w:jc w:val="center"/>
              <w:rPr>
                <w:rFonts w:hint="eastAsia" w:ascii="仿宋_GB2312" w:eastAsia="仿宋_GB2312"/>
                <w:b/>
                <w:bCs/>
                <w:color w:val="auto"/>
                <w:sz w:val="18"/>
                <w:szCs w:val="18"/>
                <w:highlight w:val="none"/>
              </w:rPr>
            </w:pPr>
          </w:p>
        </w:tc>
        <w:tc>
          <w:tcPr>
            <w:tcW w:w="325" w:type="pct"/>
            <w:tcBorders>
              <w:top w:val="nil"/>
              <w:left w:val="nil"/>
              <w:bottom w:val="single" w:color="auto" w:sz="4" w:space="0"/>
              <w:right w:val="single" w:color="auto" w:sz="4" w:space="0"/>
            </w:tcBorders>
            <w:noWrap w:val="0"/>
            <w:vAlign w:val="center"/>
          </w:tcPr>
          <w:p>
            <w:pPr>
              <w:jc w:val="center"/>
              <w:rPr>
                <w:rFonts w:hint="eastAsia" w:ascii="仿宋_GB2312" w:eastAsia="仿宋_GB2312"/>
                <w:b/>
                <w:bCs/>
                <w:color w:val="auto"/>
                <w:sz w:val="18"/>
                <w:szCs w:val="18"/>
                <w:highlight w:val="none"/>
              </w:rPr>
            </w:pPr>
          </w:p>
        </w:tc>
        <w:tc>
          <w:tcPr>
            <w:tcW w:w="357" w:type="pct"/>
            <w:tcBorders>
              <w:top w:val="nil"/>
              <w:left w:val="nil"/>
              <w:bottom w:val="single" w:color="auto" w:sz="4" w:space="0"/>
              <w:right w:val="single" w:color="auto" w:sz="4" w:space="0"/>
            </w:tcBorders>
            <w:noWrap w:val="0"/>
            <w:vAlign w:val="center"/>
          </w:tcPr>
          <w:p>
            <w:pPr>
              <w:jc w:val="center"/>
              <w:rPr>
                <w:rFonts w:hint="eastAsia" w:ascii="仿宋_GB2312" w:eastAsia="仿宋_GB2312"/>
                <w:b/>
                <w:bCs/>
                <w:color w:val="auto"/>
                <w:sz w:val="18"/>
                <w:szCs w:val="18"/>
                <w:highlight w:val="none"/>
              </w:rPr>
            </w:pPr>
          </w:p>
        </w:tc>
        <w:tc>
          <w:tcPr>
            <w:tcW w:w="357" w:type="pct"/>
            <w:tcBorders>
              <w:top w:val="nil"/>
              <w:left w:val="nil"/>
              <w:bottom w:val="single" w:color="auto" w:sz="4" w:space="0"/>
              <w:right w:val="single" w:color="auto" w:sz="4" w:space="0"/>
            </w:tcBorders>
            <w:noWrap w:val="0"/>
            <w:vAlign w:val="center"/>
          </w:tcPr>
          <w:p>
            <w:pPr>
              <w:jc w:val="center"/>
              <w:rPr>
                <w:rFonts w:hint="eastAsia" w:ascii="仿宋_GB2312" w:eastAsia="仿宋_GB2312"/>
                <w:b/>
                <w:bCs/>
                <w:color w:val="auto"/>
                <w:sz w:val="18"/>
                <w:szCs w:val="18"/>
                <w:highlight w:val="none"/>
              </w:rPr>
            </w:pPr>
          </w:p>
        </w:tc>
        <w:tc>
          <w:tcPr>
            <w:tcW w:w="295" w:type="pct"/>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b/>
                <w:bCs/>
                <w:color w:val="auto"/>
                <w:sz w:val="18"/>
                <w:szCs w:val="18"/>
                <w:highlight w:val="none"/>
              </w:rPr>
            </w:pPr>
          </w:p>
        </w:tc>
        <w:tc>
          <w:tcPr>
            <w:tcW w:w="373" w:type="pct"/>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b/>
                <w:bCs/>
                <w:color w:val="auto"/>
                <w:sz w:val="18"/>
                <w:szCs w:val="18"/>
                <w:highlight w:val="none"/>
              </w:rPr>
            </w:pPr>
          </w:p>
        </w:tc>
        <w:tc>
          <w:tcPr>
            <w:tcW w:w="319" w:type="pct"/>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b/>
                <w:bCs/>
                <w:color w:val="auto"/>
                <w:sz w:val="18"/>
                <w:szCs w:val="18"/>
                <w:highlight w:val="none"/>
              </w:rPr>
            </w:pPr>
          </w:p>
        </w:tc>
        <w:tc>
          <w:tcPr>
            <w:tcW w:w="242" w:type="pct"/>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b/>
                <w:bCs/>
                <w:color w:val="auto"/>
                <w:sz w:val="18"/>
                <w:szCs w:val="18"/>
                <w:highlight w:val="none"/>
              </w:rPr>
            </w:pPr>
          </w:p>
        </w:tc>
      </w:tr>
      <w:tr>
        <w:tblPrEx>
          <w:tblCellMar>
            <w:top w:w="0" w:type="dxa"/>
            <w:left w:w="108" w:type="dxa"/>
            <w:bottom w:w="0" w:type="dxa"/>
            <w:right w:w="108" w:type="dxa"/>
          </w:tblCellMar>
        </w:tblPrEx>
        <w:trPr>
          <w:trHeight w:val="465" w:hRule="atLeast"/>
        </w:trPr>
        <w:tc>
          <w:tcPr>
            <w:tcW w:w="300" w:type="pct"/>
            <w:tcBorders>
              <w:top w:val="nil"/>
              <w:left w:val="single" w:color="auto" w:sz="4" w:space="0"/>
              <w:bottom w:val="single" w:color="auto" w:sz="4" w:space="0"/>
              <w:right w:val="single" w:color="auto" w:sz="4" w:space="0"/>
            </w:tcBorders>
            <w:noWrap w:val="0"/>
            <w:vAlign w:val="center"/>
          </w:tcPr>
          <w:p>
            <w:pPr>
              <w:jc w:val="center"/>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221</w:t>
            </w:r>
          </w:p>
        </w:tc>
        <w:tc>
          <w:tcPr>
            <w:tcW w:w="192" w:type="pct"/>
            <w:tcBorders>
              <w:top w:val="nil"/>
              <w:left w:val="nil"/>
              <w:bottom w:val="single" w:color="auto" w:sz="4" w:space="0"/>
              <w:right w:val="single" w:color="auto" w:sz="4" w:space="0"/>
            </w:tcBorders>
            <w:noWrap w:val="0"/>
            <w:vAlign w:val="center"/>
          </w:tcPr>
          <w:p>
            <w:pPr>
              <w:jc w:val="center"/>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02</w:t>
            </w:r>
          </w:p>
        </w:tc>
        <w:tc>
          <w:tcPr>
            <w:tcW w:w="198" w:type="pct"/>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lang w:val="en-US" w:eastAsia="zh-CN"/>
              </w:rPr>
            </w:pPr>
          </w:p>
        </w:tc>
        <w:tc>
          <w:tcPr>
            <w:tcW w:w="425" w:type="pct"/>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r>
              <w:rPr>
                <w:rFonts w:hint="eastAsia" w:ascii="仿宋_GB2312" w:eastAsia="仿宋_GB2312"/>
                <w:color w:val="auto"/>
                <w:sz w:val="18"/>
                <w:szCs w:val="18"/>
                <w:highlight w:val="none"/>
              </w:rPr>
              <w:t>住房改革支出</w:t>
            </w:r>
          </w:p>
        </w:tc>
        <w:tc>
          <w:tcPr>
            <w:tcW w:w="410" w:type="pct"/>
            <w:tcBorders>
              <w:top w:val="nil"/>
              <w:left w:val="nil"/>
              <w:bottom w:val="single" w:color="auto" w:sz="4" w:space="0"/>
              <w:right w:val="single" w:color="auto" w:sz="4" w:space="0"/>
            </w:tcBorders>
            <w:noWrap w:val="0"/>
            <w:vAlign w:val="center"/>
          </w:tcPr>
          <w:p>
            <w:pPr>
              <w:jc w:val="center"/>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26.26</w:t>
            </w:r>
          </w:p>
        </w:tc>
        <w:tc>
          <w:tcPr>
            <w:tcW w:w="379" w:type="pct"/>
            <w:tcBorders>
              <w:top w:val="nil"/>
              <w:left w:val="nil"/>
              <w:bottom w:val="single" w:color="auto" w:sz="4" w:space="0"/>
              <w:right w:val="single" w:color="auto" w:sz="4" w:space="0"/>
            </w:tcBorders>
            <w:noWrap w:val="0"/>
            <w:vAlign w:val="center"/>
          </w:tcPr>
          <w:p>
            <w:pPr>
              <w:jc w:val="center"/>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26.26</w:t>
            </w:r>
          </w:p>
        </w:tc>
        <w:tc>
          <w:tcPr>
            <w:tcW w:w="364" w:type="pct"/>
            <w:tcBorders>
              <w:top w:val="nil"/>
              <w:left w:val="nil"/>
              <w:bottom w:val="single" w:color="auto" w:sz="4" w:space="0"/>
              <w:right w:val="single" w:color="auto" w:sz="4" w:space="0"/>
            </w:tcBorders>
            <w:noWrap w:val="0"/>
            <w:vAlign w:val="center"/>
          </w:tcPr>
          <w:p>
            <w:pPr>
              <w:jc w:val="center"/>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26.26</w:t>
            </w:r>
          </w:p>
        </w:tc>
        <w:tc>
          <w:tcPr>
            <w:tcW w:w="281" w:type="pct"/>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175" w:type="pct"/>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325" w:type="pct"/>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357" w:type="pct"/>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357" w:type="pct"/>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295" w:type="pct"/>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373" w:type="pct"/>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319" w:type="pct"/>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242" w:type="pct"/>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r>
      <w:tr>
        <w:tblPrEx>
          <w:tblCellMar>
            <w:top w:w="0" w:type="dxa"/>
            <w:left w:w="108" w:type="dxa"/>
            <w:bottom w:w="0" w:type="dxa"/>
            <w:right w:w="108" w:type="dxa"/>
          </w:tblCellMar>
        </w:tblPrEx>
        <w:trPr>
          <w:trHeight w:val="465" w:hRule="atLeast"/>
        </w:trPr>
        <w:tc>
          <w:tcPr>
            <w:tcW w:w="300" w:type="pct"/>
            <w:tcBorders>
              <w:top w:val="nil"/>
              <w:left w:val="single" w:color="auto" w:sz="4" w:space="0"/>
              <w:bottom w:val="single" w:color="auto" w:sz="4" w:space="0"/>
              <w:right w:val="single" w:color="auto" w:sz="4" w:space="0"/>
            </w:tcBorders>
            <w:noWrap w:val="0"/>
            <w:vAlign w:val="center"/>
          </w:tcPr>
          <w:p>
            <w:pPr>
              <w:jc w:val="center"/>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221</w:t>
            </w:r>
          </w:p>
        </w:tc>
        <w:tc>
          <w:tcPr>
            <w:tcW w:w="192" w:type="pct"/>
            <w:tcBorders>
              <w:top w:val="nil"/>
              <w:left w:val="nil"/>
              <w:bottom w:val="single" w:color="auto" w:sz="4" w:space="0"/>
              <w:right w:val="single" w:color="auto" w:sz="4" w:space="0"/>
            </w:tcBorders>
            <w:noWrap w:val="0"/>
            <w:vAlign w:val="center"/>
          </w:tcPr>
          <w:p>
            <w:pPr>
              <w:jc w:val="center"/>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02</w:t>
            </w:r>
          </w:p>
        </w:tc>
        <w:tc>
          <w:tcPr>
            <w:tcW w:w="198" w:type="pct"/>
            <w:tcBorders>
              <w:top w:val="nil"/>
              <w:left w:val="nil"/>
              <w:bottom w:val="single" w:color="auto" w:sz="4" w:space="0"/>
              <w:right w:val="single" w:color="auto" w:sz="4" w:space="0"/>
            </w:tcBorders>
            <w:noWrap w:val="0"/>
            <w:vAlign w:val="center"/>
          </w:tcPr>
          <w:p>
            <w:pPr>
              <w:jc w:val="center"/>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01</w:t>
            </w:r>
          </w:p>
        </w:tc>
        <w:tc>
          <w:tcPr>
            <w:tcW w:w="425" w:type="pct"/>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r>
              <w:rPr>
                <w:rFonts w:hint="eastAsia" w:ascii="仿宋_GB2312" w:eastAsia="仿宋_GB2312"/>
                <w:color w:val="auto"/>
                <w:sz w:val="18"/>
                <w:szCs w:val="18"/>
                <w:highlight w:val="none"/>
              </w:rPr>
              <w:t>住房公积金</w:t>
            </w:r>
          </w:p>
        </w:tc>
        <w:tc>
          <w:tcPr>
            <w:tcW w:w="410" w:type="pct"/>
            <w:tcBorders>
              <w:top w:val="nil"/>
              <w:left w:val="nil"/>
              <w:bottom w:val="single" w:color="auto" w:sz="4" w:space="0"/>
              <w:right w:val="single" w:color="auto" w:sz="4" w:space="0"/>
            </w:tcBorders>
            <w:noWrap w:val="0"/>
            <w:vAlign w:val="center"/>
          </w:tcPr>
          <w:p>
            <w:pPr>
              <w:jc w:val="center"/>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26.26</w:t>
            </w:r>
          </w:p>
        </w:tc>
        <w:tc>
          <w:tcPr>
            <w:tcW w:w="379" w:type="pct"/>
            <w:tcBorders>
              <w:top w:val="nil"/>
              <w:left w:val="nil"/>
              <w:bottom w:val="single" w:color="auto" w:sz="4" w:space="0"/>
              <w:right w:val="single" w:color="auto" w:sz="4" w:space="0"/>
            </w:tcBorders>
            <w:noWrap w:val="0"/>
            <w:vAlign w:val="center"/>
          </w:tcPr>
          <w:p>
            <w:pPr>
              <w:jc w:val="center"/>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26.26</w:t>
            </w:r>
          </w:p>
        </w:tc>
        <w:tc>
          <w:tcPr>
            <w:tcW w:w="364" w:type="pct"/>
            <w:tcBorders>
              <w:top w:val="nil"/>
              <w:left w:val="nil"/>
              <w:bottom w:val="single" w:color="auto" w:sz="4" w:space="0"/>
              <w:right w:val="single" w:color="auto" w:sz="4" w:space="0"/>
            </w:tcBorders>
            <w:noWrap w:val="0"/>
            <w:vAlign w:val="center"/>
          </w:tcPr>
          <w:p>
            <w:pPr>
              <w:jc w:val="center"/>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26.26</w:t>
            </w:r>
          </w:p>
        </w:tc>
        <w:tc>
          <w:tcPr>
            <w:tcW w:w="281" w:type="pct"/>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175" w:type="pct"/>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325" w:type="pct"/>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357" w:type="pct"/>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357" w:type="pct"/>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295" w:type="pct"/>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373" w:type="pct"/>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319" w:type="pct"/>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242" w:type="pct"/>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r>
      <w:tr>
        <w:tblPrEx>
          <w:tblCellMar>
            <w:top w:w="0" w:type="dxa"/>
            <w:left w:w="108" w:type="dxa"/>
            <w:bottom w:w="0" w:type="dxa"/>
            <w:right w:w="108" w:type="dxa"/>
          </w:tblCellMar>
        </w:tblPrEx>
        <w:trPr>
          <w:trHeight w:val="465" w:hRule="atLeast"/>
        </w:trPr>
        <w:tc>
          <w:tcPr>
            <w:tcW w:w="300" w:type="pct"/>
            <w:tcBorders>
              <w:top w:val="nil"/>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192" w:type="pct"/>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198" w:type="pct"/>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425" w:type="pct"/>
            <w:tcBorders>
              <w:top w:val="nil"/>
              <w:left w:val="nil"/>
              <w:bottom w:val="single" w:color="auto" w:sz="4" w:space="0"/>
              <w:right w:val="single" w:color="auto" w:sz="4" w:space="0"/>
            </w:tcBorders>
            <w:noWrap w:val="0"/>
            <w:vAlign w:val="center"/>
          </w:tcPr>
          <w:p>
            <w:pPr>
              <w:jc w:val="center"/>
              <w:rPr>
                <w:rFonts w:ascii="仿宋_GB2312" w:hAnsi="宋体" w:eastAsia="仿宋_GB2312" w:cs="宋体"/>
                <w:b/>
                <w:bCs/>
                <w:color w:val="auto"/>
                <w:sz w:val="18"/>
                <w:szCs w:val="18"/>
                <w:highlight w:val="none"/>
              </w:rPr>
            </w:pPr>
            <w:r>
              <w:rPr>
                <w:rFonts w:hint="eastAsia" w:ascii="仿宋_GB2312" w:eastAsia="仿宋_GB2312"/>
                <w:b/>
                <w:bCs/>
                <w:color w:val="auto"/>
                <w:sz w:val="18"/>
                <w:szCs w:val="18"/>
                <w:highlight w:val="none"/>
              </w:rPr>
              <w:t>合  计</w:t>
            </w:r>
          </w:p>
        </w:tc>
        <w:tc>
          <w:tcPr>
            <w:tcW w:w="410" w:type="pct"/>
            <w:tcBorders>
              <w:top w:val="nil"/>
              <w:left w:val="nil"/>
              <w:bottom w:val="single" w:color="auto" w:sz="4" w:space="0"/>
              <w:right w:val="single" w:color="auto" w:sz="4" w:space="0"/>
            </w:tcBorders>
            <w:noWrap w:val="0"/>
            <w:vAlign w:val="center"/>
          </w:tcPr>
          <w:p>
            <w:pPr>
              <w:jc w:val="center"/>
              <w:rPr>
                <w:rFonts w:ascii="仿宋_GB2312" w:hAnsi="宋体" w:eastAsia="仿宋_GB2312" w:cs="宋体"/>
                <w:b/>
                <w:bCs/>
                <w:color w:val="auto"/>
                <w:sz w:val="18"/>
                <w:szCs w:val="18"/>
                <w:highlight w:val="none"/>
              </w:rPr>
            </w:pPr>
            <w:r>
              <w:rPr>
                <w:rFonts w:hint="eastAsia" w:ascii="仿宋_GB2312" w:eastAsia="仿宋_GB2312"/>
                <w:b/>
                <w:bCs/>
                <w:color w:val="auto"/>
                <w:sz w:val="18"/>
                <w:szCs w:val="18"/>
                <w:highlight w:val="none"/>
                <w:lang w:val="en-US" w:eastAsia="zh-CN"/>
              </w:rPr>
              <w:t>765.13</w:t>
            </w:r>
          </w:p>
        </w:tc>
        <w:tc>
          <w:tcPr>
            <w:tcW w:w="379" w:type="pct"/>
            <w:tcBorders>
              <w:top w:val="nil"/>
              <w:left w:val="nil"/>
              <w:bottom w:val="single" w:color="auto" w:sz="4" w:space="0"/>
              <w:right w:val="single" w:color="auto" w:sz="4" w:space="0"/>
            </w:tcBorders>
            <w:noWrap w:val="0"/>
            <w:vAlign w:val="center"/>
          </w:tcPr>
          <w:p>
            <w:pPr>
              <w:jc w:val="center"/>
              <w:rPr>
                <w:rFonts w:ascii="仿宋_GB2312" w:hAnsi="宋体" w:eastAsia="仿宋_GB2312" w:cs="宋体"/>
                <w:b/>
                <w:bCs/>
                <w:color w:val="auto"/>
                <w:sz w:val="18"/>
                <w:szCs w:val="18"/>
                <w:highlight w:val="none"/>
              </w:rPr>
            </w:pPr>
            <w:r>
              <w:rPr>
                <w:rFonts w:hint="eastAsia" w:ascii="仿宋_GB2312" w:eastAsia="仿宋_GB2312"/>
                <w:b/>
                <w:bCs/>
                <w:color w:val="auto"/>
                <w:sz w:val="18"/>
                <w:szCs w:val="18"/>
                <w:highlight w:val="none"/>
                <w:lang w:val="en-US" w:eastAsia="zh-CN"/>
              </w:rPr>
              <w:t>719.31</w:t>
            </w:r>
          </w:p>
        </w:tc>
        <w:tc>
          <w:tcPr>
            <w:tcW w:w="364" w:type="pct"/>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b/>
                <w:bCs/>
                <w:color w:val="auto"/>
                <w:sz w:val="18"/>
                <w:szCs w:val="18"/>
                <w:highlight w:val="none"/>
                <w:lang w:val="en-US"/>
              </w:rPr>
            </w:pPr>
            <w:r>
              <w:rPr>
                <w:rFonts w:hint="eastAsia" w:ascii="仿宋_GB2312" w:eastAsia="仿宋_GB2312"/>
                <w:b/>
                <w:bCs/>
                <w:color w:val="auto"/>
                <w:sz w:val="18"/>
                <w:szCs w:val="18"/>
                <w:highlight w:val="none"/>
                <w:lang w:val="en-US" w:eastAsia="zh-CN"/>
              </w:rPr>
              <w:t>716.38</w:t>
            </w:r>
          </w:p>
        </w:tc>
        <w:tc>
          <w:tcPr>
            <w:tcW w:w="281" w:type="pct"/>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b/>
                <w:bCs/>
                <w:color w:val="auto"/>
                <w:sz w:val="18"/>
                <w:szCs w:val="18"/>
                <w:highlight w:val="none"/>
                <w:lang w:val="en-US" w:eastAsia="zh-CN"/>
              </w:rPr>
            </w:pPr>
            <w:r>
              <w:rPr>
                <w:rFonts w:hint="eastAsia" w:ascii="仿宋_GB2312" w:hAnsi="宋体" w:eastAsia="仿宋_GB2312" w:cs="宋体"/>
                <w:b/>
                <w:bCs/>
                <w:color w:val="auto"/>
                <w:sz w:val="18"/>
                <w:szCs w:val="18"/>
                <w:highlight w:val="none"/>
                <w:lang w:val="en-US" w:eastAsia="zh-CN"/>
              </w:rPr>
              <w:t>2.92</w:t>
            </w:r>
          </w:p>
        </w:tc>
        <w:tc>
          <w:tcPr>
            <w:tcW w:w="175" w:type="pct"/>
            <w:tcBorders>
              <w:top w:val="nil"/>
              <w:left w:val="nil"/>
              <w:bottom w:val="single" w:color="auto" w:sz="4" w:space="0"/>
              <w:right w:val="single" w:color="auto" w:sz="4" w:space="0"/>
            </w:tcBorders>
            <w:noWrap w:val="0"/>
            <w:vAlign w:val="center"/>
          </w:tcPr>
          <w:p>
            <w:pPr>
              <w:jc w:val="center"/>
              <w:rPr>
                <w:rFonts w:ascii="仿宋_GB2312" w:hAnsi="宋体" w:eastAsia="仿宋_GB2312" w:cs="宋体"/>
                <w:b/>
                <w:bCs/>
                <w:color w:val="auto"/>
                <w:sz w:val="18"/>
                <w:szCs w:val="18"/>
                <w:highlight w:val="none"/>
              </w:rPr>
            </w:pPr>
          </w:p>
        </w:tc>
        <w:tc>
          <w:tcPr>
            <w:tcW w:w="325" w:type="pct"/>
            <w:tcBorders>
              <w:top w:val="nil"/>
              <w:left w:val="nil"/>
              <w:bottom w:val="single" w:color="auto" w:sz="4" w:space="0"/>
              <w:right w:val="single" w:color="auto" w:sz="4" w:space="0"/>
            </w:tcBorders>
            <w:noWrap w:val="0"/>
            <w:vAlign w:val="center"/>
          </w:tcPr>
          <w:p>
            <w:pPr>
              <w:jc w:val="center"/>
              <w:rPr>
                <w:rFonts w:ascii="仿宋_GB2312" w:hAnsi="宋体" w:eastAsia="仿宋_GB2312" w:cs="宋体"/>
                <w:b/>
                <w:bCs/>
                <w:color w:val="auto"/>
                <w:sz w:val="18"/>
                <w:szCs w:val="18"/>
                <w:highlight w:val="none"/>
              </w:rPr>
            </w:pPr>
          </w:p>
        </w:tc>
        <w:tc>
          <w:tcPr>
            <w:tcW w:w="357" w:type="pct"/>
            <w:tcBorders>
              <w:top w:val="nil"/>
              <w:left w:val="nil"/>
              <w:bottom w:val="single" w:color="auto" w:sz="4" w:space="0"/>
              <w:right w:val="single" w:color="auto" w:sz="4" w:space="0"/>
            </w:tcBorders>
            <w:noWrap w:val="0"/>
            <w:vAlign w:val="center"/>
          </w:tcPr>
          <w:p>
            <w:pPr>
              <w:jc w:val="center"/>
              <w:rPr>
                <w:rFonts w:ascii="仿宋_GB2312" w:hAnsi="宋体" w:eastAsia="仿宋_GB2312" w:cs="宋体"/>
                <w:b/>
                <w:bCs/>
                <w:color w:val="auto"/>
                <w:sz w:val="18"/>
                <w:szCs w:val="18"/>
                <w:highlight w:val="none"/>
              </w:rPr>
            </w:pPr>
          </w:p>
        </w:tc>
        <w:tc>
          <w:tcPr>
            <w:tcW w:w="357" w:type="pct"/>
            <w:tcBorders>
              <w:top w:val="nil"/>
              <w:left w:val="nil"/>
              <w:bottom w:val="single" w:color="auto" w:sz="4" w:space="0"/>
              <w:right w:val="single" w:color="auto" w:sz="4" w:space="0"/>
            </w:tcBorders>
            <w:noWrap w:val="0"/>
            <w:vAlign w:val="center"/>
          </w:tcPr>
          <w:p>
            <w:pPr>
              <w:jc w:val="center"/>
              <w:rPr>
                <w:rFonts w:ascii="仿宋_GB2312" w:hAnsi="宋体" w:eastAsia="仿宋_GB2312" w:cs="宋体"/>
                <w:b/>
                <w:bCs/>
                <w:color w:val="auto"/>
                <w:sz w:val="18"/>
                <w:szCs w:val="18"/>
                <w:highlight w:val="none"/>
              </w:rPr>
            </w:pPr>
          </w:p>
        </w:tc>
        <w:tc>
          <w:tcPr>
            <w:tcW w:w="295" w:type="pct"/>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b/>
                <w:bCs/>
                <w:color w:val="auto"/>
                <w:sz w:val="18"/>
                <w:szCs w:val="18"/>
                <w:highlight w:val="none"/>
              </w:rPr>
            </w:pPr>
          </w:p>
        </w:tc>
        <w:tc>
          <w:tcPr>
            <w:tcW w:w="373" w:type="pct"/>
            <w:tcBorders>
              <w:top w:val="nil"/>
              <w:left w:val="single" w:color="auto" w:sz="4" w:space="0"/>
              <w:bottom w:val="single" w:color="auto" w:sz="4" w:space="0"/>
              <w:right w:val="single" w:color="auto" w:sz="4" w:space="0"/>
            </w:tcBorders>
            <w:noWrap w:val="0"/>
            <w:vAlign w:val="center"/>
          </w:tcPr>
          <w:p>
            <w:pPr>
              <w:jc w:val="center"/>
              <w:rPr>
                <w:rFonts w:hint="default" w:ascii="仿宋_GB2312" w:eastAsia="仿宋_GB2312"/>
                <w:b/>
                <w:bCs/>
                <w:color w:val="auto"/>
                <w:sz w:val="18"/>
                <w:szCs w:val="18"/>
                <w:highlight w:val="none"/>
                <w:lang w:val="en-US" w:eastAsia="zh-CN"/>
              </w:rPr>
            </w:pPr>
            <w:r>
              <w:rPr>
                <w:rFonts w:hint="eastAsia" w:ascii="仿宋_GB2312" w:eastAsia="仿宋_GB2312"/>
                <w:b/>
                <w:bCs/>
                <w:color w:val="auto"/>
                <w:sz w:val="18"/>
                <w:szCs w:val="18"/>
                <w:highlight w:val="none"/>
                <w:lang w:val="en-US" w:eastAsia="zh-CN"/>
              </w:rPr>
              <w:t>35.22</w:t>
            </w:r>
          </w:p>
        </w:tc>
        <w:tc>
          <w:tcPr>
            <w:tcW w:w="319" w:type="pct"/>
            <w:tcBorders>
              <w:top w:val="nil"/>
              <w:left w:val="single" w:color="auto" w:sz="4" w:space="0"/>
              <w:bottom w:val="single" w:color="auto" w:sz="4" w:space="0"/>
              <w:right w:val="single" w:color="auto" w:sz="4" w:space="0"/>
            </w:tcBorders>
            <w:noWrap w:val="0"/>
            <w:vAlign w:val="center"/>
          </w:tcPr>
          <w:p>
            <w:pPr>
              <w:jc w:val="center"/>
              <w:rPr>
                <w:rFonts w:hint="default" w:ascii="仿宋_GB2312" w:eastAsia="仿宋_GB2312"/>
                <w:b/>
                <w:bCs/>
                <w:color w:val="auto"/>
                <w:sz w:val="18"/>
                <w:szCs w:val="18"/>
                <w:highlight w:val="none"/>
                <w:lang w:val="en-US" w:eastAsia="zh-CN"/>
              </w:rPr>
            </w:pPr>
            <w:r>
              <w:rPr>
                <w:rFonts w:hint="eastAsia" w:ascii="仿宋_GB2312" w:eastAsia="仿宋_GB2312"/>
                <w:b/>
                <w:bCs/>
                <w:color w:val="auto"/>
                <w:sz w:val="18"/>
                <w:szCs w:val="18"/>
                <w:highlight w:val="none"/>
                <w:lang w:val="en-US" w:eastAsia="zh-CN"/>
              </w:rPr>
              <w:t>10.60</w:t>
            </w:r>
          </w:p>
        </w:tc>
        <w:tc>
          <w:tcPr>
            <w:tcW w:w="242" w:type="pct"/>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b w:val="0"/>
                <w:bCs w:val="0"/>
                <w:color w:val="auto"/>
                <w:sz w:val="18"/>
                <w:szCs w:val="18"/>
                <w:highlight w:val="none"/>
              </w:rPr>
            </w:pP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sectPr>
          <w:pgSz w:w="16838" w:h="11906" w:orient="landscape"/>
          <w:pgMar w:top="1531" w:right="2098" w:bottom="1531" w:left="1984"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widowControl/>
        <w:suppressLineNumbers w:val="0"/>
        <w:jc w:val="left"/>
        <w:textAlignment w:val="bottom"/>
        <w:rPr>
          <w:rFonts w:hint="eastAsia" w:ascii="黑体" w:hAnsi="黑体" w:eastAsia="黑体" w:cs="黑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表3</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黑体" w:hAnsi="黑体" w:eastAsia="黑体" w:cs="黑体"/>
          <w:b/>
          <w:color w:val="auto"/>
          <w:kern w:val="0"/>
          <w:sz w:val="32"/>
          <w:szCs w:val="32"/>
          <w:highlight w:val="none"/>
        </w:rPr>
      </w:pPr>
      <w:r>
        <w:rPr>
          <w:rFonts w:hint="eastAsia" w:ascii="黑体" w:hAnsi="黑体" w:eastAsia="黑体" w:cs="黑体"/>
          <w:b/>
          <w:color w:val="auto"/>
          <w:kern w:val="0"/>
          <w:sz w:val="32"/>
          <w:szCs w:val="32"/>
          <w:highlight w:val="none"/>
          <w:lang w:eastAsia="zh-CN"/>
        </w:rPr>
        <w:t>部门</w:t>
      </w:r>
      <w:r>
        <w:rPr>
          <w:rFonts w:hint="eastAsia" w:ascii="黑体" w:hAnsi="黑体" w:eastAsia="黑体" w:cs="黑体"/>
          <w:b/>
          <w:color w:val="auto"/>
          <w:kern w:val="0"/>
          <w:sz w:val="32"/>
          <w:szCs w:val="32"/>
          <w:highlight w:val="none"/>
        </w:rPr>
        <w:t>支出总体情况表</w:t>
      </w:r>
    </w:p>
    <w:p>
      <w:pPr>
        <w:widowControl/>
        <w:spacing w:line="280" w:lineRule="exact"/>
        <w:jc w:val="center"/>
        <w:outlineLvl w:val="1"/>
        <w:rPr>
          <w:rFonts w:ascii="仿宋_GB2312" w:hAnsi="宋体" w:eastAsia="仿宋_GB2312"/>
          <w:b/>
          <w:color w:val="auto"/>
          <w:kern w:val="0"/>
          <w:sz w:val="32"/>
          <w:szCs w:val="32"/>
          <w:highlight w:val="none"/>
        </w:rPr>
      </w:pPr>
    </w:p>
    <w:p>
      <w:pPr>
        <w:widowControl/>
        <w:spacing w:line="280" w:lineRule="exact"/>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编制</w:t>
      </w:r>
      <w:r>
        <w:rPr>
          <w:rFonts w:hint="eastAsia" w:ascii="仿宋_GB2312" w:hAnsi="宋体" w:eastAsia="仿宋_GB2312"/>
          <w:color w:val="auto"/>
          <w:kern w:val="0"/>
          <w:sz w:val="20"/>
          <w:szCs w:val="20"/>
          <w:highlight w:val="none"/>
          <w:lang w:eastAsia="zh-CN"/>
        </w:rPr>
        <w:t>部门</w:t>
      </w:r>
      <w:r>
        <w:rPr>
          <w:rFonts w:hint="eastAsia" w:ascii="仿宋_GB2312" w:hAnsi="宋体" w:eastAsia="仿宋_GB2312"/>
          <w:color w:val="auto"/>
          <w:kern w:val="0"/>
          <w:sz w:val="20"/>
          <w:szCs w:val="20"/>
          <w:highlight w:val="none"/>
        </w:rPr>
        <w:t>：</w:t>
      </w:r>
      <w:r>
        <w:rPr>
          <w:rFonts w:hint="eastAsia" w:ascii="仿宋_GB2312" w:hAnsi="宋体" w:eastAsia="仿宋_GB2312"/>
          <w:color w:val="auto"/>
          <w:kern w:val="0"/>
          <w:sz w:val="20"/>
          <w:szCs w:val="20"/>
          <w:highlight w:val="none"/>
          <w:lang w:eastAsia="zh-CN"/>
        </w:rPr>
        <w:t>呼图壁县社会保险中心</w:t>
      </w:r>
      <w:r>
        <w:rPr>
          <w:rFonts w:hint="eastAsia" w:ascii="仿宋_GB2312" w:hAnsi="宋体" w:eastAsia="仿宋_GB2312"/>
          <w:color w:val="auto"/>
          <w:kern w:val="0"/>
          <w:sz w:val="20"/>
          <w:szCs w:val="20"/>
          <w:highlight w:val="none"/>
        </w:rPr>
        <w:t xml:space="preserve">                                             单位：万元</w:t>
      </w:r>
    </w:p>
    <w:tbl>
      <w:tblPr>
        <w:tblStyle w:val="9"/>
        <w:tblW w:w="9420" w:type="dxa"/>
        <w:tblInd w:w="-240" w:type="dxa"/>
        <w:tblLayout w:type="autofit"/>
        <w:tblCellMar>
          <w:top w:w="0" w:type="dxa"/>
          <w:left w:w="108" w:type="dxa"/>
          <w:bottom w:w="0" w:type="dxa"/>
          <w:right w:w="108" w:type="dxa"/>
        </w:tblCellMar>
      </w:tblPr>
      <w:tblGrid>
        <w:gridCol w:w="489"/>
        <w:gridCol w:w="417"/>
        <w:gridCol w:w="417"/>
        <w:gridCol w:w="2559"/>
        <w:gridCol w:w="1830"/>
        <w:gridCol w:w="1831"/>
        <w:gridCol w:w="1877"/>
      </w:tblGrid>
      <w:tr>
        <w:tblPrEx>
          <w:tblCellMar>
            <w:top w:w="0" w:type="dxa"/>
            <w:left w:w="108" w:type="dxa"/>
            <w:bottom w:w="0" w:type="dxa"/>
            <w:right w:w="108" w:type="dxa"/>
          </w:tblCellMar>
        </w:tblPrEx>
        <w:trPr>
          <w:trHeight w:val="328" w:hRule="atLeast"/>
        </w:trPr>
        <w:tc>
          <w:tcPr>
            <w:tcW w:w="3882"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lang w:val="en-US" w:eastAsia="zh-CN"/>
              </w:rPr>
              <w:t>科</w:t>
            </w:r>
            <w:r>
              <w:rPr>
                <w:rFonts w:hint="eastAsia" w:ascii="仿宋_GB2312" w:hAnsi="仿宋_GB2312" w:eastAsia="仿宋_GB2312" w:cs="仿宋_GB2312"/>
                <w:b/>
                <w:bCs/>
                <w:color w:val="auto"/>
                <w:kern w:val="0"/>
                <w:sz w:val="24"/>
                <w:szCs w:val="24"/>
                <w:highlight w:val="none"/>
              </w:rPr>
              <w:t xml:space="preserve">    目</w:t>
            </w:r>
          </w:p>
        </w:tc>
        <w:tc>
          <w:tcPr>
            <w:tcW w:w="5538" w:type="dxa"/>
            <w:gridSpan w:val="3"/>
            <w:tcBorders>
              <w:top w:val="single" w:color="auto" w:sz="4" w:space="0"/>
              <w:left w:val="nil"/>
              <w:bottom w:val="single" w:color="auto" w:sz="4" w:space="0"/>
              <w:right w:val="single" w:color="000000"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rPr>
              <w:t>支出预算</w:t>
            </w:r>
          </w:p>
        </w:tc>
      </w:tr>
      <w:tr>
        <w:tblPrEx>
          <w:tblCellMar>
            <w:top w:w="0" w:type="dxa"/>
            <w:left w:w="108" w:type="dxa"/>
            <w:bottom w:w="0" w:type="dxa"/>
            <w:right w:w="108" w:type="dxa"/>
          </w:tblCellMar>
        </w:tblPrEx>
        <w:trPr>
          <w:trHeight w:val="480" w:hRule="atLeast"/>
        </w:trPr>
        <w:tc>
          <w:tcPr>
            <w:tcW w:w="1323"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功能分类科目编码</w:t>
            </w:r>
          </w:p>
        </w:tc>
        <w:tc>
          <w:tcPr>
            <w:tcW w:w="2559"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功能分类科目名称</w:t>
            </w:r>
          </w:p>
        </w:tc>
        <w:tc>
          <w:tcPr>
            <w:tcW w:w="1830"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831"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基本支出</w:t>
            </w:r>
          </w:p>
        </w:tc>
        <w:tc>
          <w:tcPr>
            <w:tcW w:w="1877"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项目支出</w:t>
            </w:r>
          </w:p>
        </w:tc>
      </w:tr>
      <w:tr>
        <w:tblPrEx>
          <w:tblCellMar>
            <w:top w:w="0" w:type="dxa"/>
            <w:left w:w="108" w:type="dxa"/>
            <w:bottom w:w="0" w:type="dxa"/>
            <w:right w:w="108" w:type="dxa"/>
          </w:tblCellMar>
        </w:tblPrEx>
        <w:trPr>
          <w:trHeight w:val="270" w:hRule="atLeast"/>
        </w:trPr>
        <w:tc>
          <w:tcPr>
            <w:tcW w:w="489"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类</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款</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w:t>
            </w:r>
          </w:p>
        </w:tc>
        <w:tc>
          <w:tcPr>
            <w:tcW w:w="2559"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30"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31"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77"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r>
      <w:tr>
        <w:tblPrEx>
          <w:tblCellMar>
            <w:top w:w="0" w:type="dxa"/>
            <w:left w:w="108" w:type="dxa"/>
            <w:bottom w:w="0" w:type="dxa"/>
            <w:right w:w="108" w:type="dxa"/>
          </w:tblCellMar>
        </w:tblPrEx>
        <w:trPr>
          <w:trHeight w:val="405" w:hRule="atLeast"/>
        </w:trPr>
        <w:tc>
          <w:tcPr>
            <w:tcW w:w="489"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8"/>
                <w:szCs w:val="18"/>
                <w:highlight w:val="none"/>
                <w:lang w:val="en-US" w:eastAsia="zh-CN"/>
              </w:rPr>
            </w:pPr>
            <w:r>
              <w:rPr>
                <w:rFonts w:hint="eastAsia" w:ascii="宋体" w:hAnsi="宋体" w:cs="宋体"/>
                <w:b/>
                <w:bCs/>
                <w:color w:val="auto"/>
                <w:kern w:val="0"/>
                <w:sz w:val="18"/>
                <w:szCs w:val="18"/>
                <w:highlight w:val="none"/>
                <w:lang w:val="en-US" w:eastAsia="zh-CN"/>
              </w:rPr>
              <w:t>208</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8"/>
                <w:szCs w:val="18"/>
                <w:highlight w:val="none"/>
              </w:rPr>
            </w:pP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8"/>
                <w:szCs w:val="18"/>
                <w:highlight w:val="none"/>
              </w:rPr>
            </w:pPr>
          </w:p>
        </w:tc>
        <w:tc>
          <w:tcPr>
            <w:tcW w:w="2559"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18"/>
                <w:szCs w:val="18"/>
                <w:highlight w:val="none"/>
                <w:shd w:val="clear" w:color="auto" w:fill="auto"/>
              </w:rPr>
            </w:pPr>
            <w:r>
              <w:rPr>
                <w:rFonts w:hint="eastAsia" w:ascii="仿宋_GB2312" w:hAnsi="宋体" w:eastAsia="仿宋_GB2312" w:cs="宋体"/>
                <w:b/>
                <w:bCs/>
                <w:color w:val="auto"/>
                <w:kern w:val="0"/>
                <w:sz w:val="18"/>
                <w:szCs w:val="18"/>
                <w:highlight w:val="none"/>
                <w:shd w:val="clear" w:color="auto" w:fill="auto"/>
              </w:rPr>
              <w:t>社会保障和就业支出</w:t>
            </w:r>
          </w:p>
        </w:tc>
        <w:tc>
          <w:tcPr>
            <w:tcW w:w="1830"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仿宋_GB2312" w:hAnsi="宋体" w:eastAsia="仿宋_GB2312" w:cs="宋体"/>
                <w:b/>
                <w:bCs/>
                <w:color w:val="auto"/>
                <w:kern w:val="0"/>
                <w:sz w:val="18"/>
                <w:szCs w:val="18"/>
                <w:highlight w:val="none"/>
                <w:shd w:val="clear" w:color="auto" w:fill="auto"/>
                <w:lang w:val="en-US" w:eastAsia="zh-CN"/>
              </w:rPr>
            </w:pPr>
            <w:r>
              <w:rPr>
                <w:rFonts w:hint="eastAsia" w:ascii="仿宋_GB2312" w:hAnsi="宋体" w:eastAsia="仿宋_GB2312" w:cs="宋体"/>
                <w:b/>
                <w:bCs/>
                <w:color w:val="auto"/>
                <w:kern w:val="0"/>
                <w:sz w:val="18"/>
                <w:szCs w:val="18"/>
                <w:highlight w:val="none"/>
                <w:shd w:val="clear" w:color="auto" w:fill="auto"/>
                <w:lang w:val="en-US" w:eastAsia="zh-CN"/>
              </w:rPr>
              <w:t>714.9</w:t>
            </w:r>
          </w:p>
        </w:tc>
        <w:tc>
          <w:tcPr>
            <w:tcW w:w="1831"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18"/>
                <w:szCs w:val="18"/>
                <w:highlight w:val="none"/>
                <w:shd w:val="clear" w:color="auto" w:fill="auto"/>
              </w:rPr>
            </w:pPr>
            <w:r>
              <w:rPr>
                <w:rFonts w:hint="eastAsia" w:ascii="仿宋_GB2312" w:hAnsi="宋体" w:eastAsia="仿宋_GB2312" w:cs="宋体"/>
                <w:b/>
                <w:bCs/>
                <w:color w:val="auto"/>
                <w:kern w:val="0"/>
                <w:sz w:val="18"/>
                <w:szCs w:val="18"/>
                <w:highlight w:val="none"/>
                <w:shd w:val="clear" w:color="auto" w:fill="auto"/>
              </w:rPr>
              <w:t>701.38</w:t>
            </w:r>
          </w:p>
        </w:tc>
        <w:tc>
          <w:tcPr>
            <w:tcW w:w="187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18"/>
                <w:szCs w:val="18"/>
                <w:highlight w:val="none"/>
                <w:shd w:val="clear" w:color="auto" w:fill="auto"/>
              </w:rPr>
            </w:pPr>
            <w:r>
              <w:rPr>
                <w:rFonts w:hint="eastAsia" w:ascii="仿宋_GB2312" w:hAnsi="宋体" w:eastAsia="仿宋_GB2312" w:cs="宋体"/>
                <w:b/>
                <w:bCs/>
                <w:color w:val="auto"/>
                <w:kern w:val="0"/>
                <w:sz w:val="18"/>
                <w:szCs w:val="18"/>
                <w:highlight w:val="none"/>
                <w:shd w:val="clear" w:color="auto" w:fill="auto"/>
              </w:rPr>
              <w:t>13.53</w:t>
            </w:r>
          </w:p>
        </w:tc>
      </w:tr>
      <w:tr>
        <w:tblPrEx>
          <w:tblCellMar>
            <w:top w:w="0" w:type="dxa"/>
            <w:left w:w="108" w:type="dxa"/>
            <w:bottom w:w="0" w:type="dxa"/>
            <w:right w:w="108" w:type="dxa"/>
          </w:tblCellMar>
        </w:tblPrEx>
        <w:trPr>
          <w:trHeight w:val="405" w:hRule="atLeast"/>
        </w:trPr>
        <w:tc>
          <w:tcPr>
            <w:tcW w:w="489"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8"/>
                <w:szCs w:val="18"/>
                <w:highlight w:val="none"/>
                <w:lang w:val="en-US" w:eastAsia="zh-CN"/>
              </w:rPr>
            </w:pPr>
            <w:r>
              <w:rPr>
                <w:rFonts w:hint="eastAsia" w:ascii="宋体" w:hAnsi="宋体" w:cs="宋体"/>
                <w:b/>
                <w:bCs/>
                <w:color w:val="auto"/>
                <w:kern w:val="0"/>
                <w:sz w:val="18"/>
                <w:szCs w:val="18"/>
                <w:highlight w:val="none"/>
                <w:lang w:val="en-US" w:eastAsia="zh-CN"/>
              </w:rPr>
              <w:t>208</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8"/>
                <w:szCs w:val="18"/>
                <w:highlight w:val="none"/>
                <w:lang w:val="en-US" w:eastAsia="zh-CN"/>
              </w:rPr>
            </w:pPr>
            <w:r>
              <w:rPr>
                <w:rFonts w:hint="eastAsia" w:ascii="宋体" w:hAnsi="宋体" w:cs="宋体"/>
                <w:b/>
                <w:bCs/>
                <w:color w:val="auto"/>
                <w:kern w:val="0"/>
                <w:sz w:val="18"/>
                <w:szCs w:val="18"/>
                <w:highlight w:val="none"/>
                <w:lang w:val="en-US" w:eastAsia="zh-CN"/>
              </w:rPr>
              <w:t>01</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8"/>
                <w:szCs w:val="18"/>
                <w:highlight w:val="none"/>
              </w:rPr>
            </w:pPr>
          </w:p>
        </w:tc>
        <w:tc>
          <w:tcPr>
            <w:tcW w:w="2559"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18"/>
                <w:szCs w:val="18"/>
                <w:highlight w:val="none"/>
                <w:shd w:val="clear" w:color="auto" w:fill="auto"/>
              </w:rPr>
            </w:pPr>
            <w:r>
              <w:rPr>
                <w:rFonts w:hint="eastAsia" w:ascii="仿宋_GB2312" w:hAnsi="宋体" w:eastAsia="仿宋_GB2312" w:cs="宋体"/>
                <w:b/>
                <w:bCs/>
                <w:color w:val="auto"/>
                <w:kern w:val="0"/>
                <w:sz w:val="18"/>
                <w:szCs w:val="18"/>
                <w:highlight w:val="none"/>
                <w:shd w:val="clear" w:color="auto" w:fill="auto"/>
              </w:rPr>
              <w:t>人力资源和社会保障管理事务</w:t>
            </w:r>
          </w:p>
        </w:tc>
        <w:tc>
          <w:tcPr>
            <w:tcW w:w="1830"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18"/>
                <w:szCs w:val="18"/>
                <w:highlight w:val="none"/>
                <w:shd w:val="clear" w:color="auto" w:fill="auto"/>
              </w:rPr>
            </w:pPr>
            <w:r>
              <w:rPr>
                <w:rFonts w:hint="eastAsia" w:ascii="仿宋_GB2312" w:hAnsi="宋体" w:eastAsia="仿宋_GB2312" w:cs="宋体"/>
                <w:b/>
                <w:bCs/>
                <w:color w:val="auto"/>
                <w:kern w:val="0"/>
                <w:sz w:val="18"/>
                <w:szCs w:val="18"/>
                <w:highlight w:val="none"/>
                <w:shd w:val="clear" w:color="auto" w:fill="auto"/>
              </w:rPr>
              <w:t>669.91</w:t>
            </w:r>
          </w:p>
        </w:tc>
        <w:tc>
          <w:tcPr>
            <w:tcW w:w="1831"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18"/>
                <w:szCs w:val="18"/>
                <w:highlight w:val="none"/>
                <w:shd w:val="clear" w:color="auto" w:fill="auto"/>
              </w:rPr>
            </w:pPr>
            <w:r>
              <w:rPr>
                <w:rFonts w:hint="eastAsia" w:ascii="仿宋_GB2312" w:hAnsi="宋体" w:eastAsia="仿宋_GB2312" w:cs="宋体"/>
                <w:b/>
                <w:bCs/>
                <w:color w:val="auto"/>
                <w:kern w:val="0"/>
                <w:sz w:val="18"/>
                <w:szCs w:val="18"/>
                <w:highlight w:val="none"/>
                <w:shd w:val="clear" w:color="auto" w:fill="auto"/>
              </w:rPr>
              <w:t>660.26</w:t>
            </w:r>
          </w:p>
        </w:tc>
        <w:tc>
          <w:tcPr>
            <w:tcW w:w="187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18"/>
                <w:szCs w:val="18"/>
                <w:highlight w:val="none"/>
                <w:shd w:val="clear" w:color="auto" w:fill="auto"/>
              </w:rPr>
            </w:pPr>
            <w:r>
              <w:rPr>
                <w:rFonts w:hint="eastAsia" w:ascii="仿宋_GB2312" w:hAnsi="宋体" w:eastAsia="仿宋_GB2312" w:cs="宋体"/>
                <w:b/>
                <w:bCs/>
                <w:color w:val="auto"/>
                <w:kern w:val="0"/>
                <w:sz w:val="18"/>
                <w:szCs w:val="18"/>
                <w:highlight w:val="none"/>
                <w:shd w:val="clear" w:color="auto" w:fill="auto"/>
              </w:rPr>
              <w:t>9.66</w:t>
            </w:r>
          </w:p>
        </w:tc>
      </w:tr>
      <w:tr>
        <w:tblPrEx>
          <w:tblCellMar>
            <w:top w:w="0" w:type="dxa"/>
            <w:left w:w="108" w:type="dxa"/>
            <w:bottom w:w="0" w:type="dxa"/>
            <w:right w:w="108" w:type="dxa"/>
          </w:tblCellMar>
        </w:tblPrEx>
        <w:trPr>
          <w:trHeight w:val="405" w:hRule="atLeast"/>
        </w:trPr>
        <w:tc>
          <w:tcPr>
            <w:tcW w:w="489"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8"/>
                <w:szCs w:val="18"/>
                <w:highlight w:val="none"/>
                <w:lang w:val="en-US" w:eastAsia="zh-CN"/>
              </w:rPr>
            </w:pPr>
            <w:r>
              <w:rPr>
                <w:rFonts w:hint="eastAsia" w:ascii="宋体" w:hAnsi="宋体" w:cs="宋体"/>
                <w:b w:val="0"/>
                <w:bCs w:val="0"/>
                <w:color w:val="auto"/>
                <w:kern w:val="0"/>
                <w:sz w:val="18"/>
                <w:szCs w:val="18"/>
                <w:highlight w:val="none"/>
                <w:lang w:val="en-US" w:eastAsia="zh-CN"/>
              </w:rPr>
              <w:t>208</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8"/>
                <w:szCs w:val="18"/>
                <w:highlight w:val="none"/>
                <w:lang w:val="en-US" w:eastAsia="zh-CN"/>
              </w:rPr>
            </w:pPr>
            <w:r>
              <w:rPr>
                <w:rFonts w:hint="eastAsia" w:ascii="宋体" w:hAnsi="宋体" w:cs="宋体"/>
                <w:b w:val="0"/>
                <w:bCs w:val="0"/>
                <w:color w:val="auto"/>
                <w:kern w:val="0"/>
                <w:sz w:val="18"/>
                <w:szCs w:val="18"/>
                <w:highlight w:val="none"/>
                <w:lang w:val="en-US" w:eastAsia="zh-CN"/>
              </w:rPr>
              <w:t>01</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8"/>
                <w:szCs w:val="18"/>
                <w:highlight w:val="none"/>
                <w:lang w:val="en-US" w:eastAsia="zh-CN"/>
              </w:rPr>
            </w:pPr>
            <w:r>
              <w:rPr>
                <w:rFonts w:hint="eastAsia" w:ascii="宋体" w:hAnsi="宋体" w:cs="宋体"/>
                <w:b w:val="0"/>
                <w:bCs w:val="0"/>
                <w:color w:val="auto"/>
                <w:kern w:val="0"/>
                <w:sz w:val="18"/>
                <w:szCs w:val="18"/>
                <w:highlight w:val="none"/>
                <w:lang w:val="en-US" w:eastAsia="zh-CN"/>
              </w:rPr>
              <w:t>09</w:t>
            </w:r>
          </w:p>
        </w:tc>
        <w:tc>
          <w:tcPr>
            <w:tcW w:w="2559"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社会保险经办机构</w:t>
            </w:r>
          </w:p>
        </w:tc>
        <w:tc>
          <w:tcPr>
            <w:tcW w:w="1830"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660.26</w:t>
            </w:r>
          </w:p>
        </w:tc>
        <w:tc>
          <w:tcPr>
            <w:tcW w:w="1831"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660.26</w:t>
            </w:r>
          </w:p>
        </w:tc>
        <w:tc>
          <w:tcPr>
            <w:tcW w:w="187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18"/>
                <w:szCs w:val="18"/>
                <w:highlight w:val="none"/>
                <w:shd w:val="clear" w:color="auto" w:fill="auto"/>
              </w:rPr>
            </w:pPr>
          </w:p>
        </w:tc>
      </w:tr>
      <w:tr>
        <w:tblPrEx>
          <w:tblCellMar>
            <w:top w:w="0" w:type="dxa"/>
            <w:left w:w="108" w:type="dxa"/>
            <w:bottom w:w="0" w:type="dxa"/>
            <w:right w:w="108" w:type="dxa"/>
          </w:tblCellMar>
        </w:tblPrEx>
        <w:trPr>
          <w:trHeight w:val="405" w:hRule="atLeast"/>
        </w:trPr>
        <w:tc>
          <w:tcPr>
            <w:tcW w:w="489"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8"/>
                <w:szCs w:val="18"/>
                <w:highlight w:val="none"/>
                <w:lang w:val="en-US" w:eastAsia="zh-CN"/>
              </w:rPr>
            </w:pPr>
            <w:r>
              <w:rPr>
                <w:rFonts w:hint="eastAsia" w:ascii="宋体" w:hAnsi="宋体" w:cs="宋体"/>
                <w:b w:val="0"/>
                <w:bCs w:val="0"/>
                <w:color w:val="auto"/>
                <w:kern w:val="0"/>
                <w:sz w:val="18"/>
                <w:szCs w:val="18"/>
                <w:highlight w:val="none"/>
                <w:lang w:val="en-US" w:eastAsia="zh-CN"/>
              </w:rPr>
              <w:t>208</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val="0"/>
                <w:bCs w:val="0"/>
                <w:color w:val="auto"/>
                <w:kern w:val="0"/>
                <w:sz w:val="18"/>
                <w:szCs w:val="18"/>
                <w:highlight w:val="none"/>
              </w:rPr>
            </w:pPr>
            <w:r>
              <w:rPr>
                <w:rFonts w:hint="eastAsia" w:ascii="宋体" w:hAnsi="宋体" w:cs="宋体"/>
                <w:b w:val="0"/>
                <w:bCs w:val="0"/>
                <w:color w:val="auto"/>
                <w:kern w:val="0"/>
                <w:sz w:val="18"/>
                <w:szCs w:val="18"/>
                <w:highlight w:val="none"/>
                <w:lang w:val="en-US" w:eastAsia="zh-CN"/>
              </w:rPr>
              <w:t>01</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val="0"/>
                <w:bCs w:val="0"/>
                <w:color w:val="auto"/>
                <w:kern w:val="0"/>
                <w:sz w:val="18"/>
                <w:szCs w:val="18"/>
                <w:highlight w:val="none"/>
              </w:rPr>
            </w:pPr>
            <w:r>
              <w:rPr>
                <w:rFonts w:hint="eastAsia" w:ascii="宋体" w:hAnsi="宋体" w:cs="宋体"/>
                <w:b w:val="0"/>
                <w:bCs w:val="0"/>
                <w:color w:val="auto"/>
                <w:kern w:val="0"/>
                <w:sz w:val="18"/>
                <w:szCs w:val="18"/>
                <w:highlight w:val="none"/>
                <w:lang w:val="en-US" w:eastAsia="zh-CN"/>
              </w:rPr>
              <w:t>99</w:t>
            </w:r>
          </w:p>
        </w:tc>
        <w:tc>
          <w:tcPr>
            <w:tcW w:w="2559"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其他人力资源和社会保障管理事务支出</w:t>
            </w:r>
          </w:p>
        </w:tc>
        <w:tc>
          <w:tcPr>
            <w:tcW w:w="1830"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9.66</w:t>
            </w:r>
          </w:p>
        </w:tc>
        <w:tc>
          <w:tcPr>
            <w:tcW w:w="1831"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18"/>
                <w:szCs w:val="18"/>
                <w:highlight w:val="none"/>
                <w:shd w:val="clear" w:color="auto" w:fill="auto"/>
              </w:rPr>
            </w:pPr>
          </w:p>
        </w:tc>
        <w:tc>
          <w:tcPr>
            <w:tcW w:w="187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9.66</w:t>
            </w:r>
          </w:p>
        </w:tc>
      </w:tr>
      <w:tr>
        <w:tblPrEx>
          <w:tblCellMar>
            <w:top w:w="0" w:type="dxa"/>
            <w:left w:w="108" w:type="dxa"/>
            <w:bottom w:w="0" w:type="dxa"/>
            <w:right w:w="108" w:type="dxa"/>
          </w:tblCellMar>
        </w:tblPrEx>
        <w:trPr>
          <w:trHeight w:val="405" w:hRule="atLeast"/>
        </w:trPr>
        <w:tc>
          <w:tcPr>
            <w:tcW w:w="489"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lang w:val="en-US" w:eastAsia="zh-CN"/>
              </w:rPr>
              <w:t>208</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lang w:val="en-US" w:eastAsia="zh-CN"/>
              </w:rPr>
              <w:t>05</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8"/>
                <w:szCs w:val="18"/>
                <w:highlight w:val="none"/>
              </w:rPr>
            </w:pPr>
          </w:p>
        </w:tc>
        <w:tc>
          <w:tcPr>
            <w:tcW w:w="2559"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18"/>
                <w:szCs w:val="18"/>
                <w:highlight w:val="none"/>
                <w:shd w:val="clear" w:color="auto" w:fill="auto"/>
              </w:rPr>
            </w:pPr>
            <w:r>
              <w:rPr>
                <w:rFonts w:hint="eastAsia" w:ascii="仿宋_GB2312" w:hAnsi="宋体" w:eastAsia="仿宋_GB2312" w:cs="宋体"/>
                <w:b/>
                <w:bCs/>
                <w:color w:val="auto"/>
                <w:kern w:val="0"/>
                <w:sz w:val="18"/>
                <w:szCs w:val="18"/>
                <w:highlight w:val="none"/>
                <w:shd w:val="clear" w:color="auto" w:fill="auto"/>
              </w:rPr>
              <w:t>行政事业单位养老支出</w:t>
            </w:r>
          </w:p>
        </w:tc>
        <w:tc>
          <w:tcPr>
            <w:tcW w:w="1830"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18"/>
                <w:szCs w:val="18"/>
                <w:highlight w:val="none"/>
                <w:shd w:val="clear" w:color="auto" w:fill="auto"/>
              </w:rPr>
            </w:pPr>
            <w:r>
              <w:rPr>
                <w:rFonts w:hint="eastAsia" w:ascii="仿宋_GB2312" w:hAnsi="宋体" w:eastAsia="仿宋_GB2312" w:cs="宋体"/>
                <w:b/>
                <w:bCs/>
                <w:color w:val="auto"/>
                <w:kern w:val="0"/>
                <w:sz w:val="18"/>
                <w:szCs w:val="18"/>
                <w:highlight w:val="none"/>
                <w:shd w:val="clear" w:color="auto" w:fill="auto"/>
              </w:rPr>
              <w:t>41.12</w:t>
            </w:r>
          </w:p>
        </w:tc>
        <w:tc>
          <w:tcPr>
            <w:tcW w:w="1831"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18"/>
                <w:szCs w:val="18"/>
                <w:highlight w:val="none"/>
                <w:shd w:val="clear" w:color="auto" w:fill="auto"/>
              </w:rPr>
            </w:pPr>
            <w:r>
              <w:rPr>
                <w:rFonts w:hint="eastAsia" w:ascii="仿宋_GB2312" w:hAnsi="宋体" w:eastAsia="仿宋_GB2312" w:cs="宋体"/>
                <w:b/>
                <w:bCs/>
                <w:color w:val="auto"/>
                <w:kern w:val="0"/>
                <w:sz w:val="18"/>
                <w:szCs w:val="18"/>
                <w:highlight w:val="none"/>
                <w:shd w:val="clear" w:color="auto" w:fill="auto"/>
              </w:rPr>
              <w:t>41.12</w:t>
            </w:r>
          </w:p>
        </w:tc>
        <w:tc>
          <w:tcPr>
            <w:tcW w:w="187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18"/>
                <w:szCs w:val="18"/>
                <w:highlight w:val="none"/>
                <w:shd w:val="clear" w:color="auto" w:fill="auto"/>
              </w:rPr>
            </w:pPr>
          </w:p>
        </w:tc>
      </w:tr>
      <w:tr>
        <w:tblPrEx>
          <w:tblCellMar>
            <w:top w:w="0" w:type="dxa"/>
            <w:left w:w="108" w:type="dxa"/>
            <w:bottom w:w="0" w:type="dxa"/>
            <w:right w:w="108" w:type="dxa"/>
          </w:tblCellMar>
        </w:tblPrEx>
        <w:trPr>
          <w:trHeight w:val="405" w:hRule="atLeast"/>
        </w:trPr>
        <w:tc>
          <w:tcPr>
            <w:tcW w:w="489"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cs="宋体"/>
                <w:b w:val="0"/>
                <w:bCs w:val="0"/>
                <w:color w:val="auto"/>
                <w:kern w:val="0"/>
                <w:sz w:val="18"/>
                <w:szCs w:val="18"/>
                <w:highlight w:val="none"/>
              </w:rPr>
            </w:pPr>
            <w:r>
              <w:rPr>
                <w:rFonts w:hint="eastAsia" w:ascii="宋体" w:hAnsi="宋体" w:cs="宋体"/>
                <w:b w:val="0"/>
                <w:bCs w:val="0"/>
                <w:color w:val="auto"/>
                <w:kern w:val="0"/>
                <w:sz w:val="18"/>
                <w:szCs w:val="18"/>
                <w:highlight w:val="none"/>
                <w:lang w:val="en-US" w:eastAsia="zh-CN"/>
              </w:rPr>
              <w:t>208</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val="0"/>
                <w:bCs w:val="0"/>
                <w:color w:val="auto"/>
                <w:kern w:val="0"/>
                <w:sz w:val="18"/>
                <w:szCs w:val="18"/>
                <w:highlight w:val="none"/>
              </w:rPr>
            </w:pPr>
            <w:r>
              <w:rPr>
                <w:rFonts w:hint="eastAsia" w:ascii="宋体" w:hAnsi="宋体" w:cs="宋体"/>
                <w:b w:val="0"/>
                <w:bCs w:val="0"/>
                <w:color w:val="auto"/>
                <w:kern w:val="0"/>
                <w:sz w:val="18"/>
                <w:szCs w:val="18"/>
                <w:highlight w:val="none"/>
                <w:lang w:val="en-US" w:eastAsia="zh-CN"/>
              </w:rPr>
              <w:t>05</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val="0"/>
                <w:bCs w:val="0"/>
                <w:color w:val="auto"/>
                <w:kern w:val="0"/>
                <w:sz w:val="18"/>
                <w:szCs w:val="18"/>
                <w:highlight w:val="none"/>
              </w:rPr>
            </w:pPr>
            <w:r>
              <w:rPr>
                <w:rFonts w:hint="eastAsia" w:ascii="宋体" w:hAnsi="宋体" w:cs="宋体"/>
                <w:b w:val="0"/>
                <w:bCs w:val="0"/>
                <w:color w:val="auto"/>
                <w:kern w:val="0"/>
                <w:sz w:val="18"/>
                <w:szCs w:val="18"/>
                <w:highlight w:val="none"/>
                <w:lang w:val="en-US" w:eastAsia="zh-CN"/>
              </w:rPr>
              <w:t>02</w:t>
            </w:r>
          </w:p>
        </w:tc>
        <w:tc>
          <w:tcPr>
            <w:tcW w:w="2559"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事业单位离退休</w:t>
            </w:r>
          </w:p>
        </w:tc>
        <w:tc>
          <w:tcPr>
            <w:tcW w:w="1830"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9.43</w:t>
            </w:r>
          </w:p>
        </w:tc>
        <w:tc>
          <w:tcPr>
            <w:tcW w:w="1831"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9.43</w:t>
            </w:r>
          </w:p>
        </w:tc>
        <w:tc>
          <w:tcPr>
            <w:tcW w:w="187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18"/>
                <w:szCs w:val="18"/>
                <w:highlight w:val="none"/>
                <w:shd w:val="clear" w:color="auto" w:fill="auto"/>
              </w:rPr>
            </w:pPr>
          </w:p>
        </w:tc>
      </w:tr>
      <w:tr>
        <w:tblPrEx>
          <w:tblCellMar>
            <w:top w:w="0" w:type="dxa"/>
            <w:left w:w="108" w:type="dxa"/>
            <w:bottom w:w="0" w:type="dxa"/>
            <w:right w:w="108" w:type="dxa"/>
          </w:tblCellMar>
        </w:tblPrEx>
        <w:trPr>
          <w:trHeight w:val="405" w:hRule="atLeast"/>
        </w:trPr>
        <w:tc>
          <w:tcPr>
            <w:tcW w:w="489"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cs="宋体"/>
                <w:b w:val="0"/>
                <w:bCs w:val="0"/>
                <w:color w:val="auto"/>
                <w:kern w:val="0"/>
                <w:sz w:val="18"/>
                <w:szCs w:val="18"/>
                <w:highlight w:val="none"/>
              </w:rPr>
            </w:pPr>
            <w:r>
              <w:rPr>
                <w:rFonts w:hint="eastAsia" w:ascii="宋体" w:hAnsi="宋体" w:cs="宋体"/>
                <w:b w:val="0"/>
                <w:bCs w:val="0"/>
                <w:color w:val="auto"/>
                <w:kern w:val="0"/>
                <w:sz w:val="18"/>
                <w:szCs w:val="18"/>
                <w:highlight w:val="none"/>
                <w:lang w:val="en-US" w:eastAsia="zh-CN"/>
              </w:rPr>
              <w:t>208</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val="0"/>
                <w:bCs w:val="0"/>
                <w:color w:val="auto"/>
                <w:kern w:val="0"/>
                <w:sz w:val="18"/>
                <w:szCs w:val="18"/>
                <w:highlight w:val="none"/>
              </w:rPr>
            </w:pPr>
            <w:r>
              <w:rPr>
                <w:rFonts w:hint="eastAsia" w:ascii="宋体" w:hAnsi="宋体" w:cs="宋体"/>
                <w:b w:val="0"/>
                <w:bCs w:val="0"/>
                <w:color w:val="auto"/>
                <w:kern w:val="0"/>
                <w:sz w:val="18"/>
                <w:szCs w:val="18"/>
                <w:highlight w:val="none"/>
                <w:lang w:val="en-US" w:eastAsia="zh-CN"/>
              </w:rPr>
              <w:t>05</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val="0"/>
                <w:bCs w:val="0"/>
                <w:color w:val="auto"/>
                <w:kern w:val="0"/>
                <w:sz w:val="18"/>
                <w:szCs w:val="18"/>
                <w:highlight w:val="none"/>
              </w:rPr>
            </w:pPr>
            <w:r>
              <w:rPr>
                <w:rFonts w:hint="eastAsia" w:ascii="宋体" w:hAnsi="宋体" w:cs="宋体"/>
                <w:b w:val="0"/>
                <w:bCs w:val="0"/>
                <w:color w:val="auto"/>
                <w:kern w:val="0"/>
                <w:sz w:val="18"/>
                <w:szCs w:val="18"/>
                <w:highlight w:val="none"/>
                <w:lang w:val="en-US" w:eastAsia="zh-CN"/>
              </w:rPr>
              <w:t>05</w:t>
            </w:r>
          </w:p>
        </w:tc>
        <w:tc>
          <w:tcPr>
            <w:tcW w:w="2559"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机关事业单位基本养老保险缴费支出</w:t>
            </w:r>
          </w:p>
        </w:tc>
        <w:tc>
          <w:tcPr>
            <w:tcW w:w="1830"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31.69</w:t>
            </w:r>
          </w:p>
        </w:tc>
        <w:tc>
          <w:tcPr>
            <w:tcW w:w="1831"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31.69</w:t>
            </w:r>
          </w:p>
        </w:tc>
        <w:tc>
          <w:tcPr>
            <w:tcW w:w="187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18"/>
                <w:szCs w:val="18"/>
                <w:highlight w:val="none"/>
                <w:shd w:val="clear" w:color="auto" w:fill="auto"/>
              </w:rPr>
            </w:pPr>
          </w:p>
        </w:tc>
      </w:tr>
      <w:tr>
        <w:tblPrEx>
          <w:tblCellMar>
            <w:top w:w="0" w:type="dxa"/>
            <w:left w:w="108" w:type="dxa"/>
            <w:bottom w:w="0" w:type="dxa"/>
            <w:right w:w="108" w:type="dxa"/>
          </w:tblCellMar>
        </w:tblPrEx>
        <w:trPr>
          <w:trHeight w:val="405" w:hRule="atLeast"/>
        </w:trPr>
        <w:tc>
          <w:tcPr>
            <w:tcW w:w="489"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lang w:val="en-US" w:eastAsia="zh-CN"/>
              </w:rPr>
              <w:t>208</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lang w:val="en-US" w:eastAsia="zh-CN"/>
              </w:rPr>
              <w:t>06</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8"/>
                <w:szCs w:val="18"/>
                <w:highlight w:val="none"/>
              </w:rPr>
            </w:pPr>
          </w:p>
        </w:tc>
        <w:tc>
          <w:tcPr>
            <w:tcW w:w="2559"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18"/>
                <w:szCs w:val="18"/>
                <w:highlight w:val="none"/>
                <w:shd w:val="clear" w:color="auto" w:fill="auto"/>
              </w:rPr>
            </w:pPr>
            <w:r>
              <w:rPr>
                <w:rFonts w:hint="eastAsia" w:ascii="仿宋_GB2312" w:hAnsi="宋体" w:eastAsia="仿宋_GB2312" w:cs="宋体"/>
                <w:b/>
                <w:bCs/>
                <w:color w:val="auto"/>
                <w:kern w:val="0"/>
                <w:sz w:val="18"/>
                <w:szCs w:val="18"/>
                <w:highlight w:val="none"/>
                <w:shd w:val="clear" w:color="auto" w:fill="auto"/>
              </w:rPr>
              <w:t>企业改革补助</w:t>
            </w:r>
          </w:p>
        </w:tc>
        <w:tc>
          <w:tcPr>
            <w:tcW w:w="1830"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仿宋_GB2312" w:hAnsi="宋体" w:eastAsia="仿宋_GB2312" w:cs="宋体"/>
                <w:b/>
                <w:bCs/>
                <w:color w:val="auto"/>
                <w:kern w:val="0"/>
                <w:sz w:val="18"/>
                <w:szCs w:val="18"/>
                <w:highlight w:val="none"/>
                <w:shd w:val="clear" w:color="auto" w:fill="auto"/>
                <w:lang w:val="en-US" w:eastAsia="zh-CN"/>
              </w:rPr>
            </w:pPr>
            <w:r>
              <w:rPr>
                <w:rFonts w:hint="eastAsia" w:ascii="仿宋_GB2312" w:hAnsi="宋体" w:eastAsia="仿宋_GB2312" w:cs="宋体"/>
                <w:b/>
                <w:bCs/>
                <w:color w:val="auto"/>
                <w:kern w:val="0"/>
                <w:sz w:val="18"/>
                <w:szCs w:val="18"/>
                <w:highlight w:val="none"/>
                <w:shd w:val="clear" w:color="auto" w:fill="auto"/>
                <w:lang w:val="en-US" w:eastAsia="zh-CN"/>
              </w:rPr>
              <w:t>3.87</w:t>
            </w:r>
          </w:p>
        </w:tc>
        <w:tc>
          <w:tcPr>
            <w:tcW w:w="1831"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18"/>
                <w:szCs w:val="18"/>
                <w:highlight w:val="none"/>
                <w:shd w:val="clear" w:color="auto" w:fill="auto"/>
              </w:rPr>
            </w:pPr>
          </w:p>
        </w:tc>
        <w:tc>
          <w:tcPr>
            <w:tcW w:w="187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18"/>
                <w:szCs w:val="18"/>
                <w:highlight w:val="none"/>
                <w:shd w:val="clear" w:color="auto" w:fill="auto"/>
              </w:rPr>
            </w:pPr>
            <w:r>
              <w:rPr>
                <w:rFonts w:hint="eastAsia" w:ascii="仿宋_GB2312" w:hAnsi="宋体" w:eastAsia="仿宋_GB2312" w:cs="宋体"/>
                <w:b/>
                <w:bCs/>
                <w:color w:val="auto"/>
                <w:kern w:val="0"/>
                <w:sz w:val="18"/>
                <w:szCs w:val="18"/>
                <w:highlight w:val="none"/>
                <w:shd w:val="clear" w:color="auto" w:fill="auto"/>
                <w:lang w:val="en-US" w:eastAsia="zh-CN"/>
              </w:rPr>
              <w:t>3.87</w:t>
            </w:r>
          </w:p>
        </w:tc>
      </w:tr>
      <w:tr>
        <w:tblPrEx>
          <w:tblCellMar>
            <w:top w:w="0" w:type="dxa"/>
            <w:left w:w="108" w:type="dxa"/>
            <w:bottom w:w="0" w:type="dxa"/>
            <w:right w:w="108" w:type="dxa"/>
          </w:tblCellMar>
        </w:tblPrEx>
        <w:trPr>
          <w:trHeight w:val="405" w:hRule="atLeast"/>
        </w:trPr>
        <w:tc>
          <w:tcPr>
            <w:tcW w:w="489"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8"/>
                <w:szCs w:val="18"/>
                <w:highlight w:val="none"/>
                <w:lang w:val="en-US" w:eastAsia="zh-CN"/>
              </w:rPr>
            </w:pPr>
            <w:r>
              <w:rPr>
                <w:rFonts w:hint="eastAsia" w:ascii="宋体" w:hAnsi="宋体" w:cs="宋体"/>
                <w:b w:val="0"/>
                <w:bCs w:val="0"/>
                <w:color w:val="auto"/>
                <w:kern w:val="0"/>
                <w:sz w:val="18"/>
                <w:szCs w:val="18"/>
                <w:highlight w:val="none"/>
                <w:lang w:val="en-US" w:eastAsia="zh-CN"/>
              </w:rPr>
              <w:t>208</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val="0"/>
                <w:bCs w:val="0"/>
                <w:color w:val="auto"/>
                <w:kern w:val="0"/>
                <w:sz w:val="18"/>
                <w:szCs w:val="18"/>
                <w:highlight w:val="none"/>
              </w:rPr>
            </w:pPr>
            <w:r>
              <w:rPr>
                <w:rFonts w:hint="eastAsia" w:ascii="宋体" w:hAnsi="宋体" w:cs="宋体"/>
                <w:b w:val="0"/>
                <w:bCs w:val="0"/>
                <w:color w:val="auto"/>
                <w:kern w:val="0"/>
                <w:sz w:val="18"/>
                <w:szCs w:val="18"/>
                <w:highlight w:val="none"/>
                <w:lang w:val="en-US" w:eastAsia="zh-CN"/>
              </w:rPr>
              <w:t>06</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val="0"/>
                <w:bCs w:val="0"/>
                <w:color w:val="auto"/>
                <w:kern w:val="0"/>
                <w:sz w:val="18"/>
                <w:szCs w:val="18"/>
                <w:highlight w:val="none"/>
              </w:rPr>
            </w:pPr>
            <w:r>
              <w:rPr>
                <w:rFonts w:hint="eastAsia" w:ascii="宋体" w:hAnsi="宋体" w:cs="宋体"/>
                <w:b w:val="0"/>
                <w:bCs w:val="0"/>
                <w:color w:val="auto"/>
                <w:kern w:val="0"/>
                <w:sz w:val="18"/>
                <w:szCs w:val="18"/>
                <w:highlight w:val="none"/>
                <w:lang w:val="en-US" w:eastAsia="zh-CN"/>
              </w:rPr>
              <w:t>99</w:t>
            </w:r>
          </w:p>
        </w:tc>
        <w:tc>
          <w:tcPr>
            <w:tcW w:w="2559"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其他企业改革发展补助</w:t>
            </w:r>
          </w:p>
        </w:tc>
        <w:tc>
          <w:tcPr>
            <w:tcW w:w="1830"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lang w:val="en-US" w:eastAsia="zh-CN"/>
              </w:rPr>
              <w:t>3.87</w:t>
            </w:r>
          </w:p>
        </w:tc>
        <w:tc>
          <w:tcPr>
            <w:tcW w:w="1831"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18"/>
                <w:szCs w:val="18"/>
                <w:highlight w:val="none"/>
                <w:shd w:val="clear" w:color="auto" w:fill="auto"/>
              </w:rPr>
            </w:pPr>
          </w:p>
        </w:tc>
        <w:tc>
          <w:tcPr>
            <w:tcW w:w="187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lang w:val="en-US" w:eastAsia="zh-CN"/>
              </w:rPr>
              <w:t>3.87</w:t>
            </w:r>
          </w:p>
        </w:tc>
      </w:tr>
      <w:tr>
        <w:tblPrEx>
          <w:tblCellMar>
            <w:top w:w="0" w:type="dxa"/>
            <w:left w:w="108" w:type="dxa"/>
            <w:bottom w:w="0" w:type="dxa"/>
            <w:right w:w="108" w:type="dxa"/>
          </w:tblCellMar>
        </w:tblPrEx>
        <w:trPr>
          <w:trHeight w:val="405" w:hRule="atLeast"/>
        </w:trPr>
        <w:tc>
          <w:tcPr>
            <w:tcW w:w="489"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lang w:val="en-US" w:eastAsia="zh-CN"/>
              </w:rPr>
              <w:t>210</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8"/>
                <w:szCs w:val="18"/>
                <w:highlight w:val="none"/>
              </w:rPr>
            </w:pP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8"/>
                <w:szCs w:val="18"/>
                <w:highlight w:val="none"/>
              </w:rPr>
            </w:pPr>
          </w:p>
        </w:tc>
        <w:tc>
          <w:tcPr>
            <w:tcW w:w="2559"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18"/>
                <w:szCs w:val="18"/>
                <w:highlight w:val="none"/>
                <w:shd w:val="clear" w:color="auto" w:fill="auto"/>
              </w:rPr>
            </w:pPr>
            <w:r>
              <w:rPr>
                <w:rFonts w:hint="eastAsia" w:ascii="仿宋_GB2312" w:hAnsi="宋体" w:eastAsia="仿宋_GB2312" w:cs="宋体"/>
                <w:b/>
                <w:bCs/>
                <w:color w:val="auto"/>
                <w:kern w:val="0"/>
                <w:sz w:val="18"/>
                <w:szCs w:val="18"/>
                <w:highlight w:val="none"/>
                <w:shd w:val="clear" w:color="auto" w:fill="auto"/>
              </w:rPr>
              <w:t>卫生健康支出</w:t>
            </w:r>
          </w:p>
        </w:tc>
        <w:tc>
          <w:tcPr>
            <w:tcW w:w="1830"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18"/>
                <w:szCs w:val="18"/>
                <w:highlight w:val="none"/>
                <w:shd w:val="clear" w:color="auto" w:fill="auto"/>
              </w:rPr>
            </w:pPr>
            <w:r>
              <w:rPr>
                <w:rFonts w:hint="eastAsia" w:ascii="仿宋_GB2312" w:hAnsi="宋体" w:eastAsia="仿宋_GB2312" w:cs="宋体"/>
                <w:b/>
                <w:bCs/>
                <w:color w:val="auto"/>
                <w:kern w:val="0"/>
                <w:sz w:val="18"/>
                <w:szCs w:val="18"/>
                <w:highlight w:val="none"/>
                <w:shd w:val="clear" w:color="auto" w:fill="auto"/>
                <w:lang w:val="en-US" w:eastAsia="zh-CN"/>
              </w:rPr>
              <w:t>23.97</w:t>
            </w:r>
          </w:p>
        </w:tc>
        <w:tc>
          <w:tcPr>
            <w:tcW w:w="1831"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18"/>
                <w:szCs w:val="18"/>
                <w:highlight w:val="none"/>
                <w:shd w:val="clear" w:color="auto" w:fill="auto"/>
              </w:rPr>
            </w:pPr>
            <w:r>
              <w:rPr>
                <w:rFonts w:hint="eastAsia" w:ascii="仿宋_GB2312" w:hAnsi="宋体" w:eastAsia="仿宋_GB2312" w:cs="宋体"/>
                <w:b/>
                <w:bCs/>
                <w:color w:val="auto"/>
                <w:kern w:val="0"/>
                <w:sz w:val="18"/>
                <w:szCs w:val="18"/>
                <w:highlight w:val="none"/>
                <w:shd w:val="clear" w:color="auto" w:fill="auto"/>
                <w:lang w:val="en-US" w:eastAsia="zh-CN"/>
              </w:rPr>
              <w:t>23.97</w:t>
            </w:r>
          </w:p>
        </w:tc>
        <w:tc>
          <w:tcPr>
            <w:tcW w:w="187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18"/>
                <w:szCs w:val="18"/>
                <w:highlight w:val="none"/>
                <w:shd w:val="clear" w:color="auto" w:fill="auto"/>
              </w:rPr>
            </w:pPr>
          </w:p>
        </w:tc>
      </w:tr>
      <w:tr>
        <w:tblPrEx>
          <w:tblCellMar>
            <w:top w:w="0" w:type="dxa"/>
            <w:left w:w="108" w:type="dxa"/>
            <w:bottom w:w="0" w:type="dxa"/>
            <w:right w:w="108" w:type="dxa"/>
          </w:tblCellMar>
        </w:tblPrEx>
        <w:trPr>
          <w:trHeight w:val="405" w:hRule="atLeast"/>
        </w:trPr>
        <w:tc>
          <w:tcPr>
            <w:tcW w:w="489"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8"/>
                <w:szCs w:val="18"/>
                <w:highlight w:val="none"/>
                <w:lang w:val="en-US" w:eastAsia="zh-CN"/>
              </w:rPr>
            </w:pPr>
            <w:r>
              <w:rPr>
                <w:rFonts w:hint="eastAsia" w:ascii="宋体" w:hAnsi="宋体" w:cs="宋体"/>
                <w:b/>
                <w:bCs/>
                <w:color w:val="auto"/>
                <w:kern w:val="0"/>
                <w:sz w:val="18"/>
                <w:szCs w:val="18"/>
                <w:highlight w:val="none"/>
                <w:lang w:val="en-US" w:eastAsia="zh-CN"/>
              </w:rPr>
              <w:t>210</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8"/>
                <w:szCs w:val="18"/>
                <w:highlight w:val="none"/>
                <w:lang w:val="en-US" w:eastAsia="zh-CN"/>
              </w:rPr>
            </w:pPr>
            <w:r>
              <w:rPr>
                <w:rFonts w:hint="eastAsia" w:ascii="宋体" w:hAnsi="宋体" w:cs="宋体"/>
                <w:b/>
                <w:bCs/>
                <w:color w:val="auto"/>
                <w:kern w:val="0"/>
                <w:sz w:val="18"/>
                <w:szCs w:val="18"/>
                <w:highlight w:val="none"/>
                <w:lang w:val="en-US" w:eastAsia="zh-CN"/>
              </w:rPr>
              <w:t>11</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8"/>
                <w:szCs w:val="18"/>
                <w:highlight w:val="none"/>
              </w:rPr>
            </w:pPr>
          </w:p>
        </w:tc>
        <w:tc>
          <w:tcPr>
            <w:tcW w:w="2559"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18"/>
                <w:szCs w:val="18"/>
                <w:highlight w:val="none"/>
                <w:shd w:val="clear" w:color="auto" w:fill="auto"/>
              </w:rPr>
            </w:pPr>
            <w:r>
              <w:rPr>
                <w:rFonts w:hint="eastAsia" w:ascii="仿宋_GB2312" w:hAnsi="宋体" w:eastAsia="仿宋_GB2312" w:cs="宋体"/>
                <w:b/>
                <w:bCs/>
                <w:color w:val="auto"/>
                <w:kern w:val="0"/>
                <w:sz w:val="18"/>
                <w:szCs w:val="18"/>
                <w:highlight w:val="none"/>
                <w:shd w:val="clear" w:color="auto" w:fill="auto"/>
              </w:rPr>
              <w:t>行政事业单位医疗</w:t>
            </w:r>
          </w:p>
        </w:tc>
        <w:tc>
          <w:tcPr>
            <w:tcW w:w="1830"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18"/>
                <w:szCs w:val="18"/>
                <w:highlight w:val="none"/>
                <w:shd w:val="clear" w:color="auto" w:fill="auto"/>
              </w:rPr>
            </w:pPr>
            <w:r>
              <w:rPr>
                <w:rFonts w:hint="eastAsia" w:ascii="仿宋_GB2312" w:hAnsi="宋体" w:eastAsia="仿宋_GB2312" w:cs="宋体"/>
                <w:b/>
                <w:bCs/>
                <w:color w:val="auto"/>
                <w:kern w:val="0"/>
                <w:sz w:val="18"/>
                <w:szCs w:val="18"/>
                <w:highlight w:val="none"/>
                <w:shd w:val="clear" w:color="auto" w:fill="auto"/>
                <w:lang w:val="en-US" w:eastAsia="zh-CN"/>
              </w:rPr>
              <w:t>23.97</w:t>
            </w:r>
          </w:p>
        </w:tc>
        <w:tc>
          <w:tcPr>
            <w:tcW w:w="1831"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18"/>
                <w:szCs w:val="18"/>
                <w:highlight w:val="none"/>
                <w:shd w:val="clear" w:color="auto" w:fill="auto"/>
              </w:rPr>
            </w:pPr>
            <w:r>
              <w:rPr>
                <w:rFonts w:hint="eastAsia" w:ascii="仿宋_GB2312" w:hAnsi="宋体" w:eastAsia="仿宋_GB2312" w:cs="宋体"/>
                <w:b/>
                <w:bCs/>
                <w:color w:val="auto"/>
                <w:kern w:val="0"/>
                <w:sz w:val="18"/>
                <w:szCs w:val="18"/>
                <w:highlight w:val="none"/>
                <w:shd w:val="clear" w:color="auto" w:fill="auto"/>
                <w:lang w:val="en-US" w:eastAsia="zh-CN"/>
              </w:rPr>
              <w:t>23.97</w:t>
            </w:r>
          </w:p>
        </w:tc>
        <w:tc>
          <w:tcPr>
            <w:tcW w:w="187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18"/>
                <w:szCs w:val="18"/>
                <w:highlight w:val="none"/>
                <w:shd w:val="clear" w:color="auto" w:fill="auto"/>
              </w:rPr>
            </w:pPr>
          </w:p>
        </w:tc>
      </w:tr>
      <w:tr>
        <w:tblPrEx>
          <w:tblCellMar>
            <w:top w:w="0" w:type="dxa"/>
            <w:left w:w="108" w:type="dxa"/>
            <w:bottom w:w="0" w:type="dxa"/>
            <w:right w:w="108" w:type="dxa"/>
          </w:tblCellMar>
        </w:tblPrEx>
        <w:trPr>
          <w:trHeight w:val="405" w:hRule="atLeast"/>
        </w:trPr>
        <w:tc>
          <w:tcPr>
            <w:tcW w:w="489"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8"/>
                <w:szCs w:val="18"/>
                <w:highlight w:val="none"/>
                <w:lang w:val="en-US" w:eastAsia="zh-CN"/>
              </w:rPr>
            </w:pPr>
            <w:r>
              <w:rPr>
                <w:rFonts w:hint="eastAsia" w:ascii="宋体" w:hAnsi="宋体" w:cs="宋体"/>
                <w:b w:val="0"/>
                <w:bCs w:val="0"/>
                <w:color w:val="auto"/>
                <w:kern w:val="0"/>
                <w:sz w:val="18"/>
                <w:szCs w:val="18"/>
                <w:highlight w:val="none"/>
                <w:lang w:val="en-US" w:eastAsia="zh-CN"/>
              </w:rPr>
              <w:t>210</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8"/>
                <w:szCs w:val="18"/>
                <w:highlight w:val="none"/>
                <w:lang w:val="en-US" w:eastAsia="zh-CN"/>
              </w:rPr>
            </w:pPr>
            <w:r>
              <w:rPr>
                <w:rFonts w:hint="eastAsia" w:ascii="宋体" w:hAnsi="宋体" w:cs="宋体"/>
                <w:b w:val="0"/>
                <w:bCs w:val="0"/>
                <w:color w:val="auto"/>
                <w:kern w:val="0"/>
                <w:sz w:val="18"/>
                <w:szCs w:val="18"/>
                <w:highlight w:val="none"/>
                <w:lang w:val="en-US" w:eastAsia="zh-CN"/>
              </w:rPr>
              <w:t>11</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8"/>
                <w:szCs w:val="18"/>
                <w:highlight w:val="none"/>
                <w:lang w:val="en-US" w:eastAsia="zh-CN"/>
              </w:rPr>
            </w:pPr>
            <w:r>
              <w:rPr>
                <w:rFonts w:hint="eastAsia" w:ascii="宋体" w:hAnsi="宋体" w:cs="宋体"/>
                <w:b w:val="0"/>
                <w:bCs w:val="0"/>
                <w:color w:val="auto"/>
                <w:kern w:val="0"/>
                <w:sz w:val="18"/>
                <w:szCs w:val="18"/>
                <w:highlight w:val="none"/>
                <w:lang w:val="en-US" w:eastAsia="zh-CN"/>
              </w:rPr>
              <w:t>01</w:t>
            </w:r>
          </w:p>
        </w:tc>
        <w:tc>
          <w:tcPr>
            <w:tcW w:w="2559"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行政单位医疗</w:t>
            </w:r>
          </w:p>
        </w:tc>
        <w:tc>
          <w:tcPr>
            <w:tcW w:w="1830"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12.54</w:t>
            </w:r>
          </w:p>
        </w:tc>
        <w:tc>
          <w:tcPr>
            <w:tcW w:w="1831"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12.54</w:t>
            </w:r>
          </w:p>
        </w:tc>
        <w:tc>
          <w:tcPr>
            <w:tcW w:w="187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18"/>
                <w:szCs w:val="18"/>
                <w:highlight w:val="none"/>
                <w:shd w:val="clear" w:color="auto" w:fill="auto"/>
              </w:rPr>
            </w:pPr>
          </w:p>
        </w:tc>
      </w:tr>
      <w:tr>
        <w:tblPrEx>
          <w:tblCellMar>
            <w:top w:w="0" w:type="dxa"/>
            <w:left w:w="108" w:type="dxa"/>
            <w:bottom w:w="0" w:type="dxa"/>
            <w:right w:w="108" w:type="dxa"/>
          </w:tblCellMar>
        </w:tblPrEx>
        <w:trPr>
          <w:trHeight w:val="405" w:hRule="atLeast"/>
        </w:trPr>
        <w:tc>
          <w:tcPr>
            <w:tcW w:w="489"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8"/>
                <w:szCs w:val="18"/>
                <w:highlight w:val="none"/>
                <w:lang w:val="en-US" w:eastAsia="zh-CN"/>
              </w:rPr>
            </w:pPr>
            <w:r>
              <w:rPr>
                <w:rFonts w:hint="eastAsia" w:ascii="宋体" w:hAnsi="宋体" w:cs="宋体"/>
                <w:b w:val="0"/>
                <w:bCs w:val="0"/>
                <w:color w:val="auto"/>
                <w:kern w:val="0"/>
                <w:sz w:val="18"/>
                <w:szCs w:val="18"/>
                <w:highlight w:val="none"/>
                <w:lang w:val="en-US" w:eastAsia="zh-CN"/>
              </w:rPr>
              <w:t>210</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8"/>
                <w:szCs w:val="18"/>
                <w:highlight w:val="none"/>
                <w:lang w:val="en-US" w:eastAsia="zh-CN"/>
              </w:rPr>
            </w:pPr>
            <w:r>
              <w:rPr>
                <w:rFonts w:hint="eastAsia" w:ascii="宋体" w:hAnsi="宋体" w:cs="宋体"/>
                <w:b w:val="0"/>
                <w:bCs w:val="0"/>
                <w:color w:val="auto"/>
                <w:kern w:val="0"/>
                <w:sz w:val="18"/>
                <w:szCs w:val="18"/>
                <w:highlight w:val="none"/>
                <w:lang w:val="en-US" w:eastAsia="zh-CN"/>
              </w:rPr>
              <w:t>11</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8"/>
                <w:szCs w:val="18"/>
                <w:highlight w:val="none"/>
                <w:lang w:val="en-US" w:eastAsia="zh-CN"/>
              </w:rPr>
            </w:pPr>
            <w:r>
              <w:rPr>
                <w:rFonts w:hint="eastAsia" w:ascii="宋体" w:hAnsi="宋体" w:cs="宋体"/>
                <w:b w:val="0"/>
                <w:bCs w:val="0"/>
                <w:color w:val="auto"/>
                <w:kern w:val="0"/>
                <w:sz w:val="18"/>
                <w:szCs w:val="18"/>
                <w:highlight w:val="none"/>
                <w:lang w:val="en-US" w:eastAsia="zh-CN"/>
              </w:rPr>
              <w:t>02</w:t>
            </w:r>
          </w:p>
        </w:tc>
        <w:tc>
          <w:tcPr>
            <w:tcW w:w="2559"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事业单位医疗</w:t>
            </w:r>
          </w:p>
        </w:tc>
        <w:tc>
          <w:tcPr>
            <w:tcW w:w="1830"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3.3</w:t>
            </w:r>
          </w:p>
        </w:tc>
        <w:tc>
          <w:tcPr>
            <w:tcW w:w="1831"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3.3</w:t>
            </w:r>
          </w:p>
        </w:tc>
        <w:tc>
          <w:tcPr>
            <w:tcW w:w="187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18"/>
                <w:szCs w:val="18"/>
                <w:highlight w:val="none"/>
                <w:shd w:val="clear" w:color="auto" w:fill="auto"/>
              </w:rPr>
            </w:pPr>
          </w:p>
        </w:tc>
      </w:tr>
      <w:tr>
        <w:tblPrEx>
          <w:tblCellMar>
            <w:top w:w="0" w:type="dxa"/>
            <w:left w:w="108" w:type="dxa"/>
            <w:bottom w:w="0" w:type="dxa"/>
            <w:right w:w="108" w:type="dxa"/>
          </w:tblCellMar>
        </w:tblPrEx>
        <w:trPr>
          <w:trHeight w:val="405" w:hRule="atLeast"/>
        </w:trPr>
        <w:tc>
          <w:tcPr>
            <w:tcW w:w="489"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8"/>
                <w:szCs w:val="18"/>
                <w:highlight w:val="none"/>
                <w:lang w:val="en-US" w:eastAsia="zh-CN"/>
              </w:rPr>
            </w:pPr>
            <w:r>
              <w:rPr>
                <w:rFonts w:hint="eastAsia" w:ascii="宋体" w:hAnsi="宋体" w:cs="宋体"/>
                <w:b w:val="0"/>
                <w:bCs w:val="0"/>
                <w:color w:val="auto"/>
                <w:kern w:val="0"/>
                <w:sz w:val="18"/>
                <w:szCs w:val="18"/>
                <w:highlight w:val="none"/>
                <w:lang w:val="en-US" w:eastAsia="zh-CN"/>
              </w:rPr>
              <w:t>210</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8"/>
                <w:szCs w:val="18"/>
                <w:highlight w:val="none"/>
                <w:lang w:val="en-US" w:eastAsia="zh-CN"/>
              </w:rPr>
            </w:pPr>
            <w:r>
              <w:rPr>
                <w:rFonts w:hint="eastAsia" w:ascii="宋体" w:hAnsi="宋体" w:cs="宋体"/>
                <w:b w:val="0"/>
                <w:bCs w:val="0"/>
                <w:color w:val="auto"/>
                <w:kern w:val="0"/>
                <w:sz w:val="18"/>
                <w:szCs w:val="18"/>
                <w:highlight w:val="none"/>
                <w:lang w:val="en-US" w:eastAsia="zh-CN"/>
              </w:rPr>
              <w:t>11</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8"/>
                <w:szCs w:val="18"/>
                <w:highlight w:val="none"/>
                <w:lang w:val="en-US" w:eastAsia="zh-CN"/>
              </w:rPr>
            </w:pPr>
            <w:r>
              <w:rPr>
                <w:rFonts w:hint="eastAsia" w:ascii="宋体" w:hAnsi="宋体" w:cs="宋体"/>
                <w:b w:val="0"/>
                <w:bCs w:val="0"/>
                <w:color w:val="auto"/>
                <w:kern w:val="0"/>
                <w:sz w:val="18"/>
                <w:szCs w:val="18"/>
                <w:highlight w:val="none"/>
                <w:lang w:val="en-US" w:eastAsia="zh-CN"/>
              </w:rPr>
              <w:t>03</w:t>
            </w:r>
          </w:p>
        </w:tc>
        <w:tc>
          <w:tcPr>
            <w:tcW w:w="2559"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公务员医疗补助</w:t>
            </w:r>
          </w:p>
        </w:tc>
        <w:tc>
          <w:tcPr>
            <w:tcW w:w="1830"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7.92</w:t>
            </w:r>
          </w:p>
        </w:tc>
        <w:tc>
          <w:tcPr>
            <w:tcW w:w="1831"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7.92</w:t>
            </w:r>
          </w:p>
        </w:tc>
        <w:tc>
          <w:tcPr>
            <w:tcW w:w="187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18"/>
                <w:szCs w:val="18"/>
                <w:highlight w:val="none"/>
                <w:shd w:val="clear" w:color="auto" w:fill="auto"/>
              </w:rPr>
            </w:pPr>
          </w:p>
        </w:tc>
      </w:tr>
      <w:tr>
        <w:tblPrEx>
          <w:tblCellMar>
            <w:top w:w="0" w:type="dxa"/>
            <w:left w:w="108" w:type="dxa"/>
            <w:bottom w:w="0" w:type="dxa"/>
            <w:right w:w="108" w:type="dxa"/>
          </w:tblCellMar>
        </w:tblPrEx>
        <w:trPr>
          <w:trHeight w:val="405" w:hRule="atLeast"/>
        </w:trPr>
        <w:tc>
          <w:tcPr>
            <w:tcW w:w="489"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8"/>
                <w:szCs w:val="18"/>
                <w:highlight w:val="none"/>
                <w:lang w:val="en-US" w:eastAsia="zh-CN"/>
              </w:rPr>
            </w:pPr>
            <w:r>
              <w:rPr>
                <w:rFonts w:hint="eastAsia" w:ascii="宋体" w:hAnsi="宋体" w:cs="宋体"/>
                <w:b w:val="0"/>
                <w:bCs w:val="0"/>
                <w:color w:val="auto"/>
                <w:kern w:val="0"/>
                <w:sz w:val="18"/>
                <w:szCs w:val="18"/>
                <w:highlight w:val="none"/>
                <w:lang w:val="en-US" w:eastAsia="zh-CN"/>
              </w:rPr>
              <w:t>210</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8"/>
                <w:szCs w:val="18"/>
                <w:highlight w:val="none"/>
                <w:lang w:val="en-US" w:eastAsia="zh-CN"/>
              </w:rPr>
            </w:pPr>
            <w:r>
              <w:rPr>
                <w:rFonts w:hint="eastAsia" w:ascii="宋体" w:hAnsi="宋体" w:cs="宋体"/>
                <w:b w:val="0"/>
                <w:bCs w:val="0"/>
                <w:color w:val="auto"/>
                <w:kern w:val="0"/>
                <w:sz w:val="18"/>
                <w:szCs w:val="18"/>
                <w:highlight w:val="none"/>
                <w:lang w:val="en-US" w:eastAsia="zh-CN"/>
              </w:rPr>
              <w:t>11</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8"/>
                <w:szCs w:val="18"/>
                <w:highlight w:val="none"/>
                <w:lang w:val="en-US" w:eastAsia="zh-CN"/>
              </w:rPr>
            </w:pPr>
            <w:r>
              <w:rPr>
                <w:rFonts w:hint="eastAsia" w:ascii="宋体" w:hAnsi="宋体" w:cs="宋体"/>
                <w:b w:val="0"/>
                <w:bCs w:val="0"/>
                <w:color w:val="auto"/>
                <w:kern w:val="0"/>
                <w:sz w:val="18"/>
                <w:szCs w:val="18"/>
                <w:highlight w:val="none"/>
                <w:lang w:val="en-US" w:eastAsia="zh-CN"/>
              </w:rPr>
              <w:t>99</w:t>
            </w:r>
          </w:p>
        </w:tc>
        <w:tc>
          <w:tcPr>
            <w:tcW w:w="2559"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其他行政事业单位医疗支出</w:t>
            </w:r>
          </w:p>
        </w:tc>
        <w:tc>
          <w:tcPr>
            <w:tcW w:w="1830"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0.20</w:t>
            </w:r>
          </w:p>
        </w:tc>
        <w:tc>
          <w:tcPr>
            <w:tcW w:w="1831"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0.20</w:t>
            </w:r>
          </w:p>
        </w:tc>
        <w:tc>
          <w:tcPr>
            <w:tcW w:w="187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18"/>
                <w:szCs w:val="18"/>
                <w:highlight w:val="none"/>
                <w:shd w:val="clear" w:color="auto" w:fill="auto"/>
              </w:rPr>
            </w:pPr>
          </w:p>
        </w:tc>
      </w:tr>
      <w:tr>
        <w:tblPrEx>
          <w:tblCellMar>
            <w:top w:w="0" w:type="dxa"/>
            <w:left w:w="108" w:type="dxa"/>
            <w:bottom w:w="0" w:type="dxa"/>
            <w:right w:w="108" w:type="dxa"/>
          </w:tblCellMar>
        </w:tblPrEx>
        <w:trPr>
          <w:trHeight w:val="405" w:hRule="atLeast"/>
        </w:trPr>
        <w:tc>
          <w:tcPr>
            <w:tcW w:w="489"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8"/>
                <w:szCs w:val="18"/>
                <w:highlight w:val="none"/>
                <w:lang w:val="en-US" w:eastAsia="zh-CN"/>
              </w:rPr>
            </w:pPr>
            <w:r>
              <w:rPr>
                <w:rFonts w:hint="eastAsia" w:ascii="宋体" w:hAnsi="宋体" w:cs="宋体"/>
                <w:b/>
                <w:bCs/>
                <w:color w:val="auto"/>
                <w:kern w:val="0"/>
                <w:sz w:val="18"/>
                <w:szCs w:val="18"/>
                <w:highlight w:val="none"/>
                <w:lang w:val="en-US" w:eastAsia="zh-CN"/>
              </w:rPr>
              <w:t>221</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8"/>
                <w:szCs w:val="18"/>
                <w:highlight w:val="none"/>
              </w:rPr>
            </w:pP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8"/>
                <w:szCs w:val="18"/>
                <w:highlight w:val="none"/>
              </w:rPr>
            </w:pPr>
          </w:p>
        </w:tc>
        <w:tc>
          <w:tcPr>
            <w:tcW w:w="2559"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18"/>
                <w:szCs w:val="18"/>
                <w:highlight w:val="none"/>
                <w:shd w:val="clear" w:color="auto" w:fill="auto"/>
              </w:rPr>
            </w:pPr>
            <w:r>
              <w:rPr>
                <w:rFonts w:hint="eastAsia" w:ascii="仿宋_GB2312" w:hAnsi="宋体" w:eastAsia="仿宋_GB2312" w:cs="宋体"/>
                <w:b/>
                <w:bCs/>
                <w:color w:val="auto"/>
                <w:kern w:val="0"/>
                <w:sz w:val="18"/>
                <w:szCs w:val="18"/>
                <w:highlight w:val="none"/>
                <w:shd w:val="clear" w:color="auto" w:fill="auto"/>
              </w:rPr>
              <w:t>住房保障支出</w:t>
            </w:r>
          </w:p>
        </w:tc>
        <w:tc>
          <w:tcPr>
            <w:tcW w:w="1830"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仿宋_GB2312" w:hAnsi="宋体" w:eastAsia="仿宋_GB2312" w:cs="宋体"/>
                <w:b/>
                <w:bCs/>
                <w:color w:val="auto"/>
                <w:kern w:val="0"/>
                <w:sz w:val="18"/>
                <w:szCs w:val="18"/>
                <w:highlight w:val="none"/>
                <w:shd w:val="clear" w:color="auto" w:fill="auto"/>
                <w:lang w:val="en-US" w:eastAsia="zh-CN"/>
              </w:rPr>
            </w:pPr>
            <w:r>
              <w:rPr>
                <w:rFonts w:hint="eastAsia" w:ascii="仿宋_GB2312" w:hAnsi="宋体" w:eastAsia="仿宋_GB2312" w:cs="宋体"/>
                <w:b/>
                <w:bCs/>
                <w:color w:val="auto"/>
                <w:kern w:val="0"/>
                <w:sz w:val="18"/>
                <w:szCs w:val="18"/>
                <w:highlight w:val="none"/>
                <w:shd w:val="clear" w:color="auto" w:fill="auto"/>
                <w:lang w:val="en-US" w:eastAsia="zh-CN"/>
              </w:rPr>
              <w:t>26.26</w:t>
            </w:r>
          </w:p>
        </w:tc>
        <w:tc>
          <w:tcPr>
            <w:tcW w:w="1831"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18"/>
                <w:szCs w:val="18"/>
                <w:highlight w:val="none"/>
                <w:shd w:val="clear" w:color="auto" w:fill="auto"/>
              </w:rPr>
            </w:pPr>
            <w:r>
              <w:rPr>
                <w:rFonts w:hint="eastAsia" w:ascii="仿宋_GB2312" w:hAnsi="宋体" w:eastAsia="仿宋_GB2312" w:cs="宋体"/>
                <w:b/>
                <w:bCs/>
                <w:color w:val="auto"/>
                <w:kern w:val="0"/>
                <w:sz w:val="18"/>
                <w:szCs w:val="18"/>
                <w:highlight w:val="none"/>
                <w:shd w:val="clear" w:color="auto" w:fill="auto"/>
                <w:lang w:val="en-US" w:eastAsia="zh-CN"/>
              </w:rPr>
              <w:t>26.26</w:t>
            </w:r>
          </w:p>
        </w:tc>
        <w:tc>
          <w:tcPr>
            <w:tcW w:w="187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18"/>
                <w:szCs w:val="18"/>
                <w:highlight w:val="none"/>
                <w:shd w:val="clear" w:color="auto" w:fill="auto"/>
              </w:rPr>
            </w:pPr>
          </w:p>
        </w:tc>
      </w:tr>
      <w:tr>
        <w:tblPrEx>
          <w:tblCellMar>
            <w:top w:w="0" w:type="dxa"/>
            <w:left w:w="108" w:type="dxa"/>
            <w:bottom w:w="0" w:type="dxa"/>
            <w:right w:w="108" w:type="dxa"/>
          </w:tblCellMar>
        </w:tblPrEx>
        <w:trPr>
          <w:trHeight w:val="405" w:hRule="atLeast"/>
        </w:trPr>
        <w:tc>
          <w:tcPr>
            <w:tcW w:w="489"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8"/>
                <w:szCs w:val="18"/>
                <w:highlight w:val="none"/>
                <w:lang w:val="en-US" w:eastAsia="zh-CN"/>
              </w:rPr>
            </w:pPr>
            <w:r>
              <w:rPr>
                <w:rFonts w:hint="eastAsia" w:ascii="宋体" w:hAnsi="宋体" w:cs="宋体"/>
                <w:b/>
                <w:bCs/>
                <w:color w:val="auto"/>
                <w:kern w:val="0"/>
                <w:sz w:val="18"/>
                <w:szCs w:val="18"/>
                <w:highlight w:val="none"/>
                <w:lang w:val="en-US" w:eastAsia="zh-CN"/>
              </w:rPr>
              <w:t>221</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8"/>
                <w:szCs w:val="18"/>
                <w:highlight w:val="none"/>
                <w:lang w:val="en-US" w:eastAsia="zh-CN"/>
              </w:rPr>
            </w:pPr>
            <w:r>
              <w:rPr>
                <w:rFonts w:hint="eastAsia" w:ascii="宋体" w:hAnsi="宋体" w:cs="宋体"/>
                <w:b/>
                <w:bCs/>
                <w:color w:val="auto"/>
                <w:kern w:val="0"/>
                <w:sz w:val="18"/>
                <w:szCs w:val="18"/>
                <w:highlight w:val="none"/>
                <w:lang w:val="en-US" w:eastAsia="zh-CN"/>
              </w:rPr>
              <w:t>02</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8"/>
                <w:szCs w:val="18"/>
                <w:highlight w:val="none"/>
              </w:rPr>
            </w:pPr>
          </w:p>
        </w:tc>
        <w:tc>
          <w:tcPr>
            <w:tcW w:w="2559"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18"/>
                <w:szCs w:val="18"/>
                <w:highlight w:val="none"/>
                <w:shd w:val="clear" w:color="auto" w:fill="auto"/>
              </w:rPr>
            </w:pPr>
            <w:r>
              <w:rPr>
                <w:rFonts w:hint="eastAsia" w:ascii="仿宋_GB2312" w:hAnsi="宋体" w:eastAsia="仿宋_GB2312" w:cs="宋体"/>
                <w:b/>
                <w:bCs/>
                <w:color w:val="auto"/>
                <w:kern w:val="0"/>
                <w:sz w:val="18"/>
                <w:szCs w:val="18"/>
                <w:highlight w:val="none"/>
                <w:shd w:val="clear" w:color="auto" w:fill="auto"/>
              </w:rPr>
              <w:t>住房改革支出</w:t>
            </w:r>
          </w:p>
        </w:tc>
        <w:tc>
          <w:tcPr>
            <w:tcW w:w="1830"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18"/>
                <w:szCs w:val="18"/>
                <w:highlight w:val="none"/>
                <w:shd w:val="clear" w:color="auto" w:fill="auto"/>
              </w:rPr>
            </w:pPr>
            <w:r>
              <w:rPr>
                <w:rFonts w:hint="eastAsia" w:ascii="仿宋_GB2312" w:hAnsi="宋体" w:eastAsia="仿宋_GB2312" w:cs="宋体"/>
                <w:b/>
                <w:bCs/>
                <w:color w:val="auto"/>
                <w:kern w:val="0"/>
                <w:sz w:val="18"/>
                <w:szCs w:val="18"/>
                <w:highlight w:val="none"/>
                <w:shd w:val="clear" w:color="auto" w:fill="auto"/>
                <w:lang w:val="en-US" w:eastAsia="zh-CN"/>
              </w:rPr>
              <w:t>26.26</w:t>
            </w:r>
          </w:p>
        </w:tc>
        <w:tc>
          <w:tcPr>
            <w:tcW w:w="1831"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18"/>
                <w:szCs w:val="18"/>
                <w:highlight w:val="none"/>
                <w:shd w:val="clear" w:color="auto" w:fill="auto"/>
              </w:rPr>
            </w:pPr>
            <w:r>
              <w:rPr>
                <w:rFonts w:hint="eastAsia" w:ascii="仿宋_GB2312" w:hAnsi="宋体" w:eastAsia="仿宋_GB2312" w:cs="宋体"/>
                <w:b/>
                <w:bCs/>
                <w:color w:val="auto"/>
                <w:kern w:val="0"/>
                <w:sz w:val="18"/>
                <w:szCs w:val="18"/>
                <w:highlight w:val="none"/>
                <w:shd w:val="clear" w:color="auto" w:fill="auto"/>
                <w:lang w:val="en-US" w:eastAsia="zh-CN"/>
              </w:rPr>
              <w:t>26.26</w:t>
            </w:r>
          </w:p>
        </w:tc>
        <w:tc>
          <w:tcPr>
            <w:tcW w:w="187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18"/>
                <w:szCs w:val="18"/>
                <w:highlight w:val="none"/>
                <w:shd w:val="clear" w:color="auto" w:fill="auto"/>
              </w:rPr>
            </w:pPr>
          </w:p>
        </w:tc>
      </w:tr>
      <w:tr>
        <w:tblPrEx>
          <w:tblCellMar>
            <w:top w:w="0" w:type="dxa"/>
            <w:left w:w="108" w:type="dxa"/>
            <w:bottom w:w="0" w:type="dxa"/>
            <w:right w:w="108" w:type="dxa"/>
          </w:tblCellMar>
        </w:tblPrEx>
        <w:trPr>
          <w:trHeight w:val="405" w:hRule="atLeast"/>
        </w:trPr>
        <w:tc>
          <w:tcPr>
            <w:tcW w:w="489"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8"/>
                <w:szCs w:val="18"/>
                <w:highlight w:val="none"/>
                <w:lang w:val="en-US" w:eastAsia="zh-CN"/>
              </w:rPr>
            </w:pPr>
            <w:r>
              <w:rPr>
                <w:rFonts w:hint="eastAsia" w:ascii="宋体" w:hAnsi="宋体" w:cs="宋体"/>
                <w:b/>
                <w:bCs/>
                <w:color w:val="auto"/>
                <w:kern w:val="0"/>
                <w:sz w:val="18"/>
                <w:szCs w:val="18"/>
                <w:highlight w:val="none"/>
                <w:lang w:val="en-US" w:eastAsia="zh-CN"/>
              </w:rPr>
              <w:t>221</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8"/>
                <w:szCs w:val="18"/>
                <w:highlight w:val="none"/>
                <w:lang w:val="en-US" w:eastAsia="zh-CN"/>
              </w:rPr>
            </w:pPr>
            <w:r>
              <w:rPr>
                <w:rFonts w:hint="eastAsia" w:ascii="宋体" w:hAnsi="宋体" w:cs="宋体"/>
                <w:b/>
                <w:bCs/>
                <w:color w:val="auto"/>
                <w:kern w:val="0"/>
                <w:sz w:val="18"/>
                <w:szCs w:val="18"/>
                <w:highlight w:val="none"/>
                <w:lang w:val="en-US" w:eastAsia="zh-CN"/>
              </w:rPr>
              <w:t>02</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8"/>
                <w:szCs w:val="18"/>
                <w:highlight w:val="none"/>
                <w:lang w:val="en-US" w:eastAsia="zh-CN"/>
              </w:rPr>
            </w:pPr>
            <w:r>
              <w:rPr>
                <w:rFonts w:hint="eastAsia" w:ascii="宋体" w:hAnsi="宋体" w:cs="宋体"/>
                <w:b/>
                <w:bCs/>
                <w:color w:val="auto"/>
                <w:kern w:val="0"/>
                <w:sz w:val="18"/>
                <w:szCs w:val="18"/>
                <w:highlight w:val="none"/>
                <w:lang w:val="en-US" w:eastAsia="zh-CN"/>
              </w:rPr>
              <w:t>01</w:t>
            </w:r>
          </w:p>
        </w:tc>
        <w:tc>
          <w:tcPr>
            <w:tcW w:w="2559"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住房公积金</w:t>
            </w:r>
          </w:p>
        </w:tc>
        <w:tc>
          <w:tcPr>
            <w:tcW w:w="1830"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lang w:val="en-US" w:eastAsia="zh-CN"/>
              </w:rPr>
              <w:t>26.26</w:t>
            </w:r>
          </w:p>
        </w:tc>
        <w:tc>
          <w:tcPr>
            <w:tcW w:w="1831"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lang w:val="en-US" w:eastAsia="zh-CN"/>
              </w:rPr>
              <w:t>26.26</w:t>
            </w:r>
          </w:p>
        </w:tc>
        <w:tc>
          <w:tcPr>
            <w:tcW w:w="187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18"/>
                <w:szCs w:val="18"/>
                <w:highlight w:val="none"/>
                <w:shd w:val="clear" w:color="auto" w:fill="auto"/>
              </w:rPr>
            </w:pPr>
          </w:p>
        </w:tc>
      </w:tr>
      <w:tr>
        <w:tblPrEx>
          <w:tblCellMar>
            <w:top w:w="0" w:type="dxa"/>
            <w:left w:w="108" w:type="dxa"/>
            <w:bottom w:w="0" w:type="dxa"/>
            <w:right w:w="108" w:type="dxa"/>
          </w:tblCellMar>
        </w:tblPrEx>
        <w:trPr>
          <w:trHeight w:val="405" w:hRule="atLeast"/>
        </w:trPr>
        <w:tc>
          <w:tcPr>
            <w:tcW w:w="489"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18"/>
                <w:szCs w:val="18"/>
                <w:highlight w:val="none"/>
              </w:rPr>
            </w:pP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18"/>
                <w:szCs w:val="18"/>
                <w:highlight w:val="none"/>
              </w:rPr>
            </w:pP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18"/>
                <w:szCs w:val="18"/>
                <w:highlight w:val="none"/>
              </w:rPr>
            </w:pPr>
          </w:p>
        </w:tc>
        <w:tc>
          <w:tcPr>
            <w:tcW w:w="2559"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8"/>
                <w:szCs w:val="18"/>
                <w:highlight w:val="none"/>
              </w:rPr>
            </w:pPr>
            <w:r>
              <w:rPr>
                <w:rFonts w:hint="eastAsia" w:ascii="仿宋_GB2312" w:hAnsi="仿宋_GB2312" w:eastAsia="仿宋_GB2312" w:cs="仿宋_GB2312"/>
                <w:b/>
                <w:bCs/>
                <w:color w:val="auto"/>
                <w:kern w:val="0"/>
                <w:sz w:val="18"/>
                <w:szCs w:val="18"/>
                <w:highlight w:val="none"/>
              </w:rPr>
              <w:t>合  计</w:t>
            </w:r>
          </w:p>
        </w:tc>
        <w:tc>
          <w:tcPr>
            <w:tcW w:w="1830"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18"/>
                <w:szCs w:val="18"/>
                <w:highlight w:val="none"/>
                <w:shd w:val="clear" w:color="auto" w:fill="auto"/>
              </w:rPr>
            </w:pPr>
            <w:r>
              <w:rPr>
                <w:rFonts w:hint="eastAsia" w:ascii="仿宋_GB2312" w:hAnsi="宋体" w:eastAsia="仿宋_GB2312" w:cs="宋体"/>
                <w:b/>
                <w:bCs/>
                <w:color w:val="auto"/>
                <w:kern w:val="0"/>
                <w:sz w:val="18"/>
                <w:szCs w:val="18"/>
                <w:highlight w:val="none"/>
                <w:shd w:val="clear" w:color="auto" w:fill="auto"/>
              </w:rPr>
              <w:t>765.13</w:t>
            </w:r>
          </w:p>
        </w:tc>
        <w:tc>
          <w:tcPr>
            <w:tcW w:w="1831"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18"/>
                <w:szCs w:val="18"/>
                <w:highlight w:val="none"/>
                <w:shd w:val="clear" w:color="auto" w:fill="auto"/>
              </w:rPr>
            </w:pPr>
            <w:r>
              <w:rPr>
                <w:rFonts w:hint="eastAsia" w:ascii="仿宋_GB2312" w:hAnsi="宋体" w:eastAsia="仿宋_GB2312" w:cs="宋体"/>
                <w:b/>
                <w:bCs/>
                <w:color w:val="auto"/>
                <w:kern w:val="0"/>
                <w:sz w:val="18"/>
                <w:szCs w:val="18"/>
                <w:highlight w:val="none"/>
                <w:shd w:val="clear" w:color="auto" w:fill="auto"/>
              </w:rPr>
              <w:t>751.60</w:t>
            </w:r>
          </w:p>
        </w:tc>
        <w:tc>
          <w:tcPr>
            <w:tcW w:w="187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18"/>
                <w:szCs w:val="18"/>
                <w:highlight w:val="none"/>
                <w:shd w:val="clear" w:color="auto" w:fill="auto"/>
              </w:rPr>
            </w:pPr>
            <w:r>
              <w:rPr>
                <w:rFonts w:hint="eastAsia" w:ascii="仿宋_GB2312" w:hAnsi="宋体" w:eastAsia="仿宋_GB2312" w:cs="宋体"/>
                <w:b/>
                <w:bCs/>
                <w:color w:val="auto"/>
                <w:kern w:val="0"/>
                <w:sz w:val="18"/>
                <w:szCs w:val="18"/>
                <w:highlight w:val="none"/>
                <w:shd w:val="clear" w:color="auto" w:fill="auto"/>
              </w:rPr>
              <w:t>13.53</w:t>
            </w:r>
          </w:p>
        </w:tc>
      </w:tr>
    </w:tbl>
    <w:p>
      <w:pPr>
        <w:widowControl/>
        <w:outlineLvl w:val="1"/>
        <w:rPr>
          <w:rFonts w:hint="eastAsia" w:ascii="宋体" w:hAnsi="宋体" w:eastAsia="宋体" w:cs="宋体"/>
          <w:i w:val="0"/>
          <w:color w:val="FF0000"/>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表4</w:t>
      </w:r>
    </w:p>
    <w:p>
      <w:pPr>
        <w:widowControl/>
        <w:spacing w:before="120" w:beforeLines="50" w:line="280" w:lineRule="exact"/>
        <w:jc w:val="center"/>
        <w:outlineLvl w:val="1"/>
        <w:rPr>
          <w:rFonts w:hint="eastAsia" w:ascii="黑体" w:hAnsi="黑体" w:eastAsia="黑体" w:cs="黑体"/>
          <w:b/>
          <w:color w:val="auto"/>
          <w:kern w:val="0"/>
          <w:sz w:val="32"/>
          <w:szCs w:val="32"/>
          <w:highlight w:val="none"/>
        </w:rPr>
      </w:pPr>
      <w:r>
        <w:rPr>
          <w:rFonts w:hint="eastAsia" w:ascii="黑体" w:hAnsi="黑体" w:eastAsia="黑体" w:cs="黑体"/>
          <w:b/>
          <w:color w:val="auto"/>
          <w:kern w:val="0"/>
          <w:sz w:val="32"/>
          <w:szCs w:val="32"/>
          <w:highlight w:val="none"/>
        </w:rPr>
        <w:t>财政拨款收支预算总体情况表</w:t>
      </w:r>
    </w:p>
    <w:p>
      <w:pPr>
        <w:widowControl/>
        <w:spacing w:before="120" w:beforeLines="50" w:line="280" w:lineRule="exac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编制</w:t>
      </w:r>
      <w:r>
        <w:rPr>
          <w:rFonts w:hint="eastAsia" w:ascii="仿宋_GB2312" w:hAnsi="宋体" w:eastAsia="仿宋_GB2312"/>
          <w:color w:val="auto"/>
          <w:kern w:val="0"/>
          <w:sz w:val="20"/>
          <w:szCs w:val="20"/>
          <w:highlight w:val="none"/>
          <w:lang w:eastAsia="zh-CN"/>
        </w:rPr>
        <w:t>部门</w:t>
      </w:r>
      <w:r>
        <w:rPr>
          <w:rFonts w:hint="eastAsia" w:ascii="仿宋_GB2312" w:hAnsi="宋体" w:eastAsia="仿宋_GB2312"/>
          <w:color w:val="auto"/>
          <w:kern w:val="0"/>
          <w:sz w:val="20"/>
          <w:szCs w:val="20"/>
          <w:highlight w:val="none"/>
        </w:rPr>
        <w:t>：</w:t>
      </w:r>
      <w:r>
        <w:rPr>
          <w:rFonts w:hint="eastAsia" w:ascii="仿宋_GB2312" w:hAnsi="宋体" w:eastAsia="仿宋_GB2312"/>
          <w:color w:val="auto"/>
          <w:kern w:val="0"/>
          <w:sz w:val="20"/>
          <w:szCs w:val="20"/>
          <w:highlight w:val="none"/>
          <w:lang w:eastAsia="zh-CN"/>
        </w:rPr>
        <w:t>呼图壁县社会保险中心</w:t>
      </w:r>
      <w:r>
        <w:rPr>
          <w:rFonts w:hint="eastAsia" w:ascii="仿宋_GB2312" w:hAnsi="宋体" w:eastAsia="仿宋_GB2312"/>
          <w:color w:val="auto"/>
          <w:kern w:val="0"/>
          <w:sz w:val="20"/>
          <w:szCs w:val="20"/>
          <w:highlight w:val="none"/>
        </w:rPr>
        <w:t xml:space="preserve">                                                单位：万元</w:t>
      </w:r>
    </w:p>
    <w:tbl>
      <w:tblPr>
        <w:tblStyle w:val="9"/>
        <w:tblW w:w="9449" w:type="dxa"/>
        <w:tblInd w:w="-240" w:type="dxa"/>
        <w:tblLayout w:type="fixed"/>
        <w:tblCellMar>
          <w:top w:w="0" w:type="dxa"/>
          <w:left w:w="108" w:type="dxa"/>
          <w:bottom w:w="0" w:type="dxa"/>
          <w:right w:w="108" w:type="dxa"/>
        </w:tblCellMar>
      </w:tblPr>
      <w:tblGrid>
        <w:gridCol w:w="1881"/>
        <w:gridCol w:w="1122"/>
        <w:gridCol w:w="2495"/>
        <w:gridCol w:w="894"/>
        <w:gridCol w:w="943"/>
        <w:gridCol w:w="1009"/>
        <w:gridCol w:w="1105"/>
      </w:tblGrid>
      <w:tr>
        <w:tblPrEx>
          <w:tblCellMar>
            <w:top w:w="0" w:type="dxa"/>
            <w:left w:w="108" w:type="dxa"/>
            <w:bottom w:w="0" w:type="dxa"/>
            <w:right w:w="108" w:type="dxa"/>
          </w:tblCellMar>
        </w:tblPrEx>
        <w:trPr>
          <w:trHeight w:val="285" w:hRule="atLeast"/>
        </w:trPr>
        <w:tc>
          <w:tcPr>
            <w:tcW w:w="3003" w:type="dxa"/>
            <w:gridSpan w:val="2"/>
            <w:tcBorders>
              <w:top w:val="single" w:color="auto" w:sz="4" w:space="0"/>
              <w:left w:val="single" w:color="auto" w:sz="4" w:space="0"/>
              <w:bottom w:val="single" w:color="auto" w:sz="4" w:space="0"/>
              <w:right w:val="single" w:color="000000"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财政拨款收入</w:t>
            </w:r>
          </w:p>
        </w:tc>
        <w:tc>
          <w:tcPr>
            <w:tcW w:w="6446" w:type="dxa"/>
            <w:gridSpan w:val="5"/>
            <w:tcBorders>
              <w:top w:val="single" w:color="auto" w:sz="4" w:space="0"/>
              <w:left w:val="nil"/>
              <w:bottom w:val="single" w:color="auto" w:sz="4" w:space="0"/>
              <w:right w:val="single" w:color="000000"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财政拨款支出</w:t>
            </w:r>
          </w:p>
        </w:tc>
      </w:tr>
      <w:tr>
        <w:tblPrEx>
          <w:tblCellMar>
            <w:top w:w="0" w:type="dxa"/>
            <w:left w:w="108" w:type="dxa"/>
            <w:bottom w:w="0" w:type="dxa"/>
            <w:right w:w="108" w:type="dxa"/>
          </w:tblCellMar>
        </w:tblPrEx>
        <w:trPr>
          <w:trHeight w:val="500" w:hRule="atLeast"/>
        </w:trPr>
        <w:tc>
          <w:tcPr>
            <w:tcW w:w="1881"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项    目</w:t>
            </w:r>
          </w:p>
        </w:tc>
        <w:tc>
          <w:tcPr>
            <w:tcW w:w="112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合  计</w:t>
            </w:r>
          </w:p>
        </w:tc>
        <w:tc>
          <w:tcPr>
            <w:tcW w:w="2495"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  能  分  类</w:t>
            </w:r>
          </w:p>
        </w:tc>
        <w:tc>
          <w:tcPr>
            <w:tcW w:w="89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94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一般公共预算</w:t>
            </w:r>
          </w:p>
        </w:tc>
        <w:tc>
          <w:tcPr>
            <w:tcW w:w="1009"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政府性基金预算</w:t>
            </w:r>
          </w:p>
        </w:tc>
        <w:tc>
          <w:tcPr>
            <w:tcW w:w="1105"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国有资本经营预算</w:t>
            </w:r>
          </w:p>
        </w:tc>
      </w:tr>
      <w:tr>
        <w:tblPrEx>
          <w:tblCellMar>
            <w:top w:w="0" w:type="dxa"/>
            <w:left w:w="108" w:type="dxa"/>
            <w:bottom w:w="0" w:type="dxa"/>
            <w:right w:w="108" w:type="dxa"/>
          </w:tblCellMar>
        </w:tblPrEx>
        <w:trPr>
          <w:trHeight w:val="312" w:hRule="exact"/>
        </w:trPr>
        <w:tc>
          <w:tcPr>
            <w:tcW w:w="1881"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18"/>
                <w:szCs w:val="18"/>
                <w:highlight w:val="none"/>
              </w:rPr>
            </w:pPr>
            <w:r>
              <w:rPr>
                <w:rFonts w:hint="eastAsia" w:ascii="仿宋_GB2312" w:hAnsi="宋体" w:eastAsia="仿宋_GB2312" w:cs="宋体"/>
                <w:b/>
                <w:bCs/>
                <w:color w:val="auto"/>
                <w:kern w:val="0"/>
                <w:sz w:val="18"/>
                <w:szCs w:val="18"/>
                <w:highlight w:val="none"/>
                <w:lang w:val="en-US" w:eastAsia="zh-Hans"/>
              </w:rPr>
              <w:t>一、</w:t>
            </w:r>
            <w:r>
              <w:rPr>
                <w:rFonts w:hint="eastAsia" w:ascii="仿宋_GB2312" w:hAnsi="宋体" w:eastAsia="仿宋_GB2312" w:cs="宋体"/>
                <w:b/>
                <w:bCs/>
                <w:color w:val="auto"/>
                <w:kern w:val="0"/>
                <w:sz w:val="18"/>
                <w:szCs w:val="18"/>
                <w:highlight w:val="none"/>
              </w:rPr>
              <w:t>财政拨款（补助）</w:t>
            </w:r>
          </w:p>
        </w:tc>
        <w:tc>
          <w:tcPr>
            <w:tcW w:w="1122"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18"/>
                <w:szCs w:val="18"/>
                <w:highlight w:val="none"/>
              </w:rPr>
            </w:pPr>
            <w:r>
              <w:rPr>
                <w:rFonts w:hint="eastAsia" w:ascii="仿宋_GB2312" w:hAnsi="宋体" w:eastAsia="仿宋_GB2312" w:cs="宋体"/>
                <w:b/>
                <w:bCs/>
                <w:color w:val="auto"/>
                <w:kern w:val="0"/>
                <w:sz w:val="18"/>
                <w:szCs w:val="18"/>
                <w:highlight w:val="none"/>
                <w:lang w:val="en-US" w:eastAsia="zh-CN"/>
              </w:rPr>
              <w:t>729.91</w:t>
            </w:r>
          </w:p>
        </w:tc>
        <w:tc>
          <w:tcPr>
            <w:tcW w:w="2495"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201 一般公共服务支出</w:t>
            </w:r>
          </w:p>
        </w:tc>
        <w:tc>
          <w:tcPr>
            <w:tcW w:w="894"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18"/>
                <w:szCs w:val="18"/>
                <w:highlight w:val="none"/>
              </w:rPr>
            </w:pPr>
          </w:p>
        </w:tc>
        <w:tc>
          <w:tcPr>
            <w:tcW w:w="943"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18"/>
                <w:szCs w:val="18"/>
                <w:highlight w:val="none"/>
              </w:rPr>
            </w:pPr>
          </w:p>
        </w:tc>
        <w:tc>
          <w:tcPr>
            <w:tcW w:w="1009"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05"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881" w:type="dxa"/>
            <w:tcBorders>
              <w:top w:val="nil"/>
              <w:left w:val="single" w:color="auto" w:sz="4" w:space="0"/>
              <w:bottom w:val="single" w:color="auto" w:sz="4" w:space="0"/>
              <w:right w:val="single" w:color="auto" w:sz="4" w:space="0"/>
            </w:tcBorders>
            <w:noWrap w:val="0"/>
            <w:vAlign w:val="center"/>
          </w:tcPr>
          <w:p>
            <w:pPr>
              <w:widowControl/>
              <w:spacing w:line="280" w:lineRule="exact"/>
              <w:ind w:firstLine="180" w:firstLineChars="100"/>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一般公共预算</w:t>
            </w:r>
          </w:p>
        </w:tc>
        <w:tc>
          <w:tcPr>
            <w:tcW w:w="1122"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仿宋_GB2312" w:hAnsi="宋体" w:eastAsia="仿宋_GB2312" w:cs="宋体"/>
                <w:color w:val="auto"/>
                <w:kern w:val="0"/>
                <w:sz w:val="18"/>
                <w:szCs w:val="18"/>
                <w:highlight w:val="none"/>
                <w:lang w:val="en-US"/>
              </w:rPr>
            </w:pPr>
            <w:r>
              <w:rPr>
                <w:rFonts w:hint="eastAsia" w:ascii="仿宋_GB2312" w:hAnsi="宋体" w:eastAsia="仿宋_GB2312" w:cs="宋体"/>
                <w:color w:val="auto"/>
                <w:kern w:val="0"/>
                <w:sz w:val="18"/>
                <w:szCs w:val="18"/>
                <w:highlight w:val="none"/>
                <w:lang w:val="en-US" w:eastAsia="zh-CN"/>
              </w:rPr>
              <w:t>719.31</w:t>
            </w:r>
          </w:p>
        </w:tc>
        <w:tc>
          <w:tcPr>
            <w:tcW w:w="2495"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202 外交支出</w:t>
            </w:r>
          </w:p>
        </w:tc>
        <w:tc>
          <w:tcPr>
            <w:tcW w:w="894"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18"/>
                <w:szCs w:val="18"/>
                <w:highlight w:val="none"/>
              </w:rPr>
            </w:pPr>
          </w:p>
        </w:tc>
        <w:tc>
          <w:tcPr>
            <w:tcW w:w="943"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18"/>
                <w:szCs w:val="18"/>
                <w:highlight w:val="none"/>
              </w:rPr>
            </w:pPr>
          </w:p>
        </w:tc>
        <w:tc>
          <w:tcPr>
            <w:tcW w:w="1009"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05"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881"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r>
              <w:rPr>
                <w:rFonts w:hint="default" w:ascii="仿宋_GB2312" w:hAnsi="宋体" w:eastAsia="仿宋_GB2312" w:cs="宋体"/>
                <w:color w:val="auto"/>
                <w:kern w:val="0"/>
                <w:sz w:val="18"/>
                <w:szCs w:val="18"/>
                <w:highlight w:val="none"/>
              </w:rPr>
              <w:t xml:space="preserve">  </w:t>
            </w:r>
            <w:r>
              <w:rPr>
                <w:rFonts w:hint="eastAsia" w:ascii="仿宋_GB2312" w:hAnsi="宋体" w:eastAsia="仿宋_GB2312" w:cs="宋体"/>
                <w:color w:val="auto"/>
                <w:kern w:val="0"/>
                <w:sz w:val="18"/>
                <w:szCs w:val="18"/>
                <w:highlight w:val="none"/>
              </w:rPr>
              <w:t>政府性基金预算</w:t>
            </w:r>
          </w:p>
        </w:tc>
        <w:tc>
          <w:tcPr>
            <w:tcW w:w="1122"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p>
        </w:tc>
        <w:tc>
          <w:tcPr>
            <w:tcW w:w="2495"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203 国防支出</w:t>
            </w:r>
          </w:p>
        </w:tc>
        <w:tc>
          <w:tcPr>
            <w:tcW w:w="894"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18"/>
                <w:szCs w:val="18"/>
                <w:highlight w:val="none"/>
              </w:rPr>
            </w:pPr>
          </w:p>
        </w:tc>
        <w:tc>
          <w:tcPr>
            <w:tcW w:w="943"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18"/>
                <w:szCs w:val="18"/>
                <w:highlight w:val="none"/>
              </w:rPr>
            </w:pPr>
          </w:p>
        </w:tc>
        <w:tc>
          <w:tcPr>
            <w:tcW w:w="1009"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05"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881"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r>
              <w:rPr>
                <w:rFonts w:hint="default" w:ascii="仿宋_GB2312" w:hAnsi="宋体" w:eastAsia="仿宋_GB2312" w:cs="宋体"/>
                <w:color w:val="auto"/>
                <w:kern w:val="0"/>
                <w:sz w:val="18"/>
                <w:szCs w:val="18"/>
                <w:highlight w:val="none"/>
              </w:rPr>
              <w:t xml:space="preserve">  </w:t>
            </w:r>
            <w:r>
              <w:rPr>
                <w:rFonts w:hint="eastAsia" w:ascii="仿宋_GB2312" w:hAnsi="宋体" w:eastAsia="仿宋_GB2312" w:cs="宋体"/>
                <w:color w:val="auto"/>
                <w:kern w:val="0"/>
                <w:sz w:val="18"/>
                <w:szCs w:val="18"/>
                <w:highlight w:val="none"/>
              </w:rPr>
              <w:t>国有资本经营预算</w:t>
            </w:r>
          </w:p>
        </w:tc>
        <w:tc>
          <w:tcPr>
            <w:tcW w:w="1122" w:type="dxa"/>
            <w:tcBorders>
              <w:top w:val="nil"/>
              <w:left w:val="nil"/>
              <w:bottom w:val="single" w:color="auto" w:sz="4" w:space="0"/>
              <w:right w:val="single" w:color="auto" w:sz="4" w:space="0"/>
            </w:tcBorders>
            <w:noWrap w:val="0"/>
            <w:vAlign w:val="bottom"/>
          </w:tcPr>
          <w:p>
            <w:pPr>
              <w:widowControl/>
              <w:spacing w:line="280" w:lineRule="exact"/>
              <w:jc w:val="center"/>
              <w:rPr>
                <w:rFonts w:ascii="仿宋_GB2312" w:hAnsi="宋体" w:eastAsia="仿宋_GB2312" w:cs="宋体"/>
                <w:color w:val="auto"/>
                <w:kern w:val="0"/>
                <w:sz w:val="18"/>
                <w:szCs w:val="18"/>
                <w:highlight w:val="none"/>
              </w:rPr>
            </w:pPr>
          </w:p>
        </w:tc>
        <w:tc>
          <w:tcPr>
            <w:tcW w:w="2495"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204 公共安全支出</w:t>
            </w:r>
          </w:p>
        </w:tc>
        <w:tc>
          <w:tcPr>
            <w:tcW w:w="894"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18"/>
                <w:szCs w:val="18"/>
                <w:highlight w:val="none"/>
              </w:rPr>
            </w:pPr>
          </w:p>
        </w:tc>
        <w:tc>
          <w:tcPr>
            <w:tcW w:w="943"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18"/>
                <w:szCs w:val="18"/>
                <w:highlight w:val="none"/>
              </w:rPr>
            </w:pPr>
          </w:p>
        </w:tc>
        <w:tc>
          <w:tcPr>
            <w:tcW w:w="1009"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05"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297" w:hRule="exact"/>
        </w:trPr>
        <w:tc>
          <w:tcPr>
            <w:tcW w:w="1881"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22" w:type="dxa"/>
            <w:tcBorders>
              <w:top w:val="nil"/>
              <w:left w:val="nil"/>
              <w:bottom w:val="single" w:color="auto" w:sz="4" w:space="0"/>
              <w:right w:val="single" w:color="auto" w:sz="4" w:space="0"/>
            </w:tcBorders>
            <w:noWrap w:val="0"/>
            <w:vAlign w:val="bottom"/>
          </w:tcPr>
          <w:p>
            <w:pPr>
              <w:widowControl/>
              <w:spacing w:line="280" w:lineRule="exact"/>
              <w:jc w:val="center"/>
              <w:rPr>
                <w:rFonts w:ascii="仿宋_GB2312" w:hAnsi="宋体" w:eastAsia="仿宋_GB2312" w:cs="宋体"/>
                <w:color w:val="auto"/>
                <w:kern w:val="0"/>
                <w:sz w:val="18"/>
                <w:szCs w:val="18"/>
                <w:highlight w:val="none"/>
              </w:rPr>
            </w:pPr>
          </w:p>
        </w:tc>
        <w:tc>
          <w:tcPr>
            <w:tcW w:w="2495"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205 教育支出</w:t>
            </w:r>
          </w:p>
        </w:tc>
        <w:tc>
          <w:tcPr>
            <w:tcW w:w="894"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18"/>
                <w:szCs w:val="18"/>
                <w:highlight w:val="none"/>
              </w:rPr>
            </w:pPr>
          </w:p>
        </w:tc>
        <w:tc>
          <w:tcPr>
            <w:tcW w:w="943"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18"/>
                <w:szCs w:val="18"/>
                <w:highlight w:val="none"/>
              </w:rPr>
            </w:pPr>
          </w:p>
        </w:tc>
        <w:tc>
          <w:tcPr>
            <w:tcW w:w="1009"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05"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881"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22" w:type="dxa"/>
            <w:tcBorders>
              <w:top w:val="nil"/>
              <w:left w:val="nil"/>
              <w:bottom w:val="single" w:color="auto" w:sz="4" w:space="0"/>
              <w:right w:val="single" w:color="auto" w:sz="4" w:space="0"/>
            </w:tcBorders>
            <w:noWrap w:val="0"/>
            <w:vAlign w:val="bottom"/>
          </w:tcPr>
          <w:p>
            <w:pPr>
              <w:widowControl/>
              <w:spacing w:line="280" w:lineRule="exact"/>
              <w:jc w:val="center"/>
              <w:rPr>
                <w:rFonts w:ascii="仿宋_GB2312" w:hAnsi="宋体" w:eastAsia="仿宋_GB2312" w:cs="宋体"/>
                <w:color w:val="auto"/>
                <w:kern w:val="0"/>
                <w:sz w:val="18"/>
                <w:szCs w:val="18"/>
                <w:highlight w:val="none"/>
              </w:rPr>
            </w:pPr>
          </w:p>
        </w:tc>
        <w:tc>
          <w:tcPr>
            <w:tcW w:w="2495"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206 科学技术支出</w:t>
            </w:r>
          </w:p>
        </w:tc>
        <w:tc>
          <w:tcPr>
            <w:tcW w:w="894"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18"/>
                <w:szCs w:val="18"/>
                <w:highlight w:val="none"/>
              </w:rPr>
            </w:pPr>
          </w:p>
        </w:tc>
        <w:tc>
          <w:tcPr>
            <w:tcW w:w="943"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18"/>
                <w:szCs w:val="18"/>
                <w:highlight w:val="none"/>
              </w:rPr>
            </w:pPr>
          </w:p>
        </w:tc>
        <w:tc>
          <w:tcPr>
            <w:tcW w:w="1009"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05"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881"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22" w:type="dxa"/>
            <w:tcBorders>
              <w:top w:val="nil"/>
              <w:left w:val="nil"/>
              <w:bottom w:val="single" w:color="auto" w:sz="4" w:space="0"/>
              <w:right w:val="single" w:color="auto" w:sz="4" w:space="0"/>
            </w:tcBorders>
            <w:noWrap w:val="0"/>
            <w:vAlign w:val="bottom"/>
          </w:tcPr>
          <w:p>
            <w:pPr>
              <w:widowControl/>
              <w:spacing w:line="280" w:lineRule="exact"/>
              <w:jc w:val="center"/>
              <w:rPr>
                <w:rFonts w:ascii="仿宋_GB2312" w:hAnsi="宋体" w:eastAsia="仿宋_GB2312" w:cs="宋体"/>
                <w:color w:val="auto"/>
                <w:kern w:val="0"/>
                <w:sz w:val="18"/>
                <w:szCs w:val="18"/>
                <w:highlight w:val="none"/>
              </w:rPr>
            </w:pPr>
          </w:p>
        </w:tc>
        <w:tc>
          <w:tcPr>
            <w:tcW w:w="2495"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207 文化旅游体育与传媒支出</w:t>
            </w:r>
          </w:p>
        </w:tc>
        <w:tc>
          <w:tcPr>
            <w:tcW w:w="894"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18"/>
                <w:szCs w:val="18"/>
                <w:highlight w:val="none"/>
              </w:rPr>
            </w:pPr>
          </w:p>
        </w:tc>
        <w:tc>
          <w:tcPr>
            <w:tcW w:w="943"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18"/>
                <w:szCs w:val="18"/>
                <w:highlight w:val="none"/>
              </w:rPr>
            </w:pPr>
          </w:p>
        </w:tc>
        <w:tc>
          <w:tcPr>
            <w:tcW w:w="1009"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05"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881"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22" w:type="dxa"/>
            <w:tcBorders>
              <w:top w:val="nil"/>
              <w:left w:val="nil"/>
              <w:bottom w:val="single" w:color="auto" w:sz="4" w:space="0"/>
              <w:right w:val="single" w:color="auto" w:sz="4" w:space="0"/>
            </w:tcBorders>
            <w:noWrap w:val="0"/>
            <w:vAlign w:val="bottom"/>
          </w:tcPr>
          <w:p>
            <w:pPr>
              <w:widowControl/>
              <w:spacing w:line="280" w:lineRule="exact"/>
              <w:jc w:val="center"/>
              <w:rPr>
                <w:rFonts w:ascii="仿宋_GB2312" w:hAnsi="宋体" w:eastAsia="仿宋_GB2312" w:cs="宋体"/>
                <w:color w:val="auto"/>
                <w:kern w:val="0"/>
                <w:sz w:val="18"/>
                <w:szCs w:val="18"/>
                <w:highlight w:val="none"/>
              </w:rPr>
            </w:pPr>
          </w:p>
        </w:tc>
        <w:tc>
          <w:tcPr>
            <w:tcW w:w="2495"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208 社会保障和就业支出</w:t>
            </w:r>
          </w:p>
        </w:tc>
        <w:tc>
          <w:tcPr>
            <w:tcW w:w="894"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669.0</w:t>
            </w:r>
            <w:r>
              <w:rPr>
                <w:rFonts w:hint="eastAsia" w:ascii="宋体" w:hAnsi="宋体" w:cs="宋体"/>
                <w:color w:val="auto"/>
                <w:kern w:val="0"/>
                <w:sz w:val="18"/>
                <w:szCs w:val="18"/>
                <w:highlight w:val="none"/>
              </w:rPr>
              <w:t>8</w:t>
            </w:r>
          </w:p>
        </w:tc>
        <w:tc>
          <w:tcPr>
            <w:tcW w:w="943"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669.08</w:t>
            </w:r>
          </w:p>
        </w:tc>
        <w:tc>
          <w:tcPr>
            <w:tcW w:w="1009"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05"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881"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p>
        </w:tc>
        <w:tc>
          <w:tcPr>
            <w:tcW w:w="1122" w:type="dxa"/>
            <w:tcBorders>
              <w:top w:val="nil"/>
              <w:left w:val="nil"/>
              <w:bottom w:val="single" w:color="auto" w:sz="4" w:space="0"/>
              <w:right w:val="single" w:color="auto" w:sz="4" w:space="0"/>
            </w:tcBorders>
            <w:noWrap w:val="0"/>
            <w:vAlign w:val="bottom"/>
          </w:tcPr>
          <w:p>
            <w:pPr>
              <w:widowControl/>
              <w:spacing w:line="280" w:lineRule="exact"/>
              <w:jc w:val="center"/>
              <w:rPr>
                <w:rFonts w:hint="eastAsia" w:ascii="仿宋_GB2312" w:hAnsi="宋体" w:eastAsia="仿宋_GB2312" w:cs="宋体"/>
                <w:color w:val="auto"/>
                <w:kern w:val="0"/>
                <w:sz w:val="18"/>
                <w:szCs w:val="18"/>
                <w:highlight w:val="none"/>
              </w:rPr>
            </w:pPr>
          </w:p>
        </w:tc>
        <w:tc>
          <w:tcPr>
            <w:tcW w:w="2495"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209 社会保险基金支出</w:t>
            </w:r>
          </w:p>
        </w:tc>
        <w:tc>
          <w:tcPr>
            <w:tcW w:w="89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color w:val="auto"/>
                <w:kern w:val="0"/>
                <w:sz w:val="18"/>
                <w:szCs w:val="18"/>
                <w:highlight w:val="none"/>
              </w:rPr>
            </w:pPr>
          </w:p>
        </w:tc>
        <w:tc>
          <w:tcPr>
            <w:tcW w:w="94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color w:val="auto"/>
                <w:kern w:val="0"/>
                <w:sz w:val="18"/>
                <w:szCs w:val="18"/>
                <w:highlight w:val="none"/>
              </w:rPr>
            </w:pPr>
          </w:p>
        </w:tc>
        <w:tc>
          <w:tcPr>
            <w:tcW w:w="1009"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05"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881"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22" w:type="dxa"/>
            <w:tcBorders>
              <w:top w:val="nil"/>
              <w:left w:val="nil"/>
              <w:bottom w:val="single" w:color="auto" w:sz="4" w:space="0"/>
              <w:right w:val="single" w:color="auto" w:sz="4" w:space="0"/>
            </w:tcBorders>
            <w:noWrap w:val="0"/>
            <w:vAlign w:val="bottom"/>
          </w:tcPr>
          <w:p>
            <w:pPr>
              <w:widowControl/>
              <w:spacing w:line="280" w:lineRule="exact"/>
              <w:jc w:val="center"/>
              <w:rPr>
                <w:rFonts w:ascii="仿宋_GB2312" w:hAnsi="宋体" w:eastAsia="仿宋_GB2312" w:cs="宋体"/>
                <w:color w:val="auto"/>
                <w:kern w:val="0"/>
                <w:sz w:val="18"/>
                <w:szCs w:val="18"/>
                <w:highlight w:val="none"/>
              </w:rPr>
            </w:pPr>
          </w:p>
        </w:tc>
        <w:tc>
          <w:tcPr>
            <w:tcW w:w="2495"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210</w:t>
            </w:r>
            <w:r>
              <w:rPr>
                <w:rFonts w:hint="eastAsia" w:ascii="仿宋_GB2312" w:hAnsi="宋体" w:eastAsia="仿宋_GB2312" w:cs="宋体"/>
                <w:b w:val="0"/>
                <w:bCs w:val="0"/>
                <w:color w:val="auto"/>
                <w:kern w:val="0"/>
                <w:sz w:val="18"/>
                <w:szCs w:val="18"/>
                <w:highlight w:val="none"/>
                <w:lang w:val="en-US" w:eastAsia="zh-CN"/>
              </w:rPr>
              <w:t xml:space="preserve"> </w:t>
            </w:r>
            <w:r>
              <w:rPr>
                <w:rFonts w:hint="eastAsia" w:ascii="仿宋_GB2312" w:hAnsi="宋体" w:eastAsia="仿宋_GB2312" w:cs="宋体"/>
                <w:b w:val="0"/>
                <w:bCs w:val="0"/>
                <w:color w:val="auto"/>
                <w:kern w:val="0"/>
                <w:sz w:val="18"/>
                <w:szCs w:val="18"/>
                <w:highlight w:val="none"/>
              </w:rPr>
              <w:t>卫生健康支出</w:t>
            </w:r>
          </w:p>
        </w:tc>
        <w:tc>
          <w:tcPr>
            <w:tcW w:w="894"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23.97</w:t>
            </w:r>
          </w:p>
        </w:tc>
        <w:tc>
          <w:tcPr>
            <w:tcW w:w="943"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23.97</w:t>
            </w:r>
          </w:p>
        </w:tc>
        <w:tc>
          <w:tcPr>
            <w:tcW w:w="1009"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05"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881"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22" w:type="dxa"/>
            <w:tcBorders>
              <w:top w:val="nil"/>
              <w:left w:val="nil"/>
              <w:bottom w:val="single" w:color="auto" w:sz="4" w:space="0"/>
              <w:right w:val="single" w:color="auto" w:sz="4" w:space="0"/>
            </w:tcBorders>
            <w:noWrap w:val="0"/>
            <w:vAlign w:val="bottom"/>
          </w:tcPr>
          <w:p>
            <w:pPr>
              <w:widowControl/>
              <w:spacing w:line="280" w:lineRule="exact"/>
              <w:jc w:val="center"/>
              <w:rPr>
                <w:rFonts w:ascii="仿宋_GB2312" w:hAnsi="宋体" w:eastAsia="仿宋_GB2312" w:cs="宋体"/>
                <w:color w:val="auto"/>
                <w:kern w:val="0"/>
                <w:sz w:val="18"/>
                <w:szCs w:val="18"/>
                <w:highlight w:val="none"/>
              </w:rPr>
            </w:pPr>
          </w:p>
        </w:tc>
        <w:tc>
          <w:tcPr>
            <w:tcW w:w="2495"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211 节能环保支出</w:t>
            </w:r>
          </w:p>
        </w:tc>
        <w:tc>
          <w:tcPr>
            <w:tcW w:w="894"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18"/>
                <w:szCs w:val="18"/>
                <w:highlight w:val="none"/>
              </w:rPr>
            </w:pPr>
          </w:p>
        </w:tc>
        <w:tc>
          <w:tcPr>
            <w:tcW w:w="943"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18"/>
                <w:szCs w:val="18"/>
                <w:highlight w:val="none"/>
              </w:rPr>
            </w:pPr>
          </w:p>
        </w:tc>
        <w:tc>
          <w:tcPr>
            <w:tcW w:w="1009"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05"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881"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22" w:type="dxa"/>
            <w:tcBorders>
              <w:top w:val="nil"/>
              <w:left w:val="nil"/>
              <w:bottom w:val="single" w:color="auto" w:sz="4" w:space="0"/>
              <w:right w:val="single" w:color="auto" w:sz="4" w:space="0"/>
            </w:tcBorders>
            <w:noWrap w:val="0"/>
            <w:vAlign w:val="bottom"/>
          </w:tcPr>
          <w:p>
            <w:pPr>
              <w:widowControl/>
              <w:spacing w:line="280" w:lineRule="exact"/>
              <w:jc w:val="center"/>
              <w:rPr>
                <w:rFonts w:ascii="仿宋_GB2312" w:hAnsi="宋体" w:eastAsia="仿宋_GB2312" w:cs="宋体"/>
                <w:color w:val="auto"/>
                <w:kern w:val="0"/>
                <w:sz w:val="18"/>
                <w:szCs w:val="18"/>
                <w:highlight w:val="none"/>
              </w:rPr>
            </w:pPr>
          </w:p>
        </w:tc>
        <w:tc>
          <w:tcPr>
            <w:tcW w:w="2495"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212 城乡社区支出</w:t>
            </w:r>
          </w:p>
        </w:tc>
        <w:tc>
          <w:tcPr>
            <w:tcW w:w="894"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18"/>
                <w:szCs w:val="18"/>
                <w:highlight w:val="none"/>
              </w:rPr>
            </w:pPr>
          </w:p>
        </w:tc>
        <w:tc>
          <w:tcPr>
            <w:tcW w:w="943"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18"/>
                <w:szCs w:val="18"/>
                <w:highlight w:val="none"/>
              </w:rPr>
            </w:pPr>
          </w:p>
        </w:tc>
        <w:tc>
          <w:tcPr>
            <w:tcW w:w="1009"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05"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881"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22" w:type="dxa"/>
            <w:tcBorders>
              <w:top w:val="nil"/>
              <w:left w:val="nil"/>
              <w:bottom w:val="single" w:color="auto" w:sz="4" w:space="0"/>
              <w:right w:val="single" w:color="auto" w:sz="4" w:space="0"/>
            </w:tcBorders>
            <w:noWrap w:val="0"/>
            <w:vAlign w:val="bottom"/>
          </w:tcPr>
          <w:p>
            <w:pPr>
              <w:widowControl/>
              <w:spacing w:line="280" w:lineRule="exact"/>
              <w:jc w:val="center"/>
              <w:rPr>
                <w:rFonts w:ascii="仿宋_GB2312" w:hAnsi="宋体" w:eastAsia="仿宋_GB2312" w:cs="宋体"/>
                <w:color w:val="auto"/>
                <w:kern w:val="0"/>
                <w:sz w:val="18"/>
                <w:szCs w:val="18"/>
                <w:highlight w:val="none"/>
              </w:rPr>
            </w:pPr>
          </w:p>
        </w:tc>
        <w:tc>
          <w:tcPr>
            <w:tcW w:w="2495"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213 农林水支出</w:t>
            </w:r>
          </w:p>
        </w:tc>
        <w:tc>
          <w:tcPr>
            <w:tcW w:w="894"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18"/>
                <w:szCs w:val="18"/>
                <w:highlight w:val="none"/>
              </w:rPr>
            </w:pPr>
          </w:p>
        </w:tc>
        <w:tc>
          <w:tcPr>
            <w:tcW w:w="943"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18"/>
                <w:szCs w:val="18"/>
                <w:highlight w:val="none"/>
              </w:rPr>
            </w:pPr>
          </w:p>
        </w:tc>
        <w:tc>
          <w:tcPr>
            <w:tcW w:w="1009"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05"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881"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22" w:type="dxa"/>
            <w:tcBorders>
              <w:top w:val="nil"/>
              <w:left w:val="nil"/>
              <w:bottom w:val="single" w:color="auto" w:sz="4" w:space="0"/>
              <w:right w:val="single" w:color="auto" w:sz="4" w:space="0"/>
            </w:tcBorders>
            <w:noWrap w:val="0"/>
            <w:vAlign w:val="bottom"/>
          </w:tcPr>
          <w:p>
            <w:pPr>
              <w:widowControl/>
              <w:spacing w:line="280" w:lineRule="exact"/>
              <w:jc w:val="center"/>
              <w:rPr>
                <w:rFonts w:ascii="仿宋_GB2312" w:hAnsi="宋体" w:eastAsia="仿宋_GB2312" w:cs="宋体"/>
                <w:color w:val="auto"/>
                <w:kern w:val="0"/>
                <w:sz w:val="18"/>
                <w:szCs w:val="18"/>
                <w:highlight w:val="none"/>
              </w:rPr>
            </w:pPr>
          </w:p>
        </w:tc>
        <w:tc>
          <w:tcPr>
            <w:tcW w:w="2495"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214 交通运输支出</w:t>
            </w:r>
          </w:p>
        </w:tc>
        <w:tc>
          <w:tcPr>
            <w:tcW w:w="894"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18"/>
                <w:szCs w:val="18"/>
                <w:highlight w:val="none"/>
              </w:rPr>
            </w:pPr>
          </w:p>
        </w:tc>
        <w:tc>
          <w:tcPr>
            <w:tcW w:w="943"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18"/>
                <w:szCs w:val="18"/>
                <w:highlight w:val="none"/>
              </w:rPr>
            </w:pPr>
          </w:p>
        </w:tc>
        <w:tc>
          <w:tcPr>
            <w:tcW w:w="1009"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05"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881"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22" w:type="dxa"/>
            <w:tcBorders>
              <w:top w:val="nil"/>
              <w:left w:val="nil"/>
              <w:bottom w:val="single" w:color="auto" w:sz="4" w:space="0"/>
              <w:right w:val="single" w:color="auto" w:sz="4" w:space="0"/>
            </w:tcBorders>
            <w:noWrap w:val="0"/>
            <w:vAlign w:val="bottom"/>
          </w:tcPr>
          <w:p>
            <w:pPr>
              <w:widowControl/>
              <w:spacing w:line="280" w:lineRule="exact"/>
              <w:jc w:val="center"/>
              <w:rPr>
                <w:rFonts w:ascii="仿宋_GB2312" w:hAnsi="宋体" w:eastAsia="仿宋_GB2312" w:cs="宋体"/>
                <w:color w:val="auto"/>
                <w:kern w:val="0"/>
                <w:sz w:val="18"/>
                <w:szCs w:val="18"/>
                <w:highlight w:val="none"/>
              </w:rPr>
            </w:pPr>
          </w:p>
        </w:tc>
        <w:tc>
          <w:tcPr>
            <w:tcW w:w="2495"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215 资源勘探</w:t>
            </w:r>
            <w:r>
              <w:rPr>
                <w:rFonts w:hint="eastAsia" w:ascii="仿宋_GB2312" w:hAnsi="宋体" w:eastAsia="仿宋_GB2312" w:cs="宋体"/>
                <w:b w:val="0"/>
                <w:bCs w:val="0"/>
                <w:color w:val="auto"/>
                <w:kern w:val="0"/>
                <w:sz w:val="18"/>
                <w:szCs w:val="18"/>
                <w:highlight w:val="none"/>
                <w:lang w:val="en-US" w:eastAsia="zh-Hans"/>
              </w:rPr>
              <w:t>工业</w:t>
            </w:r>
            <w:r>
              <w:rPr>
                <w:rFonts w:hint="eastAsia" w:ascii="仿宋_GB2312" w:hAnsi="宋体" w:eastAsia="仿宋_GB2312" w:cs="宋体"/>
                <w:b w:val="0"/>
                <w:bCs w:val="0"/>
                <w:color w:val="auto"/>
                <w:kern w:val="0"/>
                <w:sz w:val="18"/>
                <w:szCs w:val="18"/>
                <w:highlight w:val="none"/>
              </w:rPr>
              <w:t>信息等支出</w:t>
            </w:r>
          </w:p>
        </w:tc>
        <w:tc>
          <w:tcPr>
            <w:tcW w:w="894"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18"/>
                <w:szCs w:val="18"/>
                <w:highlight w:val="none"/>
              </w:rPr>
            </w:pPr>
          </w:p>
        </w:tc>
        <w:tc>
          <w:tcPr>
            <w:tcW w:w="943"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18"/>
                <w:szCs w:val="18"/>
                <w:highlight w:val="none"/>
              </w:rPr>
            </w:pPr>
          </w:p>
        </w:tc>
        <w:tc>
          <w:tcPr>
            <w:tcW w:w="1009"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05"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881"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22" w:type="dxa"/>
            <w:tcBorders>
              <w:top w:val="nil"/>
              <w:left w:val="nil"/>
              <w:bottom w:val="single" w:color="auto" w:sz="4" w:space="0"/>
              <w:right w:val="single" w:color="auto" w:sz="4" w:space="0"/>
            </w:tcBorders>
            <w:noWrap w:val="0"/>
            <w:vAlign w:val="bottom"/>
          </w:tcPr>
          <w:p>
            <w:pPr>
              <w:widowControl/>
              <w:spacing w:line="280" w:lineRule="exact"/>
              <w:jc w:val="center"/>
              <w:rPr>
                <w:rFonts w:ascii="仿宋_GB2312" w:hAnsi="宋体" w:eastAsia="仿宋_GB2312" w:cs="宋体"/>
                <w:color w:val="auto"/>
                <w:kern w:val="0"/>
                <w:sz w:val="18"/>
                <w:szCs w:val="18"/>
                <w:highlight w:val="none"/>
              </w:rPr>
            </w:pPr>
          </w:p>
        </w:tc>
        <w:tc>
          <w:tcPr>
            <w:tcW w:w="2495"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216 商业服务业等支出</w:t>
            </w:r>
          </w:p>
        </w:tc>
        <w:tc>
          <w:tcPr>
            <w:tcW w:w="894"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18"/>
                <w:szCs w:val="18"/>
                <w:highlight w:val="none"/>
              </w:rPr>
            </w:pPr>
          </w:p>
        </w:tc>
        <w:tc>
          <w:tcPr>
            <w:tcW w:w="943"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18"/>
                <w:szCs w:val="18"/>
                <w:highlight w:val="none"/>
              </w:rPr>
            </w:pPr>
          </w:p>
        </w:tc>
        <w:tc>
          <w:tcPr>
            <w:tcW w:w="1009"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05"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881"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22" w:type="dxa"/>
            <w:tcBorders>
              <w:top w:val="nil"/>
              <w:left w:val="nil"/>
              <w:bottom w:val="single" w:color="auto" w:sz="4" w:space="0"/>
              <w:right w:val="single" w:color="auto" w:sz="4" w:space="0"/>
            </w:tcBorders>
            <w:noWrap w:val="0"/>
            <w:vAlign w:val="bottom"/>
          </w:tcPr>
          <w:p>
            <w:pPr>
              <w:widowControl/>
              <w:spacing w:line="280" w:lineRule="exact"/>
              <w:jc w:val="center"/>
              <w:rPr>
                <w:rFonts w:ascii="仿宋_GB2312" w:hAnsi="宋体" w:eastAsia="仿宋_GB2312" w:cs="宋体"/>
                <w:color w:val="auto"/>
                <w:kern w:val="0"/>
                <w:sz w:val="18"/>
                <w:szCs w:val="18"/>
                <w:highlight w:val="none"/>
              </w:rPr>
            </w:pPr>
          </w:p>
        </w:tc>
        <w:tc>
          <w:tcPr>
            <w:tcW w:w="2495"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217 金融支出</w:t>
            </w:r>
          </w:p>
        </w:tc>
        <w:tc>
          <w:tcPr>
            <w:tcW w:w="894"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18"/>
                <w:szCs w:val="18"/>
                <w:highlight w:val="none"/>
              </w:rPr>
            </w:pPr>
          </w:p>
        </w:tc>
        <w:tc>
          <w:tcPr>
            <w:tcW w:w="943"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18"/>
                <w:szCs w:val="18"/>
                <w:highlight w:val="none"/>
              </w:rPr>
            </w:pPr>
          </w:p>
        </w:tc>
        <w:tc>
          <w:tcPr>
            <w:tcW w:w="1009"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05"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881"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22" w:type="dxa"/>
            <w:tcBorders>
              <w:top w:val="nil"/>
              <w:left w:val="nil"/>
              <w:bottom w:val="single" w:color="auto" w:sz="4" w:space="0"/>
              <w:right w:val="single" w:color="auto" w:sz="4" w:space="0"/>
            </w:tcBorders>
            <w:noWrap w:val="0"/>
            <w:vAlign w:val="bottom"/>
          </w:tcPr>
          <w:p>
            <w:pPr>
              <w:widowControl/>
              <w:spacing w:line="280" w:lineRule="exact"/>
              <w:jc w:val="center"/>
              <w:rPr>
                <w:rFonts w:ascii="仿宋_GB2312" w:hAnsi="宋体" w:eastAsia="仿宋_GB2312" w:cs="宋体"/>
                <w:color w:val="auto"/>
                <w:kern w:val="0"/>
                <w:sz w:val="18"/>
                <w:szCs w:val="18"/>
                <w:highlight w:val="none"/>
              </w:rPr>
            </w:pPr>
          </w:p>
        </w:tc>
        <w:tc>
          <w:tcPr>
            <w:tcW w:w="2495"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219 援助其他地区支出</w:t>
            </w:r>
          </w:p>
        </w:tc>
        <w:tc>
          <w:tcPr>
            <w:tcW w:w="894"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18"/>
                <w:szCs w:val="18"/>
                <w:highlight w:val="none"/>
              </w:rPr>
            </w:pPr>
          </w:p>
        </w:tc>
        <w:tc>
          <w:tcPr>
            <w:tcW w:w="943"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18"/>
                <w:szCs w:val="18"/>
                <w:highlight w:val="none"/>
              </w:rPr>
            </w:pPr>
          </w:p>
        </w:tc>
        <w:tc>
          <w:tcPr>
            <w:tcW w:w="1009"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05"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881"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22" w:type="dxa"/>
            <w:tcBorders>
              <w:top w:val="nil"/>
              <w:left w:val="nil"/>
              <w:bottom w:val="single" w:color="auto" w:sz="4" w:space="0"/>
              <w:right w:val="single" w:color="auto" w:sz="4" w:space="0"/>
            </w:tcBorders>
            <w:noWrap w:val="0"/>
            <w:vAlign w:val="bottom"/>
          </w:tcPr>
          <w:p>
            <w:pPr>
              <w:widowControl/>
              <w:spacing w:line="280" w:lineRule="exact"/>
              <w:jc w:val="center"/>
              <w:rPr>
                <w:rFonts w:ascii="仿宋_GB2312" w:hAnsi="宋体" w:eastAsia="仿宋_GB2312" w:cs="宋体"/>
                <w:color w:val="auto"/>
                <w:kern w:val="0"/>
                <w:sz w:val="18"/>
                <w:szCs w:val="18"/>
                <w:highlight w:val="none"/>
              </w:rPr>
            </w:pPr>
          </w:p>
        </w:tc>
        <w:tc>
          <w:tcPr>
            <w:tcW w:w="2495"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220 自然资源海洋气象等支出</w:t>
            </w:r>
          </w:p>
        </w:tc>
        <w:tc>
          <w:tcPr>
            <w:tcW w:w="894"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18"/>
                <w:szCs w:val="18"/>
                <w:highlight w:val="none"/>
              </w:rPr>
            </w:pPr>
          </w:p>
        </w:tc>
        <w:tc>
          <w:tcPr>
            <w:tcW w:w="943"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18"/>
                <w:szCs w:val="18"/>
                <w:highlight w:val="none"/>
              </w:rPr>
            </w:pPr>
          </w:p>
        </w:tc>
        <w:tc>
          <w:tcPr>
            <w:tcW w:w="1009"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05"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881"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22" w:type="dxa"/>
            <w:tcBorders>
              <w:top w:val="nil"/>
              <w:left w:val="nil"/>
              <w:bottom w:val="single" w:color="auto" w:sz="4" w:space="0"/>
              <w:right w:val="single" w:color="auto" w:sz="4" w:space="0"/>
            </w:tcBorders>
            <w:noWrap w:val="0"/>
            <w:vAlign w:val="bottom"/>
          </w:tcPr>
          <w:p>
            <w:pPr>
              <w:widowControl/>
              <w:spacing w:line="280" w:lineRule="exact"/>
              <w:jc w:val="center"/>
              <w:rPr>
                <w:rFonts w:ascii="仿宋_GB2312" w:hAnsi="宋体" w:eastAsia="仿宋_GB2312" w:cs="宋体"/>
                <w:color w:val="auto"/>
                <w:kern w:val="0"/>
                <w:sz w:val="18"/>
                <w:szCs w:val="18"/>
                <w:highlight w:val="none"/>
              </w:rPr>
            </w:pPr>
          </w:p>
        </w:tc>
        <w:tc>
          <w:tcPr>
            <w:tcW w:w="2495"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221 住房保障支出</w:t>
            </w:r>
          </w:p>
        </w:tc>
        <w:tc>
          <w:tcPr>
            <w:tcW w:w="894"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26.26</w:t>
            </w:r>
          </w:p>
        </w:tc>
        <w:tc>
          <w:tcPr>
            <w:tcW w:w="943"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26.26</w:t>
            </w:r>
          </w:p>
        </w:tc>
        <w:tc>
          <w:tcPr>
            <w:tcW w:w="1009"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05"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881"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22" w:type="dxa"/>
            <w:tcBorders>
              <w:top w:val="nil"/>
              <w:left w:val="nil"/>
              <w:bottom w:val="single" w:color="auto" w:sz="4" w:space="0"/>
              <w:right w:val="single" w:color="auto" w:sz="4" w:space="0"/>
            </w:tcBorders>
            <w:noWrap w:val="0"/>
            <w:vAlign w:val="bottom"/>
          </w:tcPr>
          <w:p>
            <w:pPr>
              <w:widowControl/>
              <w:spacing w:line="280" w:lineRule="exact"/>
              <w:jc w:val="center"/>
              <w:rPr>
                <w:rFonts w:ascii="仿宋_GB2312" w:hAnsi="宋体" w:eastAsia="仿宋_GB2312" w:cs="宋体"/>
                <w:color w:val="auto"/>
                <w:kern w:val="0"/>
                <w:sz w:val="18"/>
                <w:szCs w:val="18"/>
                <w:highlight w:val="none"/>
              </w:rPr>
            </w:pPr>
          </w:p>
        </w:tc>
        <w:tc>
          <w:tcPr>
            <w:tcW w:w="2495"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222 粮油物资储备支出</w:t>
            </w:r>
          </w:p>
        </w:tc>
        <w:tc>
          <w:tcPr>
            <w:tcW w:w="894"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18"/>
                <w:szCs w:val="18"/>
                <w:highlight w:val="none"/>
              </w:rPr>
            </w:pPr>
          </w:p>
        </w:tc>
        <w:tc>
          <w:tcPr>
            <w:tcW w:w="943"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18"/>
                <w:szCs w:val="18"/>
                <w:highlight w:val="none"/>
              </w:rPr>
            </w:pPr>
          </w:p>
        </w:tc>
        <w:tc>
          <w:tcPr>
            <w:tcW w:w="1009"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05"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881"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1122" w:type="dxa"/>
            <w:tcBorders>
              <w:top w:val="nil"/>
              <w:left w:val="nil"/>
              <w:bottom w:val="single" w:color="auto" w:sz="4" w:space="0"/>
              <w:right w:val="single" w:color="auto" w:sz="4" w:space="0"/>
            </w:tcBorders>
            <w:noWrap w:val="0"/>
            <w:vAlign w:val="bottom"/>
          </w:tcPr>
          <w:p>
            <w:pPr>
              <w:widowControl/>
              <w:spacing w:line="280" w:lineRule="exact"/>
              <w:jc w:val="center"/>
              <w:rPr>
                <w:rFonts w:hint="eastAsia" w:ascii="仿宋_GB2312" w:hAnsi="宋体" w:eastAsia="仿宋_GB2312" w:cs="宋体"/>
                <w:color w:val="auto"/>
                <w:kern w:val="0"/>
                <w:sz w:val="18"/>
                <w:szCs w:val="18"/>
                <w:highlight w:val="none"/>
              </w:rPr>
            </w:pPr>
          </w:p>
        </w:tc>
        <w:tc>
          <w:tcPr>
            <w:tcW w:w="2495"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223 国有资本经营预算支出</w:t>
            </w:r>
          </w:p>
        </w:tc>
        <w:tc>
          <w:tcPr>
            <w:tcW w:w="89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color w:val="auto"/>
                <w:kern w:val="0"/>
                <w:sz w:val="18"/>
                <w:szCs w:val="18"/>
                <w:highlight w:val="none"/>
              </w:rPr>
            </w:pPr>
          </w:p>
        </w:tc>
        <w:tc>
          <w:tcPr>
            <w:tcW w:w="94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color w:val="auto"/>
                <w:kern w:val="0"/>
                <w:sz w:val="18"/>
                <w:szCs w:val="18"/>
                <w:highlight w:val="none"/>
              </w:rPr>
            </w:pPr>
          </w:p>
        </w:tc>
        <w:tc>
          <w:tcPr>
            <w:tcW w:w="1009"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05"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881"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22" w:type="dxa"/>
            <w:tcBorders>
              <w:top w:val="nil"/>
              <w:left w:val="nil"/>
              <w:bottom w:val="single" w:color="auto" w:sz="4" w:space="0"/>
              <w:right w:val="single" w:color="auto" w:sz="4" w:space="0"/>
            </w:tcBorders>
            <w:noWrap w:val="0"/>
            <w:vAlign w:val="bottom"/>
          </w:tcPr>
          <w:p>
            <w:pPr>
              <w:widowControl/>
              <w:spacing w:line="280" w:lineRule="exact"/>
              <w:jc w:val="center"/>
              <w:rPr>
                <w:rFonts w:ascii="仿宋_GB2312" w:hAnsi="宋体" w:eastAsia="仿宋_GB2312" w:cs="宋体"/>
                <w:color w:val="auto"/>
                <w:kern w:val="0"/>
                <w:sz w:val="18"/>
                <w:szCs w:val="18"/>
                <w:highlight w:val="none"/>
              </w:rPr>
            </w:pPr>
          </w:p>
        </w:tc>
        <w:tc>
          <w:tcPr>
            <w:tcW w:w="2495"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224</w:t>
            </w:r>
            <w:r>
              <w:rPr>
                <w:rFonts w:hint="eastAsia" w:ascii="仿宋_GB2312" w:hAnsi="宋体" w:eastAsia="仿宋_GB2312" w:cs="宋体"/>
                <w:b w:val="0"/>
                <w:bCs w:val="0"/>
                <w:color w:val="auto"/>
                <w:kern w:val="0"/>
                <w:sz w:val="18"/>
                <w:szCs w:val="18"/>
                <w:highlight w:val="none"/>
                <w:lang w:val="en-US" w:eastAsia="zh-CN"/>
              </w:rPr>
              <w:t xml:space="preserve"> </w:t>
            </w:r>
            <w:r>
              <w:rPr>
                <w:rFonts w:hint="eastAsia" w:ascii="仿宋_GB2312" w:hAnsi="宋体" w:eastAsia="仿宋_GB2312" w:cs="宋体"/>
                <w:b w:val="0"/>
                <w:bCs w:val="0"/>
                <w:color w:val="auto"/>
                <w:kern w:val="0"/>
                <w:sz w:val="18"/>
                <w:szCs w:val="18"/>
                <w:highlight w:val="none"/>
              </w:rPr>
              <w:t>灾害防治及应急管理支出</w:t>
            </w:r>
          </w:p>
        </w:tc>
        <w:tc>
          <w:tcPr>
            <w:tcW w:w="894"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18"/>
                <w:szCs w:val="18"/>
                <w:highlight w:val="none"/>
              </w:rPr>
            </w:pPr>
          </w:p>
        </w:tc>
        <w:tc>
          <w:tcPr>
            <w:tcW w:w="943"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18"/>
                <w:szCs w:val="18"/>
                <w:highlight w:val="none"/>
              </w:rPr>
            </w:pPr>
          </w:p>
        </w:tc>
        <w:tc>
          <w:tcPr>
            <w:tcW w:w="1009"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05"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881"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22"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95"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227 预备费</w:t>
            </w:r>
          </w:p>
        </w:tc>
        <w:tc>
          <w:tcPr>
            <w:tcW w:w="894"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18"/>
                <w:szCs w:val="18"/>
                <w:highlight w:val="none"/>
              </w:rPr>
            </w:pPr>
          </w:p>
        </w:tc>
        <w:tc>
          <w:tcPr>
            <w:tcW w:w="943"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18"/>
                <w:szCs w:val="18"/>
                <w:highlight w:val="none"/>
              </w:rPr>
            </w:pPr>
          </w:p>
        </w:tc>
        <w:tc>
          <w:tcPr>
            <w:tcW w:w="1009"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05"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881"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22"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95"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229 其他支出</w:t>
            </w:r>
          </w:p>
        </w:tc>
        <w:tc>
          <w:tcPr>
            <w:tcW w:w="894"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18"/>
                <w:szCs w:val="18"/>
                <w:highlight w:val="none"/>
              </w:rPr>
            </w:pPr>
          </w:p>
        </w:tc>
        <w:tc>
          <w:tcPr>
            <w:tcW w:w="943"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18"/>
                <w:szCs w:val="18"/>
                <w:highlight w:val="none"/>
              </w:rPr>
            </w:pPr>
          </w:p>
        </w:tc>
        <w:tc>
          <w:tcPr>
            <w:tcW w:w="1009"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05"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881"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22"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95"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230</w:t>
            </w:r>
            <w:r>
              <w:rPr>
                <w:rFonts w:hint="eastAsia" w:ascii="仿宋_GB2312" w:hAnsi="宋体" w:eastAsia="仿宋_GB2312" w:cs="宋体"/>
                <w:b w:val="0"/>
                <w:bCs w:val="0"/>
                <w:color w:val="auto"/>
                <w:kern w:val="0"/>
                <w:sz w:val="18"/>
                <w:szCs w:val="18"/>
                <w:highlight w:val="none"/>
                <w:lang w:val="en-US" w:eastAsia="zh-CN"/>
              </w:rPr>
              <w:t xml:space="preserve"> </w:t>
            </w:r>
            <w:r>
              <w:rPr>
                <w:rFonts w:hint="eastAsia" w:ascii="仿宋_GB2312" w:hAnsi="宋体" w:eastAsia="仿宋_GB2312" w:cs="宋体"/>
                <w:b w:val="0"/>
                <w:bCs w:val="0"/>
                <w:color w:val="auto"/>
                <w:kern w:val="0"/>
                <w:sz w:val="18"/>
                <w:szCs w:val="18"/>
                <w:highlight w:val="none"/>
              </w:rPr>
              <w:t>转移性支出</w:t>
            </w:r>
          </w:p>
        </w:tc>
        <w:tc>
          <w:tcPr>
            <w:tcW w:w="894"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18"/>
                <w:szCs w:val="18"/>
                <w:highlight w:val="none"/>
              </w:rPr>
            </w:pPr>
          </w:p>
        </w:tc>
        <w:tc>
          <w:tcPr>
            <w:tcW w:w="943"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18"/>
                <w:szCs w:val="18"/>
                <w:highlight w:val="none"/>
              </w:rPr>
            </w:pPr>
          </w:p>
        </w:tc>
        <w:tc>
          <w:tcPr>
            <w:tcW w:w="1009"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05"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881"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22"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95"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231 债务还本支出</w:t>
            </w:r>
          </w:p>
        </w:tc>
        <w:tc>
          <w:tcPr>
            <w:tcW w:w="894"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18"/>
                <w:szCs w:val="18"/>
                <w:highlight w:val="none"/>
              </w:rPr>
            </w:pPr>
          </w:p>
        </w:tc>
        <w:tc>
          <w:tcPr>
            <w:tcW w:w="943"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18"/>
                <w:szCs w:val="18"/>
                <w:highlight w:val="none"/>
              </w:rPr>
            </w:pPr>
          </w:p>
        </w:tc>
        <w:tc>
          <w:tcPr>
            <w:tcW w:w="1009"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05"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881"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22"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95"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232 债务付息支出</w:t>
            </w:r>
          </w:p>
        </w:tc>
        <w:tc>
          <w:tcPr>
            <w:tcW w:w="894"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18"/>
                <w:szCs w:val="18"/>
                <w:highlight w:val="none"/>
              </w:rPr>
            </w:pPr>
          </w:p>
        </w:tc>
        <w:tc>
          <w:tcPr>
            <w:tcW w:w="943"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18"/>
                <w:szCs w:val="18"/>
                <w:highlight w:val="none"/>
              </w:rPr>
            </w:pPr>
          </w:p>
        </w:tc>
        <w:tc>
          <w:tcPr>
            <w:tcW w:w="1009"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05"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881"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22"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95"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894"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18"/>
                <w:szCs w:val="18"/>
                <w:highlight w:val="none"/>
              </w:rPr>
            </w:pPr>
          </w:p>
        </w:tc>
        <w:tc>
          <w:tcPr>
            <w:tcW w:w="943"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18"/>
                <w:szCs w:val="18"/>
                <w:highlight w:val="none"/>
              </w:rPr>
            </w:pPr>
          </w:p>
        </w:tc>
        <w:tc>
          <w:tcPr>
            <w:tcW w:w="1009"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05"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881"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1122"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495"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rPr>
            </w:pPr>
            <w:r>
              <w:rPr>
                <w:rFonts w:hint="eastAsia" w:ascii="仿宋_GB2312" w:hAnsi="宋体" w:eastAsia="仿宋_GB2312" w:cs="宋体"/>
                <w:color w:val="auto"/>
                <w:kern w:val="0"/>
                <w:sz w:val="18"/>
                <w:szCs w:val="18"/>
                <w:highlight w:val="none"/>
                <w:lang w:val="en-US" w:eastAsia="zh-CN"/>
              </w:rPr>
              <w:t xml:space="preserve">                    </w:t>
            </w:r>
          </w:p>
        </w:tc>
        <w:tc>
          <w:tcPr>
            <w:tcW w:w="89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color w:val="auto"/>
                <w:kern w:val="0"/>
                <w:sz w:val="18"/>
                <w:szCs w:val="18"/>
                <w:highlight w:val="none"/>
              </w:rPr>
            </w:pPr>
          </w:p>
        </w:tc>
        <w:tc>
          <w:tcPr>
            <w:tcW w:w="94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color w:val="auto"/>
                <w:kern w:val="0"/>
                <w:sz w:val="18"/>
                <w:szCs w:val="18"/>
                <w:highlight w:val="none"/>
              </w:rPr>
            </w:pPr>
          </w:p>
        </w:tc>
        <w:tc>
          <w:tcPr>
            <w:tcW w:w="1009"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05"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881"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1122"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495"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p>
        </w:tc>
        <w:tc>
          <w:tcPr>
            <w:tcW w:w="89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color w:val="auto"/>
                <w:kern w:val="0"/>
                <w:sz w:val="18"/>
                <w:szCs w:val="18"/>
                <w:highlight w:val="none"/>
              </w:rPr>
            </w:pPr>
          </w:p>
        </w:tc>
        <w:tc>
          <w:tcPr>
            <w:tcW w:w="94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color w:val="auto"/>
                <w:kern w:val="0"/>
                <w:sz w:val="18"/>
                <w:szCs w:val="18"/>
                <w:highlight w:val="none"/>
              </w:rPr>
            </w:pPr>
          </w:p>
        </w:tc>
        <w:tc>
          <w:tcPr>
            <w:tcW w:w="1009"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05"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r>
      <w:tr>
        <w:tblPrEx>
          <w:tblCellMar>
            <w:top w:w="0" w:type="dxa"/>
            <w:left w:w="108" w:type="dxa"/>
            <w:bottom w:w="0" w:type="dxa"/>
            <w:right w:w="108" w:type="dxa"/>
          </w:tblCellMar>
        </w:tblPrEx>
        <w:trPr>
          <w:trHeight w:val="646" w:hRule="exact"/>
        </w:trPr>
        <w:tc>
          <w:tcPr>
            <w:tcW w:w="188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18"/>
                <w:szCs w:val="18"/>
                <w:highlight w:val="none"/>
              </w:rPr>
            </w:pPr>
            <w:r>
              <w:rPr>
                <w:rFonts w:hint="eastAsia" w:ascii="仿宋_GB2312" w:hAnsi="宋体" w:eastAsia="仿宋_GB2312" w:cs="宋体"/>
                <w:b/>
                <w:bCs/>
                <w:color w:val="auto"/>
                <w:kern w:val="0"/>
                <w:sz w:val="18"/>
                <w:szCs w:val="18"/>
                <w:highlight w:val="none"/>
              </w:rPr>
              <w:t>收  入  总  计</w:t>
            </w:r>
          </w:p>
        </w:tc>
        <w:tc>
          <w:tcPr>
            <w:tcW w:w="1122"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仿宋_GB2312" w:hAnsi="宋体" w:eastAsia="仿宋_GB2312" w:cs="宋体"/>
                <w:b/>
                <w:bCs/>
                <w:color w:val="auto"/>
                <w:kern w:val="0"/>
                <w:sz w:val="18"/>
                <w:szCs w:val="18"/>
                <w:highlight w:val="none"/>
                <w:lang w:val="en-US"/>
              </w:rPr>
            </w:pPr>
            <w:r>
              <w:rPr>
                <w:rFonts w:hint="eastAsia" w:ascii="仿宋_GB2312" w:hAnsi="宋体" w:eastAsia="仿宋_GB2312" w:cs="宋体"/>
                <w:b/>
                <w:bCs/>
                <w:color w:val="auto"/>
                <w:kern w:val="0"/>
                <w:sz w:val="18"/>
                <w:szCs w:val="18"/>
                <w:highlight w:val="none"/>
                <w:lang w:val="en-US" w:eastAsia="zh-CN"/>
              </w:rPr>
              <w:t>719.31</w:t>
            </w:r>
          </w:p>
        </w:tc>
        <w:tc>
          <w:tcPr>
            <w:tcW w:w="249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18"/>
                <w:szCs w:val="18"/>
                <w:highlight w:val="none"/>
              </w:rPr>
            </w:pPr>
            <w:r>
              <w:rPr>
                <w:rFonts w:hint="eastAsia" w:ascii="仿宋_GB2312" w:hAnsi="宋体" w:eastAsia="仿宋_GB2312" w:cs="宋体"/>
                <w:b/>
                <w:bCs/>
                <w:color w:val="auto"/>
                <w:kern w:val="0"/>
                <w:sz w:val="18"/>
                <w:szCs w:val="18"/>
                <w:highlight w:val="none"/>
              </w:rPr>
              <w:t>支  出  总  计</w:t>
            </w:r>
          </w:p>
        </w:tc>
        <w:tc>
          <w:tcPr>
            <w:tcW w:w="894"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bCs/>
                <w:color w:val="auto"/>
                <w:kern w:val="0"/>
                <w:sz w:val="18"/>
                <w:szCs w:val="18"/>
                <w:highlight w:val="none"/>
                <w:lang w:val="en-US"/>
              </w:rPr>
            </w:pPr>
            <w:r>
              <w:rPr>
                <w:rFonts w:hint="eastAsia" w:ascii="宋体" w:hAnsi="宋体" w:cs="宋体"/>
                <w:b/>
                <w:bCs/>
                <w:color w:val="auto"/>
                <w:kern w:val="0"/>
                <w:sz w:val="18"/>
                <w:szCs w:val="18"/>
                <w:highlight w:val="none"/>
                <w:lang w:val="en-US" w:eastAsia="zh-CN"/>
              </w:rPr>
              <w:t>719.31</w:t>
            </w:r>
          </w:p>
        </w:tc>
        <w:tc>
          <w:tcPr>
            <w:tcW w:w="943"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8"/>
                <w:szCs w:val="18"/>
                <w:highlight w:val="none"/>
                <w:lang w:val="en-US" w:eastAsia="zh-CN"/>
              </w:rPr>
            </w:pPr>
            <w:r>
              <w:rPr>
                <w:rFonts w:hint="eastAsia" w:ascii="宋体" w:hAnsi="宋体" w:cs="宋体"/>
                <w:b/>
                <w:bCs/>
                <w:color w:val="auto"/>
                <w:kern w:val="0"/>
                <w:sz w:val="18"/>
                <w:szCs w:val="18"/>
                <w:highlight w:val="none"/>
                <w:lang w:val="en-US" w:eastAsia="zh-CN"/>
              </w:rPr>
              <w:t>719.31</w:t>
            </w:r>
          </w:p>
        </w:tc>
        <w:tc>
          <w:tcPr>
            <w:tcW w:w="2114" w:type="dxa"/>
            <w:gridSpan w:val="2"/>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8"/>
                <w:szCs w:val="18"/>
                <w:highlight w:val="none"/>
              </w:rPr>
            </w:pP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表5</w:t>
      </w:r>
    </w:p>
    <w:tbl>
      <w:tblPr>
        <w:tblStyle w:val="9"/>
        <w:tblW w:w="9214" w:type="dxa"/>
        <w:tblInd w:w="-34" w:type="dxa"/>
        <w:tblLayout w:type="autofit"/>
        <w:tblCellMar>
          <w:top w:w="0" w:type="dxa"/>
          <w:left w:w="108" w:type="dxa"/>
          <w:bottom w:w="0" w:type="dxa"/>
          <w:right w:w="108" w:type="dxa"/>
        </w:tblCellMar>
      </w:tblPr>
      <w:tblGrid>
        <w:gridCol w:w="473"/>
        <w:gridCol w:w="620"/>
        <w:gridCol w:w="776"/>
        <w:gridCol w:w="2345"/>
        <w:gridCol w:w="643"/>
        <w:gridCol w:w="973"/>
        <w:gridCol w:w="214"/>
        <w:gridCol w:w="1547"/>
        <w:gridCol w:w="1623"/>
      </w:tblGrid>
      <w:tr>
        <w:tblPrEx>
          <w:tblCellMar>
            <w:top w:w="0" w:type="dxa"/>
            <w:left w:w="108" w:type="dxa"/>
            <w:bottom w:w="0" w:type="dxa"/>
            <w:right w:w="108" w:type="dxa"/>
          </w:tblCellMar>
        </w:tblPrEx>
        <w:trPr>
          <w:trHeight w:val="450" w:hRule="atLeast"/>
        </w:trPr>
        <w:tc>
          <w:tcPr>
            <w:tcW w:w="9214" w:type="dxa"/>
            <w:gridSpan w:val="9"/>
            <w:tcBorders>
              <w:top w:val="nil"/>
              <w:left w:val="nil"/>
              <w:bottom w:val="nil"/>
              <w:right w:val="nil"/>
            </w:tcBorders>
            <w:noWrap w:val="0"/>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黑体" w:hAnsi="黑体" w:eastAsia="黑体" w:cs="黑体"/>
                <w:b/>
                <w:color w:val="auto"/>
                <w:kern w:val="0"/>
                <w:sz w:val="32"/>
                <w:szCs w:val="32"/>
                <w:highlight w:val="none"/>
              </w:rPr>
              <w:t>一般公共预算支出情况表</w:t>
            </w:r>
          </w:p>
        </w:tc>
      </w:tr>
      <w:tr>
        <w:tblPrEx>
          <w:tblCellMar>
            <w:top w:w="0" w:type="dxa"/>
            <w:left w:w="108" w:type="dxa"/>
            <w:bottom w:w="0" w:type="dxa"/>
            <w:right w:w="108" w:type="dxa"/>
          </w:tblCellMar>
        </w:tblPrEx>
        <w:trPr>
          <w:trHeight w:val="285" w:hRule="atLeast"/>
        </w:trPr>
        <w:tc>
          <w:tcPr>
            <w:tcW w:w="3987" w:type="dxa"/>
            <w:gridSpan w:val="4"/>
            <w:tcBorders>
              <w:top w:val="nil"/>
              <w:left w:val="nil"/>
              <w:bottom w:val="nil"/>
              <w:right w:val="nil"/>
            </w:tcBorders>
            <w:noWrap w:val="0"/>
            <w:vAlign w:val="center"/>
          </w:tcPr>
          <w:p>
            <w:pPr>
              <w:widowControl/>
              <w:jc w:val="left"/>
              <w:rPr>
                <w:rFonts w:hint="eastAsia" w:ascii="仿宋_GB2312" w:hAnsi="宋体" w:eastAsia="仿宋_GB2312" w:cs="宋体"/>
                <w:color w:val="auto"/>
                <w:kern w:val="0"/>
                <w:sz w:val="24"/>
                <w:highlight w:val="none"/>
                <w:lang w:val="en-US" w:eastAsia="zh-CN"/>
              </w:rPr>
            </w:pPr>
            <w:r>
              <w:rPr>
                <w:rFonts w:hint="eastAsia" w:ascii="仿宋_GB2312" w:hAnsi="宋体" w:eastAsia="仿宋_GB2312" w:cs="宋体"/>
                <w:color w:val="auto"/>
                <w:kern w:val="0"/>
                <w:sz w:val="24"/>
                <w:highlight w:val="none"/>
              </w:rPr>
              <w:t>编制</w:t>
            </w:r>
            <w:r>
              <w:rPr>
                <w:rFonts w:hint="eastAsia" w:ascii="仿宋_GB2312" w:hAnsi="宋体" w:eastAsia="仿宋_GB2312" w:cs="宋体"/>
                <w:color w:val="auto"/>
                <w:kern w:val="0"/>
                <w:sz w:val="24"/>
                <w:highlight w:val="none"/>
                <w:lang w:eastAsia="zh-CN"/>
              </w:rPr>
              <w:t>部门</w:t>
            </w:r>
            <w:r>
              <w:rPr>
                <w:rFonts w:hint="eastAsia" w:ascii="仿宋_GB2312" w:hAnsi="宋体" w:eastAsia="仿宋_GB2312" w:cs="宋体"/>
                <w:color w:val="auto"/>
                <w:kern w:val="0"/>
                <w:sz w:val="24"/>
                <w:highlight w:val="none"/>
              </w:rPr>
              <w:t>：</w:t>
            </w:r>
            <w:r>
              <w:rPr>
                <w:rFonts w:hint="eastAsia" w:ascii="仿宋_GB2312" w:hAnsi="宋体" w:eastAsia="仿宋_GB2312"/>
                <w:color w:val="auto"/>
                <w:kern w:val="0"/>
                <w:sz w:val="20"/>
                <w:szCs w:val="20"/>
                <w:highlight w:val="none"/>
                <w:lang w:eastAsia="zh-CN"/>
              </w:rPr>
              <w:t>呼图壁县社会保险中心</w:t>
            </w:r>
            <w:r>
              <w:rPr>
                <w:rFonts w:hint="eastAsia" w:ascii="仿宋_GB2312" w:hAnsi="宋体" w:eastAsia="仿宋_GB2312"/>
                <w:color w:val="auto"/>
                <w:kern w:val="0"/>
                <w:sz w:val="20"/>
                <w:szCs w:val="20"/>
                <w:highlight w:val="none"/>
              </w:rPr>
              <w:t xml:space="preserve">  </w:t>
            </w:r>
          </w:p>
        </w:tc>
        <w:tc>
          <w:tcPr>
            <w:tcW w:w="660" w:type="dxa"/>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p>
        </w:tc>
        <w:tc>
          <w:tcPr>
            <w:tcW w:w="1240" w:type="dxa"/>
            <w:gridSpan w:val="2"/>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3327" w:type="dxa"/>
            <w:gridSpan w:val="2"/>
            <w:tcBorders>
              <w:top w:val="nil"/>
              <w:left w:val="nil"/>
              <w:bottom w:val="nil"/>
              <w:right w:val="nil"/>
            </w:tcBorders>
            <w:noWrap w:val="0"/>
            <w:vAlign w:val="center"/>
          </w:tcPr>
          <w:p>
            <w:pPr>
              <w:widowControl/>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tblPrEx>
          <w:tblCellMar>
            <w:top w:w="0" w:type="dxa"/>
            <w:left w:w="108" w:type="dxa"/>
            <w:bottom w:w="0" w:type="dxa"/>
            <w:right w:w="108" w:type="dxa"/>
          </w:tblCellMar>
        </w:tblPrEx>
        <w:trPr>
          <w:trHeight w:val="405" w:hRule="atLeast"/>
        </w:trPr>
        <w:tc>
          <w:tcPr>
            <w:tcW w:w="3987" w:type="dxa"/>
            <w:gridSpan w:val="4"/>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科</w:t>
            </w:r>
            <w:r>
              <w:rPr>
                <w:rFonts w:hint="eastAsia" w:ascii="仿宋_GB2312" w:hAnsi="宋体" w:eastAsia="仿宋_GB2312" w:cs="宋体"/>
                <w:b/>
                <w:bCs/>
                <w:color w:val="auto"/>
                <w:kern w:val="0"/>
                <w:sz w:val="24"/>
                <w:szCs w:val="24"/>
                <w:highlight w:val="none"/>
              </w:rPr>
              <w:t xml:space="preserve">  目</w:t>
            </w:r>
          </w:p>
        </w:tc>
        <w:tc>
          <w:tcPr>
            <w:tcW w:w="5227" w:type="dxa"/>
            <w:gridSpan w:val="5"/>
            <w:tcBorders>
              <w:top w:val="single" w:color="auto" w:sz="4" w:space="0"/>
              <w:left w:val="nil"/>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一般公共预算支出</w:t>
            </w:r>
          </w:p>
        </w:tc>
      </w:tr>
      <w:tr>
        <w:tblPrEx>
          <w:tblCellMar>
            <w:top w:w="0" w:type="dxa"/>
            <w:left w:w="108" w:type="dxa"/>
            <w:bottom w:w="0" w:type="dxa"/>
            <w:right w:w="108" w:type="dxa"/>
          </w:tblCellMar>
        </w:tblPrEx>
        <w:trPr>
          <w:trHeight w:val="465" w:hRule="atLeast"/>
        </w:trPr>
        <w:tc>
          <w:tcPr>
            <w:tcW w:w="1477" w:type="dxa"/>
            <w:gridSpan w:val="3"/>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510"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tc>
        <w:tc>
          <w:tcPr>
            <w:tcW w:w="1684"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842"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701"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CellMar>
            <w:top w:w="0" w:type="dxa"/>
            <w:left w:w="108" w:type="dxa"/>
            <w:bottom w:w="0" w:type="dxa"/>
            <w:right w:w="108" w:type="dxa"/>
          </w:tblCellMar>
        </w:tblPrEx>
        <w:trPr>
          <w:trHeight w:val="300" w:hRule="atLeast"/>
        </w:trPr>
        <w:tc>
          <w:tcPr>
            <w:tcW w:w="474" w:type="dxa"/>
            <w:tcBorders>
              <w:top w:val="nil"/>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50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503"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tc>
        <w:tc>
          <w:tcPr>
            <w:tcW w:w="2510"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c>
          <w:tcPr>
            <w:tcW w:w="1684" w:type="dxa"/>
            <w:gridSpan w:val="2"/>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c>
          <w:tcPr>
            <w:tcW w:w="1842" w:type="dxa"/>
            <w:gridSpan w:val="2"/>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宋体" w:hAnsi="宋体" w:cs="宋体"/>
                <w:b/>
                <w:bCs/>
                <w:color w:val="auto"/>
                <w:kern w:val="0"/>
                <w:sz w:val="16"/>
                <w:szCs w:val="16"/>
                <w:highlight w:val="none"/>
                <w:lang w:val="en-US" w:eastAsia="zh-CN"/>
              </w:rPr>
              <w:t>208</w:t>
            </w:r>
          </w:p>
        </w:tc>
        <w:tc>
          <w:tcPr>
            <w:tcW w:w="500"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p>
        </w:tc>
        <w:tc>
          <w:tcPr>
            <w:tcW w:w="503"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p>
        </w:tc>
        <w:tc>
          <w:tcPr>
            <w:tcW w:w="2510"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_GB2312" w:hAnsi="宋体" w:eastAsia="仿宋_GB2312" w:cs="宋体"/>
                <w:b/>
                <w:bCs/>
                <w:color w:val="auto"/>
                <w:kern w:val="0"/>
                <w:sz w:val="18"/>
                <w:szCs w:val="18"/>
                <w:highlight w:val="none"/>
                <w:shd w:val="clear" w:color="auto" w:fill="auto"/>
                <w:lang w:val="en-US" w:eastAsia="zh-CN" w:bidi="ar-SA"/>
              </w:rPr>
            </w:pPr>
            <w:r>
              <w:rPr>
                <w:rFonts w:hint="eastAsia" w:ascii="仿宋_GB2312" w:hAnsi="宋体" w:eastAsia="仿宋_GB2312" w:cs="宋体"/>
                <w:b/>
                <w:bCs/>
                <w:color w:val="auto"/>
                <w:kern w:val="0"/>
                <w:sz w:val="18"/>
                <w:szCs w:val="18"/>
                <w:highlight w:val="none"/>
                <w:shd w:val="clear" w:color="auto" w:fill="auto"/>
              </w:rPr>
              <w:t>社会保障和就业支出　</w:t>
            </w:r>
          </w:p>
        </w:tc>
        <w:tc>
          <w:tcPr>
            <w:tcW w:w="1684" w:type="dxa"/>
            <w:gridSpan w:val="2"/>
            <w:tcBorders>
              <w:top w:val="nil"/>
              <w:left w:val="nil"/>
              <w:bottom w:val="single" w:color="auto" w:sz="4" w:space="0"/>
              <w:right w:val="single" w:color="auto" w:sz="4" w:space="0"/>
            </w:tcBorders>
            <w:noWrap w:val="0"/>
            <w:vAlign w:val="bottom"/>
          </w:tcPr>
          <w:p>
            <w:pPr>
              <w:widowControl/>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714.90</w:t>
            </w:r>
          </w:p>
        </w:tc>
        <w:tc>
          <w:tcPr>
            <w:tcW w:w="1842" w:type="dxa"/>
            <w:gridSpan w:val="2"/>
            <w:tcBorders>
              <w:top w:val="nil"/>
              <w:left w:val="nil"/>
              <w:bottom w:val="single" w:color="auto" w:sz="4" w:space="0"/>
              <w:right w:val="single" w:color="auto" w:sz="4" w:space="0"/>
            </w:tcBorders>
            <w:noWrap w:val="0"/>
            <w:vAlign w:val="bottom"/>
          </w:tcPr>
          <w:p>
            <w:pPr>
              <w:widowControl/>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701.38</w:t>
            </w:r>
          </w:p>
        </w:tc>
        <w:tc>
          <w:tcPr>
            <w:tcW w:w="1701" w:type="dxa"/>
            <w:tcBorders>
              <w:top w:val="nil"/>
              <w:left w:val="nil"/>
              <w:bottom w:val="single" w:color="auto" w:sz="4" w:space="0"/>
              <w:right w:val="single" w:color="auto" w:sz="4" w:space="0"/>
            </w:tcBorders>
            <w:noWrap w:val="0"/>
            <w:vAlign w:val="bottom"/>
          </w:tcPr>
          <w:p>
            <w:pPr>
              <w:widowControl/>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13.53</w:t>
            </w: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0"/>
                <w:szCs w:val="20"/>
                <w:highlight w:val="none"/>
              </w:rPr>
            </w:pPr>
            <w:r>
              <w:rPr>
                <w:rFonts w:hint="eastAsia" w:ascii="宋体" w:hAnsi="宋体" w:cs="宋体"/>
                <w:b/>
                <w:bCs/>
                <w:color w:val="auto"/>
                <w:kern w:val="0"/>
                <w:sz w:val="16"/>
                <w:szCs w:val="16"/>
                <w:highlight w:val="none"/>
                <w:lang w:val="en-US" w:eastAsia="zh-CN"/>
              </w:rPr>
              <w:t>208</w:t>
            </w:r>
          </w:p>
        </w:tc>
        <w:tc>
          <w:tcPr>
            <w:tcW w:w="500"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0"/>
                <w:szCs w:val="20"/>
                <w:highlight w:val="none"/>
              </w:rPr>
            </w:pPr>
            <w:r>
              <w:rPr>
                <w:rFonts w:hint="eastAsia" w:ascii="宋体" w:hAnsi="宋体" w:cs="宋体"/>
                <w:b/>
                <w:bCs/>
                <w:color w:val="auto"/>
                <w:kern w:val="0"/>
                <w:sz w:val="16"/>
                <w:szCs w:val="16"/>
                <w:highlight w:val="none"/>
                <w:lang w:val="en-US" w:eastAsia="zh-CN"/>
              </w:rPr>
              <w:t>01</w:t>
            </w:r>
          </w:p>
        </w:tc>
        <w:tc>
          <w:tcPr>
            <w:tcW w:w="503"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0"/>
                <w:szCs w:val="20"/>
                <w:highlight w:val="none"/>
              </w:rPr>
            </w:pPr>
          </w:p>
        </w:tc>
        <w:tc>
          <w:tcPr>
            <w:tcW w:w="2510"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_GB2312" w:hAnsi="宋体" w:eastAsia="仿宋_GB2312" w:cs="宋体"/>
                <w:b/>
                <w:bCs/>
                <w:color w:val="auto"/>
                <w:kern w:val="0"/>
                <w:sz w:val="18"/>
                <w:szCs w:val="18"/>
                <w:highlight w:val="none"/>
                <w:shd w:val="clear" w:color="auto" w:fill="auto"/>
                <w:lang w:val="en-US" w:eastAsia="zh-CN" w:bidi="ar-SA"/>
              </w:rPr>
            </w:pPr>
            <w:r>
              <w:rPr>
                <w:rFonts w:hint="eastAsia" w:ascii="仿宋_GB2312" w:hAnsi="宋体" w:eastAsia="仿宋_GB2312" w:cs="宋体"/>
                <w:b/>
                <w:bCs/>
                <w:color w:val="auto"/>
                <w:kern w:val="0"/>
                <w:sz w:val="18"/>
                <w:szCs w:val="18"/>
                <w:highlight w:val="none"/>
                <w:shd w:val="clear" w:color="auto" w:fill="auto"/>
              </w:rPr>
              <w:t>人力资源和社会保障管理事务　</w:t>
            </w:r>
          </w:p>
        </w:tc>
        <w:tc>
          <w:tcPr>
            <w:tcW w:w="1684" w:type="dxa"/>
            <w:gridSpan w:val="2"/>
            <w:tcBorders>
              <w:top w:val="nil"/>
              <w:left w:val="nil"/>
              <w:bottom w:val="single" w:color="auto" w:sz="4" w:space="0"/>
              <w:right w:val="single" w:color="auto" w:sz="4" w:space="0"/>
            </w:tcBorders>
            <w:noWrap w:val="0"/>
            <w:vAlign w:val="bottom"/>
          </w:tcPr>
          <w:p>
            <w:pPr>
              <w:widowControl/>
              <w:jc w:val="center"/>
              <w:rPr>
                <w:rFonts w:hint="default" w:ascii="宋体" w:hAnsi="宋体" w:eastAsia="宋体" w:cs="宋体"/>
                <w:b/>
                <w:bCs/>
                <w:color w:val="auto"/>
                <w:kern w:val="0"/>
                <w:sz w:val="20"/>
                <w:szCs w:val="20"/>
                <w:highlight w:val="none"/>
                <w:lang w:val="en-US" w:eastAsia="zh-CN"/>
              </w:rPr>
            </w:pPr>
            <w:r>
              <w:rPr>
                <w:rFonts w:hint="eastAsia" w:ascii="宋体" w:hAnsi="宋体" w:cs="宋体"/>
                <w:b/>
                <w:bCs/>
                <w:color w:val="auto"/>
                <w:kern w:val="0"/>
                <w:sz w:val="20"/>
                <w:szCs w:val="20"/>
                <w:highlight w:val="none"/>
                <w:lang w:val="en-US" w:eastAsia="zh-CN"/>
              </w:rPr>
              <w:t>669.91</w:t>
            </w:r>
          </w:p>
        </w:tc>
        <w:tc>
          <w:tcPr>
            <w:tcW w:w="1842" w:type="dxa"/>
            <w:gridSpan w:val="2"/>
            <w:tcBorders>
              <w:top w:val="nil"/>
              <w:left w:val="nil"/>
              <w:bottom w:val="single" w:color="auto" w:sz="4" w:space="0"/>
              <w:right w:val="single" w:color="auto" w:sz="4" w:space="0"/>
            </w:tcBorders>
            <w:noWrap w:val="0"/>
            <w:vAlign w:val="bottom"/>
          </w:tcPr>
          <w:p>
            <w:pPr>
              <w:widowControl/>
              <w:jc w:val="center"/>
              <w:rPr>
                <w:rFonts w:hint="default" w:ascii="宋体" w:hAnsi="宋体" w:eastAsia="宋体" w:cs="宋体"/>
                <w:b/>
                <w:bCs/>
                <w:color w:val="auto"/>
                <w:kern w:val="0"/>
                <w:sz w:val="20"/>
                <w:szCs w:val="20"/>
                <w:highlight w:val="none"/>
                <w:lang w:val="en-US" w:eastAsia="zh-CN"/>
              </w:rPr>
            </w:pPr>
            <w:r>
              <w:rPr>
                <w:rFonts w:hint="eastAsia" w:ascii="宋体" w:hAnsi="宋体" w:cs="宋体"/>
                <w:b/>
                <w:bCs/>
                <w:color w:val="auto"/>
                <w:kern w:val="0"/>
                <w:sz w:val="20"/>
                <w:szCs w:val="20"/>
                <w:highlight w:val="none"/>
                <w:lang w:val="en-US" w:eastAsia="zh-CN"/>
              </w:rPr>
              <w:t>660.26</w:t>
            </w:r>
          </w:p>
        </w:tc>
        <w:tc>
          <w:tcPr>
            <w:tcW w:w="1701" w:type="dxa"/>
            <w:tcBorders>
              <w:top w:val="nil"/>
              <w:left w:val="nil"/>
              <w:bottom w:val="single" w:color="auto" w:sz="4" w:space="0"/>
              <w:right w:val="single" w:color="auto" w:sz="4" w:space="0"/>
            </w:tcBorders>
            <w:noWrap w:val="0"/>
            <w:vAlign w:val="bottom"/>
          </w:tcPr>
          <w:p>
            <w:pPr>
              <w:widowControl/>
              <w:jc w:val="center"/>
              <w:rPr>
                <w:rFonts w:hint="default" w:ascii="宋体" w:hAnsi="宋体" w:eastAsia="宋体" w:cs="宋体"/>
                <w:b/>
                <w:bCs/>
                <w:color w:val="auto"/>
                <w:kern w:val="0"/>
                <w:sz w:val="20"/>
                <w:szCs w:val="20"/>
                <w:highlight w:val="none"/>
                <w:lang w:val="en-US" w:eastAsia="zh-CN"/>
              </w:rPr>
            </w:pPr>
            <w:r>
              <w:rPr>
                <w:rFonts w:hint="eastAsia" w:ascii="宋体" w:hAnsi="宋体" w:cs="宋体"/>
                <w:b/>
                <w:bCs/>
                <w:color w:val="auto"/>
                <w:kern w:val="0"/>
                <w:sz w:val="20"/>
                <w:szCs w:val="20"/>
                <w:highlight w:val="none"/>
                <w:lang w:val="en-US" w:eastAsia="zh-CN"/>
              </w:rPr>
              <w:t>9.66</w:t>
            </w: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cs="宋体"/>
                <w:b w:val="0"/>
                <w:bCs w:val="0"/>
                <w:color w:val="auto"/>
                <w:kern w:val="0"/>
                <w:sz w:val="20"/>
                <w:szCs w:val="20"/>
                <w:highlight w:val="none"/>
              </w:rPr>
            </w:pPr>
            <w:r>
              <w:rPr>
                <w:rFonts w:hint="eastAsia" w:ascii="宋体" w:hAnsi="宋体" w:cs="宋体"/>
                <w:b w:val="0"/>
                <w:bCs w:val="0"/>
                <w:color w:val="auto"/>
                <w:kern w:val="0"/>
                <w:sz w:val="16"/>
                <w:szCs w:val="16"/>
                <w:highlight w:val="none"/>
                <w:lang w:val="en-US" w:eastAsia="zh-CN"/>
              </w:rPr>
              <w:t>208</w:t>
            </w:r>
          </w:p>
        </w:tc>
        <w:tc>
          <w:tcPr>
            <w:tcW w:w="500"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val="0"/>
                <w:bCs w:val="0"/>
                <w:color w:val="auto"/>
                <w:kern w:val="0"/>
                <w:sz w:val="20"/>
                <w:szCs w:val="20"/>
                <w:highlight w:val="none"/>
              </w:rPr>
            </w:pPr>
            <w:r>
              <w:rPr>
                <w:rFonts w:hint="eastAsia" w:ascii="宋体" w:hAnsi="宋体" w:cs="宋体"/>
                <w:b w:val="0"/>
                <w:bCs w:val="0"/>
                <w:color w:val="auto"/>
                <w:kern w:val="0"/>
                <w:sz w:val="16"/>
                <w:szCs w:val="16"/>
                <w:highlight w:val="none"/>
                <w:lang w:val="en-US" w:eastAsia="zh-CN"/>
              </w:rPr>
              <w:t>20801</w:t>
            </w:r>
          </w:p>
        </w:tc>
        <w:tc>
          <w:tcPr>
            <w:tcW w:w="503"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val="0"/>
                <w:bCs w:val="0"/>
                <w:color w:val="auto"/>
                <w:kern w:val="0"/>
                <w:sz w:val="20"/>
                <w:szCs w:val="20"/>
                <w:highlight w:val="none"/>
              </w:rPr>
            </w:pPr>
            <w:r>
              <w:rPr>
                <w:rFonts w:hint="eastAsia" w:ascii="宋体" w:hAnsi="宋体" w:cs="宋体"/>
                <w:b w:val="0"/>
                <w:bCs w:val="0"/>
                <w:color w:val="auto"/>
                <w:kern w:val="0"/>
                <w:sz w:val="16"/>
                <w:szCs w:val="16"/>
                <w:highlight w:val="none"/>
                <w:lang w:val="en-US" w:eastAsia="zh-CN"/>
              </w:rPr>
              <w:t>2080109</w:t>
            </w:r>
          </w:p>
        </w:tc>
        <w:tc>
          <w:tcPr>
            <w:tcW w:w="2510"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bidi="ar-SA"/>
              </w:rPr>
            </w:pPr>
            <w:r>
              <w:rPr>
                <w:rFonts w:hint="eastAsia" w:ascii="仿宋_GB2312" w:hAnsi="宋体" w:eastAsia="仿宋_GB2312" w:cs="宋体"/>
                <w:color w:val="auto"/>
                <w:kern w:val="0"/>
                <w:sz w:val="18"/>
                <w:szCs w:val="18"/>
                <w:highlight w:val="none"/>
                <w:shd w:val="clear" w:color="auto" w:fill="auto"/>
              </w:rPr>
              <w:t>社会保险经办机构　</w:t>
            </w:r>
          </w:p>
        </w:tc>
        <w:tc>
          <w:tcPr>
            <w:tcW w:w="1684" w:type="dxa"/>
            <w:gridSpan w:val="2"/>
            <w:tcBorders>
              <w:top w:val="nil"/>
              <w:left w:val="nil"/>
              <w:bottom w:val="single" w:color="auto" w:sz="4" w:space="0"/>
              <w:right w:val="single" w:color="auto" w:sz="4" w:space="0"/>
            </w:tcBorders>
            <w:noWrap w:val="0"/>
            <w:vAlign w:val="bottom"/>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625.04</w:t>
            </w:r>
          </w:p>
        </w:tc>
        <w:tc>
          <w:tcPr>
            <w:tcW w:w="1842" w:type="dxa"/>
            <w:gridSpan w:val="2"/>
            <w:tcBorders>
              <w:top w:val="nil"/>
              <w:left w:val="nil"/>
              <w:bottom w:val="single" w:color="auto" w:sz="4" w:space="0"/>
              <w:right w:val="single" w:color="auto" w:sz="4" w:space="0"/>
            </w:tcBorders>
            <w:noWrap w:val="0"/>
            <w:vAlign w:val="bottom"/>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625.04</w:t>
            </w:r>
          </w:p>
        </w:tc>
        <w:tc>
          <w:tcPr>
            <w:tcW w:w="1701" w:type="dxa"/>
            <w:tcBorders>
              <w:top w:val="nil"/>
              <w:left w:val="nil"/>
              <w:bottom w:val="single" w:color="auto" w:sz="4" w:space="0"/>
              <w:right w:val="single" w:color="auto" w:sz="4" w:space="0"/>
            </w:tcBorders>
            <w:noWrap w:val="0"/>
            <w:vAlign w:val="bottom"/>
          </w:tcPr>
          <w:p>
            <w:pPr>
              <w:widowControl/>
              <w:jc w:val="center"/>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cs="宋体"/>
                <w:b w:val="0"/>
                <w:bCs w:val="0"/>
                <w:color w:val="auto"/>
                <w:kern w:val="0"/>
                <w:sz w:val="20"/>
                <w:szCs w:val="20"/>
                <w:highlight w:val="none"/>
              </w:rPr>
            </w:pPr>
            <w:r>
              <w:rPr>
                <w:rFonts w:hint="eastAsia" w:ascii="宋体" w:hAnsi="宋体" w:cs="宋体"/>
                <w:b w:val="0"/>
                <w:bCs w:val="0"/>
                <w:color w:val="auto"/>
                <w:kern w:val="0"/>
                <w:sz w:val="16"/>
                <w:szCs w:val="16"/>
                <w:highlight w:val="none"/>
                <w:lang w:val="en-US" w:eastAsia="zh-CN"/>
              </w:rPr>
              <w:t>208</w:t>
            </w:r>
          </w:p>
        </w:tc>
        <w:tc>
          <w:tcPr>
            <w:tcW w:w="500"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val="0"/>
                <w:bCs w:val="0"/>
                <w:color w:val="auto"/>
                <w:kern w:val="0"/>
                <w:sz w:val="20"/>
                <w:szCs w:val="20"/>
                <w:highlight w:val="none"/>
              </w:rPr>
            </w:pPr>
            <w:r>
              <w:rPr>
                <w:rFonts w:hint="eastAsia" w:ascii="宋体" w:hAnsi="宋体" w:cs="宋体"/>
                <w:b w:val="0"/>
                <w:bCs w:val="0"/>
                <w:color w:val="auto"/>
                <w:kern w:val="0"/>
                <w:sz w:val="16"/>
                <w:szCs w:val="16"/>
                <w:highlight w:val="none"/>
                <w:lang w:val="en-US" w:eastAsia="zh-CN"/>
              </w:rPr>
              <w:t>20801</w:t>
            </w:r>
          </w:p>
        </w:tc>
        <w:tc>
          <w:tcPr>
            <w:tcW w:w="503"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val="0"/>
                <w:bCs w:val="0"/>
                <w:color w:val="auto"/>
                <w:kern w:val="0"/>
                <w:sz w:val="20"/>
                <w:szCs w:val="20"/>
                <w:highlight w:val="none"/>
              </w:rPr>
            </w:pPr>
            <w:r>
              <w:rPr>
                <w:rFonts w:hint="eastAsia" w:ascii="宋体" w:hAnsi="宋体" w:cs="宋体"/>
                <w:b w:val="0"/>
                <w:bCs w:val="0"/>
                <w:color w:val="auto"/>
                <w:kern w:val="0"/>
                <w:sz w:val="16"/>
                <w:szCs w:val="16"/>
                <w:highlight w:val="none"/>
                <w:lang w:val="en-US" w:eastAsia="zh-CN"/>
              </w:rPr>
              <w:t>2080199</w:t>
            </w:r>
          </w:p>
        </w:tc>
        <w:tc>
          <w:tcPr>
            <w:tcW w:w="2510"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bidi="ar-SA"/>
              </w:rPr>
            </w:pPr>
            <w:r>
              <w:rPr>
                <w:rFonts w:hint="eastAsia" w:ascii="仿宋_GB2312" w:hAnsi="宋体" w:eastAsia="仿宋_GB2312" w:cs="宋体"/>
                <w:color w:val="auto"/>
                <w:kern w:val="0"/>
                <w:sz w:val="18"/>
                <w:szCs w:val="18"/>
                <w:highlight w:val="none"/>
                <w:shd w:val="clear" w:color="auto" w:fill="auto"/>
              </w:rPr>
              <w:t>其他人力资源和社会保障管理事务支出　</w:t>
            </w:r>
          </w:p>
        </w:tc>
        <w:tc>
          <w:tcPr>
            <w:tcW w:w="1684" w:type="dxa"/>
            <w:gridSpan w:val="2"/>
            <w:tcBorders>
              <w:top w:val="nil"/>
              <w:left w:val="nil"/>
              <w:bottom w:val="single" w:color="auto" w:sz="4" w:space="0"/>
              <w:right w:val="single" w:color="auto" w:sz="4" w:space="0"/>
            </w:tcBorders>
            <w:noWrap w:val="0"/>
            <w:vAlign w:val="bottom"/>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9.66</w:t>
            </w:r>
          </w:p>
        </w:tc>
        <w:tc>
          <w:tcPr>
            <w:tcW w:w="1842" w:type="dxa"/>
            <w:gridSpan w:val="2"/>
            <w:tcBorders>
              <w:top w:val="nil"/>
              <w:left w:val="nil"/>
              <w:bottom w:val="single" w:color="auto" w:sz="4" w:space="0"/>
              <w:right w:val="single" w:color="auto" w:sz="4" w:space="0"/>
            </w:tcBorders>
            <w:noWrap w:val="0"/>
            <w:vAlign w:val="bottom"/>
          </w:tcPr>
          <w:p>
            <w:pPr>
              <w:widowControl/>
              <w:jc w:val="center"/>
              <w:rPr>
                <w:rFonts w:hint="eastAsia" w:ascii="宋体" w:hAnsi="宋体" w:eastAsia="宋体" w:cs="宋体"/>
                <w:color w:val="auto"/>
                <w:kern w:val="0"/>
                <w:sz w:val="20"/>
                <w:szCs w:val="20"/>
                <w:highlight w:val="none"/>
                <w:lang w:eastAsia="zh-CN"/>
              </w:rPr>
            </w:pPr>
            <w:r>
              <w:rPr>
                <w:rFonts w:hint="eastAsia" w:ascii="宋体" w:hAnsi="宋体" w:cs="宋体"/>
                <w:color w:val="auto"/>
                <w:kern w:val="0"/>
                <w:sz w:val="20"/>
                <w:szCs w:val="20"/>
                <w:highlight w:val="none"/>
                <w:lang w:val="en-US" w:eastAsia="zh-CN"/>
              </w:rPr>
              <w:t>0</w:t>
            </w:r>
          </w:p>
        </w:tc>
        <w:tc>
          <w:tcPr>
            <w:tcW w:w="1701" w:type="dxa"/>
            <w:tcBorders>
              <w:top w:val="nil"/>
              <w:left w:val="nil"/>
              <w:bottom w:val="single" w:color="auto" w:sz="4" w:space="0"/>
              <w:right w:val="single" w:color="auto" w:sz="4" w:space="0"/>
            </w:tcBorders>
            <w:noWrap w:val="0"/>
            <w:vAlign w:val="bottom"/>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9.66</w:t>
            </w: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0"/>
                <w:szCs w:val="20"/>
                <w:highlight w:val="none"/>
              </w:rPr>
            </w:pPr>
            <w:r>
              <w:rPr>
                <w:rFonts w:hint="eastAsia" w:ascii="宋体" w:hAnsi="宋体" w:cs="宋体"/>
                <w:b/>
                <w:bCs/>
                <w:color w:val="auto"/>
                <w:kern w:val="0"/>
                <w:sz w:val="16"/>
                <w:szCs w:val="16"/>
                <w:highlight w:val="none"/>
                <w:lang w:val="en-US" w:eastAsia="zh-CN"/>
              </w:rPr>
              <w:t>208</w:t>
            </w:r>
            <w:r>
              <w:rPr>
                <w:rFonts w:hint="eastAsia" w:ascii="宋体" w:hAnsi="宋体" w:cs="宋体"/>
                <w:b/>
                <w:bCs/>
                <w:color w:val="auto"/>
                <w:kern w:val="0"/>
                <w:sz w:val="16"/>
                <w:szCs w:val="16"/>
                <w:highlight w:val="none"/>
              </w:rPr>
              <w:t>　</w:t>
            </w:r>
          </w:p>
        </w:tc>
        <w:tc>
          <w:tcPr>
            <w:tcW w:w="500"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0"/>
                <w:szCs w:val="20"/>
                <w:highlight w:val="none"/>
              </w:rPr>
            </w:pPr>
            <w:r>
              <w:rPr>
                <w:rFonts w:hint="eastAsia" w:ascii="宋体" w:hAnsi="宋体" w:cs="宋体"/>
                <w:b/>
                <w:bCs/>
                <w:color w:val="auto"/>
                <w:kern w:val="0"/>
                <w:sz w:val="16"/>
                <w:szCs w:val="16"/>
                <w:highlight w:val="none"/>
                <w:lang w:val="en-US" w:eastAsia="zh-CN"/>
              </w:rPr>
              <w:t>20805</w:t>
            </w:r>
            <w:r>
              <w:rPr>
                <w:rFonts w:hint="eastAsia" w:ascii="宋体" w:hAnsi="宋体" w:cs="宋体"/>
                <w:b/>
                <w:bCs/>
                <w:color w:val="auto"/>
                <w:kern w:val="0"/>
                <w:sz w:val="16"/>
                <w:szCs w:val="16"/>
                <w:highlight w:val="none"/>
              </w:rPr>
              <w:t>　</w:t>
            </w:r>
          </w:p>
        </w:tc>
        <w:tc>
          <w:tcPr>
            <w:tcW w:w="503"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0"/>
                <w:szCs w:val="20"/>
                <w:highlight w:val="none"/>
              </w:rPr>
            </w:pPr>
            <w:r>
              <w:rPr>
                <w:rFonts w:hint="eastAsia" w:ascii="宋体" w:hAnsi="宋体" w:cs="宋体"/>
                <w:b/>
                <w:bCs/>
                <w:color w:val="auto"/>
                <w:kern w:val="0"/>
                <w:sz w:val="16"/>
                <w:szCs w:val="16"/>
                <w:highlight w:val="none"/>
              </w:rPr>
              <w:t>　</w:t>
            </w:r>
          </w:p>
        </w:tc>
        <w:tc>
          <w:tcPr>
            <w:tcW w:w="2510"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_GB2312" w:hAnsi="宋体" w:eastAsia="仿宋_GB2312" w:cs="宋体"/>
                <w:b/>
                <w:bCs/>
                <w:color w:val="auto"/>
                <w:kern w:val="0"/>
                <w:sz w:val="18"/>
                <w:szCs w:val="18"/>
                <w:highlight w:val="none"/>
                <w:shd w:val="clear" w:color="auto" w:fill="auto"/>
                <w:lang w:val="en-US" w:eastAsia="zh-CN" w:bidi="ar-SA"/>
              </w:rPr>
            </w:pPr>
            <w:r>
              <w:rPr>
                <w:rFonts w:hint="eastAsia" w:ascii="仿宋_GB2312" w:hAnsi="宋体" w:eastAsia="仿宋_GB2312" w:cs="宋体"/>
                <w:b/>
                <w:bCs/>
                <w:color w:val="auto"/>
                <w:kern w:val="0"/>
                <w:sz w:val="18"/>
                <w:szCs w:val="18"/>
                <w:highlight w:val="none"/>
                <w:shd w:val="clear" w:color="auto" w:fill="auto"/>
              </w:rPr>
              <w:t>行政事业单位养老支出　</w:t>
            </w:r>
          </w:p>
        </w:tc>
        <w:tc>
          <w:tcPr>
            <w:tcW w:w="1684" w:type="dxa"/>
            <w:gridSpan w:val="2"/>
            <w:tcBorders>
              <w:top w:val="nil"/>
              <w:left w:val="nil"/>
              <w:bottom w:val="single" w:color="auto" w:sz="4" w:space="0"/>
              <w:right w:val="single" w:color="auto" w:sz="4" w:space="0"/>
            </w:tcBorders>
            <w:noWrap w:val="0"/>
            <w:vAlign w:val="bottom"/>
          </w:tcPr>
          <w:p>
            <w:pPr>
              <w:widowControl/>
              <w:jc w:val="center"/>
              <w:rPr>
                <w:rFonts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41.12</w:t>
            </w:r>
          </w:p>
        </w:tc>
        <w:tc>
          <w:tcPr>
            <w:tcW w:w="1842" w:type="dxa"/>
            <w:gridSpan w:val="2"/>
            <w:tcBorders>
              <w:top w:val="nil"/>
              <w:left w:val="nil"/>
              <w:bottom w:val="single" w:color="auto" w:sz="4" w:space="0"/>
              <w:right w:val="single" w:color="auto" w:sz="4" w:space="0"/>
            </w:tcBorders>
            <w:noWrap w:val="0"/>
            <w:vAlign w:val="bottom"/>
          </w:tcPr>
          <w:p>
            <w:pPr>
              <w:widowControl/>
              <w:jc w:val="center"/>
              <w:rPr>
                <w:rFonts w:hint="default" w:ascii="宋体" w:hAnsi="宋体" w:eastAsia="宋体" w:cs="宋体"/>
                <w:b/>
                <w:bCs/>
                <w:color w:val="auto"/>
                <w:kern w:val="0"/>
                <w:sz w:val="20"/>
                <w:szCs w:val="20"/>
                <w:highlight w:val="none"/>
                <w:lang w:val="en-US" w:eastAsia="zh-CN"/>
              </w:rPr>
            </w:pPr>
            <w:r>
              <w:rPr>
                <w:rFonts w:hint="eastAsia" w:ascii="宋体" w:hAnsi="宋体" w:cs="宋体"/>
                <w:b/>
                <w:bCs/>
                <w:color w:val="auto"/>
                <w:kern w:val="0"/>
                <w:sz w:val="20"/>
                <w:szCs w:val="20"/>
                <w:highlight w:val="none"/>
                <w:lang w:val="en-US" w:eastAsia="zh-CN"/>
              </w:rPr>
              <w:t>41.12</w:t>
            </w:r>
          </w:p>
        </w:tc>
        <w:tc>
          <w:tcPr>
            <w:tcW w:w="1701" w:type="dxa"/>
            <w:tcBorders>
              <w:top w:val="nil"/>
              <w:left w:val="nil"/>
              <w:bottom w:val="single" w:color="auto" w:sz="4" w:space="0"/>
              <w:right w:val="single" w:color="auto" w:sz="4" w:space="0"/>
            </w:tcBorders>
            <w:noWrap w:val="0"/>
            <w:vAlign w:val="bottom"/>
          </w:tcPr>
          <w:p>
            <w:pPr>
              <w:widowControl/>
              <w:jc w:val="center"/>
              <w:rPr>
                <w:rFonts w:ascii="宋体" w:hAnsi="宋体" w:cs="宋体"/>
                <w:b/>
                <w:bCs/>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cs="宋体"/>
                <w:b w:val="0"/>
                <w:bCs w:val="0"/>
                <w:color w:val="auto"/>
                <w:kern w:val="0"/>
                <w:sz w:val="20"/>
                <w:szCs w:val="20"/>
                <w:highlight w:val="none"/>
              </w:rPr>
            </w:pPr>
            <w:r>
              <w:rPr>
                <w:rFonts w:hint="eastAsia" w:ascii="宋体" w:hAnsi="宋体" w:cs="宋体"/>
                <w:b w:val="0"/>
                <w:bCs w:val="0"/>
                <w:color w:val="auto"/>
                <w:kern w:val="0"/>
                <w:sz w:val="16"/>
                <w:szCs w:val="16"/>
                <w:highlight w:val="none"/>
                <w:lang w:val="en-US" w:eastAsia="zh-CN"/>
              </w:rPr>
              <w:t>208</w:t>
            </w:r>
            <w:r>
              <w:rPr>
                <w:rFonts w:hint="eastAsia" w:ascii="宋体" w:hAnsi="宋体" w:cs="宋体"/>
                <w:b w:val="0"/>
                <w:bCs w:val="0"/>
                <w:color w:val="auto"/>
                <w:kern w:val="0"/>
                <w:sz w:val="16"/>
                <w:szCs w:val="16"/>
                <w:highlight w:val="none"/>
              </w:rPr>
              <w:t>　</w:t>
            </w:r>
          </w:p>
        </w:tc>
        <w:tc>
          <w:tcPr>
            <w:tcW w:w="500"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val="0"/>
                <w:bCs w:val="0"/>
                <w:color w:val="auto"/>
                <w:kern w:val="0"/>
                <w:sz w:val="20"/>
                <w:szCs w:val="20"/>
                <w:highlight w:val="none"/>
              </w:rPr>
            </w:pPr>
            <w:r>
              <w:rPr>
                <w:rFonts w:hint="eastAsia" w:ascii="宋体" w:hAnsi="宋体" w:cs="宋体"/>
                <w:b w:val="0"/>
                <w:bCs w:val="0"/>
                <w:color w:val="auto"/>
                <w:kern w:val="0"/>
                <w:sz w:val="16"/>
                <w:szCs w:val="16"/>
                <w:highlight w:val="none"/>
                <w:lang w:val="en-US" w:eastAsia="zh-CN"/>
              </w:rPr>
              <w:t>20805</w:t>
            </w:r>
            <w:r>
              <w:rPr>
                <w:rFonts w:hint="eastAsia" w:ascii="宋体" w:hAnsi="宋体" w:cs="宋体"/>
                <w:b w:val="0"/>
                <w:bCs w:val="0"/>
                <w:color w:val="auto"/>
                <w:kern w:val="0"/>
                <w:sz w:val="16"/>
                <w:szCs w:val="16"/>
                <w:highlight w:val="none"/>
              </w:rPr>
              <w:t>　</w:t>
            </w:r>
          </w:p>
        </w:tc>
        <w:tc>
          <w:tcPr>
            <w:tcW w:w="503"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val="0"/>
                <w:bCs w:val="0"/>
                <w:color w:val="auto"/>
                <w:kern w:val="0"/>
                <w:sz w:val="20"/>
                <w:szCs w:val="20"/>
                <w:highlight w:val="none"/>
              </w:rPr>
            </w:pPr>
            <w:r>
              <w:rPr>
                <w:rFonts w:hint="eastAsia" w:ascii="宋体" w:hAnsi="宋体" w:cs="宋体"/>
                <w:b w:val="0"/>
                <w:bCs w:val="0"/>
                <w:color w:val="auto"/>
                <w:kern w:val="0"/>
                <w:sz w:val="16"/>
                <w:szCs w:val="16"/>
                <w:highlight w:val="none"/>
                <w:lang w:val="en-US" w:eastAsia="zh-CN"/>
              </w:rPr>
              <w:t>2080502</w:t>
            </w:r>
            <w:r>
              <w:rPr>
                <w:rFonts w:hint="eastAsia" w:ascii="宋体" w:hAnsi="宋体" w:cs="宋体"/>
                <w:b w:val="0"/>
                <w:bCs w:val="0"/>
                <w:color w:val="auto"/>
                <w:kern w:val="0"/>
                <w:sz w:val="16"/>
                <w:szCs w:val="16"/>
                <w:highlight w:val="none"/>
              </w:rPr>
              <w:t>　</w:t>
            </w:r>
          </w:p>
        </w:tc>
        <w:tc>
          <w:tcPr>
            <w:tcW w:w="2510"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shd w:val="clear" w:color="auto" w:fill="auto"/>
                <w:lang w:val="en-US" w:eastAsia="zh-CN" w:bidi="ar-SA"/>
              </w:rPr>
            </w:pPr>
            <w:r>
              <w:rPr>
                <w:rFonts w:hint="eastAsia" w:ascii="仿宋_GB2312" w:hAnsi="宋体" w:eastAsia="仿宋_GB2312" w:cs="宋体"/>
                <w:b w:val="0"/>
                <w:bCs w:val="0"/>
                <w:color w:val="auto"/>
                <w:kern w:val="0"/>
                <w:sz w:val="18"/>
                <w:szCs w:val="18"/>
                <w:highlight w:val="none"/>
                <w:shd w:val="clear" w:color="auto" w:fill="auto"/>
              </w:rPr>
              <w:t>事业单位离退休</w:t>
            </w:r>
          </w:p>
        </w:tc>
        <w:tc>
          <w:tcPr>
            <w:tcW w:w="1684" w:type="dxa"/>
            <w:gridSpan w:val="2"/>
            <w:tcBorders>
              <w:top w:val="nil"/>
              <w:left w:val="nil"/>
              <w:bottom w:val="single" w:color="auto" w:sz="4" w:space="0"/>
              <w:right w:val="single" w:color="auto" w:sz="4" w:space="0"/>
            </w:tcBorders>
            <w:noWrap w:val="0"/>
            <w:vAlign w:val="bottom"/>
          </w:tcPr>
          <w:p>
            <w:pPr>
              <w:widowControl/>
              <w:jc w:val="center"/>
              <w:rPr>
                <w:rFonts w:ascii="宋体" w:hAnsi="宋体" w:cs="宋体"/>
                <w:b w:val="0"/>
                <w:bCs w:val="0"/>
                <w:color w:val="auto"/>
                <w:kern w:val="0"/>
                <w:sz w:val="20"/>
                <w:szCs w:val="20"/>
                <w:highlight w:val="none"/>
              </w:rPr>
            </w:pPr>
            <w:r>
              <w:rPr>
                <w:rFonts w:hint="eastAsia" w:ascii="宋体" w:hAnsi="宋体" w:cs="宋体"/>
                <w:b w:val="0"/>
                <w:bCs w:val="0"/>
                <w:color w:val="auto"/>
                <w:kern w:val="0"/>
                <w:sz w:val="20"/>
                <w:szCs w:val="20"/>
                <w:highlight w:val="none"/>
              </w:rPr>
              <w:t>9.43</w:t>
            </w:r>
          </w:p>
        </w:tc>
        <w:tc>
          <w:tcPr>
            <w:tcW w:w="1842" w:type="dxa"/>
            <w:gridSpan w:val="2"/>
            <w:tcBorders>
              <w:top w:val="nil"/>
              <w:left w:val="nil"/>
              <w:bottom w:val="single" w:color="auto" w:sz="4" w:space="0"/>
              <w:right w:val="single" w:color="auto" w:sz="4" w:space="0"/>
            </w:tcBorders>
            <w:noWrap w:val="0"/>
            <w:vAlign w:val="bottom"/>
          </w:tcPr>
          <w:p>
            <w:pPr>
              <w:widowControl/>
              <w:jc w:val="center"/>
              <w:rPr>
                <w:rFonts w:ascii="宋体" w:hAnsi="宋体" w:cs="宋体"/>
                <w:b w:val="0"/>
                <w:bCs w:val="0"/>
                <w:color w:val="auto"/>
                <w:kern w:val="0"/>
                <w:sz w:val="20"/>
                <w:szCs w:val="20"/>
                <w:highlight w:val="none"/>
              </w:rPr>
            </w:pPr>
            <w:r>
              <w:rPr>
                <w:rFonts w:hint="eastAsia" w:ascii="宋体" w:hAnsi="宋体" w:cs="宋体"/>
                <w:b w:val="0"/>
                <w:bCs w:val="0"/>
                <w:color w:val="auto"/>
                <w:kern w:val="0"/>
                <w:sz w:val="20"/>
                <w:szCs w:val="20"/>
                <w:highlight w:val="none"/>
              </w:rPr>
              <w:t>9.43</w:t>
            </w:r>
          </w:p>
        </w:tc>
        <w:tc>
          <w:tcPr>
            <w:tcW w:w="1701" w:type="dxa"/>
            <w:tcBorders>
              <w:top w:val="nil"/>
              <w:left w:val="nil"/>
              <w:bottom w:val="single" w:color="auto" w:sz="4" w:space="0"/>
              <w:right w:val="single" w:color="auto" w:sz="4" w:space="0"/>
            </w:tcBorders>
            <w:noWrap w:val="0"/>
            <w:vAlign w:val="bottom"/>
          </w:tcPr>
          <w:p>
            <w:pPr>
              <w:widowControl/>
              <w:jc w:val="center"/>
              <w:rPr>
                <w:rFonts w:ascii="宋体" w:hAnsi="宋体" w:cs="宋体"/>
                <w:b w:val="0"/>
                <w:bCs w:val="0"/>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280" w:lineRule="exact"/>
              <w:jc w:val="center"/>
              <w:rPr>
                <w:rFonts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208</w:t>
            </w:r>
            <w:r>
              <w:rPr>
                <w:rFonts w:hint="eastAsia" w:ascii="宋体" w:hAnsi="宋体" w:cs="宋体"/>
                <w:b w:val="0"/>
                <w:bCs w:val="0"/>
                <w:color w:val="auto"/>
                <w:kern w:val="0"/>
                <w:sz w:val="16"/>
                <w:szCs w:val="16"/>
                <w:highlight w:val="none"/>
              </w:rPr>
              <w:t>　</w:t>
            </w:r>
          </w:p>
        </w:tc>
        <w:tc>
          <w:tcPr>
            <w:tcW w:w="500"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20805</w:t>
            </w:r>
            <w:r>
              <w:rPr>
                <w:rFonts w:hint="eastAsia" w:ascii="宋体" w:hAnsi="宋体" w:cs="宋体"/>
                <w:b w:val="0"/>
                <w:bCs w:val="0"/>
                <w:color w:val="auto"/>
                <w:kern w:val="0"/>
                <w:sz w:val="16"/>
                <w:szCs w:val="16"/>
                <w:highlight w:val="none"/>
              </w:rPr>
              <w:t>　</w:t>
            </w:r>
          </w:p>
        </w:tc>
        <w:tc>
          <w:tcPr>
            <w:tcW w:w="503"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2080505</w:t>
            </w:r>
            <w:r>
              <w:rPr>
                <w:rFonts w:hint="eastAsia" w:ascii="宋体" w:hAnsi="宋体" w:cs="宋体"/>
                <w:b w:val="0"/>
                <w:bCs w:val="0"/>
                <w:color w:val="auto"/>
                <w:kern w:val="0"/>
                <w:sz w:val="16"/>
                <w:szCs w:val="16"/>
                <w:highlight w:val="none"/>
              </w:rPr>
              <w:t>　</w:t>
            </w:r>
          </w:p>
        </w:tc>
        <w:tc>
          <w:tcPr>
            <w:tcW w:w="2510"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shd w:val="clear" w:color="auto" w:fill="auto"/>
                <w:lang w:val="en-US" w:eastAsia="zh-CN" w:bidi="ar-SA"/>
              </w:rPr>
            </w:pPr>
            <w:r>
              <w:rPr>
                <w:rFonts w:hint="eastAsia" w:ascii="仿宋_GB2312" w:hAnsi="宋体" w:eastAsia="仿宋_GB2312" w:cs="宋体"/>
                <w:b w:val="0"/>
                <w:bCs w:val="0"/>
                <w:color w:val="auto"/>
                <w:kern w:val="0"/>
                <w:sz w:val="18"/>
                <w:szCs w:val="18"/>
                <w:highlight w:val="none"/>
                <w:shd w:val="clear" w:color="auto" w:fill="auto"/>
              </w:rPr>
              <w:t>机关事业单位基本养老保险缴费支出　</w:t>
            </w:r>
          </w:p>
        </w:tc>
        <w:tc>
          <w:tcPr>
            <w:tcW w:w="1684" w:type="dxa"/>
            <w:gridSpan w:val="2"/>
            <w:tcBorders>
              <w:top w:val="nil"/>
              <w:left w:val="nil"/>
              <w:bottom w:val="single" w:color="auto" w:sz="4" w:space="0"/>
              <w:right w:val="single" w:color="auto" w:sz="4" w:space="0"/>
            </w:tcBorders>
            <w:noWrap w:val="0"/>
            <w:vAlign w:val="bottom"/>
          </w:tcPr>
          <w:p>
            <w:pPr>
              <w:widowControl/>
              <w:jc w:val="center"/>
              <w:rPr>
                <w:rFonts w:ascii="宋体" w:hAnsi="宋体" w:cs="宋体"/>
                <w:b w:val="0"/>
                <w:bCs w:val="0"/>
                <w:color w:val="auto"/>
                <w:kern w:val="0"/>
                <w:sz w:val="20"/>
                <w:szCs w:val="20"/>
                <w:highlight w:val="none"/>
              </w:rPr>
            </w:pPr>
            <w:r>
              <w:rPr>
                <w:rFonts w:hint="eastAsia" w:ascii="宋体" w:hAnsi="宋体" w:cs="宋体"/>
                <w:b w:val="0"/>
                <w:bCs w:val="0"/>
                <w:color w:val="auto"/>
                <w:kern w:val="0"/>
                <w:sz w:val="20"/>
                <w:szCs w:val="20"/>
                <w:highlight w:val="none"/>
              </w:rPr>
              <w:t>31.69</w:t>
            </w:r>
          </w:p>
        </w:tc>
        <w:tc>
          <w:tcPr>
            <w:tcW w:w="1842" w:type="dxa"/>
            <w:gridSpan w:val="2"/>
            <w:tcBorders>
              <w:top w:val="nil"/>
              <w:left w:val="nil"/>
              <w:bottom w:val="single" w:color="auto" w:sz="4" w:space="0"/>
              <w:right w:val="single" w:color="auto" w:sz="4" w:space="0"/>
            </w:tcBorders>
            <w:noWrap w:val="0"/>
            <w:vAlign w:val="bottom"/>
          </w:tcPr>
          <w:p>
            <w:pPr>
              <w:widowControl/>
              <w:jc w:val="center"/>
              <w:rPr>
                <w:rFonts w:ascii="宋体" w:hAnsi="宋体" w:cs="宋体"/>
                <w:b w:val="0"/>
                <w:bCs w:val="0"/>
                <w:color w:val="auto"/>
                <w:kern w:val="0"/>
                <w:sz w:val="20"/>
                <w:szCs w:val="20"/>
                <w:highlight w:val="none"/>
              </w:rPr>
            </w:pPr>
            <w:r>
              <w:rPr>
                <w:rFonts w:hint="eastAsia" w:ascii="宋体" w:hAnsi="宋体" w:cs="宋体"/>
                <w:b w:val="0"/>
                <w:bCs w:val="0"/>
                <w:color w:val="auto"/>
                <w:kern w:val="0"/>
                <w:sz w:val="20"/>
                <w:szCs w:val="20"/>
                <w:highlight w:val="none"/>
              </w:rPr>
              <w:t>31.69</w:t>
            </w:r>
          </w:p>
        </w:tc>
        <w:tc>
          <w:tcPr>
            <w:tcW w:w="1701" w:type="dxa"/>
            <w:tcBorders>
              <w:top w:val="nil"/>
              <w:left w:val="nil"/>
              <w:bottom w:val="single" w:color="auto" w:sz="4" w:space="0"/>
              <w:right w:val="single" w:color="auto" w:sz="4" w:space="0"/>
            </w:tcBorders>
            <w:noWrap w:val="0"/>
            <w:vAlign w:val="bottom"/>
          </w:tcPr>
          <w:p>
            <w:pPr>
              <w:widowControl/>
              <w:jc w:val="center"/>
              <w:rPr>
                <w:rFonts w:ascii="宋体" w:hAnsi="宋体" w:cs="宋体"/>
                <w:b w:val="0"/>
                <w:bCs w:val="0"/>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280" w:lineRule="exact"/>
              <w:jc w:val="center"/>
              <w:rPr>
                <w:rFonts w:ascii="宋体" w:hAnsi="宋体" w:eastAsia="宋体" w:cs="宋体"/>
                <w:b/>
                <w:bCs/>
                <w:color w:val="auto"/>
                <w:kern w:val="0"/>
                <w:sz w:val="16"/>
                <w:szCs w:val="16"/>
                <w:highlight w:val="none"/>
                <w:lang w:val="en-US" w:eastAsia="zh-CN" w:bidi="ar-SA"/>
              </w:rPr>
            </w:pPr>
            <w:r>
              <w:rPr>
                <w:rFonts w:hint="eastAsia" w:ascii="宋体" w:hAnsi="宋体" w:cs="宋体"/>
                <w:b/>
                <w:bCs/>
                <w:color w:val="auto"/>
                <w:kern w:val="0"/>
                <w:sz w:val="16"/>
                <w:szCs w:val="16"/>
                <w:highlight w:val="none"/>
                <w:lang w:val="en-US" w:eastAsia="zh-CN"/>
              </w:rPr>
              <w:t>208</w:t>
            </w:r>
            <w:r>
              <w:rPr>
                <w:rFonts w:hint="eastAsia" w:ascii="宋体" w:hAnsi="宋体" w:cs="宋体"/>
                <w:b/>
                <w:bCs/>
                <w:color w:val="auto"/>
                <w:kern w:val="0"/>
                <w:sz w:val="16"/>
                <w:szCs w:val="16"/>
                <w:highlight w:val="none"/>
              </w:rPr>
              <w:t>　</w:t>
            </w:r>
          </w:p>
        </w:tc>
        <w:tc>
          <w:tcPr>
            <w:tcW w:w="500"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宋体" w:hAnsi="宋体" w:eastAsia="宋体" w:cs="宋体"/>
                <w:b/>
                <w:bCs/>
                <w:color w:val="auto"/>
                <w:kern w:val="0"/>
                <w:sz w:val="16"/>
                <w:szCs w:val="16"/>
                <w:highlight w:val="none"/>
                <w:lang w:val="en-US" w:eastAsia="zh-CN" w:bidi="ar-SA"/>
              </w:rPr>
            </w:pPr>
            <w:r>
              <w:rPr>
                <w:rFonts w:hint="eastAsia" w:ascii="宋体" w:hAnsi="宋体" w:cs="宋体"/>
                <w:b/>
                <w:bCs/>
                <w:color w:val="auto"/>
                <w:kern w:val="0"/>
                <w:sz w:val="16"/>
                <w:szCs w:val="16"/>
                <w:highlight w:val="none"/>
                <w:lang w:val="en-US" w:eastAsia="zh-CN"/>
              </w:rPr>
              <w:t>20806</w:t>
            </w:r>
            <w:r>
              <w:rPr>
                <w:rFonts w:hint="eastAsia" w:ascii="宋体" w:hAnsi="宋体" w:cs="宋体"/>
                <w:b/>
                <w:bCs/>
                <w:color w:val="auto"/>
                <w:kern w:val="0"/>
                <w:sz w:val="16"/>
                <w:szCs w:val="16"/>
                <w:highlight w:val="none"/>
              </w:rPr>
              <w:t>　</w:t>
            </w:r>
          </w:p>
        </w:tc>
        <w:tc>
          <w:tcPr>
            <w:tcW w:w="503"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宋体" w:hAnsi="宋体" w:eastAsia="宋体" w:cs="宋体"/>
                <w:b/>
                <w:bCs/>
                <w:color w:val="auto"/>
                <w:kern w:val="0"/>
                <w:sz w:val="16"/>
                <w:szCs w:val="16"/>
                <w:highlight w:val="none"/>
                <w:lang w:val="en-US" w:eastAsia="zh-CN" w:bidi="ar-SA"/>
              </w:rPr>
            </w:pPr>
            <w:r>
              <w:rPr>
                <w:rFonts w:hint="eastAsia" w:ascii="宋体" w:hAnsi="宋体" w:cs="宋体"/>
                <w:b/>
                <w:bCs/>
                <w:color w:val="auto"/>
                <w:kern w:val="0"/>
                <w:sz w:val="16"/>
                <w:szCs w:val="16"/>
                <w:highlight w:val="none"/>
              </w:rPr>
              <w:t>　</w:t>
            </w:r>
          </w:p>
        </w:tc>
        <w:tc>
          <w:tcPr>
            <w:tcW w:w="2510"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_GB2312" w:hAnsi="宋体" w:eastAsia="仿宋_GB2312" w:cs="宋体"/>
                <w:b/>
                <w:bCs/>
                <w:color w:val="auto"/>
                <w:kern w:val="0"/>
                <w:sz w:val="18"/>
                <w:szCs w:val="18"/>
                <w:highlight w:val="none"/>
                <w:shd w:val="clear" w:color="auto" w:fill="auto"/>
                <w:lang w:val="en-US" w:eastAsia="zh-CN" w:bidi="ar-SA"/>
              </w:rPr>
            </w:pPr>
            <w:r>
              <w:rPr>
                <w:rFonts w:hint="eastAsia" w:ascii="仿宋_GB2312" w:hAnsi="宋体" w:eastAsia="仿宋_GB2312" w:cs="宋体"/>
                <w:b/>
                <w:bCs/>
                <w:color w:val="auto"/>
                <w:kern w:val="0"/>
                <w:sz w:val="18"/>
                <w:szCs w:val="18"/>
                <w:highlight w:val="none"/>
                <w:shd w:val="clear" w:color="auto" w:fill="auto"/>
              </w:rPr>
              <w:t>企业改革补助</w:t>
            </w:r>
          </w:p>
        </w:tc>
        <w:tc>
          <w:tcPr>
            <w:tcW w:w="1684" w:type="dxa"/>
            <w:gridSpan w:val="2"/>
            <w:tcBorders>
              <w:top w:val="nil"/>
              <w:left w:val="nil"/>
              <w:bottom w:val="single" w:color="auto" w:sz="4" w:space="0"/>
              <w:right w:val="single" w:color="auto" w:sz="4" w:space="0"/>
            </w:tcBorders>
            <w:noWrap w:val="0"/>
            <w:vAlign w:val="bottom"/>
          </w:tcPr>
          <w:p>
            <w:pPr>
              <w:widowControl/>
              <w:jc w:val="center"/>
              <w:rPr>
                <w:rFonts w:hint="default" w:ascii="宋体" w:hAnsi="宋体" w:eastAsia="宋体" w:cs="宋体"/>
                <w:b/>
                <w:bCs/>
                <w:color w:val="auto"/>
                <w:kern w:val="0"/>
                <w:sz w:val="20"/>
                <w:szCs w:val="20"/>
                <w:highlight w:val="none"/>
                <w:lang w:val="en-US" w:eastAsia="zh-CN"/>
              </w:rPr>
            </w:pPr>
            <w:r>
              <w:rPr>
                <w:rFonts w:hint="eastAsia" w:ascii="宋体" w:hAnsi="宋体" w:cs="宋体"/>
                <w:b/>
                <w:bCs/>
                <w:color w:val="auto"/>
                <w:kern w:val="0"/>
                <w:sz w:val="20"/>
                <w:szCs w:val="20"/>
                <w:highlight w:val="none"/>
                <w:lang w:val="en-US" w:eastAsia="zh-CN"/>
              </w:rPr>
              <w:t>3.87</w:t>
            </w:r>
          </w:p>
        </w:tc>
        <w:tc>
          <w:tcPr>
            <w:tcW w:w="1842" w:type="dxa"/>
            <w:gridSpan w:val="2"/>
            <w:tcBorders>
              <w:top w:val="nil"/>
              <w:left w:val="nil"/>
              <w:bottom w:val="single" w:color="auto" w:sz="4" w:space="0"/>
              <w:right w:val="single" w:color="auto" w:sz="4" w:space="0"/>
            </w:tcBorders>
            <w:noWrap w:val="0"/>
            <w:vAlign w:val="bottom"/>
          </w:tcPr>
          <w:p>
            <w:pPr>
              <w:widowControl/>
              <w:jc w:val="center"/>
              <w:rPr>
                <w:rFonts w:hint="default" w:ascii="宋体" w:hAnsi="宋体" w:eastAsia="宋体" w:cs="宋体"/>
                <w:b/>
                <w:bCs/>
                <w:color w:val="auto"/>
                <w:kern w:val="0"/>
                <w:sz w:val="20"/>
                <w:szCs w:val="20"/>
                <w:highlight w:val="none"/>
                <w:lang w:val="en-US" w:eastAsia="zh-CN"/>
              </w:rPr>
            </w:pPr>
          </w:p>
        </w:tc>
        <w:tc>
          <w:tcPr>
            <w:tcW w:w="1701" w:type="dxa"/>
            <w:tcBorders>
              <w:top w:val="nil"/>
              <w:left w:val="nil"/>
              <w:bottom w:val="single" w:color="auto" w:sz="4" w:space="0"/>
              <w:right w:val="single" w:color="auto" w:sz="4" w:space="0"/>
            </w:tcBorders>
            <w:noWrap w:val="0"/>
            <w:vAlign w:val="bottom"/>
          </w:tcPr>
          <w:p>
            <w:pPr>
              <w:widowControl/>
              <w:jc w:val="center"/>
              <w:rPr>
                <w:rFonts w:hint="default" w:ascii="宋体" w:hAnsi="宋体" w:eastAsia="宋体" w:cs="宋体"/>
                <w:b/>
                <w:bCs/>
                <w:color w:val="auto"/>
                <w:kern w:val="0"/>
                <w:sz w:val="20"/>
                <w:szCs w:val="20"/>
                <w:highlight w:val="none"/>
                <w:lang w:val="en-US" w:eastAsia="zh-CN"/>
              </w:rPr>
            </w:pPr>
            <w:r>
              <w:rPr>
                <w:rFonts w:hint="eastAsia" w:ascii="宋体" w:hAnsi="宋体" w:cs="宋体"/>
                <w:b/>
                <w:bCs/>
                <w:color w:val="auto"/>
                <w:kern w:val="0"/>
                <w:sz w:val="20"/>
                <w:szCs w:val="20"/>
                <w:highlight w:val="none"/>
                <w:lang w:val="en-US" w:eastAsia="zh-CN"/>
              </w:rPr>
              <w:t>3.87</w:t>
            </w: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208</w:t>
            </w:r>
          </w:p>
        </w:tc>
        <w:tc>
          <w:tcPr>
            <w:tcW w:w="500"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20806</w:t>
            </w:r>
          </w:p>
        </w:tc>
        <w:tc>
          <w:tcPr>
            <w:tcW w:w="503"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2080699</w:t>
            </w:r>
          </w:p>
        </w:tc>
        <w:tc>
          <w:tcPr>
            <w:tcW w:w="2510"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shd w:val="clear" w:color="auto" w:fill="auto"/>
                <w:lang w:val="en-US" w:eastAsia="zh-CN" w:bidi="ar-SA"/>
              </w:rPr>
            </w:pPr>
            <w:r>
              <w:rPr>
                <w:rFonts w:hint="eastAsia" w:ascii="仿宋_GB2312" w:hAnsi="宋体" w:eastAsia="仿宋_GB2312" w:cs="宋体"/>
                <w:b w:val="0"/>
                <w:bCs w:val="0"/>
                <w:color w:val="auto"/>
                <w:kern w:val="0"/>
                <w:sz w:val="18"/>
                <w:szCs w:val="18"/>
                <w:highlight w:val="none"/>
                <w:shd w:val="clear" w:color="auto" w:fill="auto"/>
              </w:rPr>
              <w:t>其他企业改革发展补助</w:t>
            </w:r>
          </w:p>
        </w:tc>
        <w:tc>
          <w:tcPr>
            <w:tcW w:w="1684" w:type="dxa"/>
            <w:gridSpan w:val="2"/>
            <w:tcBorders>
              <w:top w:val="nil"/>
              <w:left w:val="nil"/>
              <w:bottom w:val="single" w:color="auto" w:sz="4" w:space="0"/>
              <w:right w:val="single" w:color="auto" w:sz="4" w:space="0"/>
            </w:tcBorders>
            <w:noWrap w:val="0"/>
            <w:vAlign w:val="bottom"/>
          </w:tcPr>
          <w:p>
            <w:pPr>
              <w:widowControl/>
              <w:jc w:val="center"/>
              <w:rPr>
                <w:rFonts w:hint="default" w:ascii="宋体" w:hAnsi="宋体" w:eastAsia="宋体" w:cs="宋体"/>
                <w:b w:val="0"/>
                <w:bCs w:val="0"/>
                <w:color w:val="auto"/>
                <w:kern w:val="0"/>
                <w:sz w:val="20"/>
                <w:szCs w:val="20"/>
                <w:highlight w:val="none"/>
                <w:lang w:val="en-US" w:eastAsia="zh-CN"/>
              </w:rPr>
            </w:pPr>
            <w:r>
              <w:rPr>
                <w:rFonts w:hint="eastAsia" w:ascii="宋体" w:hAnsi="宋体" w:cs="宋体"/>
                <w:b w:val="0"/>
                <w:bCs w:val="0"/>
                <w:color w:val="auto"/>
                <w:kern w:val="0"/>
                <w:sz w:val="20"/>
                <w:szCs w:val="20"/>
                <w:highlight w:val="none"/>
                <w:lang w:val="en-US" w:eastAsia="zh-CN"/>
              </w:rPr>
              <w:t>3.87</w:t>
            </w:r>
          </w:p>
        </w:tc>
        <w:tc>
          <w:tcPr>
            <w:tcW w:w="1842" w:type="dxa"/>
            <w:gridSpan w:val="2"/>
            <w:tcBorders>
              <w:top w:val="nil"/>
              <w:left w:val="nil"/>
              <w:bottom w:val="single" w:color="auto" w:sz="4" w:space="0"/>
              <w:right w:val="single" w:color="auto" w:sz="4" w:space="0"/>
            </w:tcBorders>
            <w:noWrap w:val="0"/>
            <w:vAlign w:val="bottom"/>
          </w:tcPr>
          <w:p>
            <w:pPr>
              <w:widowControl/>
              <w:jc w:val="center"/>
              <w:rPr>
                <w:rFonts w:hint="default" w:ascii="宋体" w:hAnsi="宋体" w:eastAsia="宋体" w:cs="宋体"/>
                <w:b w:val="0"/>
                <w:bCs w:val="0"/>
                <w:color w:val="auto"/>
                <w:kern w:val="0"/>
                <w:sz w:val="20"/>
                <w:szCs w:val="20"/>
                <w:highlight w:val="none"/>
                <w:lang w:val="en-US" w:eastAsia="zh-CN"/>
              </w:rPr>
            </w:pPr>
          </w:p>
        </w:tc>
        <w:tc>
          <w:tcPr>
            <w:tcW w:w="1701" w:type="dxa"/>
            <w:tcBorders>
              <w:top w:val="nil"/>
              <w:left w:val="nil"/>
              <w:bottom w:val="single" w:color="auto" w:sz="4" w:space="0"/>
              <w:right w:val="single" w:color="auto" w:sz="4" w:space="0"/>
            </w:tcBorders>
            <w:noWrap w:val="0"/>
            <w:vAlign w:val="bottom"/>
          </w:tcPr>
          <w:p>
            <w:pPr>
              <w:widowControl/>
              <w:jc w:val="center"/>
              <w:rPr>
                <w:rFonts w:hint="default" w:ascii="宋体" w:hAnsi="宋体" w:eastAsia="宋体" w:cs="宋体"/>
                <w:b w:val="0"/>
                <w:bCs w:val="0"/>
                <w:color w:val="auto"/>
                <w:kern w:val="0"/>
                <w:sz w:val="20"/>
                <w:szCs w:val="20"/>
                <w:highlight w:val="none"/>
                <w:lang w:val="en-US" w:eastAsia="zh-CN"/>
              </w:rPr>
            </w:pPr>
            <w:r>
              <w:rPr>
                <w:rFonts w:hint="eastAsia" w:ascii="宋体" w:hAnsi="宋体" w:cs="宋体"/>
                <w:b w:val="0"/>
                <w:bCs w:val="0"/>
                <w:color w:val="auto"/>
                <w:kern w:val="0"/>
                <w:sz w:val="20"/>
                <w:szCs w:val="20"/>
                <w:highlight w:val="none"/>
                <w:lang w:val="en-US" w:eastAsia="zh-CN"/>
              </w:rPr>
              <w:t>3.87</w:t>
            </w: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280" w:lineRule="exact"/>
              <w:jc w:val="center"/>
              <w:rPr>
                <w:rFonts w:ascii="宋体" w:hAnsi="宋体" w:eastAsia="宋体" w:cs="宋体"/>
                <w:b/>
                <w:bCs/>
                <w:color w:val="auto"/>
                <w:kern w:val="0"/>
                <w:sz w:val="16"/>
                <w:szCs w:val="16"/>
                <w:highlight w:val="none"/>
                <w:lang w:val="en-US" w:eastAsia="zh-CN" w:bidi="ar-SA"/>
              </w:rPr>
            </w:pPr>
            <w:r>
              <w:rPr>
                <w:rFonts w:hint="eastAsia" w:ascii="宋体" w:hAnsi="宋体" w:cs="宋体"/>
                <w:b/>
                <w:bCs/>
                <w:color w:val="auto"/>
                <w:kern w:val="0"/>
                <w:sz w:val="16"/>
                <w:szCs w:val="16"/>
                <w:highlight w:val="none"/>
                <w:lang w:val="en-US" w:eastAsia="zh-CN"/>
              </w:rPr>
              <w:t>210</w:t>
            </w:r>
            <w:r>
              <w:rPr>
                <w:rFonts w:hint="eastAsia" w:ascii="宋体" w:hAnsi="宋体" w:cs="宋体"/>
                <w:b/>
                <w:bCs/>
                <w:color w:val="auto"/>
                <w:kern w:val="0"/>
                <w:sz w:val="16"/>
                <w:szCs w:val="16"/>
                <w:highlight w:val="none"/>
              </w:rPr>
              <w:t>　</w:t>
            </w:r>
          </w:p>
        </w:tc>
        <w:tc>
          <w:tcPr>
            <w:tcW w:w="500"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宋体" w:hAnsi="宋体" w:eastAsia="宋体" w:cs="宋体"/>
                <w:b/>
                <w:bCs/>
                <w:color w:val="auto"/>
                <w:kern w:val="0"/>
                <w:sz w:val="16"/>
                <w:szCs w:val="16"/>
                <w:highlight w:val="none"/>
                <w:lang w:val="en-US" w:eastAsia="zh-CN" w:bidi="ar-SA"/>
              </w:rPr>
            </w:pPr>
            <w:r>
              <w:rPr>
                <w:rFonts w:hint="eastAsia" w:ascii="宋体" w:hAnsi="宋体" w:cs="宋体"/>
                <w:b/>
                <w:bCs/>
                <w:color w:val="auto"/>
                <w:kern w:val="0"/>
                <w:sz w:val="16"/>
                <w:szCs w:val="16"/>
                <w:highlight w:val="none"/>
              </w:rPr>
              <w:t>　</w:t>
            </w:r>
          </w:p>
        </w:tc>
        <w:tc>
          <w:tcPr>
            <w:tcW w:w="503"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宋体" w:hAnsi="宋体" w:eastAsia="宋体" w:cs="宋体"/>
                <w:b/>
                <w:bCs/>
                <w:color w:val="auto"/>
                <w:kern w:val="0"/>
                <w:sz w:val="16"/>
                <w:szCs w:val="16"/>
                <w:highlight w:val="none"/>
                <w:lang w:val="en-US" w:eastAsia="zh-CN" w:bidi="ar-SA"/>
              </w:rPr>
            </w:pPr>
            <w:r>
              <w:rPr>
                <w:rFonts w:hint="eastAsia" w:ascii="宋体" w:hAnsi="宋体" w:cs="宋体"/>
                <w:b/>
                <w:bCs/>
                <w:color w:val="auto"/>
                <w:kern w:val="0"/>
                <w:sz w:val="16"/>
                <w:szCs w:val="16"/>
                <w:highlight w:val="none"/>
              </w:rPr>
              <w:t>　</w:t>
            </w:r>
          </w:p>
        </w:tc>
        <w:tc>
          <w:tcPr>
            <w:tcW w:w="2510"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_GB2312" w:hAnsi="宋体" w:eastAsia="仿宋_GB2312" w:cs="宋体"/>
                <w:b/>
                <w:bCs/>
                <w:color w:val="auto"/>
                <w:kern w:val="0"/>
                <w:sz w:val="18"/>
                <w:szCs w:val="18"/>
                <w:highlight w:val="none"/>
                <w:shd w:val="clear" w:color="auto" w:fill="auto"/>
                <w:lang w:val="en-US" w:eastAsia="zh-CN" w:bidi="ar-SA"/>
              </w:rPr>
            </w:pPr>
            <w:r>
              <w:rPr>
                <w:rFonts w:hint="eastAsia" w:ascii="仿宋_GB2312" w:hAnsi="宋体" w:eastAsia="仿宋_GB2312" w:cs="宋体"/>
                <w:b/>
                <w:bCs/>
                <w:color w:val="auto"/>
                <w:kern w:val="0"/>
                <w:sz w:val="18"/>
                <w:szCs w:val="18"/>
                <w:highlight w:val="none"/>
                <w:shd w:val="clear" w:color="auto" w:fill="auto"/>
              </w:rPr>
              <w:t>卫生健康支出　</w:t>
            </w:r>
          </w:p>
        </w:tc>
        <w:tc>
          <w:tcPr>
            <w:tcW w:w="1684" w:type="dxa"/>
            <w:gridSpan w:val="2"/>
            <w:tcBorders>
              <w:top w:val="nil"/>
              <w:left w:val="nil"/>
              <w:bottom w:val="single" w:color="auto" w:sz="4" w:space="0"/>
              <w:right w:val="single" w:color="auto" w:sz="4" w:space="0"/>
            </w:tcBorders>
            <w:noWrap w:val="0"/>
            <w:vAlign w:val="bottom"/>
          </w:tcPr>
          <w:p>
            <w:pPr>
              <w:widowControl/>
              <w:jc w:val="center"/>
              <w:rPr>
                <w:rFonts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23.97</w:t>
            </w:r>
          </w:p>
        </w:tc>
        <w:tc>
          <w:tcPr>
            <w:tcW w:w="1842" w:type="dxa"/>
            <w:gridSpan w:val="2"/>
            <w:tcBorders>
              <w:top w:val="nil"/>
              <w:left w:val="nil"/>
              <w:bottom w:val="single" w:color="auto" w:sz="4" w:space="0"/>
              <w:right w:val="single" w:color="auto" w:sz="4" w:space="0"/>
            </w:tcBorders>
            <w:noWrap w:val="0"/>
            <w:vAlign w:val="bottom"/>
          </w:tcPr>
          <w:p>
            <w:pPr>
              <w:widowControl/>
              <w:jc w:val="center"/>
              <w:rPr>
                <w:rFonts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23.97</w:t>
            </w:r>
          </w:p>
        </w:tc>
        <w:tc>
          <w:tcPr>
            <w:tcW w:w="1701" w:type="dxa"/>
            <w:tcBorders>
              <w:top w:val="nil"/>
              <w:left w:val="nil"/>
              <w:bottom w:val="single" w:color="auto" w:sz="4" w:space="0"/>
              <w:right w:val="single" w:color="auto" w:sz="4" w:space="0"/>
            </w:tcBorders>
            <w:noWrap w:val="0"/>
            <w:vAlign w:val="bottom"/>
          </w:tcPr>
          <w:p>
            <w:pPr>
              <w:widowControl/>
              <w:jc w:val="center"/>
              <w:rPr>
                <w:rFonts w:ascii="宋体" w:hAnsi="宋体" w:cs="宋体"/>
                <w:b/>
                <w:bCs/>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280" w:lineRule="exact"/>
              <w:jc w:val="center"/>
              <w:rPr>
                <w:rFonts w:hint="default" w:ascii="宋体" w:hAnsi="宋体" w:eastAsia="宋体" w:cs="宋体"/>
                <w:b/>
                <w:bCs/>
                <w:color w:val="auto"/>
                <w:kern w:val="0"/>
                <w:sz w:val="16"/>
                <w:szCs w:val="16"/>
                <w:highlight w:val="none"/>
                <w:lang w:val="en-US" w:eastAsia="zh-CN" w:bidi="ar-SA"/>
              </w:rPr>
            </w:pPr>
            <w:r>
              <w:rPr>
                <w:rFonts w:hint="eastAsia" w:ascii="宋体" w:hAnsi="宋体" w:cs="宋体"/>
                <w:b/>
                <w:bCs/>
                <w:color w:val="auto"/>
                <w:kern w:val="0"/>
                <w:sz w:val="16"/>
                <w:szCs w:val="16"/>
                <w:highlight w:val="none"/>
                <w:lang w:val="en-US" w:eastAsia="zh-CN"/>
              </w:rPr>
              <w:t>210</w:t>
            </w:r>
          </w:p>
        </w:tc>
        <w:tc>
          <w:tcPr>
            <w:tcW w:w="500"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hint="default" w:ascii="宋体" w:hAnsi="宋体" w:eastAsia="宋体" w:cs="宋体"/>
                <w:b/>
                <w:bCs/>
                <w:color w:val="auto"/>
                <w:kern w:val="0"/>
                <w:sz w:val="16"/>
                <w:szCs w:val="16"/>
                <w:highlight w:val="none"/>
                <w:lang w:val="en-US" w:eastAsia="zh-CN" w:bidi="ar-SA"/>
              </w:rPr>
            </w:pPr>
            <w:r>
              <w:rPr>
                <w:rFonts w:hint="eastAsia" w:ascii="宋体" w:hAnsi="宋体" w:cs="宋体"/>
                <w:b/>
                <w:bCs/>
                <w:color w:val="auto"/>
                <w:kern w:val="0"/>
                <w:sz w:val="16"/>
                <w:szCs w:val="16"/>
                <w:highlight w:val="none"/>
                <w:lang w:val="en-US" w:eastAsia="zh-CN"/>
              </w:rPr>
              <w:t>21011</w:t>
            </w:r>
          </w:p>
        </w:tc>
        <w:tc>
          <w:tcPr>
            <w:tcW w:w="503"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宋体" w:hAnsi="宋体" w:eastAsia="宋体" w:cs="宋体"/>
                <w:b/>
                <w:bCs/>
                <w:color w:val="auto"/>
                <w:kern w:val="0"/>
                <w:sz w:val="16"/>
                <w:szCs w:val="16"/>
                <w:highlight w:val="none"/>
                <w:lang w:val="en-US" w:eastAsia="zh-CN" w:bidi="ar-SA"/>
              </w:rPr>
            </w:pPr>
          </w:p>
        </w:tc>
        <w:tc>
          <w:tcPr>
            <w:tcW w:w="2510"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_GB2312" w:hAnsi="宋体" w:eastAsia="仿宋_GB2312" w:cs="宋体"/>
                <w:b/>
                <w:bCs/>
                <w:color w:val="auto"/>
                <w:kern w:val="0"/>
                <w:sz w:val="18"/>
                <w:szCs w:val="18"/>
                <w:highlight w:val="none"/>
                <w:shd w:val="clear" w:color="auto" w:fill="auto"/>
                <w:lang w:val="en-US" w:eastAsia="zh-CN" w:bidi="ar-SA"/>
              </w:rPr>
            </w:pPr>
            <w:r>
              <w:rPr>
                <w:rFonts w:hint="eastAsia" w:ascii="仿宋_GB2312" w:hAnsi="宋体" w:eastAsia="仿宋_GB2312" w:cs="宋体"/>
                <w:b/>
                <w:bCs/>
                <w:color w:val="auto"/>
                <w:kern w:val="0"/>
                <w:sz w:val="18"/>
                <w:szCs w:val="18"/>
                <w:highlight w:val="none"/>
                <w:shd w:val="clear" w:color="auto" w:fill="auto"/>
              </w:rPr>
              <w:t>行政事业单位医疗</w:t>
            </w:r>
          </w:p>
        </w:tc>
        <w:tc>
          <w:tcPr>
            <w:tcW w:w="1684" w:type="dxa"/>
            <w:gridSpan w:val="2"/>
            <w:tcBorders>
              <w:top w:val="nil"/>
              <w:left w:val="nil"/>
              <w:bottom w:val="single" w:color="auto" w:sz="4" w:space="0"/>
              <w:right w:val="single" w:color="auto" w:sz="4" w:space="0"/>
            </w:tcBorders>
            <w:noWrap w:val="0"/>
            <w:vAlign w:val="bottom"/>
          </w:tcPr>
          <w:p>
            <w:pPr>
              <w:widowControl/>
              <w:jc w:val="center"/>
              <w:rPr>
                <w:rFonts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23.97</w:t>
            </w:r>
          </w:p>
        </w:tc>
        <w:tc>
          <w:tcPr>
            <w:tcW w:w="1842" w:type="dxa"/>
            <w:gridSpan w:val="2"/>
            <w:tcBorders>
              <w:top w:val="nil"/>
              <w:left w:val="nil"/>
              <w:bottom w:val="single" w:color="auto" w:sz="4" w:space="0"/>
              <w:right w:val="single" w:color="auto" w:sz="4" w:space="0"/>
            </w:tcBorders>
            <w:noWrap w:val="0"/>
            <w:vAlign w:val="bottom"/>
          </w:tcPr>
          <w:p>
            <w:pPr>
              <w:widowControl/>
              <w:jc w:val="center"/>
              <w:rPr>
                <w:rFonts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23.97</w:t>
            </w:r>
          </w:p>
        </w:tc>
        <w:tc>
          <w:tcPr>
            <w:tcW w:w="1701" w:type="dxa"/>
            <w:tcBorders>
              <w:top w:val="nil"/>
              <w:left w:val="nil"/>
              <w:bottom w:val="single" w:color="auto" w:sz="4" w:space="0"/>
              <w:right w:val="single" w:color="auto" w:sz="4" w:space="0"/>
            </w:tcBorders>
            <w:noWrap w:val="0"/>
            <w:vAlign w:val="bottom"/>
          </w:tcPr>
          <w:p>
            <w:pPr>
              <w:widowControl/>
              <w:jc w:val="center"/>
              <w:rPr>
                <w:rFonts w:ascii="宋体" w:hAnsi="宋体" w:cs="宋体"/>
                <w:b/>
                <w:bCs/>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210</w:t>
            </w:r>
          </w:p>
        </w:tc>
        <w:tc>
          <w:tcPr>
            <w:tcW w:w="500"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21011</w:t>
            </w:r>
          </w:p>
        </w:tc>
        <w:tc>
          <w:tcPr>
            <w:tcW w:w="503"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2101101</w:t>
            </w:r>
          </w:p>
        </w:tc>
        <w:tc>
          <w:tcPr>
            <w:tcW w:w="2510"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bidi="ar-SA"/>
              </w:rPr>
            </w:pPr>
            <w:r>
              <w:rPr>
                <w:rFonts w:hint="eastAsia" w:ascii="仿宋_GB2312" w:hAnsi="宋体" w:eastAsia="仿宋_GB2312" w:cs="宋体"/>
                <w:color w:val="auto"/>
                <w:kern w:val="0"/>
                <w:sz w:val="18"/>
                <w:szCs w:val="18"/>
                <w:highlight w:val="none"/>
                <w:shd w:val="clear" w:color="auto" w:fill="auto"/>
              </w:rPr>
              <w:t>行政单位医疗</w:t>
            </w:r>
          </w:p>
        </w:tc>
        <w:tc>
          <w:tcPr>
            <w:tcW w:w="1684" w:type="dxa"/>
            <w:gridSpan w:val="2"/>
            <w:tcBorders>
              <w:top w:val="nil"/>
              <w:left w:val="nil"/>
              <w:bottom w:val="single" w:color="auto" w:sz="4" w:space="0"/>
              <w:right w:val="single" w:color="auto" w:sz="4" w:space="0"/>
            </w:tcBorders>
            <w:noWrap w:val="0"/>
            <w:vAlign w:val="bottom"/>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12.54</w:t>
            </w:r>
          </w:p>
        </w:tc>
        <w:tc>
          <w:tcPr>
            <w:tcW w:w="1842" w:type="dxa"/>
            <w:gridSpan w:val="2"/>
            <w:tcBorders>
              <w:top w:val="nil"/>
              <w:left w:val="nil"/>
              <w:bottom w:val="single" w:color="auto" w:sz="4" w:space="0"/>
              <w:right w:val="single" w:color="auto" w:sz="4" w:space="0"/>
            </w:tcBorders>
            <w:noWrap w:val="0"/>
            <w:vAlign w:val="bottom"/>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12.54</w:t>
            </w:r>
          </w:p>
        </w:tc>
        <w:tc>
          <w:tcPr>
            <w:tcW w:w="1701" w:type="dxa"/>
            <w:tcBorders>
              <w:top w:val="nil"/>
              <w:left w:val="nil"/>
              <w:bottom w:val="single" w:color="auto" w:sz="4" w:space="0"/>
              <w:right w:val="single" w:color="auto" w:sz="4" w:space="0"/>
            </w:tcBorders>
            <w:noWrap w:val="0"/>
            <w:vAlign w:val="bottom"/>
          </w:tcPr>
          <w:p>
            <w:pPr>
              <w:widowControl/>
              <w:jc w:val="center"/>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210</w:t>
            </w:r>
          </w:p>
        </w:tc>
        <w:tc>
          <w:tcPr>
            <w:tcW w:w="500"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21011</w:t>
            </w:r>
          </w:p>
        </w:tc>
        <w:tc>
          <w:tcPr>
            <w:tcW w:w="503"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2101102</w:t>
            </w:r>
          </w:p>
        </w:tc>
        <w:tc>
          <w:tcPr>
            <w:tcW w:w="2510"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bidi="ar-SA"/>
              </w:rPr>
            </w:pPr>
            <w:r>
              <w:rPr>
                <w:rFonts w:hint="eastAsia" w:ascii="仿宋_GB2312" w:hAnsi="宋体" w:eastAsia="仿宋_GB2312" w:cs="宋体"/>
                <w:color w:val="auto"/>
                <w:kern w:val="0"/>
                <w:sz w:val="18"/>
                <w:szCs w:val="18"/>
                <w:highlight w:val="none"/>
                <w:shd w:val="clear" w:color="auto" w:fill="auto"/>
              </w:rPr>
              <w:t>事业单位医疗</w:t>
            </w:r>
          </w:p>
        </w:tc>
        <w:tc>
          <w:tcPr>
            <w:tcW w:w="1684" w:type="dxa"/>
            <w:gridSpan w:val="2"/>
            <w:tcBorders>
              <w:top w:val="nil"/>
              <w:left w:val="nil"/>
              <w:bottom w:val="single" w:color="auto" w:sz="4" w:space="0"/>
              <w:right w:val="single" w:color="auto" w:sz="4" w:space="0"/>
            </w:tcBorders>
            <w:noWrap w:val="0"/>
            <w:vAlign w:val="bottom"/>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3.30</w:t>
            </w:r>
          </w:p>
        </w:tc>
        <w:tc>
          <w:tcPr>
            <w:tcW w:w="1842" w:type="dxa"/>
            <w:gridSpan w:val="2"/>
            <w:tcBorders>
              <w:top w:val="nil"/>
              <w:left w:val="nil"/>
              <w:bottom w:val="single" w:color="auto" w:sz="4" w:space="0"/>
              <w:right w:val="single" w:color="auto" w:sz="4" w:space="0"/>
            </w:tcBorders>
            <w:noWrap w:val="0"/>
            <w:vAlign w:val="bottom"/>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3.30</w:t>
            </w:r>
          </w:p>
        </w:tc>
        <w:tc>
          <w:tcPr>
            <w:tcW w:w="1701" w:type="dxa"/>
            <w:tcBorders>
              <w:top w:val="nil"/>
              <w:left w:val="nil"/>
              <w:bottom w:val="single" w:color="auto" w:sz="4" w:space="0"/>
              <w:right w:val="single" w:color="auto" w:sz="4" w:space="0"/>
            </w:tcBorders>
            <w:noWrap w:val="0"/>
            <w:vAlign w:val="bottom"/>
          </w:tcPr>
          <w:p>
            <w:pPr>
              <w:widowControl/>
              <w:jc w:val="center"/>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210</w:t>
            </w:r>
          </w:p>
        </w:tc>
        <w:tc>
          <w:tcPr>
            <w:tcW w:w="500"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21011</w:t>
            </w:r>
          </w:p>
        </w:tc>
        <w:tc>
          <w:tcPr>
            <w:tcW w:w="503"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2101103</w:t>
            </w:r>
          </w:p>
        </w:tc>
        <w:tc>
          <w:tcPr>
            <w:tcW w:w="2510"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bidi="ar-SA"/>
              </w:rPr>
            </w:pPr>
            <w:r>
              <w:rPr>
                <w:rFonts w:hint="eastAsia" w:ascii="仿宋_GB2312" w:hAnsi="宋体" w:eastAsia="仿宋_GB2312" w:cs="宋体"/>
                <w:color w:val="auto"/>
                <w:kern w:val="0"/>
                <w:sz w:val="18"/>
                <w:szCs w:val="18"/>
                <w:highlight w:val="none"/>
                <w:shd w:val="clear" w:color="auto" w:fill="auto"/>
              </w:rPr>
              <w:t>公务员医疗补助</w:t>
            </w:r>
          </w:p>
        </w:tc>
        <w:tc>
          <w:tcPr>
            <w:tcW w:w="1684" w:type="dxa"/>
            <w:gridSpan w:val="2"/>
            <w:tcBorders>
              <w:top w:val="nil"/>
              <w:left w:val="nil"/>
              <w:bottom w:val="single" w:color="auto" w:sz="4" w:space="0"/>
              <w:right w:val="single" w:color="auto" w:sz="4" w:space="0"/>
            </w:tcBorders>
            <w:noWrap w:val="0"/>
            <w:vAlign w:val="bottom"/>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7.92</w:t>
            </w:r>
          </w:p>
        </w:tc>
        <w:tc>
          <w:tcPr>
            <w:tcW w:w="1842" w:type="dxa"/>
            <w:gridSpan w:val="2"/>
            <w:tcBorders>
              <w:top w:val="nil"/>
              <w:left w:val="nil"/>
              <w:bottom w:val="single" w:color="auto" w:sz="4" w:space="0"/>
              <w:right w:val="single" w:color="auto" w:sz="4" w:space="0"/>
            </w:tcBorders>
            <w:noWrap w:val="0"/>
            <w:vAlign w:val="bottom"/>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7.92</w:t>
            </w:r>
          </w:p>
        </w:tc>
        <w:tc>
          <w:tcPr>
            <w:tcW w:w="1701" w:type="dxa"/>
            <w:tcBorders>
              <w:top w:val="nil"/>
              <w:left w:val="nil"/>
              <w:bottom w:val="single" w:color="auto" w:sz="4" w:space="0"/>
              <w:right w:val="single" w:color="auto" w:sz="4" w:space="0"/>
            </w:tcBorders>
            <w:noWrap w:val="0"/>
            <w:vAlign w:val="bottom"/>
          </w:tcPr>
          <w:p>
            <w:pPr>
              <w:widowControl/>
              <w:jc w:val="center"/>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210</w:t>
            </w:r>
          </w:p>
        </w:tc>
        <w:tc>
          <w:tcPr>
            <w:tcW w:w="500"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21011</w:t>
            </w:r>
          </w:p>
        </w:tc>
        <w:tc>
          <w:tcPr>
            <w:tcW w:w="503"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2101199</w:t>
            </w:r>
          </w:p>
        </w:tc>
        <w:tc>
          <w:tcPr>
            <w:tcW w:w="2510"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bidi="ar-SA"/>
              </w:rPr>
            </w:pPr>
            <w:r>
              <w:rPr>
                <w:rFonts w:hint="eastAsia" w:ascii="仿宋_GB2312" w:hAnsi="宋体" w:eastAsia="仿宋_GB2312" w:cs="宋体"/>
                <w:color w:val="auto"/>
                <w:kern w:val="0"/>
                <w:sz w:val="18"/>
                <w:szCs w:val="18"/>
                <w:highlight w:val="none"/>
                <w:shd w:val="clear" w:color="auto" w:fill="auto"/>
              </w:rPr>
              <w:t>其他行政事业单位医疗支出</w:t>
            </w:r>
          </w:p>
        </w:tc>
        <w:tc>
          <w:tcPr>
            <w:tcW w:w="1684" w:type="dxa"/>
            <w:gridSpan w:val="2"/>
            <w:tcBorders>
              <w:top w:val="nil"/>
              <w:left w:val="nil"/>
              <w:bottom w:val="single" w:color="auto" w:sz="4" w:space="0"/>
              <w:right w:val="single" w:color="auto" w:sz="4" w:space="0"/>
            </w:tcBorders>
            <w:noWrap w:val="0"/>
            <w:vAlign w:val="bottom"/>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0.20</w:t>
            </w:r>
          </w:p>
        </w:tc>
        <w:tc>
          <w:tcPr>
            <w:tcW w:w="1842" w:type="dxa"/>
            <w:gridSpan w:val="2"/>
            <w:tcBorders>
              <w:top w:val="nil"/>
              <w:left w:val="nil"/>
              <w:bottom w:val="single" w:color="auto" w:sz="4" w:space="0"/>
              <w:right w:val="single" w:color="auto" w:sz="4" w:space="0"/>
            </w:tcBorders>
            <w:noWrap w:val="0"/>
            <w:vAlign w:val="bottom"/>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0.20</w:t>
            </w:r>
          </w:p>
        </w:tc>
        <w:tc>
          <w:tcPr>
            <w:tcW w:w="1701" w:type="dxa"/>
            <w:tcBorders>
              <w:top w:val="nil"/>
              <w:left w:val="nil"/>
              <w:bottom w:val="single" w:color="auto" w:sz="4" w:space="0"/>
              <w:right w:val="single" w:color="auto" w:sz="4" w:space="0"/>
            </w:tcBorders>
            <w:noWrap w:val="0"/>
            <w:vAlign w:val="bottom"/>
          </w:tcPr>
          <w:p>
            <w:pPr>
              <w:widowControl/>
              <w:jc w:val="center"/>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280" w:lineRule="exact"/>
              <w:jc w:val="center"/>
              <w:rPr>
                <w:rFonts w:hint="default" w:ascii="宋体" w:hAnsi="宋体" w:eastAsia="宋体" w:cs="宋体"/>
                <w:b/>
                <w:bCs/>
                <w:color w:val="auto"/>
                <w:kern w:val="0"/>
                <w:sz w:val="16"/>
                <w:szCs w:val="16"/>
                <w:highlight w:val="none"/>
                <w:lang w:val="en-US" w:eastAsia="zh-CN" w:bidi="ar-SA"/>
              </w:rPr>
            </w:pPr>
            <w:r>
              <w:rPr>
                <w:rFonts w:hint="eastAsia" w:ascii="宋体" w:hAnsi="宋体" w:cs="宋体"/>
                <w:b/>
                <w:bCs/>
                <w:color w:val="auto"/>
                <w:kern w:val="0"/>
                <w:sz w:val="16"/>
                <w:szCs w:val="16"/>
                <w:highlight w:val="none"/>
                <w:lang w:val="en-US" w:eastAsia="zh-CN"/>
              </w:rPr>
              <w:t>221</w:t>
            </w:r>
          </w:p>
        </w:tc>
        <w:tc>
          <w:tcPr>
            <w:tcW w:w="500"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宋体" w:hAnsi="宋体" w:eastAsia="宋体" w:cs="宋体"/>
                <w:b/>
                <w:bCs/>
                <w:color w:val="auto"/>
                <w:kern w:val="0"/>
                <w:sz w:val="16"/>
                <w:szCs w:val="16"/>
                <w:highlight w:val="none"/>
                <w:lang w:val="en-US" w:eastAsia="zh-CN" w:bidi="ar-SA"/>
              </w:rPr>
            </w:pPr>
          </w:p>
        </w:tc>
        <w:tc>
          <w:tcPr>
            <w:tcW w:w="503"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宋体" w:hAnsi="宋体" w:eastAsia="宋体" w:cs="宋体"/>
                <w:b/>
                <w:bCs/>
                <w:color w:val="auto"/>
                <w:kern w:val="0"/>
                <w:sz w:val="16"/>
                <w:szCs w:val="16"/>
                <w:highlight w:val="none"/>
                <w:lang w:val="en-US" w:eastAsia="zh-CN" w:bidi="ar-SA"/>
              </w:rPr>
            </w:pPr>
          </w:p>
        </w:tc>
        <w:tc>
          <w:tcPr>
            <w:tcW w:w="2510"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_GB2312" w:hAnsi="宋体" w:eastAsia="仿宋_GB2312" w:cs="宋体"/>
                <w:b/>
                <w:bCs/>
                <w:color w:val="auto"/>
                <w:kern w:val="0"/>
                <w:sz w:val="18"/>
                <w:szCs w:val="18"/>
                <w:highlight w:val="none"/>
                <w:shd w:val="clear" w:color="auto" w:fill="auto"/>
                <w:lang w:val="en-US" w:eastAsia="zh-CN" w:bidi="ar-SA"/>
              </w:rPr>
            </w:pPr>
            <w:r>
              <w:rPr>
                <w:rFonts w:hint="eastAsia" w:ascii="仿宋_GB2312" w:hAnsi="宋体" w:eastAsia="仿宋_GB2312" w:cs="宋体"/>
                <w:b/>
                <w:bCs/>
                <w:color w:val="auto"/>
                <w:kern w:val="0"/>
                <w:sz w:val="18"/>
                <w:szCs w:val="18"/>
                <w:highlight w:val="none"/>
                <w:shd w:val="clear" w:color="auto" w:fill="auto"/>
              </w:rPr>
              <w:t>住房保障支出</w:t>
            </w:r>
          </w:p>
        </w:tc>
        <w:tc>
          <w:tcPr>
            <w:tcW w:w="1684" w:type="dxa"/>
            <w:gridSpan w:val="2"/>
            <w:tcBorders>
              <w:top w:val="nil"/>
              <w:left w:val="nil"/>
              <w:bottom w:val="single" w:color="auto" w:sz="4" w:space="0"/>
              <w:right w:val="single" w:color="auto" w:sz="4" w:space="0"/>
            </w:tcBorders>
            <w:noWrap w:val="0"/>
            <w:vAlign w:val="bottom"/>
          </w:tcPr>
          <w:p>
            <w:pPr>
              <w:widowControl/>
              <w:jc w:val="center"/>
              <w:rPr>
                <w:rFonts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26.26</w:t>
            </w:r>
          </w:p>
        </w:tc>
        <w:tc>
          <w:tcPr>
            <w:tcW w:w="1842" w:type="dxa"/>
            <w:gridSpan w:val="2"/>
            <w:tcBorders>
              <w:top w:val="nil"/>
              <w:left w:val="nil"/>
              <w:bottom w:val="single" w:color="auto" w:sz="4" w:space="0"/>
              <w:right w:val="single" w:color="auto" w:sz="4" w:space="0"/>
            </w:tcBorders>
            <w:noWrap w:val="0"/>
            <w:vAlign w:val="bottom"/>
          </w:tcPr>
          <w:p>
            <w:pPr>
              <w:widowControl/>
              <w:jc w:val="center"/>
              <w:rPr>
                <w:rFonts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26.26</w:t>
            </w:r>
          </w:p>
        </w:tc>
        <w:tc>
          <w:tcPr>
            <w:tcW w:w="1701" w:type="dxa"/>
            <w:tcBorders>
              <w:top w:val="nil"/>
              <w:left w:val="nil"/>
              <w:bottom w:val="single" w:color="auto" w:sz="4" w:space="0"/>
              <w:right w:val="single" w:color="auto" w:sz="4" w:space="0"/>
            </w:tcBorders>
            <w:noWrap w:val="0"/>
            <w:vAlign w:val="bottom"/>
          </w:tcPr>
          <w:p>
            <w:pPr>
              <w:widowControl/>
              <w:jc w:val="center"/>
              <w:rPr>
                <w:rFonts w:ascii="宋体" w:hAnsi="宋体" w:cs="宋体"/>
                <w:b/>
                <w:bCs/>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280" w:lineRule="exact"/>
              <w:jc w:val="center"/>
              <w:rPr>
                <w:rFonts w:hint="default" w:ascii="宋体" w:hAnsi="宋体" w:eastAsia="宋体" w:cs="宋体"/>
                <w:b/>
                <w:bCs/>
                <w:color w:val="auto"/>
                <w:kern w:val="0"/>
                <w:sz w:val="16"/>
                <w:szCs w:val="16"/>
                <w:highlight w:val="none"/>
                <w:lang w:val="en-US" w:eastAsia="zh-CN" w:bidi="ar-SA"/>
              </w:rPr>
            </w:pPr>
            <w:r>
              <w:rPr>
                <w:rFonts w:hint="eastAsia" w:ascii="宋体" w:hAnsi="宋体" w:cs="宋体"/>
                <w:b/>
                <w:bCs/>
                <w:color w:val="auto"/>
                <w:kern w:val="0"/>
                <w:sz w:val="16"/>
                <w:szCs w:val="16"/>
                <w:highlight w:val="none"/>
                <w:lang w:val="en-US" w:eastAsia="zh-CN"/>
              </w:rPr>
              <w:t>221</w:t>
            </w:r>
          </w:p>
        </w:tc>
        <w:tc>
          <w:tcPr>
            <w:tcW w:w="500"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hint="default" w:ascii="宋体" w:hAnsi="宋体" w:eastAsia="宋体" w:cs="宋体"/>
                <w:b/>
                <w:bCs/>
                <w:color w:val="auto"/>
                <w:kern w:val="0"/>
                <w:sz w:val="16"/>
                <w:szCs w:val="16"/>
                <w:highlight w:val="none"/>
                <w:lang w:val="en-US" w:eastAsia="zh-CN" w:bidi="ar-SA"/>
              </w:rPr>
            </w:pPr>
            <w:r>
              <w:rPr>
                <w:rFonts w:hint="eastAsia" w:ascii="宋体" w:hAnsi="宋体" w:cs="宋体"/>
                <w:b/>
                <w:bCs/>
                <w:color w:val="auto"/>
                <w:kern w:val="0"/>
                <w:sz w:val="16"/>
                <w:szCs w:val="16"/>
                <w:highlight w:val="none"/>
                <w:lang w:val="en-US" w:eastAsia="zh-CN"/>
              </w:rPr>
              <w:t>22102</w:t>
            </w:r>
          </w:p>
        </w:tc>
        <w:tc>
          <w:tcPr>
            <w:tcW w:w="503"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宋体" w:hAnsi="宋体" w:eastAsia="宋体" w:cs="宋体"/>
                <w:b/>
                <w:bCs/>
                <w:color w:val="auto"/>
                <w:kern w:val="0"/>
                <w:sz w:val="16"/>
                <w:szCs w:val="16"/>
                <w:highlight w:val="none"/>
                <w:lang w:val="en-US" w:eastAsia="zh-CN" w:bidi="ar-SA"/>
              </w:rPr>
            </w:pPr>
          </w:p>
        </w:tc>
        <w:tc>
          <w:tcPr>
            <w:tcW w:w="2510"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_GB2312" w:hAnsi="宋体" w:eastAsia="仿宋_GB2312" w:cs="宋体"/>
                <w:b/>
                <w:bCs/>
                <w:color w:val="auto"/>
                <w:kern w:val="0"/>
                <w:sz w:val="18"/>
                <w:szCs w:val="18"/>
                <w:highlight w:val="none"/>
                <w:shd w:val="clear" w:color="auto" w:fill="auto"/>
                <w:lang w:val="en-US" w:eastAsia="zh-CN" w:bidi="ar-SA"/>
              </w:rPr>
            </w:pPr>
            <w:r>
              <w:rPr>
                <w:rFonts w:hint="eastAsia" w:ascii="仿宋_GB2312" w:hAnsi="宋体" w:eastAsia="仿宋_GB2312" w:cs="宋体"/>
                <w:b/>
                <w:bCs/>
                <w:color w:val="auto"/>
                <w:kern w:val="0"/>
                <w:sz w:val="18"/>
                <w:szCs w:val="18"/>
                <w:highlight w:val="none"/>
                <w:shd w:val="clear" w:color="auto" w:fill="auto"/>
              </w:rPr>
              <w:t>住房改革支出</w:t>
            </w:r>
          </w:p>
        </w:tc>
        <w:tc>
          <w:tcPr>
            <w:tcW w:w="1684" w:type="dxa"/>
            <w:gridSpan w:val="2"/>
            <w:tcBorders>
              <w:top w:val="nil"/>
              <w:left w:val="nil"/>
              <w:bottom w:val="single" w:color="auto" w:sz="4" w:space="0"/>
              <w:right w:val="single" w:color="auto" w:sz="4" w:space="0"/>
            </w:tcBorders>
            <w:noWrap w:val="0"/>
            <w:vAlign w:val="bottom"/>
          </w:tcPr>
          <w:p>
            <w:pPr>
              <w:widowControl/>
              <w:jc w:val="center"/>
              <w:rPr>
                <w:rFonts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26.26</w:t>
            </w:r>
          </w:p>
        </w:tc>
        <w:tc>
          <w:tcPr>
            <w:tcW w:w="1842" w:type="dxa"/>
            <w:gridSpan w:val="2"/>
            <w:tcBorders>
              <w:top w:val="nil"/>
              <w:left w:val="nil"/>
              <w:bottom w:val="single" w:color="auto" w:sz="4" w:space="0"/>
              <w:right w:val="single" w:color="auto" w:sz="4" w:space="0"/>
            </w:tcBorders>
            <w:noWrap w:val="0"/>
            <w:vAlign w:val="bottom"/>
          </w:tcPr>
          <w:p>
            <w:pPr>
              <w:widowControl/>
              <w:jc w:val="center"/>
              <w:rPr>
                <w:rFonts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26.26</w:t>
            </w:r>
          </w:p>
        </w:tc>
        <w:tc>
          <w:tcPr>
            <w:tcW w:w="1701" w:type="dxa"/>
            <w:tcBorders>
              <w:top w:val="nil"/>
              <w:left w:val="nil"/>
              <w:bottom w:val="single" w:color="auto" w:sz="4" w:space="0"/>
              <w:right w:val="single" w:color="auto" w:sz="4" w:space="0"/>
            </w:tcBorders>
            <w:noWrap w:val="0"/>
            <w:vAlign w:val="bottom"/>
          </w:tcPr>
          <w:p>
            <w:pPr>
              <w:widowControl/>
              <w:jc w:val="center"/>
              <w:rPr>
                <w:rFonts w:ascii="宋体" w:hAnsi="宋体" w:cs="宋体"/>
                <w:b/>
                <w:bCs/>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221</w:t>
            </w:r>
          </w:p>
        </w:tc>
        <w:tc>
          <w:tcPr>
            <w:tcW w:w="500"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22102</w:t>
            </w:r>
          </w:p>
        </w:tc>
        <w:tc>
          <w:tcPr>
            <w:tcW w:w="503"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2210201</w:t>
            </w:r>
          </w:p>
        </w:tc>
        <w:tc>
          <w:tcPr>
            <w:tcW w:w="2510"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bidi="ar-SA"/>
              </w:rPr>
            </w:pPr>
            <w:r>
              <w:rPr>
                <w:rFonts w:hint="eastAsia" w:ascii="仿宋_GB2312" w:hAnsi="宋体" w:eastAsia="仿宋_GB2312" w:cs="宋体"/>
                <w:color w:val="auto"/>
                <w:kern w:val="0"/>
                <w:sz w:val="18"/>
                <w:szCs w:val="18"/>
                <w:highlight w:val="none"/>
                <w:shd w:val="clear" w:color="auto" w:fill="auto"/>
              </w:rPr>
              <w:t>住房公积金</w:t>
            </w:r>
          </w:p>
        </w:tc>
        <w:tc>
          <w:tcPr>
            <w:tcW w:w="1684" w:type="dxa"/>
            <w:gridSpan w:val="2"/>
            <w:tcBorders>
              <w:top w:val="nil"/>
              <w:left w:val="nil"/>
              <w:bottom w:val="single" w:color="auto" w:sz="4" w:space="0"/>
              <w:right w:val="single" w:color="auto" w:sz="4" w:space="0"/>
            </w:tcBorders>
            <w:noWrap w:val="0"/>
            <w:vAlign w:val="bottom"/>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26.26</w:t>
            </w:r>
          </w:p>
        </w:tc>
        <w:tc>
          <w:tcPr>
            <w:tcW w:w="1842" w:type="dxa"/>
            <w:gridSpan w:val="2"/>
            <w:tcBorders>
              <w:top w:val="nil"/>
              <w:left w:val="nil"/>
              <w:bottom w:val="single" w:color="auto" w:sz="4" w:space="0"/>
              <w:right w:val="single" w:color="auto" w:sz="4" w:space="0"/>
            </w:tcBorders>
            <w:noWrap w:val="0"/>
            <w:vAlign w:val="bottom"/>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26.26</w:t>
            </w:r>
          </w:p>
        </w:tc>
        <w:tc>
          <w:tcPr>
            <w:tcW w:w="1701" w:type="dxa"/>
            <w:tcBorders>
              <w:top w:val="nil"/>
              <w:left w:val="nil"/>
              <w:bottom w:val="single" w:color="auto" w:sz="4" w:space="0"/>
              <w:right w:val="single" w:color="auto" w:sz="4" w:space="0"/>
            </w:tcBorders>
            <w:noWrap w:val="0"/>
            <w:vAlign w:val="bottom"/>
          </w:tcPr>
          <w:p>
            <w:pPr>
              <w:widowControl/>
              <w:jc w:val="center"/>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500"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503"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2510"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1684" w:type="dxa"/>
            <w:gridSpan w:val="2"/>
            <w:tcBorders>
              <w:top w:val="nil"/>
              <w:left w:val="nil"/>
              <w:bottom w:val="single" w:color="auto" w:sz="4" w:space="0"/>
              <w:right w:val="single" w:color="auto" w:sz="4" w:space="0"/>
            </w:tcBorders>
            <w:noWrap w:val="0"/>
            <w:vAlign w:val="bottom"/>
          </w:tcPr>
          <w:p>
            <w:pPr>
              <w:widowControl/>
              <w:jc w:val="center"/>
              <w:rPr>
                <w:rFonts w:ascii="宋体" w:hAnsi="宋体" w:cs="宋体"/>
                <w:color w:val="auto"/>
                <w:kern w:val="0"/>
                <w:sz w:val="20"/>
                <w:szCs w:val="20"/>
                <w:highlight w:val="none"/>
              </w:rPr>
            </w:pPr>
          </w:p>
        </w:tc>
        <w:tc>
          <w:tcPr>
            <w:tcW w:w="1842" w:type="dxa"/>
            <w:gridSpan w:val="2"/>
            <w:tcBorders>
              <w:top w:val="nil"/>
              <w:left w:val="nil"/>
              <w:bottom w:val="single" w:color="auto" w:sz="4" w:space="0"/>
              <w:right w:val="single" w:color="auto" w:sz="4" w:space="0"/>
            </w:tcBorders>
            <w:noWrap w:val="0"/>
            <w:vAlign w:val="bottom"/>
          </w:tcPr>
          <w:p>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bottom"/>
          </w:tcPr>
          <w:p>
            <w:pPr>
              <w:widowControl/>
              <w:jc w:val="center"/>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500"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503"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2510" w:type="dxa"/>
            <w:tcBorders>
              <w:top w:val="nil"/>
              <w:left w:val="nil"/>
              <w:bottom w:val="single" w:color="auto"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684"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b/>
                <w:bCs/>
                <w:color w:val="auto"/>
                <w:kern w:val="0"/>
                <w:sz w:val="20"/>
                <w:szCs w:val="20"/>
                <w:highlight w:val="none"/>
                <w:lang w:val="en-US" w:eastAsia="zh-CN"/>
              </w:rPr>
            </w:pPr>
            <w:r>
              <w:rPr>
                <w:rFonts w:hint="eastAsia" w:ascii="宋体" w:hAnsi="宋体" w:cs="宋体"/>
                <w:b/>
                <w:bCs/>
                <w:color w:val="auto"/>
                <w:kern w:val="0"/>
                <w:sz w:val="20"/>
                <w:szCs w:val="20"/>
                <w:highlight w:val="none"/>
                <w:lang w:val="en-US" w:eastAsia="zh-CN"/>
              </w:rPr>
              <w:t>765.13</w:t>
            </w:r>
          </w:p>
        </w:tc>
        <w:tc>
          <w:tcPr>
            <w:tcW w:w="1842"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b/>
                <w:bCs/>
                <w:color w:val="auto"/>
                <w:kern w:val="0"/>
                <w:sz w:val="20"/>
                <w:szCs w:val="20"/>
                <w:highlight w:val="none"/>
                <w:lang w:val="en-US" w:eastAsia="zh-CN"/>
              </w:rPr>
            </w:pPr>
            <w:r>
              <w:rPr>
                <w:rFonts w:hint="eastAsia" w:ascii="宋体" w:hAnsi="宋体" w:cs="宋体"/>
                <w:b/>
                <w:bCs/>
                <w:color w:val="auto"/>
                <w:kern w:val="0"/>
                <w:sz w:val="20"/>
                <w:szCs w:val="20"/>
                <w:highlight w:val="none"/>
                <w:lang w:val="en-US" w:eastAsia="zh-CN"/>
              </w:rPr>
              <w:t>751.60</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b/>
                <w:bCs/>
                <w:color w:val="auto"/>
                <w:kern w:val="0"/>
                <w:sz w:val="20"/>
                <w:szCs w:val="20"/>
                <w:highlight w:val="none"/>
                <w:lang w:val="en-US" w:eastAsia="zh-CN"/>
              </w:rPr>
            </w:pPr>
            <w:r>
              <w:rPr>
                <w:rFonts w:hint="eastAsia" w:ascii="宋体" w:hAnsi="宋体" w:cs="宋体"/>
                <w:b/>
                <w:bCs/>
                <w:color w:val="auto"/>
                <w:kern w:val="0"/>
                <w:sz w:val="20"/>
                <w:szCs w:val="20"/>
                <w:highlight w:val="none"/>
                <w:lang w:val="en-US" w:eastAsia="zh-CN"/>
              </w:rPr>
              <w:t>13.53</w:t>
            </w:r>
          </w:p>
        </w:tc>
      </w:tr>
    </w:tbl>
    <w:p>
      <w:pPr>
        <w:keepNext w:val="0"/>
        <w:keepLines w:val="0"/>
        <w:widowControl/>
        <w:suppressLineNumbers w:val="0"/>
        <w:jc w:val="left"/>
        <w:textAlignment w:val="bottom"/>
        <w:rPr>
          <w:rFonts w:hint="eastAsia" w:ascii="宋体" w:hAnsi="宋体" w:eastAsia="宋体" w:cs="宋体"/>
          <w:i w:val="0"/>
          <w:color w:val="FF0000"/>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表6</w:t>
      </w:r>
    </w:p>
    <w:tbl>
      <w:tblPr>
        <w:tblStyle w:val="9"/>
        <w:tblW w:w="9328" w:type="dxa"/>
        <w:tblInd w:w="-148" w:type="dxa"/>
        <w:tblLayout w:type="autofit"/>
        <w:tblCellMar>
          <w:top w:w="0" w:type="dxa"/>
          <w:left w:w="108" w:type="dxa"/>
          <w:bottom w:w="0" w:type="dxa"/>
          <w:right w:w="108" w:type="dxa"/>
        </w:tblCellMar>
      </w:tblPr>
      <w:tblGrid>
        <w:gridCol w:w="757"/>
        <w:gridCol w:w="726"/>
        <w:gridCol w:w="3360"/>
        <w:gridCol w:w="377"/>
        <w:gridCol w:w="706"/>
        <w:gridCol w:w="976"/>
        <w:gridCol w:w="725"/>
        <w:gridCol w:w="1701"/>
      </w:tblGrid>
      <w:tr>
        <w:tblPrEx>
          <w:tblCellMar>
            <w:top w:w="0" w:type="dxa"/>
            <w:left w:w="108" w:type="dxa"/>
            <w:bottom w:w="0" w:type="dxa"/>
            <w:right w:w="108" w:type="dxa"/>
          </w:tblCellMar>
        </w:tblPrEx>
        <w:trPr>
          <w:trHeight w:val="375" w:hRule="atLeast"/>
        </w:trPr>
        <w:tc>
          <w:tcPr>
            <w:tcW w:w="9328" w:type="dxa"/>
            <w:gridSpan w:val="8"/>
            <w:tcBorders>
              <w:top w:val="nil"/>
              <w:left w:val="nil"/>
              <w:bottom w:val="nil"/>
              <w:right w:val="nil"/>
            </w:tcBorders>
            <w:noWrap w:val="0"/>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一般公共预算基本支出情况表</w:t>
            </w:r>
          </w:p>
        </w:tc>
      </w:tr>
      <w:tr>
        <w:tblPrEx>
          <w:tblCellMar>
            <w:top w:w="0" w:type="dxa"/>
            <w:left w:w="108" w:type="dxa"/>
            <w:bottom w:w="0" w:type="dxa"/>
            <w:right w:w="108" w:type="dxa"/>
          </w:tblCellMar>
        </w:tblPrEx>
        <w:trPr>
          <w:trHeight w:val="405" w:hRule="atLeast"/>
        </w:trPr>
        <w:tc>
          <w:tcPr>
            <w:tcW w:w="4843" w:type="dxa"/>
            <w:gridSpan w:val="3"/>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编制</w:t>
            </w:r>
            <w:r>
              <w:rPr>
                <w:rFonts w:hint="eastAsia" w:ascii="仿宋_GB2312" w:hAnsi="宋体" w:eastAsia="仿宋_GB2312" w:cs="宋体"/>
                <w:color w:val="auto"/>
                <w:kern w:val="0"/>
                <w:sz w:val="24"/>
                <w:highlight w:val="none"/>
                <w:lang w:eastAsia="zh-CN"/>
              </w:rPr>
              <w:t>部门</w:t>
            </w:r>
            <w:r>
              <w:rPr>
                <w:rFonts w:hint="eastAsia" w:ascii="仿宋_GB2312" w:hAnsi="宋体" w:eastAsia="仿宋_GB2312" w:cs="宋体"/>
                <w:color w:val="auto"/>
                <w:kern w:val="0"/>
                <w:sz w:val="24"/>
                <w:highlight w:val="none"/>
              </w:rPr>
              <w:t>：</w:t>
            </w:r>
            <w:r>
              <w:rPr>
                <w:rFonts w:hint="eastAsia" w:ascii="仿宋_GB2312" w:hAnsi="宋体" w:eastAsia="仿宋_GB2312"/>
                <w:color w:val="auto"/>
                <w:kern w:val="0"/>
                <w:sz w:val="20"/>
                <w:szCs w:val="20"/>
                <w:highlight w:val="none"/>
                <w:lang w:eastAsia="zh-CN"/>
              </w:rPr>
              <w:t>呼图壁县社会保险中心</w:t>
            </w:r>
            <w:r>
              <w:rPr>
                <w:rFonts w:hint="eastAsia" w:ascii="仿宋_GB2312" w:hAnsi="宋体" w:eastAsia="仿宋_GB2312"/>
                <w:color w:val="auto"/>
                <w:kern w:val="0"/>
                <w:sz w:val="20"/>
                <w:szCs w:val="20"/>
                <w:highlight w:val="none"/>
              </w:rPr>
              <w:t xml:space="preserve">  </w:t>
            </w:r>
          </w:p>
        </w:tc>
        <w:tc>
          <w:tcPr>
            <w:tcW w:w="377" w:type="dxa"/>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p>
        </w:tc>
        <w:tc>
          <w:tcPr>
            <w:tcW w:w="1682" w:type="dxa"/>
            <w:gridSpan w:val="2"/>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2426" w:type="dxa"/>
            <w:gridSpan w:val="2"/>
            <w:tcBorders>
              <w:top w:val="nil"/>
              <w:left w:val="nil"/>
              <w:bottom w:val="nil"/>
              <w:right w:val="nil"/>
            </w:tcBorders>
            <w:noWrap w:val="0"/>
            <w:vAlign w:val="center"/>
          </w:tcPr>
          <w:p>
            <w:pPr>
              <w:widowControl/>
              <w:ind w:firstLine="720" w:firstLineChars="300"/>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单位：万元</w:t>
            </w:r>
          </w:p>
        </w:tc>
      </w:tr>
      <w:tr>
        <w:tblPrEx>
          <w:tblCellMar>
            <w:top w:w="0" w:type="dxa"/>
            <w:left w:w="108" w:type="dxa"/>
            <w:bottom w:w="0" w:type="dxa"/>
            <w:right w:w="108" w:type="dxa"/>
          </w:tblCellMar>
        </w:tblPrEx>
        <w:trPr>
          <w:trHeight w:val="374" w:hRule="atLeast"/>
        </w:trPr>
        <w:tc>
          <w:tcPr>
            <w:tcW w:w="4843" w:type="dxa"/>
            <w:gridSpan w:val="3"/>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 xml:space="preserve">科  </w:t>
            </w:r>
            <w:r>
              <w:rPr>
                <w:rFonts w:hint="eastAsia" w:ascii="仿宋_GB2312" w:hAnsi="宋体" w:eastAsia="仿宋_GB2312" w:cs="宋体"/>
                <w:b/>
                <w:bCs/>
                <w:color w:val="auto"/>
                <w:kern w:val="0"/>
                <w:sz w:val="24"/>
                <w:szCs w:val="24"/>
                <w:highlight w:val="none"/>
              </w:rPr>
              <w:t>目</w:t>
            </w:r>
          </w:p>
        </w:tc>
        <w:tc>
          <w:tcPr>
            <w:tcW w:w="4485" w:type="dxa"/>
            <w:gridSpan w:val="5"/>
            <w:tcBorders>
              <w:top w:val="single" w:color="auto" w:sz="4" w:space="0"/>
              <w:left w:val="nil"/>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一般公共预算基本支出</w:t>
            </w:r>
          </w:p>
        </w:tc>
      </w:tr>
      <w:tr>
        <w:tblPrEx>
          <w:tblCellMar>
            <w:top w:w="0" w:type="dxa"/>
            <w:left w:w="108" w:type="dxa"/>
            <w:bottom w:w="0" w:type="dxa"/>
            <w:right w:w="108" w:type="dxa"/>
          </w:tblCellMar>
        </w:tblPrEx>
        <w:trPr>
          <w:trHeight w:val="495" w:hRule="atLeast"/>
        </w:trPr>
        <w:tc>
          <w:tcPr>
            <w:tcW w:w="1483" w:type="dxa"/>
            <w:gridSpan w:val="2"/>
            <w:tcBorders>
              <w:top w:val="single" w:color="auto" w:sz="4" w:space="0"/>
              <w:left w:val="single" w:color="auto" w:sz="4" w:space="0"/>
              <w:bottom w:val="single" w:color="auto" w:sz="4" w:space="0"/>
              <w:right w:val="nil"/>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经济分类科目编码</w:t>
            </w:r>
          </w:p>
        </w:tc>
        <w:tc>
          <w:tcPr>
            <w:tcW w:w="3360"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经济分类科目名称</w:t>
            </w:r>
          </w:p>
        </w:tc>
        <w:tc>
          <w:tcPr>
            <w:tcW w:w="1083"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701"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人员经费</w:t>
            </w:r>
          </w:p>
        </w:tc>
        <w:tc>
          <w:tcPr>
            <w:tcW w:w="1701"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公用经费</w:t>
            </w:r>
          </w:p>
        </w:tc>
      </w:tr>
      <w:tr>
        <w:tblPrEx>
          <w:tblCellMar>
            <w:top w:w="0" w:type="dxa"/>
            <w:left w:w="108" w:type="dxa"/>
            <w:bottom w:w="0" w:type="dxa"/>
            <w:right w:w="108" w:type="dxa"/>
          </w:tblCellMar>
        </w:tblPrEx>
        <w:trPr>
          <w:trHeight w:val="285"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726"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3360" w:type="dxa"/>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p>
        </w:tc>
        <w:tc>
          <w:tcPr>
            <w:tcW w:w="1083" w:type="dxa"/>
            <w:gridSpan w:val="2"/>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p>
        </w:tc>
        <w:tc>
          <w:tcPr>
            <w:tcW w:w="1701" w:type="dxa"/>
            <w:gridSpan w:val="2"/>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bottom"/>
          </w:tcPr>
          <w:p>
            <w:pPr>
              <w:widowControl/>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301</w:t>
            </w:r>
          </w:p>
        </w:tc>
        <w:tc>
          <w:tcPr>
            <w:tcW w:w="726" w:type="dxa"/>
            <w:tcBorders>
              <w:top w:val="nil"/>
              <w:left w:val="nil"/>
              <w:bottom w:val="single" w:color="auto" w:sz="4" w:space="0"/>
              <w:right w:val="single" w:color="auto" w:sz="4" w:space="0"/>
            </w:tcBorders>
            <w:noWrap w:val="0"/>
            <w:vAlign w:val="bottom"/>
          </w:tcPr>
          <w:p>
            <w:pPr>
              <w:widowControl/>
              <w:jc w:val="center"/>
              <w:rPr>
                <w:rFonts w:hint="default" w:ascii="仿宋_GB2312" w:hAnsi="宋体" w:eastAsia="仿宋_GB2312" w:cs="宋体"/>
                <w:b/>
                <w:bCs/>
                <w:color w:val="auto"/>
                <w:kern w:val="0"/>
                <w:sz w:val="20"/>
                <w:szCs w:val="20"/>
                <w:highlight w:val="none"/>
                <w:lang w:val="en-US" w:eastAsia="zh-CN"/>
              </w:rPr>
            </w:pPr>
          </w:p>
        </w:tc>
        <w:tc>
          <w:tcPr>
            <w:tcW w:w="3360" w:type="dxa"/>
            <w:tcBorders>
              <w:top w:val="nil"/>
              <w:left w:val="nil"/>
              <w:bottom w:val="single" w:color="auto" w:sz="4" w:space="0"/>
              <w:right w:val="single" w:color="auto" w:sz="4" w:space="0"/>
            </w:tcBorders>
            <w:noWrap w:val="0"/>
            <w:vAlign w:val="bottom"/>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工资福利支出</w:t>
            </w:r>
          </w:p>
        </w:tc>
        <w:tc>
          <w:tcPr>
            <w:tcW w:w="1083"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340.45</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340.45</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bottom"/>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301</w:t>
            </w:r>
          </w:p>
        </w:tc>
        <w:tc>
          <w:tcPr>
            <w:tcW w:w="726" w:type="dxa"/>
            <w:tcBorders>
              <w:top w:val="nil"/>
              <w:left w:val="nil"/>
              <w:bottom w:val="single" w:color="auto" w:sz="4" w:space="0"/>
              <w:right w:val="single" w:color="auto" w:sz="4" w:space="0"/>
            </w:tcBorders>
            <w:noWrap w:val="0"/>
            <w:vAlign w:val="bottom"/>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01</w:t>
            </w:r>
          </w:p>
        </w:tc>
        <w:tc>
          <w:tcPr>
            <w:tcW w:w="3360" w:type="dxa"/>
            <w:tcBorders>
              <w:top w:val="nil"/>
              <w:left w:val="nil"/>
              <w:bottom w:val="single" w:color="auto" w:sz="4" w:space="0"/>
              <w:right w:val="single" w:color="auto" w:sz="4" w:space="0"/>
            </w:tcBorders>
            <w:noWrap w:val="0"/>
            <w:vAlign w:val="bottom"/>
          </w:tcPr>
          <w:p>
            <w:pPr>
              <w:widowControl/>
              <w:jc w:val="center"/>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基本工资</w:t>
            </w:r>
          </w:p>
        </w:tc>
        <w:tc>
          <w:tcPr>
            <w:tcW w:w="1083"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80.54</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80.54</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bottom"/>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301</w:t>
            </w:r>
          </w:p>
        </w:tc>
        <w:tc>
          <w:tcPr>
            <w:tcW w:w="726" w:type="dxa"/>
            <w:tcBorders>
              <w:top w:val="nil"/>
              <w:left w:val="nil"/>
              <w:bottom w:val="single" w:color="auto" w:sz="4" w:space="0"/>
              <w:right w:val="single" w:color="auto" w:sz="4" w:space="0"/>
            </w:tcBorders>
            <w:noWrap w:val="0"/>
            <w:vAlign w:val="bottom"/>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02</w:t>
            </w:r>
          </w:p>
        </w:tc>
        <w:tc>
          <w:tcPr>
            <w:tcW w:w="3360" w:type="dxa"/>
            <w:tcBorders>
              <w:top w:val="nil"/>
              <w:left w:val="nil"/>
              <w:bottom w:val="single" w:color="auto" w:sz="4" w:space="0"/>
              <w:right w:val="single" w:color="auto" w:sz="4" w:space="0"/>
            </w:tcBorders>
            <w:noWrap w:val="0"/>
            <w:vAlign w:val="bottom"/>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津贴补贴</w:t>
            </w:r>
          </w:p>
        </w:tc>
        <w:tc>
          <w:tcPr>
            <w:tcW w:w="1083"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65.34</w:t>
            </w:r>
          </w:p>
        </w:tc>
        <w:tc>
          <w:tcPr>
            <w:tcW w:w="1701" w:type="dxa"/>
            <w:gridSpan w:val="2"/>
            <w:tcBorders>
              <w:top w:val="nil"/>
              <w:left w:val="nil"/>
              <w:bottom w:val="single" w:color="auto" w:sz="4" w:space="0"/>
              <w:right w:val="single" w:color="auto" w:sz="4" w:space="0"/>
            </w:tcBorders>
            <w:noWrap w:val="0"/>
            <w:vAlign w:val="center"/>
          </w:tcPr>
          <w:p>
            <w:pPr>
              <w:widowControl/>
              <w:ind w:right="147" w:rightChars="70"/>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65.34</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bottom"/>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301</w:t>
            </w:r>
          </w:p>
        </w:tc>
        <w:tc>
          <w:tcPr>
            <w:tcW w:w="726" w:type="dxa"/>
            <w:tcBorders>
              <w:top w:val="nil"/>
              <w:left w:val="nil"/>
              <w:bottom w:val="single" w:color="auto" w:sz="4" w:space="0"/>
              <w:right w:val="single" w:color="auto" w:sz="4" w:space="0"/>
            </w:tcBorders>
            <w:noWrap w:val="0"/>
            <w:vAlign w:val="bottom"/>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03</w:t>
            </w:r>
          </w:p>
        </w:tc>
        <w:tc>
          <w:tcPr>
            <w:tcW w:w="3360" w:type="dxa"/>
            <w:tcBorders>
              <w:top w:val="nil"/>
              <w:left w:val="nil"/>
              <w:bottom w:val="single" w:color="auto" w:sz="4" w:space="0"/>
              <w:right w:val="single" w:color="auto" w:sz="4" w:space="0"/>
            </w:tcBorders>
            <w:noWrap w:val="0"/>
            <w:vAlign w:val="bottom"/>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奖金</w:t>
            </w:r>
          </w:p>
        </w:tc>
        <w:tc>
          <w:tcPr>
            <w:tcW w:w="1083"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62.34</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62.34</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bottom"/>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301</w:t>
            </w:r>
          </w:p>
        </w:tc>
        <w:tc>
          <w:tcPr>
            <w:tcW w:w="726" w:type="dxa"/>
            <w:tcBorders>
              <w:top w:val="nil"/>
              <w:left w:val="nil"/>
              <w:bottom w:val="single" w:color="auto" w:sz="4" w:space="0"/>
              <w:right w:val="single" w:color="auto" w:sz="4" w:space="0"/>
            </w:tcBorders>
            <w:noWrap w:val="0"/>
            <w:vAlign w:val="bottom"/>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07</w:t>
            </w:r>
          </w:p>
        </w:tc>
        <w:tc>
          <w:tcPr>
            <w:tcW w:w="3360" w:type="dxa"/>
            <w:tcBorders>
              <w:top w:val="nil"/>
              <w:left w:val="nil"/>
              <w:bottom w:val="single" w:color="auto" w:sz="4" w:space="0"/>
              <w:right w:val="single" w:color="auto" w:sz="4" w:space="0"/>
            </w:tcBorders>
            <w:noWrap w:val="0"/>
            <w:vAlign w:val="bottom"/>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绩效工资</w:t>
            </w:r>
          </w:p>
        </w:tc>
        <w:tc>
          <w:tcPr>
            <w:tcW w:w="1083"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13.11</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10.61</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bottom"/>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301</w:t>
            </w:r>
          </w:p>
        </w:tc>
        <w:tc>
          <w:tcPr>
            <w:tcW w:w="726" w:type="dxa"/>
            <w:tcBorders>
              <w:top w:val="nil"/>
              <w:left w:val="nil"/>
              <w:bottom w:val="single" w:color="auto" w:sz="4" w:space="0"/>
              <w:right w:val="single" w:color="auto" w:sz="4" w:space="0"/>
            </w:tcBorders>
            <w:noWrap w:val="0"/>
            <w:vAlign w:val="bottom"/>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08</w:t>
            </w:r>
          </w:p>
        </w:tc>
        <w:tc>
          <w:tcPr>
            <w:tcW w:w="3360" w:type="dxa"/>
            <w:tcBorders>
              <w:top w:val="nil"/>
              <w:left w:val="nil"/>
              <w:bottom w:val="single" w:color="auto" w:sz="4" w:space="0"/>
              <w:right w:val="single" w:color="auto" w:sz="4" w:space="0"/>
            </w:tcBorders>
            <w:noWrap w:val="0"/>
            <w:vAlign w:val="bottom"/>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机关事业单位基本养老保险缴费</w:t>
            </w:r>
          </w:p>
        </w:tc>
        <w:tc>
          <w:tcPr>
            <w:tcW w:w="1083"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31.69</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31.69</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bottom"/>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301</w:t>
            </w:r>
          </w:p>
        </w:tc>
        <w:tc>
          <w:tcPr>
            <w:tcW w:w="726" w:type="dxa"/>
            <w:tcBorders>
              <w:top w:val="nil"/>
              <w:left w:val="nil"/>
              <w:bottom w:val="single" w:color="auto" w:sz="4" w:space="0"/>
              <w:right w:val="single" w:color="auto" w:sz="4" w:space="0"/>
            </w:tcBorders>
            <w:noWrap w:val="0"/>
            <w:vAlign w:val="bottom"/>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10</w:t>
            </w:r>
          </w:p>
        </w:tc>
        <w:tc>
          <w:tcPr>
            <w:tcW w:w="3360" w:type="dxa"/>
            <w:tcBorders>
              <w:top w:val="nil"/>
              <w:left w:val="nil"/>
              <w:bottom w:val="single" w:color="auto" w:sz="4" w:space="0"/>
              <w:right w:val="single" w:color="auto" w:sz="4" w:space="0"/>
            </w:tcBorders>
            <w:noWrap w:val="0"/>
            <w:vAlign w:val="bottom"/>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职工基本医疗保险缴费</w:t>
            </w:r>
          </w:p>
        </w:tc>
        <w:tc>
          <w:tcPr>
            <w:tcW w:w="1083"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lang w:eastAsia="zh-CN"/>
              </w:rPr>
            </w:pPr>
            <w:r>
              <w:rPr>
                <w:rFonts w:hint="eastAsia" w:ascii="宋体" w:hAnsi="宋体" w:cs="宋体"/>
                <w:color w:val="auto"/>
                <w:kern w:val="0"/>
                <w:sz w:val="20"/>
                <w:szCs w:val="20"/>
                <w:highlight w:val="none"/>
              </w:rPr>
              <w:t>15.8</w:t>
            </w:r>
            <w:r>
              <w:rPr>
                <w:rFonts w:hint="eastAsia" w:ascii="宋体" w:hAnsi="宋体" w:cs="宋体"/>
                <w:color w:val="auto"/>
                <w:kern w:val="0"/>
                <w:sz w:val="20"/>
                <w:szCs w:val="20"/>
                <w:highlight w:val="none"/>
                <w:lang w:val="en-US" w:eastAsia="zh-CN"/>
              </w:rPr>
              <w:t>4</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15.85</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bottom"/>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301</w:t>
            </w:r>
          </w:p>
        </w:tc>
        <w:tc>
          <w:tcPr>
            <w:tcW w:w="726" w:type="dxa"/>
            <w:tcBorders>
              <w:top w:val="nil"/>
              <w:left w:val="nil"/>
              <w:bottom w:val="single" w:color="auto" w:sz="4" w:space="0"/>
              <w:right w:val="single" w:color="auto" w:sz="4" w:space="0"/>
            </w:tcBorders>
            <w:noWrap w:val="0"/>
            <w:vAlign w:val="bottom"/>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11</w:t>
            </w:r>
          </w:p>
        </w:tc>
        <w:tc>
          <w:tcPr>
            <w:tcW w:w="3360" w:type="dxa"/>
            <w:tcBorders>
              <w:top w:val="nil"/>
              <w:left w:val="nil"/>
              <w:bottom w:val="single" w:color="auto" w:sz="4" w:space="0"/>
              <w:right w:val="single" w:color="auto" w:sz="4" w:space="0"/>
            </w:tcBorders>
            <w:noWrap w:val="0"/>
            <w:vAlign w:val="bottom"/>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公务员医疗补助缴费</w:t>
            </w:r>
          </w:p>
        </w:tc>
        <w:tc>
          <w:tcPr>
            <w:tcW w:w="1083"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7.92</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7.92</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bottom"/>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301</w:t>
            </w:r>
          </w:p>
        </w:tc>
        <w:tc>
          <w:tcPr>
            <w:tcW w:w="726" w:type="dxa"/>
            <w:tcBorders>
              <w:top w:val="nil"/>
              <w:left w:val="nil"/>
              <w:bottom w:val="single" w:color="auto" w:sz="4" w:space="0"/>
              <w:right w:val="single" w:color="auto" w:sz="4" w:space="0"/>
            </w:tcBorders>
            <w:noWrap w:val="0"/>
            <w:vAlign w:val="bottom"/>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12</w:t>
            </w:r>
          </w:p>
        </w:tc>
        <w:tc>
          <w:tcPr>
            <w:tcW w:w="3360" w:type="dxa"/>
            <w:tcBorders>
              <w:top w:val="nil"/>
              <w:left w:val="nil"/>
              <w:bottom w:val="single" w:color="auto" w:sz="4" w:space="0"/>
              <w:right w:val="single" w:color="auto" w:sz="4" w:space="0"/>
            </w:tcBorders>
            <w:noWrap w:val="0"/>
            <w:vAlign w:val="bottom"/>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其他社会保障缴费</w:t>
            </w:r>
          </w:p>
        </w:tc>
        <w:tc>
          <w:tcPr>
            <w:tcW w:w="1083"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1.2</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1.2</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bottom"/>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301</w:t>
            </w:r>
          </w:p>
        </w:tc>
        <w:tc>
          <w:tcPr>
            <w:tcW w:w="726" w:type="dxa"/>
            <w:tcBorders>
              <w:top w:val="nil"/>
              <w:left w:val="nil"/>
              <w:bottom w:val="single" w:color="auto" w:sz="4" w:space="0"/>
              <w:right w:val="single" w:color="auto" w:sz="4" w:space="0"/>
            </w:tcBorders>
            <w:noWrap w:val="0"/>
            <w:vAlign w:val="bottom"/>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13</w:t>
            </w:r>
          </w:p>
        </w:tc>
        <w:tc>
          <w:tcPr>
            <w:tcW w:w="3360" w:type="dxa"/>
            <w:tcBorders>
              <w:top w:val="nil"/>
              <w:left w:val="nil"/>
              <w:bottom w:val="single" w:color="auto" w:sz="4" w:space="0"/>
              <w:right w:val="single" w:color="auto" w:sz="4" w:space="0"/>
            </w:tcBorders>
            <w:noWrap w:val="0"/>
            <w:vAlign w:val="bottom"/>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住房公积金</w:t>
            </w:r>
          </w:p>
        </w:tc>
        <w:tc>
          <w:tcPr>
            <w:tcW w:w="1083"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26.26</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26.26</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bottom"/>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301</w:t>
            </w:r>
          </w:p>
        </w:tc>
        <w:tc>
          <w:tcPr>
            <w:tcW w:w="726" w:type="dxa"/>
            <w:tcBorders>
              <w:top w:val="nil"/>
              <w:left w:val="nil"/>
              <w:bottom w:val="single" w:color="auto" w:sz="4" w:space="0"/>
              <w:right w:val="single" w:color="auto" w:sz="4" w:space="0"/>
            </w:tcBorders>
            <w:noWrap w:val="0"/>
            <w:vAlign w:val="bottom"/>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99</w:t>
            </w:r>
          </w:p>
        </w:tc>
        <w:tc>
          <w:tcPr>
            <w:tcW w:w="3360" w:type="dxa"/>
            <w:tcBorders>
              <w:top w:val="nil"/>
              <w:left w:val="nil"/>
              <w:bottom w:val="single" w:color="auto" w:sz="4" w:space="0"/>
              <w:right w:val="single" w:color="auto" w:sz="4" w:space="0"/>
            </w:tcBorders>
            <w:noWrap w:val="0"/>
            <w:vAlign w:val="bottom"/>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其他工资福利支出</w:t>
            </w:r>
          </w:p>
        </w:tc>
        <w:tc>
          <w:tcPr>
            <w:tcW w:w="1083"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38.71</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38.71</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bottom"/>
          </w:tcPr>
          <w:p>
            <w:pPr>
              <w:widowControl/>
              <w:jc w:val="center"/>
              <w:rPr>
                <w:rFonts w:hint="default" w:ascii="宋体" w:hAnsi="宋体" w:eastAsia="宋体" w:cs="宋体"/>
                <w:b/>
                <w:bCs/>
                <w:color w:val="auto"/>
                <w:kern w:val="0"/>
                <w:sz w:val="20"/>
                <w:szCs w:val="20"/>
                <w:highlight w:val="none"/>
                <w:lang w:val="en-US" w:eastAsia="zh-CN"/>
              </w:rPr>
            </w:pPr>
            <w:r>
              <w:rPr>
                <w:rFonts w:hint="eastAsia" w:ascii="宋体" w:hAnsi="宋体" w:cs="宋体"/>
                <w:b/>
                <w:bCs/>
                <w:color w:val="auto"/>
                <w:kern w:val="0"/>
                <w:sz w:val="20"/>
                <w:szCs w:val="20"/>
                <w:highlight w:val="none"/>
                <w:lang w:val="en-US" w:eastAsia="zh-CN"/>
              </w:rPr>
              <w:t>302</w:t>
            </w:r>
          </w:p>
        </w:tc>
        <w:tc>
          <w:tcPr>
            <w:tcW w:w="726" w:type="dxa"/>
            <w:tcBorders>
              <w:top w:val="nil"/>
              <w:left w:val="nil"/>
              <w:bottom w:val="single" w:color="auto" w:sz="4" w:space="0"/>
              <w:right w:val="single" w:color="auto" w:sz="4" w:space="0"/>
            </w:tcBorders>
            <w:noWrap w:val="0"/>
            <w:vAlign w:val="bottom"/>
          </w:tcPr>
          <w:p>
            <w:pPr>
              <w:widowControl/>
              <w:jc w:val="center"/>
              <w:rPr>
                <w:rFonts w:ascii="宋体" w:hAnsi="宋体" w:cs="宋体"/>
                <w:b/>
                <w:bCs/>
                <w:color w:val="auto"/>
                <w:kern w:val="0"/>
                <w:sz w:val="20"/>
                <w:szCs w:val="20"/>
                <w:highlight w:val="none"/>
              </w:rPr>
            </w:pPr>
          </w:p>
        </w:tc>
        <w:tc>
          <w:tcPr>
            <w:tcW w:w="3360" w:type="dxa"/>
            <w:tcBorders>
              <w:top w:val="nil"/>
              <w:left w:val="nil"/>
              <w:bottom w:val="single" w:color="auto" w:sz="4" w:space="0"/>
              <w:right w:val="single" w:color="auto" w:sz="4" w:space="0"/>
            </w:tcBorders>
            <w:noWrap w:val="0"/>
            <w:vAlign w:val="bottom"/>
          </w:tcPr>
          <w:p>
            <w:pPr>
              <w:widowControl/>
              <w:jc w:val="center"/>
              <w:rPr>
                <w:rFonts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商品和服务支出</w:t>
            </w:r>
          </w:p>
        </w:tc>
        <w:tc>
          <w:tcPr>
            <w:tcW w:w="1083"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44.83</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44.83</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bottom"/>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302</w:t>
            </w:r>
          </w:p>
        </w:tc>
        <w:tc>
          <w:tcPr>
            <w:tcW w:w="726" w:type="dxa"/>
            <w:tcBorders>
              <w:top w:val="nil"/>
              <w:left w:val="nil"/>
              <w:bottom w:val="single" w:color="auto" w:sz="4" w:space="0"/>
              <w:right w:val="single" w:color="auto" w:sz="4" w:space="0"/>
            </w:tcBorders>
            <w:noWrap w:val="0"/>
            <w:vAlign w:val="bottom"/>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01</w:t>
            </w:r>
          </w:p>
        </w:tc>
        <w:tc>
          <w:tcPr>
            <w:tcW w:w="3360" w:type="dxa"/>
            <w:tcBorders>
              <w:top w:val="nil"/>
              <w:left w:val="nil"/>
              <w:bottom w:val="single" w:color="auto" w:sz="4" w:space="0"/>
              <w:right w:val="single" w:color="auto" w:sz="4" w:space="0"/>
            </w:tcBorders>
            <w:noWrap w:val="0"/>
            <w:vAlign w:val="bottom"/>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办公费</w:t>
            </w:r>
          </w:p>
        </w:tc>
        <w:tc>
          <w:tcPr>
            <w:tcW w:w="1083"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0.46</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highlight w:val="none"/>
              </w:rPr>
              <w:t>0.46</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bottom"/>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302</w:t>
            </w:r>
          </w:p>
        </w:tc>
        <w:tc>
          <w:tcPr>
            <w:tcW w:w="726" w:type="dxa"/>
            <w:tcBorders>
              <w:top w:val="nil"/>
              <w:left w:val="nil"/>
              <w:bottom w:val="single" w:color="auto" w:sz="4" w:space="0"/>
              <w:right w:val="single" w:color="auto" w:sz="4" w:space="0"/>
            </w:tcBorders>
            <w:noWrap w:val="0"/>
            <w:vAlign w:val="bottom"/>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05</w:t>
            </w:r>
          </w:p>
        </w:tc>
        <w:tc>
          <w:tcPr>
            <w:tcW w:w="3360" w:type="dxa"/>
            <w:tcBorders>
              <w:top w:val="nil"/>
              <w:left w:val="nil"/>
              <w:bottom w:val="single" w:color="auto" w:sz="4" w:space="0"/>
              <w:right w:val="single" w:color="auto" w:sz="4" w:space="0"/>
            </w:tcBorders>
            <w:noWrap w:val="0"/>
            <w:vAlign w:val="bottom"/>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水费</w:t>
            </w:r>
          </w:p>
        </w:tc>
        <w:tc>
          <w:tcPr>
            <w:tcW w:w="1083"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0.15</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0.15</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bottom"/>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302</w:t>
            </w:r>
          </w:p>
        </w:tc>
        <w:tc>
          <w:tcPr>
            <w:tcW w:w="726" w:type="dxa"/>
            <w:tcBorders>
              <w:top w:val="nil"/>
              <w:left w:val="nil"/>
              <w:bottom w:val="single" w:color="auto" w:sz="4" w:space="0"/>
              <w:right w:val="single" w:color="auto" w:sz="4" w:space="0"/>
            </w:tcBorders>
            <w:noWrap w:val="0"/>
            <w:vAlign w:val="bottom"/>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06</w:t>
            </w:r>
          </w:p>
        </w:tc>
        <w:tc>
          <w:tcPr>
            <w:tcW w:w="3360" w:type="dxa"/>
            <w:tcBorders>
              <w:top w:val="nil"/>
              <w:left w:val="nil"/>
              <w:bottom w:val="single" w:color="auto" w:sz="4" w:space="0"/>
              <w:right w:val="single" w:color="auto" w:sz="4" w:space="0"/>
            </w:tcBorders>
            <w:noWrap w:val="0"/>
            <w:vAlign w:val="bottom"/>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电费</w:t>
            </w:r>
          </w:p>
        </w:tc>
        <w:tc>
          <w:tcPr>
            <w:tcW w:w="1083"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1.06</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1.06</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bottom"/>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302</w:t>
            </w:r>
          </w:p>
        </w:tc>
        <w:tc>
          <w:tcPr>
            <w:tcW w:w="726" w:type="dxa"/>
            <w:tcBorders>
              <w:top w:val="nil"/>
              <w:left w:val="nil"/>
              <w:bottom w:val="single" w:color="auto" w:sz="4" w:space="0"/>
              <w:right w:val="single" w:color="auto" w:sz="4" w:space="0"/>
            </w:tcBorders>
            <w:noWrap w:val="0"/>
            <w:vAlign w:val="bottom"/>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07</w:t>
            </w:r>
          </w:p>
        </w:tc>
        <w:tc>
          <w:tcPr>
            <w:tcW w:w="3360" w:type="dxa"/>
            <w:tcBorders>
              <w:top w:val="nil"/>
              <w:left w:val="nil"/>
              <w:bottom w:val="single" w:color="auto" w:sz="4" w:space="0"/>
              <w:right w:val="single" w:color="auto" w:sz="4" w:space="0"/>
            </w:tcBorders>
            <w:noWrap w:val="0"/>
            <w:vAlign w:val="bottom"/>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邮电费</w:t>
            </w:r>
          </w:p>
        </w:tc>
        <w:tc>
          <w:tcPr>
            <w:tcW w:w="1083"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36.29</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36.29</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bottom"/>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302</w:t>
            </w:r>
          </w:p>
        </w:tc>
        <w:tc>
          <w:tcPr>
            <w:tcW w:w="726" w:type="dxa"/>
            <w:tcBorders>
              <w:top w:val="nil"/>
              <w:left w:val="nil"/>
              <w:bottom w:val="single" w:color="auto" w:sz="4" w:space="0"/>
              <w:right w:val="single" w:color="auto" w:sz="4" w:space="0"/>
            </w:tcBorders>
            <w:noWrap w:val="0"/>
            <w:vAlign w:val="bottom"/>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11</w:t>
            </w:r>
          </w:p>
        </w:tc>
        <w:tc>
          <w:tcPr>
            <w:tcW w:w="3360" w:type="dxa"/>
            <w:tcBorders>
              <w:top w:val="nil"/>
              <w:left w:val="nil"/>
              <w:bottom w:val="single" w:color="auto" w:sz="4" w:space="0"/>
              <w:right w:val="single" w:color="auto" w:sz="4" w:space="0"/>
            </w:tcBorders>
            <w:noWrap w:val="0"/>
            <w:vAlign w:val="bottom"/>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差旅费</w:t>
            </w:r>
          </w:p>
        </w:tc>
        <w:tc>
          <w:tcPr>
            <w:tcW w:w="1083"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1.00</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1.00</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bottom"/>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302</w:t>
            </w:r>
          </w:p>
        </w:tc>
        <w:tc>
          <w:tcPr>
            <w:tcW w:w="726" w:type="dxa"/>
            <w:tcBorders>
              <w:top w:val="nil"/>
              <w:left w:val="nil"/>
              <w:bottom w:val="single" w:color="auto" w:sz="4" w:space="0"/>
              <w:right w:val="single" w:color="auto" w:sz="4" w:space="0"/>
            </w:tcBorders>
            <w:noWrap w:val="0"/>
            <w:vAlign w:val="bottom"/>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13</w:t>
            </w:r>
          </w:p>
        </w:tc>
        <w:tc>
          <w:tcPr>
            <w:tcW w:w="3360" w:type="dxa"/>
            <w:tcBorders>
              <w:top w:val="nil"/>
              <w:left w:val="nil"/>
              <w:bottom w:val="single" w:color="auto" w:sz="4" w:space="0"/>
              <w:right w:val="single" w:color="auto" w:sz="4" w:space="0"/>
            </w:tcBorders>
            <w:noWrap w:val="0"/>
            <w:vAlign w:val="bottom"/>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维修（护）费</w:t>
            </w:r>
          </w:p>
        </w:tc>
        <w:tc>
          <w:tcPr>
            <w:tcW w:w="1083"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0.44</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0.44</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bottom"/>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302</w:t>
            </w:r>
          </w:p>
        </w:tc>
        <w:tc>
          <w:tcPr>
            <w:tcW w:w="726" w:type="dxa"/>
            <w:tcBorders>
              <w:top w:val="nil"/>
              <w:left w:val="nil"/>
              <w:bottom w:val="single" w:color="auto" w:sz="4" w:space="0"/>
              <w:right w:val="single" w:color="auto" w:sz="4" w:space="0"/>
            </w:tcBorders>
            <w:noWrap w:val="0"/>
            <w:vAlign w:val="bottom"/>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28</w:t>
            </w:r>
          </w:p>
        </w:tc>
        <w:tc>
          <w:tcPr>
            <w:tcW w:w="3360" w:type="dxa"/>
            <w:tcBorders>
              <w:top w:val="nil"/>
              <w:left w:val="nil"/>
              <w:bottom w:val="single" w:color="auto" w:sz="4" w:space="0"/>
              <w:right w:val="single" w:color="auto" w:sz="4" w:space="0"/>
            </w:tcBorders>
            <w:noWrap w:val="0"/>
            <w:vAlign w:val="bottom"/>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工会经费</w:t>
            </w:r>
          </w:p>
        </w:tc>
        <w:tc>
          <w:tcPr>
            <w:tcW w:w="1083"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3.83</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3.83</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bottom"/>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302</w:t>
            </w:r>
          </w:p>
        </w:tc>
        <w:tc>
          <w:tcPr>
            <w:tcW w:w="726" w:type="dxa"/>
            <w:tcBorders>
              <w:top w:val="nil"/>
              <w:left w:val="nil"/>
              <w:bottom w:val="single" w:color="auto" w:sz="4" w:space="0"/>
              <w:right w:val="single" w:color="auto" w:sz="4" w:space="0"/>
            </w:tcBorders>
            <w:noWrap w:val="0"/>
            <w:vAlign w:val="bottom"/>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31</w:t>
            </w:r>
          </w:p>
        </w:tc>
        <w:tc>
          <w:tcPr>
            <w:tcW w:w="3360" w:type="dxa"/>
            <w:tcBorders>
              <w:top w:val="nil"/>
              <w:left w:val="nil"/>
              <w:bottom w:val="single" w:color="auto" w:sz="4" w:space="0"/>
              <w:right w:val="single" w:color="auto" w:sz="4" w:space="0"/>
            </w:tcBorders>
            <w:noWrap w:val="0"/>
            <w:vAlign w:val="bottom"/>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公务用车运行维护费</w:t>
            </w:r>
          </w:p>
        </w:tc>
        <w:tc>
          <w:tcPr>
            <w:tcW w:w="1083"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1.60</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1.60</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bottom"/>
          </w:tcPr>
          <w:p>
            <w:pPr>
              <w:widowControl/>
              <w:jc w:val="center"/>
              <w:rPr>
                <w:rFonts w:hint="default" w:ascii="宋体" w:hAnsi="宋体" w:eastAsia="宋体" w:cs="宋体"/>
                <w:b/>
                <w:bCs/>
                <w:color w:val="auto"/>
                <w:kern w:val="0"/>
                <w:sz w:val="20"/>
                <w:szCs w:val="20"/>
                <w:highlight w:val="none"/>
                <w:lang w:val="en-US" w:eastAsia="zh-CN"/>
              </w:rPr>
            </w:pPr>
            <w:r>
              <w:rPr>
                <w:rFonts w:hint="eastAsia" w:ascii="宋体" w:hAnsi="宋体" w:cs="宋体"/>
                <w:b/>
                <w:bCs/>
                <w:color w:val="auto"/>
                <w:kern w:val="0"/>
                <w:sz w:val="20"/>
                <w:szCs w:val="20"/>
                <w:highlight w:val="none"/>
                <w:lang w:val="en-US" w:eastAsia="zh-CN"/>
              </w:rPr>
              <w:t>303</w:t>
            </w:r>
          </w:p>
        </w:tc>
        <w:tc>
          <w:tcPr>
            <w:tcW w:w="726" w:type="dxa"/>
            <w:tcBorders>
              <w:top w:val="nil"/>
              <w:left w:val="nil"/>
              <w:bottom w:val="single" w:color="auto" w:sz="4" w:space="0"/>
              <w:right w:val="single" w:color="auto" w:sz="4" w:space="0"/>
            </w:tcBorders>
            <w:noWrap w:val="0"/>
            <w:vAlign w:val="bottom"/>
          </w:tcPr>
          <w:p>
            <w:pPr>
              <w:widowControl/>
              <w:jc w:val="center"/>
              <w:rPr>
                <w:rFonts w:ascii="宋体" w:hAnsi="宋体" w:cs="宋体"/>
                <w:b/>
                <w:bCs/>
                <w:color w:val="auto"/>
                <w:kern w:val="0"/>
                <w:sz w:val="20"/>
                <w:szCs w:val="20"/>
                <w:highlight w:val="none"/>
              </w:rPr>
            </w:pPr>
          </w:p>
        </w:tc>
        <w:tc>
          <w:tcPr>
            <w:tcW w:w="3360" w:type="dxa"/>
            <w:tcBorders>
              <w:top w:val="nil"/>
              <w:left w:val="nil"/>
              <w:bottom w:val="single" w:color="auto" w:sz="4" w:space="0"/>
              <w:right w:val="single" w:color="auto" w:sz="4" w:space="0"/>
            </w:tcBorders>
            <w:noWrap w:val="0"/>
            <w:vAlign w:val="bottom"/>
          </w:tcPr>
          <w:p>
            <w:pPr>
              <w:widowControl/>
              <w:jc w:val="center"/>
              <w:rPr>
                <w:rFonts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对个人和家庭的补助</w:t>
            </w:r>
          </w:p>
        </w:tc>
        <w:tc>
          <w:tcPr>
            <w:tcW w:w="1083"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331.11</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b/>
                <w:bCs/>
                <w:color w:val="auto"/>
                <w:kern w:val="0"/>
                <w:sz w:val="20"/>
                <w:szCs w:val="20"/>
                <w:highlight w:val="none"/>
                <w:lang w:val="en-US" w:eastAsia="zh-CN"/>
              </w:rPr>
            </w:pPr>
            <w:r>
              <w:rPr>
                <w:rFonts w:hint="eastAsia" w:ascii="宋体" w:hAnsi="宋体" w:cs="宋体"/>
                <w:b/>
                <w:bCs/>
                <w:color w:val="auto"/>
                <w:kern w:val="0"/>
                <w:sz w:val="20"/>
                <w:szCs w:val="20"/>
                <w:highlight w:val="none"/>
                <w:lang w:val="en-US" w:eastAsia="zh-CN"/>
              </w:rPr>
              <w:t>331.11</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bottom"/>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303</w:t>
            </w:r>
          </w:p>
        </w:tc>
        <w:tc>
          <w:tcPr>
            <w:tcW w:w="726" w:type="dxa"/>
            <w:tcBorders>
              <w:top w:val="nil"/>
              <w:left w:val="nil"/>
              <w:bottom w:val="single" w:color="auto" w:sz="4" w:space="0"/>
              <w:right w:val="single" w:color="auto" w:sz="4" w:space="0"/>
            </w:tcBorders>
            <w:noWrap w:val="0"/>
            <w:vAlign w:val="bottom"/>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02</w:t>
            </w:r>
          </w:p>
        </w:tc>
        <w:tc>
          <w:tcPr>
            <w:tcW w:w="3360" w:type="dxa"/>
            <w:tcBorders>
              <w:top w:val="nil"/>
              <w:left w:val="nil"/>
              <w:bottom w:val="single" w:color="auto" w:sz="4" w:space="0"/>
              <w:right w:val="single" w:color="auto" w:sz="4" w:space="0"/>
            </w:tcBorders>
            <w:noWrap w:val="0"/>
            <w:vAlign w:val="bottom"/>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退休费</w:t>
            </w:r>
          </w:p>
        </w:tc>
        <w:tc>
          <w:tcPr>
            <w:tcW w:w="1083"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9.43</w:t>
            </w:r>
          </w:p>
        </w:tc>
        <w:tc>
          <w:tcPr>
            <w:tcW w:w="1701" w:type="dxa"/>
            <w:gridSpan w:val="2"/>
            <w:tcBorders>
              <w:top w:val="nil"/>
              <w:left w:val="nil"/>
              <w:bottom w:val="single" w:color="auto" w:sz="4" w:space="0"/>
              <w:right w:val="single" w:color="auto" w:sz="4" w:space="0"/>
            </w:tcBorders>
            <w:shd w:val="clear" w:color="auto" w:fill="auto"/>
            <w:noWrap w:val="0"/>
            <w:vAlign w:val="center"/>
          </w:tcPr>
          <w:p>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9.43</w:t>
            </w:r>
          </w:p>
        </w:tc>
        <w:tc>
          <w:tcPr>
            <w:tcW w:w="1701" w:type="dxa"/>
            <w:tcBorders>
              <w:top w:val="nil"/>
              <w:left w:val="nil"/>
              <w:bottom w:val="single" w:color="auto" w:sz="4" w:space="0"/>
              <w:right w:val="single" w:color="auto" w:sz="4" w:space="0"/>
            </w:tcBorders>
            <w:shd w:val="clear" w:color="auto" w:fill="auto"/>
            <w:noWrap w:val="0"/>
            <w:vAlign w:val="center"/>
          </w:tcPr>
          <w:p>
            <w:pPr>
              <w:widowControl/>
              <w:jc w:val="center"/>
              <w:rPr>
                <w:rFonts w:ascii="宋体" w:hAnsi="宋体" w:eastAsia="宋体" w:cs="宋体"/>
                <w:color w:val="auto"/>
                <w:kern w:val="0"/>
                <w:sz w:val="20"/>
                <w:szCs w:val="20"/>
                <w:highlight w:val="none"/>
                <w:lang w:val="en-US" w:eastAsia="zh-CN" w:bidi="ar-SA"/>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bottom"/>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303</w:t>
            </w:r>
          </w:p>
        </w:tc>
        <w:tc>
          <w:tcPr>
            <w:tcW w:w="726" w:type="dxa"/>
            <w:tcBorders>
              <w:top w:val="nil"/>
              <w:left w:val="nil"/>
              <w:bottom w:val="single" w:color="auto" w:sz="4" w:space="0"/>
              <w:right w:val="single" w:color="auto" w:sz="4" w:space="0"/>
            </w:tcBorders>
            <w:noWrap w:val="0"/>
            <w:vAlign w:val="bottom"/>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05</w:t>
            </w:r>
          </w:p>
        </w:tc>
        <w:tc>
          <w:tcPr>
            <w:tcW w:w="3360" w:type="dxa"/>
            <w:tcBorders>
              <w:top w:val="nil"/>
              <w:left w:val="nil"/>
              <w:bottom w:val="single" w:color="auto" w:sz="4" w:space="0"/>
              <w:right w:val="single" w:color="auto" w:sz="4" w:space="0"/>
            </w:tcBorders>
            <w:noWrap w:val="0"/>
            <w:vAlign w:val="bottom"/>
          </w:tcPr>
          <w:p>
            <w:pPr>
              <w:widowControl/>
              <w:jc w:val="center"/>
              <w:rPr>
                <w:rFonts w:hint="eastAsia" w:ascii="宋体" w:hAnsi="宋体" w:cs="宋体"/>
                <w:color w:val="auto"/>
                <w:kern w:val="0"/>
                <w:sz w:val="20"/>
                <w:szCs w:val="20"/>
                <w:highlight w:val="none"/>
              </w:rPr>
            </w:pPr>
            <w:r>
              <w:rPr>
                <w:rFonts w:hint="eastAsia" w:ascii="宋体" w:hAnsi="宋体" w:cs="宋体"/>
                <w:color w:val="auto"/>
                <w:kern w:val="0"/>
                <w:sz w:val="20"/>
                <w:szCs w:val="20"/>
                <w:highlight w:val="none"/>
              </w:rPr>
              <w:t>生活补助</w:t>
            </w:r>
          </w:p>
        </w:tc>
        <w:tc>
          <w:tcPr>
            <w:tcW w:w="1083"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rPr>
            </w:pPr>
            <w:r>
              <w:rPr>
                <w:rFonts w:hint="eastAsia" w:ascii="宋体" w:hAnsi="宋体" w:cs="宋体"/>
                <w:color w:val="auto"/>
                <w:kern w:val="0"/>
                <w:sz w:val="20"/>
                <w:szCs w:val="20"/>
                <w:highlight w:val="none"/>
              </w:rPr>
              <w:t>320.61</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rPr>
            </w:pPr>
            <w:r>
              <w:rPr>
                <w:rFonts w:hint="eastAsia" w:ascii="宋体" w:hAnsi="宋体" w:cs="宋体"/>
                <w:color w:val="auto"/>
                <w:kern w:val="0"/>
                <w:sz w:val="20"/>
                <w:szCs w:val="20"/>
                <w:highlight w:val="none"/>
              </w:rPr>
              <w:t>320.61</w:t>
            </w: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bottom"/>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303</w:t>
            </w:r>
          </w:p>
        </w:tc>
        <w:tc>
          <w:tcPr>
            <w:tcW w:w="726" w:type="dxa"/>
            <w:tcBorders>
              <w:top w:val="nil"/>
              <w:left w:val="nil"/>
              <w:bottom w:val="single" w:color="auto" w:sz="4" w:space="0"/>
              <w:right w:val="single" w:color="auto" w:sz="4" w:space="0"/>
            </w:tcBorders>
            <w:noWrap w:val="0"/>
            <w:vAlign w:val="bottom"/>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09</w:t>
            </w:r>
          </w:p>
        </w:tc>
        <w:tc>
          <w:tcPr>
            <w:tcW w:w="3360" w:type="dxa"/>
            <w:tcBorders>
              <w:top w:val="nil"/>
              <w:left w:val="nil"/>
              <w:bottom w:val="single" w:color="auto" w:sz="4" w:space="0"/>
              <w:right w:val="single" w:color="auto" w:sz="4" w:space="0"/>
            </w:tcBorders>
            <w:noWrap w:val="0"/>
            <w:vAlign w:val="bottom"/>
          </w:tcPr>
          <w:p>
            <w:pPr>
              <w:widowControl/>
              <w:jc w:val="center"/>
              <w:rPr>
                <w:rFonts w:hint="eastAsia" w:ascii="宋体" w:hAnsi="宋体" w:cs="宋体"/>
                <w:color w:val="auto"/>
                <w:kern w:val="0"/>
                <w:sz w:val="20"/>
                <w:szCs w:val="20"/>
                <w:highlight w:val="none"/>
              </w:rPr>
            </w:pPr>
            <w:r>
              <w:rPr>
                <w:rFonts w:hint="eastAsia" w:ascii="宋体" w:hAnsi="宋体" w:cs="宋体"/>
                <w:color w:val="auto"/>
                <w:kern w:val="0"/>
                <w:sz w:val="20"/>
                <w:szCs w:val="20"/>
                <w:highlight w:val="none"/>
              </w:rPr>
              <w:t>奖励金</w:t>
            </w:r>
          </w:p>
        </w:tc>
        <w:tc>
          <w:tcPr>
            <w:tcW w:w="1083"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rPr>
            </w:pPr>
            <w:r>
              <w:rPr>
                <w:rFonts w:hint="eastAsia" w:ascii="宋体" w:hAnsi="宋体" w:cs="宋体"/>
                <w:color w:val="auto"/>
                <w:kern w:val="0"/>
                <w:sz w:val="20"/>
                <w:szCs w:val="20"/>
                <w:highlight w:val="none"/>
              </w:rPr>
              <w:t>1.07</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rPr>
            </w:pPr>
            <w:r>
              <w:rPr>
                <w:rFonts w:hint="eastAsia" w:ascii="宋体" w:hAnsi="宋体" w:cs="宋体"/>
                <w:color w:val="auto"/>
                <w:kern w:val="0"/>
                <w:sz w:val="20"/>
                <w:szCs w:val="20"/>
                <w:highlight w:val="none"/>
              </w:rPr>
              <w:t>1.07</w:t>
            </w: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726"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3360" w:type="dxa"/>
            <w:tcBorders>
              <w:top w:val="nil"/>
              <w:left w:val="nil"/>
              <w:bottom w:val="single" w:color="auto"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083"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716.38</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671.56</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44.83</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sectPr>
          <w:pgSz w:w="11906" w:h="16838"/>
          <w:pgMar w:top="2098" w:right="1531" w:bottom="1984" w:left="1531"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表7</w:t>
      </w:r>
    </w:p>
    <w:tbl>
      <w:tblPr>
        <w:tblStyle w:val="9"/>
        <w:tblW w:w="0" w:type="auto"/>
        <w:tblInd w:w="-360" w:type="dxa"/>
        <w:tblLayout w:type="fixed"/>
        <w:tblCellMar>
          <w:top w:w="0" w:type="dxa"/>
          <w:left w:w="108" w:type="dxa"/>
          <w:bottom w:w="0" w:type="dxa"/>
          <w:right w:w="108" w:type="dxa"/>
        </w:tblCellMar>
      </w:tblPr>
      <w:tblGrid>
        <w:gridCol w:w="542"/>
        <w:gridCol w:w="1"/>
        <w:gridCol w:w="736"/>
        <w:gridCol w:w="846"/>
        <w:gridCol w:w="998"/>
        <w:gridCol w:w="1995"/>
        <w:gridCol w:w="972"/>
        <w:gridCol w:w="423"/>
        <w:gridCol w:w="900"/>
        <w:gridCol w:w="915"/>
        <w:gridCol w:w="975"/>
        <w:gridCol w:w="705"/>
        <w:gridCol w:w="570"/>
        <w:gridCol w:w="765"/>
        <w:gridCol w:w="690"/>
        <w:gridCol w:w="750"/>
        <w:gridCol w:w="549"/>
      </w:tblGrid>
      <w:tr>
        <w:tblPrEx>
          <w:tblCellMar>
            <w:top w:w="0" w:type="dxa"/>
            <w:left w:w="108" w:type="dxa"/>
            <w:bottom w:w="0" w:type="dxa"/>
            <w:right w:w="108" w:type="dxa"/>
          </w:tblCellMar>
        </w:tblPrEx>
        <w:trPr>
          <w:gridBefore w:val="2"/>
          <w:gridAfter w:val="1"/>
          <w:wBefore w:w="543" w:type="dxa"/>
          <w:wAfter w:w="549" w:type="dxa"/>
          <w:trHeight w:val="375" w:hRule="atLeast"/>
        </w:trPr>
        <w:tc>
          <w:tcPr>
            <w:tcW w:w="12240" w:type="dxa"/>
            <w:gridSpan w:val="14"/>
            <w:tcBorders>
              <w:top w:val="nil"/>
              <w:left w:val="nil"/>
              <w:bottom w:val="nil"/>
              <w:right w:val="nil"/>
            </w:tcBorders>
            <w:noWrap w:val="0"/>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黑体" w:hAnsi="黑体" w:eastAsia="黑体" w:cs="黑体"/>
                <w:b/>
                <w:color w:val="auto"/>
                <w:kern w:val="0"/>
                <w:sz w:val="32"/>
                <w:szCs w:val="32"/>
                <w:highlight w:val="none"/>
              </w:rPr>
              <w:t>一般公共预算项目支出情况表</w:t>
            </w:r>
          </w:p>
        </w:tc>
      </w:tr>
      <w:tr>
        <w:tblPrEx>
          <w:tblCellMar>
            <w:top w:w="0" w:type="dxa"/>
            <w:left w:w="108" w:type="dxa"/>
            <w:bottom w:w="0" w:type="dxa"/>
            <w:right w:w="108" w:type="dxa"/>
          </w:tblCellMar>
        </w:tblPrEx>
        <w:trPr>
          <w:gridBefore w:val="1"/>
          <w:gridAfter w:val="1"/>
          <w:wBefore w:w="542" w:type="dxa"/>
          <w:wAfter w:w="549" w:type="dxa"/>
          <w:trHeight w:val="405" w:hRule="atLeast"/>
        </w:trPr>
        <w:tc>
          <w:tcPr>
            <w:tcW w:w="5548" w:type="dxa"/>
            <w:gridSpan w:val="6"/>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编制</w:t>
            </w:r>
            <w:r>
              <w:rPr>
                <w:rFonts w:hint="eastAsia" w:ascii="仿宋_GB2312" w:hAnsi="宋体" w:eastAsia="仿宋_GB2312" w:cs="宋体"/>
                <w:color w:val="auto"/>
                <w:kern w:val="0"/>
                <w:sz w:val="24"/>
                <w:highlight w:val="none"/>
                <w:lang w:eastAsia="zh-CN"/>
              </w:rPr>
              <w:t>部门</w:t>
            </w:r>
            <w:r>
              <w:rPr>
                <w:rFonts w:hint="eastAsia" w:ascii="仿宋_GB2312" w:hAnsi="宋体" w:eastAsia="仿宋_GB2312" w:cs="宋体"/>
                <w:color w:val="auto"/>
                <w:kern w:val="0"/>
                <w:sz w:val="24"/>
                <w:highlight w:val="none"/>
              </w:rPr>
              <w:t>：</w:t>
            </w:r>
            <w:r>
              <w:rPr>
                <w:rFonts w:hint="eastAsia" w:ascii="仿宋_GB2312" w:hAnsi="宋体" w:eastAsia="仿宋_GB2312"/>
                <w:color w:val="auto"/>
                <w:kern w:val="0"/>
                <w:sz w:val="20"/>
                <w:szCs w:val="20"/>
                <w:highlight w:val="none"/>
                <w:lang w:eastAsia="zh-CN"/>
              </w:rPr>
              <w:t>呼图壁县社会保险中心</w:t>
            </w:r>
            <w:r>
              <w:rPr>
                <w:rFonts w:hint="eastAsia" w:ascii="仿宋_GB2312" w:hAnsi="宋体" w:eastAsia="仿宋_GB2312"/>
                <w:color w:val="auto"/>
                <w:kern w:val="0"/>
                <w:sz w:val="20"/>
                <w:szCs w:val="20"/>
                <w:highlight w:val="none"/>
              </w:rPr>
              <w:t xml:space="preserve">  </w:t>
            </w:r>
          </w:p>
        </w:tc>
        <w:tc>
          <w:tcPr>
            <w:tcW w:w="1323" w:type="dxa"/>
            <w:gridSpan w:val="2"/>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p>
        </w:tc>
        <w:tc>
          <w:tcPr>
            <w:tcW w:w="1890" w:type="dxa"/>
            <w:gridSpan w:val="2"/>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3480" w:type="dxa"/>
            <w:gridSpan w:val="5"/>
            <w:tcBorders>
              <w:top w:val="nil"/>
              <w:left w:val="nil"/>
              <w:bottom w:val="nil"/>
              <w:right w:val="nil"/>
            </w:tcBorders>
            <w:noWrap w:val="0"/>
            <w:vAlign w:val="center"/>
          </w:tcPr>
          <w:p>
            <w:pPr>
              <w:widowControl/>
              <w:ind w:firstLine="960" w:firstLineChars="400"/>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2125" w:type="dxa"/>
            <w:gridSpan w:val="4"/>
            <w:noWrap w:val="0"/>
            <w:vAlign w:val="center"/>
          </w:tcPr>
          <w:p>
            <w:pPr>
              <w:widowControl/>
              <w:jc w:val="center"/>
              <w:outlineLvl w:val="1"/>
              <w:rPr>
                <w:rFonts w:ascii="仿宋_GB2312" w:hAnsi="宋体" w:eastAsia="仿宋_GB2312"/>
                <w:b/>
                <w:color w:val="auto"/>
                <w:kern w:val="0"/>
                <w:sz w:val="18"/>
                <w:szCs w:val="18"/>
                <w:highlight w:val="none"/>
              </w:rPr>
            </w:pPr>
            <w:r>
              <w:rPr>
                <w:rFonts w:hint="eastAsia" w:ascii="仿宋_GB2312" w:hAnsi="宋体" w:eastAsia="仿宋_GB2312"/>
                <w:b/>
                <w:color w:val="auto"/>
                <w:kern w:val="0"/>
                <w:sz w:val="18"/>
                <w:szCs w:val="18"/>
                <w:highlight w:val="none"/>
              </w:rPr>
              <w:t>科 目 编 码</w:t>
            </w:r>
          </w:p>
        </w:tc>
        <w:tc>
          <w:tcPr>
            <w:tcW w:w="998" w:type="dxa"/>
            <w:vMerge w:val="restart"/>
            <w:noWrap w:val="0"/>
            <w:vAlign w:val="center"/>
          </w:tcPr>
          <w:p>
            <w:pPr>
              <w:widowControl/>
              <w:jc w:val="center"/>
              <w:outlineLvl w:val="1"/>
              <w:rPr>
                <w:rFonts w:hint="eastAsia" w:ascii="仿宋_GB2312" w:hAnsi="宋体" w:eastAsia="仿宋_GB2312"/>
                <w:b/>
                <w:color w:val="auto"/>
                <w:kern w:val="0"/>
                <w:sz w:val="18"/>
                <w:szCs w:val="18"/>
                <w:highlight w:val="none"/>
              </w:rPr>
            </w:pPr>
            <w:r>
              <w:rPr>
                <w:rFonts w:hint="eastAsia" w:ascii="仿宋_GB2312" w:hAnsi="宋体" w:eastAsia="仿宋_GB2312"/>
                <w:b/>
                <w:color w:val="auto"/>
                <w:kern w:val="0"/>
                <w:sz w:val="18"/>
                <w:szCs w:val="18"/>
                <w:highlight w:val="none"/>
              </w:rPr>
              <w:t>科目</w:t>
            </w:r>
          </w:p>
          <w:p>
            <w:pPr>
              <w:widowControl/>
              <w:jc w:val="center"/>
              <w:outlineLvl w:val="1"/>
              <w:rPr>
                <w:rFonts w:hint="eastAsia" w:ascii="仿宋_GB2312" w:hAnsi="宋体" w:eastAsia="仿宋_GB2312"/>
                <w:b/>
                <w:color w:val="auto"/>
                <w:kern w:val="0"/>
                <w:sz w:val="18"/>
                <w:szCs w:val="18"/>
                <w:highlight w:val="none"/>
                <w:lang w:eastAsia="zh-CN"/>
              </w:rPr>
            </w:pPr>
            <w:r>
              <w:rPr>
                <w:rFonts w:hint="eastAsia" w:ascii="仿宋_GB2312" w:hAnsi="宋体" w:eastAsia="仿宋_GB2312"/>
                <w:b/>
                <w:color w:val="auto"/>
                <w:kern w:val="0"/>
                <w:sz w:val="18"/>
                <w:szCs w:val="18"/>
                <w:highlight w:val="none"/>
                <w:lang w:eastAsia="zh-CN"/>
              </w:rPr>
              <w:t>名称</w:t>
            </w:r>
          </w:p>
        </w:tc>
        <w:tc>
          <w:tcPr>
            <w:tcW w:w="1995" w:type="dxa"/>
            <w:vMerge w:val="restart"/>
            <w:noWrap w:val="0"/>
            <w:vAlign w:val="center"/>
          </w:tcPr>
          <w:p>
            <w:pPr>
              <w:jc w:val="center"/>
              <w:rPr>
                <w:rFonts w:ascii="Calibri" w:hAnsi="Calibri"/>
                <w:color w:val="auto"/>
                <w:sz w:val="18"/>
                <w:szCs w:val="18"/>
                <w:highlight w:val="none"/>
              </w:rPr>
            </w:pPr>
            <w:r>
              <w:rPr>
                <w:rFonts w:hint="eastAsia" w:ascii="仿宋_GB2312" w:hAnsi="宋体" w:eastAsia="仿宋_GB2312"/>
                <w:b/>
                <w:color w:val="auto"/>
                <w:kern w:val="0"/>
                <w:sz w:val="18"/>
                <w:szCs w:val="18"/>
                <w:highlight w:val="none"/>
              </w:rPr>
              <w:t>项目名称</w:t>
            </w:r>
          </w:p>
        </w:tc>
        <w:tc>
          <w:tcPr>
            <w:tcW w:w="972" w:type="dxa"/>
            <w:vMerge w:val="restart"/>
            <w:noWrap w:val="0"/>
            <w:vAlign w:val="center"/>
          </w:tcPr>
          <w:p>
            <w:pPr>
              <w:widowControl/>
              <w:jc w:val="center"/>
              <w:outlineLvl w:val="1"/>
              <w:rPr>
                <w:rFonts w:ascii="仿宋_GB2312" w:hAnsi="宋体" w:eastAsia="仿宋_GB2312"/>
                <w:b/>
                <w:color w:val="auto"/>
                <w:kern w:val="0"/>
                <w:sz w:val="18"/>
                <w:szCs w:val="18"/>
                <w:highlight w:val="none"/>
              </w:rPr>
            </w:pPr>
            <w:r>
              <w:rPr>
                <w:rFonts w:hint="eastAsia" w:ascii="仿宋_GB2312" w:hAnsi="宋体" w:eastAsia="仿宋_GB2312"/>
                <w:b/>
                <w:color w:val="auto"/>
                <w:kern w:val="0"/>
                <w:sz w:val="18"/>
                <w:szCs w:val="18"/>
                <w:highlight w:val="none"/>
              </w:rPr>
              <w:t>项目支出合计</w:t>
            </w:r>
          </w:p>
        </w:tc>
        <w:tc>
          <w:tcPr>
            <w:tcW w:w="423" w:type="dxa"/>
            <w:vMerge w:val="restart"/>
            <w:noWrap w:val="0"/>
            <w:vAlign w:val="center"/>
          </w:tcPr>
          <w:p>
            <w:pPr>
              <w:widowControl/>
              <w:jc w:val="center"/>
              <w:outlineLvl w:val="1"/>
              <w:rPr>
                <w:rFonts w:ascii="仿宋_GB2312" w:hAnsi="宋体" w:eastAsia="仿宋_GB2312"/>
                <w:b/>
                <w:color w:val="auto"/>
                <w:kern w:val="0"/>
                <w:sz w:val="18"/>
                <w:szCs w:val="18"/>
                <w:highlight w:val="none"/>
              </w:rPr>
            </w:pPr>
            <w:r>
              <w:rPr>
                <w:rFonts w:hint="eastAsia" w:ascii="仿宋_GB2312" w:hAnsi="宋体" w:eastAsia="仿宋_GB2312"/>
                <w:b/>
                <w:color w:val="auto"/>
                <w:kern w:val="0"/>
                <w:sz w:val="18"/>
                <w:szCs w:val="18"/>
                <w:highlight w:val="none"/>
              </w:rPr>
              <w:t>工资福利支出</w:t>
            </w:r>
          </w:p>
        </w:tc>
        <w:tc>
          <w:tcPr>
            <w:tcW w:w="900" w:type="dxa"/>
            <w:vMerge w:val="restart"/>
            <w:noWrap w:val="0"/>
            <w:vAlign w:val="center"/>
          </w:tcPr>
          <w:p>
            <w:pPr>
              <w:widowControl/>
              <w:jc w:val="center"/>
              <w:outlineLvl w:val="1"/>
              <w:rPr>
                <w:rFonts w:ascii="仿宋_GB2312" w:hAnsi="宋体" w:eastAsia="仿宋_GB2312"/>
                <w:b/>
                <w:color w:val="auto"/>
                <w:kern w:val="0"/>
                <w:sz w:val="18"/>
                <w:szCs w:val="18"/>
                <w:highlight w:val="none"/>
              </w:rPr>
            </w:pPr>
            <w:r>
              <w:rPr>
                <w:rFonts w:hint="eastAsia" w:ascii="仿宋_GB2312" w:hAnsi="宋体" w:eastAsia="仿宋_GB2312"/>
                <w:b/>
                <w:color w:val="auto"/>
                <w:kern w:val="0"/>
                <w:sz w:val="18"/>
                <w:szCs w:val="18"/>
                <w:highlight w:val="none"/>
              </w:rPr>
              <w:t>商品和服务支出</w:t>
            </w:r>
          </w:p>
        </w:tc>
        <w:tc>
          <w:tcPr>
            <w:tcW w:w="915" w:type="dxa"/>
            <w:vMerge w:val="restart"/>
            <w:noWrap w:val="0"/>
            <w:vAlign w:val="center"/>
          </w:tcPr>
          <w:p>
            <w:pPr>
              <w:widowControl/>
              <w:jc w:val="center"/>
              <w:outlineLvl w:val="1"/>
              <w:rPr>
                <w:rFonts w:ascii="仿宋_GB2312" w:hAnsi="宋体" w:eastAsia="仿宋_GB2312"/>
                <w:b/>
                <w:color w:val="auto"/>
                <w:kern w:val="0"/>
                <w:sz w:val="18"/>
                <w:szCs w:val="18"/>
                <w:highlight w:val="none"/>
              </w:rPr>
            </w:pPr>
            <w:r>
              <w:rPr>
                <w:rFonts w:hint="eastAsia" w:ascii="仿宋_GB2312" w:hAnsi="宋体" w:eastAsia="仿宋_GB2312"/>
                <w:b/>
                <w:color w:val="auto"/>
                <w:kern w:val="0"/>
                <w:sz w:val="18"/>
                <w:szCs w:val="18"/>
                <w:highlight w:val="none"/>
              </w:rPr>
              <w:t>对个人和家庭的补助</w:t>
            </w:r>
          </w:p>
        </w:tc>
        <w:tc>
          <w:tcPr>
            <w:tcW w:w="975" w:type="dxa"/>
            <w:vMerge w:val="restart"/>
            <w:noWrap w:val="0"/>
            <w:vAlign w:val="center"/>
          </w:tcPr>
          <w:p>
            <w:pPr>
              <w:widowControl/>
              <w:jc w:val="center"/>
              <w:outlineLvl w:val="1"/>
              <w:rPr>
                <w:rFonts w:ascii="仿宋_GB2312" w:hAnsi="宋体" w:eastAsia="仿宋_GB2312"/>
                <w:b/>
                <w:color w:val="auto"/>
                <w:kern w:val="0"/>
                <w:sz w:val="18"/>
                <w:szCs w:val="18"/>
                <w:highlight w:val="none"/>
              </w:rPr>
            </w:pPr>
            <w:r>
              <w:rPr>
                <w:rFonts w:hint="eastAsia" w:ascii="仿宋_GB2312" w:hAnsi="宋体" w:eastAsia="仿宋_GB2312"/>
                <w:b/>
                <w:color w:val="auto"/>
                <w:kern w:val="0"/>
                <w:sz w:val="18"/>
                <w:szCs w:val="18"/>
                <w:highlight w:val="none"/>
              </w:rPr>
              <w:t>债务利息及费用支出</w:t>
            </w:r>
          </w:p>
        </w:tc>
        <w:tc>
          <w:tcPr>
            <w:tcW w:w="705" w:type="dxa"/>
            <w:vMerge w:val="restart"/>
            <w:noWrap w:val="0"/>
            <w:vAlign w:val="center"/>
          </w:tcPr>
          <w:p>
            <w:pPr>
              <w:widowControl/>
              <w:jc w:val="center"/>
              <w:outlineLvl w:val="1"/>
              <w:rPr>
                <w:rFonts w:ascii="仿宋_GB2312" w:hAnsi="宋体" w:eastAsia="仿宋_GB2312"/>
                <w:b/>
                <w:color w:val="auto"/>
                <w:kern w:val="0"/>
                <w:sz w:val="18"/>
                <w:szCs w:val="18"/>
                <w:highlight w:val="none"/>
              </w:rPr>
            </w:pPr>
            <w:r>
              <w:rPr>
                <w:rFonts w:hint="eastAsia" w:ascii="仿宋_GB2312" w:hAnsi="宋体" w:eastAsia="仿宋_GB2312"/>
                <w:b/>
                <w:color w:val="auto"/>
                <w:kern w:val="0"/>
                <w:sz w:val="18"/>
                <w:szCs w:val="18"/>
                <w:highlight w:val="none"/>
              </w:rPr>
              <w:t>资本性支出（基本建设）</w:t>
            </w:r>
          </w:p>
        </w:tc>
        <w:tc>
          <w:tcPr>
            <w:tcW w:w="570" w:type="dxa"/>
            <w:vMerge w:val="restart"/>
            <w:noWrap w:val="0"/>
            <w:vAlign w:val="center"/>
          </w:tcPr>
          <w:p>
            <w:pPr>
              <w:widowControl/>
              <w:jc w:val="center"/>
              <w:outlineLvl w:val="1"/>
              <w:rPr>
                <w:rFonts w:ascii="仿宋_GB2312" w:hAnsi="宋体" w:eastAsia="仿宋_GB2312"/>
                <w:b/>
                <w:color w:val="auto"/>
                <w:kern w:val="0"/>
                <w:sz w:val="18"/>
                <w:szCs w:val="18"/>
                <w:highlight w:val="none"/>
              </w:rPr>
            </w:pPr>
            <w:r>
              <w:rPr>
                <w:rFonts w:hint="eastAsia" w:ascii="仿宋_GB2312" w:hAnsi="宋体" w:eastAsia="仿宋_GB2312"/>
                <w:b/>
                <w:color w:val="auto"/>
                <w:kern w:val="0"/>
                <w:sz w:val="18"/>
                <w:szCs w:val="18"/>
                <w:highlight w:val="none"/>
              </w:rPr>
              <w:t>资本性支出</w:t>
            </w:r>
          </w:p>
        </w:tc>
        <w:tc>
          <w:tcPr>
            <w:tcW w:w="765" w:type="dxa"/>
            <w:vMerge w:val="restart"/>
            <w:noWrap w:val="0"/>
            <w:vAlign w:val="center"/>
          </w:tcPr>
          <w:p>
            <w:pPr>
              <w:widowControl/>
              <w:jc w:val="center"/>
              <w:outlineLvl w:val="1"/>
              <w:rPr>
                <w:rFonts w:ascii="仿宋_GB2312" w:hAnsi="宋体" w:eastAsia="仿宋_GB2312"/>
                <w:b/>
                <w:color w:val="auto"/>
                <w:kern w:val="0"/>
                <w:sz w:val="18"/>
                <w:szCs w:val="18"/>
                <w:highlight w:val="none"/>
              </w:rPr>
            </w:pPr>
            <w:r>
              <w:rPr>
                <w:rFonts w:hint="eastAsia" w:ascii="仿宋_GB2312" w:hAnsi="宋体" w:eastAsia="仿宋_GB2312"/>
                <w:b/>
                <w:color w:val="auto"/>
                <w:kern w:val="0"/>
                <w:sz w:val="18"/>
                <w:szCs w:val="18"/>
                <w:highlight w:val="none"/>
              </w:rPr>
              <w:t>对企业补助（基本建设）</w:t>
            </w:r>
          </w:p>
        </w:tc>
        <w:tc>
          <w:tcPr>
            <w:tcW w:w="690" w:type="dxa"/>
            <w:vMerge w:val="restart"/>
            <w:noWrap w:val="0"/>
            <w:vAlign w:val="center"/>
          </w:tcPr>
          <w:p>
            <w:pPr>
              <w:widowControl/>
              <w:jc w:val="center"/>
              <w:outlineLvl w:val="1"/>
              <w:rPr>
                <w:rFonts w:ascii="仿宋_GB2312" w:hAnsi="宋体" w:eastAsia="仿宋_GB2312"/>
                <w:b/>
                <w:color w:val="auto"/>
                <w:kern w:val="0"/>
                <w:sz w:val="18"/>
                <w:szCs w:val="18"/>
                <w:highlight w:val="none"/>
              </w:rPr>
            </w:pPr>
            <w:r>
              <w:rPr>
                <w:rFonts w:hint="eastAsia" w:ascii="仿宋_GB2312" w:hAnsi="宋体" w:eastAsia="仿宋_GB2312"/>
                <w:b/>
                <w:color w:val="auto"/>
                <w:kern w:val="0"/>
                <w:sz w:val="18"/>
                <w:szCs w:val="18"/>
                <w:highlight w:val="none"/>
              </w:rPr>
              <w:t>对企业补助</w:t>
            </w:r>
          </w:p>
        </w:tc>
        <w:tc>
          <w:tcPr>
            <w:tcW w:w="750" w:type="dxa"/>
            <w:vMerge w:val="restart"/>
            <w:noWrap w:val="0"/>
            <w:vAlign w:val="center"/>
          </w:tcPr>
          <w:p>
            <w:pPr>
              <w:widowControl/>
              <w:jc w:val="center"/>
              <w:outlineLvl w:val="1"/>
              <w:rPr>
                <w:rFonts w:ascii="仿宋_GB2312" w:hAnsi="宋体" w:eastAsia="仿宋_GB2312"/>
                <w:b/>
                <w:color w:val="auto"/>
                <w:kern w:val="0"/>
                <w:sz w:val="18"/>
                <w:szCs w:val="18"/>
                <w:highlight w:val="none"/>
              </w:rPr>
            </w:pPr>
            <w:r>
              <w:rPr>
                <w:rFonts w:hint="eastAsia" w:ascii="仿宋_GB2312" w:hAnsi="宋体" w:eastAsia="仿宋_GB2312"/>
                <w:b/>
                <w:color w:val="auto"/>
                <w:kern w:val="0"/>
                <w:sz w:val="18"/>
                <w:szCs w:val="18"/>
                <w:highlight w:val="none"/>
              </w:rPr>
              <w:t>对社会保障基金补助</w:t>
            </w:r>
          </w:p>
        </w:tc>
        <w:tc>
          <w:tcPr>
            <w:tcW w:w="549" w:type="dxa"/>
            <w:vMerge w:val="restart"/>
            <w:noWrap w:val="0"/>
            <w:vAlign w:val="center"/>
          </w:tcPr>
          <w:p>
            <w:pPr>
              <w:widowControl/>
              <w:jc w:val="center"/>
              <w:outlineLvl w:val="1"/>
              <w:rPr>
                <w:rFonts w:ascii="仿宋_GB2312" w:hAnsi="宋体" w:eastAsia="仿宋_GB2312"/>
                <w:b/>
                <w:color w:val="auto"/>
                <w:kern w:val="0"/>
                <w:sz w:val="18"/>
                <w:szCs w:val="18"/>
                <w:highlight w:val="none"/>
              </w:rPr>
            </w:pPr>
            <w:r>
              <w:rPr>
                <w:rFonts w:hint="eastAsia" w:ascii="仿宋_GB2312" w:hAnsi="宋体" w:eastAsia="仿宋_GB2312"/>
                <w:b/>
                <w:color w:val="auto"/>
                <w:kern w:val="0"/>
                <w:sz w:val="18"/>
                <w:szCs w:val="18"/>
                <w:highlight w:val="none"/>
              </w:rPr>
              <w:t>其他支出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2" w:hRule="atLeast"/>
        </w:trPr>
        <w:tc>
          <w:tcPr>
            <w:tcW w:w="542" w:type="dxa"/>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类</w:t>
            </w:r>
          </w:p>
        </w:tc>
        <w:tc>
          <w:tcPr>
            <w:tcW w:w="737" w:type="dxa"/>
            <w:gridSpan w:val="2"/>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款</w:t>
            </w:r>
          </w:p>
        </w:tc>
        <w:tc>
          <w:tcPr>
            <w:tcW w:w="846" w:type="dxa"/>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w:t>
            </w:r>
          </w:p>
        </w:tc>
        <w:tc>
          <w:tcPr>
            <w:tcW w:w="998" w:type="dxa"/>
            <w:vMerge w:val="continue"/>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p>
        </w:tc>
        <w:tc>
          <w:tcPr>
            <w:tcW w:w="1995"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972"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423"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900"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915"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975"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705"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570"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765"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690"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750"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549"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42" w:type="dxa"/>
            <w:shd w:val="clear" w:color="auto" w:fill="auto"/>
            <w:noWrap w:val="0"/>
            <w:vAlign w:val="center"/>
          </w:tcPr>
          <w:p>
            <w:pPr>
              <w:widowControl/>
              <w:jc w:val="center"/>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208</w:t>
            </w:r>
          </w:p>
        </w:tc>
        <w:tc>
          <w:tcPr>
            <w:tcW w:w="737" w:type="dxa"/>
            <w:gridSpan w:val="2"/>
            <w:shd w:val="clear" w:color="auto" w:fill="auto"/>
            <w:noWrap w:val="0"/>
            <w:vAlign w:val="center"/>
          </w:tcPr>
          <w:p>
            <w:pPr>
              <w:widowControl/>
              <w:jc w:val="center"/>
              <w:outlineLvl w:val="1"/>
              <w:rPr>
                <w:rFonts w:hint="eastAsia" w:ascii="仿宋_GB2312" w:hAnsi="宋体" w:eastAsia="仿宋_GB2312"/>
                <w:color w:val="auto"/>
                <w:kern w:val="0"/>
                <w:sz w:val="18"/>
                <w:szCs w:val="18"/>
                <w:highlight w:val="none"/>
                <w:lang w:val="en-US" w:eastAsia="zh-CN"/>
              </w:rPr>
            </w:pPr>
          </w:p>
        </w:tc>
        <w:tc>
          <w:tcPr>
            <w:tcW w:w="846" w:type="dxa"/>
            <w:shd w:val="clear" w:color="auto" w:fill="auto"/>
            <w:noWrap w:val="0"/>
            <w:vAlign w:val="center"/>
          </w:tcPr>
          <w:p>
            <w:pPr>
              <w:widowControl/>
              <w:jc w:val="center"/>
              <w:outlineLvl w:val="1"/>
              <w:rPr>
                <w:rFonts w:hint="eastAsia" w:ascii="仿宋_GB2312" w:hAnsi="宋体" w:eastAsia="仿宋_GB2312"/>
                <w:color w:val="auto"/>
                <w:kern w:val="0"/>
                <w:sz w:val="18"/>
                <w:szCs w:val="18"/>
                <w:highlight w:val="none"/>
              </w:rPr>
            </w:pPr>
          </w:p>
        </w:tc>
        <w:tc>
          <w:tcPr>
            <w:tcW w:w="998" w:type="dxa"/>
            <w:noWrap w:val="0"/>
            <w:vAlign w:val="center"/>
          </w:tcPr>
          <w:p>
            <w:pPr>
              <w:widowControl/>
              <w:jc w:val="center"/>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社会保障和就业支出</w:t>
            </w:r>
          </w:p>
        </w:tc>
        <w:tc>
          <w:tcPr>
            <w:tcW w:w="1995" w:type="dxa"/>
            <w:noWrap w:val="0"/>
            <w:vAlign w:val="center"/>
          </w:tcPr>
          <w:p>
            <w:pPr>
              <w:widowControl/>
              <w:jc w:val="center"/>
              <w:outlineLvl w:val="1"/>
              <w:rPr>
                <w:rFonts w:hint="eastAsia" w:ascii="仿宋_GB2312" w:hAnsi="宋体" w:eastAsia="仿宋_GB2312"/>
                <w:color w:val="auto"/>
                <w:kern w:val="0"/>
                <w:sz w:val="18"/>
                <w:szCs w:val="18"/>
                <w:highlight w:val="none"/>
                <w:lang w:eastAsia="zh-CN"/>
              </w:rPr>
            </w:pPr>
          </w:p>
        </w:tc>
        <w:tc>
          <w:tcPr>
            <w:tcW w:w="972" w:type="dxa"/>
            <w:noWrap w:val="0"/>
            <w:vAlign w:val="center"/>
          </w:tcPr>
          <w:p>
            <w:pPr>
              <w:widowControl/>
              <w:jc w:val="center"/>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2.92</w:t>
            </w:r>
          </w:p>
        </w:tc>
        <w:tc>
          <w:tcPr>
            <w:tcW w:w="423" w:type="dxa"/>
            <w:noWrap w:val="0"/>
            <w:vAlign w:val="center"/>
          </w:tcPr>
          <w:p>
            <w:pPr>
              <w:widowControl/>
              <w:jc w:val="center"/>
              <w:outlineLvl w:val="1"/>
              <w:rPr>
                <w:rFonts w:ascii="仿宋_GB2312" w:hAnsi="宋体" w:eastAsia="仿宋_GB2312"/>
                <w:b/>
                <w:bCs/>
                <w:color w:val="auto"/>
                <w:kern w:val="0"/>
                <w:sz w:val="18"/>
                <w:szCs w:val="18"/>
                <w:highlight w:val="none"/>
              </w:rPr>
            </w:pPr>
          </w:p>
        </w:tc>
        <w:tc>
          <w:tcPr>
            <w:tcW w:w="900" w:type="dxa"/>
            <w:noWrap w:val="0"/>
            <w:vAlign w:val="center"/>
          </w:tcPr>
          <w:p>
            <w:pPr>
              <w:widowControl/>
              <w:jc w:val="center"/>
              <w:outlineLvl w:val="1"/>
              <w:rPr>
                <w:rFonts w:hint="eastAsia" w:ascii="仿宋_GB2312" w:hAnsi="宋体" w:eastAsia="仿宋_GB2312"/>
                <w:b/>
                <w:bCs/>
                <w:color w:val="auto"/>
                <w:kern w:val="0"/>
                <w:sz w:val="18"/>
                <w:szCs w:val="18"/>
                <w:highlight w:val="none"/>
                <w:lang w:eastAsia="zh-CN"/>
              </w:rPr>
            </w:pPr>
          </w:p>
        </w:tc>
        <w:tc>
          <w:tcPr>
            <w:tcW w:w="915" w:type="dxa"/>
            <w:noWrap w:val="0"/>
            <w:vAlign w:val="center"/>
          </w:tcPr>
          <w:p>
            <w:pPr>
              <w:widowControl/>
              <w:jc w:val="center"/>
              <w:outlineLvl w:val="1"/>
              <w:rPr>
                <w:rFonts w:hint="eastAsia"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lang w:val="en-US" w:eastAsia="zh-CN"/>
              </w:rPr>
              <w:t>2.92</w:t>
            </w:r>
          </w:p>
        </w:tc>
        <w:tc>
          <w:tcPr>
            <w:tcW w:w="975" w:type="dxa"/>
            <w:noWrap w:val="0"/>
            <w:vAlign w:val="center"/>
          </w:tcPr>
          <w:p>
            <w:pPr>
              <w:widowControl/>
              <w:jc w:val="center"/>
              <w:outlineLvl w:val="1"/>
              <w:rPr>
                <w:rFonts w:ascii="仿宋_GB2312" w:hAnsi="宋体" w:eastAsia="仿宋_GB2312"/>
                <w:b/>
                <w:bCs/>
                <w:color w:val="auto"/>
                <w:kern w:val="0"/>
                <w:sz w:val="18"/>
                <w:szCs w:val="18"/>
                <w:highlight w:val="none"/>
              </w:rPr>
            </w:pPr>
          </w:p>
        </w:tc>
        <w:tc>
          <w:tcPr>
            <w:tcW w:w="705" w:type="dxa"/>
            <w:noWrap w:val="0"/>
            <w:vAlign w:val="center"/>
          </w:tcPr>
          <w:p>
            <w:pPr>
              <w:widowControl/>
              <w:jc w:val="center"/>
              <w:outlineLvl w:val="1"/>
              <w:rPr>
                <w:rFonts w:ascii="仿宋_GB2312" w:hAnsi="宋体" w:eastAsia="仿宋_GB2312"/>
                <w:b/>
                <w:bCs/>
                <w:color w:val="auto"/>
                <w:kern w:val="0"/>
                <w:sz w:val="18"/>
                <w:szCs w:val="18"/>
                <w:highlight w:val="none"/>
              </w:rPr>
            </w:pPr>
          </w:p>
        </w:tc>
        <w:tc>
          <w:tcPr>
            <w:tcW w:w="570" w:type="dxa"/>
            <w:noWrap w:val="0"/>
            <w:vAlign w:val="center"/>
          </w:tcPr>
          <w:p>
            <w:pPr>
              <w:widowControl/>
              <w:jc w:val="center"/>
              <w:outlineLvl w:val="1"/>
              <w:rPr>
                <w:rFonts w:ascii="仿宋_GB2312" w:hAnsi="宋体" w:eastAsia="仿宋_GB2312"/>
                <w:b/>
                <w:bCs/>
                <w:color w:val="auto"/>
                <w:kern w:val="0"/>
                <w:sz w:val="18"/>
                <w:szCs w:val="18"/>
                <w:highlight w:val="none"/>
              </w:rPr>
            </w:pPr>
          </w:p>
        </w:tc>
        <w:tc>
          <w:tcPr>
            <w:tcW w:w="765" w:type="dxa"/>
            <w:noWrap w:val="0"/>
            <w:vAlign w:val="center"/>
          </w:tcPr>
          <w:p>
            <w:pPr>
              <w:widowControl/>
              <w:jc w:val="center"/>
              <w:outlineLvl w:val="1"/>
              <w:rPr>
                <w:rFonts w:ascii="仿宋_GB2312" w:hAnsi="宋体" w:eastAsia="仿宋_GB2312"/>
                <w:b/>
                <w:bCs/>
                <w:color w:val="auto"/>
                <w:kern w:val="0"/>
                <w:sz w:val="18"/>
                <w:szCs w:val="18"/>
                <w:highlight w:val="none"/>
              </w:rPr>
            </w:pPr>
          </w:p>
        </w:tc>
        <w:tc>
          <w:tcPr>
            <w:tcW w:w="690" w:type="dxa"/>
            <w:noWrap w:val="0"/>
            <w:vAlign w:val="top"/>
          </w:tcPr>
          <w:p>
            <w:pPr>
              <w:widowControl/>
              <w:jc w:val="left"/>
              <w:outlineLvl w:val="1"/>
              <w:rPr>
                <w:rFonts w:hint="eastAsia" w:ascii="仿宋_GB2312" w:hAnsi="宋体" w:eastAsia="仿宋_GB2312"/>
                <w:b/>
                <w:bCs/>
                <w:color w:val="auto"/>
                <w:kern w:val="0"/>
                <w:sz w:val="18"/>
                <w:szCs w:val="18"/>
                <w:highlight w:val="none"/>
              </w:rPr>
            </w:pPr>
          </w:p>
        </w:tc>
        <w:tc>
          <w:tcPr>
            <w:tcW w:w="750" w:type="dxa"/>
            <w:noWrap w:val="0"/>
            <w:vAlign w:val="top"/>
          </w:tcPr>
          <w:p>
            <w:pPr>
              <w:widowControl/>
              <w:jc w:val="left"/>
              <w:outlineLvl w:val="1"/>
              <w:rPr>
                <w:rFonts w:hint="eastAsia" w:ascii="仿宋_GB2312" w:hAnsi="宋体" w:eastAsia="仿宋_GB2312"/>
                <w:b/>
                <w:bCs/>
                <w:color w:val="auto"/>
                <w:kern w:val="0"/>
                <w:sz w:val="18"/>
                <w:szCs w:val="18"/>
                <w:highlight w:val="none"/>
              </w:rPr>
            </w:pPr>
          </w:p>
        </w:tc>
        <w:tc>
          <w:tcPr>
            <w:tcW w:w="549" w:type="dxa"/>
            <w:noWrap w:val="0"/>
            <w:vAlign w:val="top"/>
          </w:tcPr>
          <w:p>
            <w:pPr>
              <w:widowControl/>
              <w:jc w:val="left"/>
              <w:outlineLvl w:val="1"/>
              <w:rPr>
                <w:rFonts w:hint="eastAsia" w:ascii="仿宋_GB2312" w:hAnsi="宋体" w:eastAsia="仿宋_GB2312"/>
                <w:b/>
                <w:bCs/>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42" w:type="dxa"/>
            <w:shd w:val="clear" w:color="auto" w:fill="auto"/>
            <w:noWrap w:val="0"/>
            <w:vAlign w:val="center"/>
          </w:tcPr>
          <w:p>
            <w:pPr>
              <w:widowControl/>
              <w:jc w:val="center"/>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208</w:t>
            </w:r>
          </w:p>
        </w:tc>
        <w:tc>
          <w:tcPr>
            <w:tcW w:w="737" w:type="dxa"/>
            <w:gridSpan w:val="2"/>
            <w:shd w:val="clear" w:color="auto" w:fill="auto"/>
            <w:noWrap w:val="0"/>
            <w:vAlign w:val="center"/>
          </w:tcPr>
          <w:p>
            <w:pPr>
              <w:widowControl/>
              <w:jc w:val="center"/>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20806</w:t>
            </w:r>
          </w:p>
        </w:tc>
        <w:tc>
          <w:tcPr>
            <w:tcW w:w="846" w:type="dxa"/>
            <w:shd w:val="clear" w:color="auto" w:fill="auto"/>
            <w:noWrap w:val="0"/>
            <w:vAlign w:val="center"/>
          </w:tcPr>
          <w:p>
            <w:pPr>
              <w:widowControl/>
              <w:jc w:val="center"/>
              <w:outlineLvl w:val="1"/>
              <w:rPr>
                <w:rFonts w:hint="eastAsia" w:ascii="仿宋_GB2312" w:hAnsi="宋体" w:eastAsia="仿宋_GB2312"/>
                <w:color w:val="auto"/>
                <w:kern w:val="0"/>
                <w:sz w:val="18"/>
                <w:szCs w:val="18"/>
                <w:highlight w:val="none"/>
              </w:rPr>
            </w:pPr>
          </w:p>
        </w:tc>
        <w:tc>
          <w:tcPr>
            <w:tcW w:w="998" w:type="dxa"/>
            <w:noWrap w:val="0"/>
            <w:vAlign w:val="center"/>
          </w:tcPr>
          <w:p>
            <w:pPr>
              <w:widowControl/>
              <w:jc w:val="center"/>
              <w:outlineLvl w:val="1"/>
              <w:rPr>
                <w:rFonts w:hint="eastAsia" w:ascii="仿宋_GB2312" w:hAnsi="宋体" w:eastAsia="仿宋_GB2312"/>
                <w:color w:val="auto"/>
                <w:kern w:val="0"/>
                <w:sz w:val="18"/>
                <w:szCs w:val="18"/>
                <w:highlight w:val="none"/>
                <w:lang w:eastAsia="zh-CN"/>
              </w:rPr>
            </w:pPr>
            <w:r>
              <w:rPr>
                <w:rFonts w:hint="eastAsia" w:ascii="仿宋_GB2312" w:hAnsi="宋体" w:eastAsia="仿宋_GB2312"/>
                <w:color w:val="auto"/>
                <w:kern w:val="0"/>
                <w:sz w:val="18"/>
                <w:szCs w:val="18"/>
                <w:highlight w:val="none"/>
                <w:lang w:eastAsia="zh-CN"/>
              </w:rPr>
              <w:t>企业改革补助</w:t>
            </w:r>
          </w:p>
        </w:tc>
        <w:tc>
          <w:tcPr>
            <w:tcW w:w="1995" w:type="dxa"/>
            <w:noWrap w:val="0"/>
            <w:vAlign w:val="center"/>
          </w:tcPr>
          <w:p>
            <w:pPr>
              <w:widowControl/>
              <w:jc w:val="center"/>
              <w:outlineLvl w:val="1"/>
              <w:rPr>
                <w:rFonts w:hint="eastAsia" w:ascii="仿宋_GB2312" w:hAnsi="宋体" w:eastAsia="仿宋_GB2312"/>
                <w:color w:val="auto"/>
                <w:kern w:val="0"/>
                <w:sz w:val="18"/>
                <w:szCs w:val="18"/>
                <w:highlight w:val="none"/>
                <w:lang w:eastAsia="zh-CN"/>
              </w:rPr>
            </w:pPr>
          </w:p>
        </w:tc>
        <w:tc>
          <w:tcPr>
            <w:tcW w:w="972" w:type="dxa"/>
            <w:noWrap w:val="0"/>
            <w:vAlign w:val="center"/>
          </w:tcPr>
          <w:p>
            <w:pPr>
              <w:widowControl/>
              <w:jc w:val="center"/>
              <w:outlineLvl w:val="1"/>
              <w:rPr>
                <w:rFonts w:hint="eastAsia"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lang w:val="en-US" w:eastAsia="zh-CN"/>
              </w:rPr>
              <w:t>2.92</w:t>
            </w:r>
          </w:p>
        </w:tc>
        <w:tc>
          <w:tcPr>
            <w:tcW w:w="423" w:type="dxa"/>
            <w:noWrap w:val="0"/>
            <w:vAlign w:val="center"/>
          </w:tcPr>
          <w:p>
            <w:pPr>
              <w:widowControl/>
              <w:jc w:val="center"/>
              <w:outlineLvl w:val="1"/>
              <w:rPr>
                <w:rFonts w:ascii="仿宋_GB2312" w:hAnsi="宋体" w:eastAsia="仿宋_GB2312"/>
                <w:b/>
                <w:bCs/>
                <w:color w:val="auto"/>
                <w:kern w:val="0"/>
                <w:sz w:val="18"/>
                <w:szCs w:val="18"/>
                <w:highlight w:val="none"/>
              </w:rPr>
            </w:pPr>
          </w:p>
        </w:tc>
        <w:tc>
          <w:tcPr>
            <w:tcW w:w="900" w:type="dxa"/>
            <w:noWrap w:val="0"/>
            <w:vAlign w:val="center"/>
          </w:tcPr>
          <w:p>
            <w:pPr>
              <w:widowControl/>
              <w:jc w:val="center"/>
              <w:outlineLvl w:val="1"/>
              <w:rPr>
                <w:rFonts w:hint="eastAsia" w:ascii="仿宋_GB2312" w:hAnsi="宋体" w:eastAsia="仿宋_GB2312"/>
                <w:b/>
                <w:bCs/>
                <w:color w:val="auto"/>
                <w:kern w:val="0"/>
                <w:sz w:val="18"/>
                <w:szCs w:val="18"/>
                <w:highlight w:val="none"/>
                <w:lang w:eastAsia="zh-CN"/>
              </w:rPr>
            </w:pPr>
          </w:p>
        </w:tc>
        <w:tc>
          <w:tcPr>
            <w:tcW w:w="915" w:type="dxa"/>
            <w:noWrap w:val="0"/>
            <w:vAlign w:val="center"/>
          </w:tcPr>
          <w:p>
            <w:pPr>
              <w:widowControl/>
              <w:jc w:val="center"/>
              <w:outlineLvl w:val="1"/>
              <w:rPr>
                <w:rFonts w:hint="eastAsia"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lang w:val="en-US" w:eastAsia="zh-CN"/>
              </w:rPr>
              <w:t>2.92</w:t>
            </w:r>
          </w:p>
        </w:tc>
        <w:tc>
          <w:tcPr>
            <w:tcW w:w="975" w:type="dxa"/>
            <w:noWrap w:val="0"/>
            <w:vAlign w:val="center"/>
          </w:tcPr>
          <w:p>
            <w:pPr>
              <w:widowControl/>
              <w:jc w:val="center"/>
              <w:outlineLvl w:val="1"/>
              <w:rPr>
                <w:rFonts w:ascii="仿宋_GB2312" w:hAnsi="宋体" w:eastAsia="仿宋_GB2312"/>
                <w:b/>
                <w:bCs/>
                <w:color w:val="auto"/>
                <w:kern w:val="0"/>
                <w:sz w:val="18"/>
                <w:szCs w:val="18"/>
                <w:highlight w:val="none"/>
              </w:rPr>
            </w:pPr>
          </w:p>
        </w:tc>
        <w:tc>
          <w:tcPr>
            <w:tcW w:w="705" w:type="dxa"/>
            <w:noWrap w:val="0"/>
            <w:vAlign w:val="center"/>
          </w:tcPr>
          <w:p>
            <w:pPr>
              <w:widowControl/>
              <w:jc w:val="center"/>
              <w:outlineLvl w:val="1"/>
              <w:rPr>
                <w:rFonts w:ascii="仿宋_GB2312" w:hAnsi="宋体" w:eastAsia="仿宋_GB2312"/>
                <w:b/>
                <w:bCs/>
                <w:color w:val="auto"/>
                <w:kern w:val="0"/>
                <w:sz w:val="18"/>
                <w:szCs w:val="18"/>
                <w:highlight w:val="none"/>
              </w:rPr>
            </w:pPr>
          </w:p>
        </w:tc>
        <w:tc>
          <w:tcPr>
            <w:tcW w:w="570" w:type="dxa"/>
            <w:noWrap w:val="0"/>
            <w:vAlign w:val="center"/>
          </w:tcPr>
          <w:p>
            <w:pPr>
              <w:widowControl/>
              <w:jc w:val="center"/>
              <w:outlineLvl w:val="1"/>
              <w:rPr>
                <w:rFonts w:ascii="仿宋_GB2312" w:hAnsi="宋体" w:eastAsia="仿宋_GB2312"/>
                <w:b/>
                <w:bCs/>
                <w:color w:val="auto"/>
                <w:kern w:val="0"/>
                <w:sz w:val="18"/>
                <w:szCs w:val="18"/>
                <w:highlight w:val="none"/>
              </w:rPr>
            </w:pPr>
          </w:p>
        </w:tc>
        <w:tc>
          <w:tcPr>
            <w:tcW w:w="765" w:type="dxa"/>
            <w:noWrap w:val="0"/>
            <w:vAlign w:val="center"/>
          </w:tcPr>
          <w:p>
            <w:pPr>
              <w:widowControl/>
              <w:jc w:val="center"/>
              <w:outlineLvl w:val="1"/>
              <w:rPr>
                <w:rFonts w:ascii="仿宋_GB2312" w:hAnsi="宋体" w:eastAsia="仿宋_GB2312"/>
                <w:b/>
                <w:bCs/>
                <w:color w:val="auto"/>
                <w:kern w:val="0"/>
                <w:sz w:val="18"/>
                <w:szCs w:val="18"/>
                <w:highlight w:val="none"/>
              </w:rPr>
            </w:pPr>
          </w:p>
        </w:tc>
        <w:tc>
          <w:tcPr>
            <w:tcW w:w="690" w:type="dxa"/>
            <w:noWrap w:val="0"/>
            <w:vAlign w:val="top"/>
          </w:tcPr>
          <w:p>
            <w:pPr>
              <w:widowControl/>
              <w:jc w:val="left"/>
              <w:outlineLvl w:val="1"/>
              <w:rPr>
                <w:rFonts w:hint="eastAsia" w:ascii="仿宋_GB2312" w:hAnsi="宋体" w:eastAsia="仿宋_GB2312"/>
                <w:b/>
                <w:bCs/>
                <w:color w:val="auto"/>
                <w:kern w:val="0"/>
                <w:sz w:val="18"/>
                <w:szCs w:val="18"/>
                <w:highlight w:val="none"/>
              </w:rPr>
            </w:pPr>
          </w:p>
        </w:tc>
        <w:tc>
          <w:tcPr>
            <w:tcW w:w="750" w:type="dxa"/>
            <w:noWrap w:val="0"/>
            <w:vAlign w:val="top"/>
          </w:tcPr>
          <w:p>
            <w:pPr>
              <w:widowControl/>
              <w:jc w:val="left"/>
              <w:outlineLvl w:val="1"/>
              <w:rPr>
                <w:rFonts w:hint="eastAsia" w:ascii="仿宋_GB2312" w:hAnsi="宋体" w:eastAsia="仿宋_GB2312"/>
                <w:b/>
                <w:bCs/>
                <w:color w:val="auto"/>
                <w:kern w:val="0"/>
                <w:sz w:val="18"/>
                <w:szCs w:val="18"/>
                <w:highlight w:val="none"/>
              </w:rPr>
            </w:pPr>
          </w:p>
        </w:tc>
        <w:tc>
          <w:tcPr>
            <w:tcW w:w="549" w:type="dxa"/>
            <w:noWrap w:val="0"/>
            <w:vAlign w:val="top"/>
          </w:tcPr>
          <w:p>
            <w:pPr>
              <w:widowControl/>
              <w:jc w:val="left"/>
              <w:outlineLvl w:val="1"/>
              <w:rPr>
                <w:rFonts w:hint="eastAsia" w:ascii="仿宋_GB2312" w:hAnsi="宋体" w:eastAsia="仿宋_GB2312"/>
                <w:b/>
                <w:bCs/>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42" w:type="dxa"/>
            <w:shd w:val="clear" w:color="auto" w:fill="auto"/>
            <w:noWrap w:val="0"/>
            <w:vAlign w:val="center"/>
          </w:tcPr>
          <w:p>
            <w:pPr>
              <w:widowControl/>
              <w:jc w:val="center"/>
              <w:outlineLvl w:val="1"/>
              <w:rPr>
                <w:rFonts w:ascii="仿宋_GB2312" w:hAnsi="宋体" w:eastAsia="仿宋_GB2312"/>
                <w:b/>
                <w:bCs/>
                <w:color w:val="auto"/>
                <w:kern w:val="0"/>
                <w:sz w:val="18"/>
                <w:szCs w:val="18"/>
                <w:highlight w:val="none"/>
              </w:rPr>
            </w:pPr>
            <w:r>
              <w:rPr>
                <w:rFonts w:hint="eastAsia" w:ascii="仿宋_GB2312" w:hAnsi="宋体" w:eastAsia="仿宋_GB2312"/>
                <w:color w:val="auto"/>
                <w:kern w:val="0"/>
                <w:sz w:val="18"/>
                <w:szCs w:val="18"/>
                <w:highlight w:val="none"/>
              </w:rPr>
              <w:t>208</w:t>
            </w:r>
          </w:p>
        </w:tc>
        <w:tc>
          <w:tcPr>
            <w:tcW w:w="737" w:type="dxa"/>
            <w:gridSpan w:val="2"/>
            <w:shd w:val="clear" w:color="auto" w:fill="auto"/>
            <w:noWrap w:val="0"/>
            <w:vAlign w:val="center"/>
          </w:tcPr>
          <w:p>
            <w:pPr>
              <w:widowControl/>
              <w:jc w:val="center"/>
              <w:outlineLvl w:val="1"/>
              <w:rPr>
                <w:rFonts w:hint="default" w:ascii="仿宋_GB2312" w:hAnsi="宋体" w:eastAsia="仿宋_GB2312"/>
                <w:b/>
                <w:bCs/>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20806</w:t>
            </w:r>
          </w:p>
        </w:tc>
        <w:tc>
          <w:tcPr>
            <w:tcW w:w="846" w:type="dxa"/>
            <w:shd w:val="clear" w:color="auto" w:fill="auto"/>
            <w:noWrap w:val="0"/>
            <w:vAlign w:val="center"/>
          </w:tcPr>
          <w:p>
            <w:pPr>
              <w:widowControl/>
              <w:jc w:val="center"/>
              <w:outlineLvl w:val="1"/>
              <w:rPr>
                <w:rFonts w:hint="default" w:ascii="仿宋_GB2312" w:hAnsi="宋体" w:eastAsia="仿宋_GB2312"/>
                <w:b/>
                <w:bCs/>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2080699</w:t>
            </w:r>
          </w:p>
        </w:tc>
        <w:tc>
          <w:tcPr>
            <w:tcW w:w="998" w:type="dxa"/>
            <w:noWrap w:val="0"/>
            <w:vAlign w:val="center"/>
          </w:tcPr>
          <w:p>
            <w:pPr>
              <w:widowControl/>
              <w:jc w:val="center"/>
              <w:outlineLvl w:val="1"/>
              <w:rPr>
                <w:rFonts w:ascii="仿宋_GB2312" w:hAnsi="宋体" w:eastAsia="仿宋_GB2312"/>
                <w:b/>
                <w:bCs/>
                <w:color w:val="auto"/>
                <w:kern w:val="0"/>
                <w:sz w:val="18"/>
                <w:szCs w:val="18"/>
                <w:highlight w:val="none"/>
              </w:rPr>
            </w:pPr>
            <w:r>
              <w:rPr>
                <w:rFonts w:hint="eastAsia" w:ascii="仿宋_GB2312" w:hAnsi="宋体" w:eastAsia="仿宋_GB2312"/>
                <w:color w:val="auto"/>
                <w:kern w:val="0"/>
                <w:sz w:val="18"/>
                <w:szCs w:val="18"/>
                <w:highlight w:val="none"/>
              </w:rPr>
              <w:t>其他企业改革发展补助</w:t>
            </w:r>
          </w:p>
        </w:tc>
        <w:tc>
          <w:tcPr>
            <w:tcW w:w="1995" w:type="dxa"/>
            <w:noWrap w:val="0"/>
            <w:vAlign w:val="center"/>
          </w:tcPr>
          <w:p>
            <w:pPr>
              <w:widowControl/>
              <w:jc w:val="center"/>
              <w:outlineLvl w:val="1"/>
              <w:rPr>
                <w:rFonts w:ascii="仿宋_GB2312" w:hAnsi="宋体" w:eastAsia="仿宋_GB2312"/>
                <w:b/>
                <w:bCs/>
                <w:color w:val="auto"/>
                <w:kern w:val="0"/>
                <w:sz w:val="18"/>
                <w:szCs w:val="18"/>
                <w:highlight w:val="none"/>
              </w:rPr>
            </w:pPr>
            <w:r>
              <w:rPr>
                <w:rFonts w:hint="eastAsia" w:ascii="仿宋_GB2312" w:hAnsi="宋体" w:eastAsia="仿宋_GB2312"/>
                <w:color w:val="auto"/>
                <w:kern w:val="0"/>
                <w:sz w:val="18"/>
                <w:szCs w:val="18"/>
                <w:highlight w:val="none"/>
              </w:rPr>
              <w:t>1995年前退休（退职）2025年4月-2026年3月生活补贴资金</w:t>
            </w:r>
          </w:p>
        </w:tc>
        <w:tc>
          <w:tcPr>
            <w:tcW w:w="972" w:type="dxa"/>
            <w:noWrap w:val="0"/>
            <w:vAlign w:val="center"/>
          </w:tcPr>
          <w:p>
            <w:pPr>
              <w:widowControl/>
              <w:jc w:val="center"/>
              <w:outlineLvl w:val="1"/>
              <w:rPr>
                <w:rFonts w:hint="default" w:ascii="仿宋_GB2312" w:hAnsi="宋体" w:eastAsia="仿宋_GB2312"/>
                <w:b/>
                <w:bCs/>
                <w:color w:val="auto"/>
                <w:kern w:val="0"/>
                <w:sz w:val="18"/>
                <w:szCs w:val="18"/>
                <w:highlight w:val="none"/>
                <w:lang w:val="en-US" w:eastAsia="zh-CN"/>
              </w:rPr>
            </w:pPr>
            <w:r>
              <w:rPr>
                <w:rFonts w:hint="eastAsia" w:ascii="仿宋_GB2312" w:hAnsi="宋体" w:eastAsia="仿宋_GB2312"/>
                <w:color w:val="auto"/>
                <w:kern w:val="0"/>
                <w:sz w:val="18"/>
                <w:szCs w:val="18"/>
                <w:highlight w:val="none"/>
              </w:rPr>
              <w:t>2.92</w:t>
            </w:r>
          </w:p>
        </w:tc>
        <w:tc>
          <w:tcPr>
            <w:tcW w:w="423" w:type="dxa"/>
            <w:noWrap w:val="0"/>
            <w:vAlign w:val="center"/>
          </w:tcPr>
          <w:p>
            <w:pPr>
              <w:widowControl/>
              <w:jc w:val="center"/>
              <w:outlineLvl w:val="1"/>
              <w:rPr>
                <w:rFonts w:ascii="仿宋_GB2312" w:hAnsi="宋体" w:eastAsia="仿宋_GB2312"/>
                <w:b/>
                <w:bCs/>
                <w:color w:val="auto"/>
                <w:kern w:val="0"/>
                <w:sz w:val="18"/>
                <w:szCs w:val="18"/>
                <w:highlight w:val="none"/>
              </w:rPr>
            </w:pPr>
          </w:p>
        </w:tc>
        <w:tc>
          <w:tcPr>
            <w:tcW w:w="900" w:type="dxa"/>
            <w:noWrap w:val="0"/>
            <w:vAlign w:val="center"/>
          </w:tcPr>
          <w:p>
            <w:pPr>
              <w:widowControl/>
              <w:jc w:val="center"/>
              <w:outlineLvl w:val="1"/>
              <w:rPr>
                <w:rFonts w:hint="eastAsia" w:ascii="仿宋_GB2312" w:hAnsi="宋体" w:eastAsia="仿宋_GB2312"/>
                <w:b/>
                <w:bCs/>
                <w:color w:val="auto"/>
                <w:kern w:val="0"/>
                <w:sz w:val="18"/>
                <w:szCs w:val="18"/>
                <w:highlight w:val="none"/>
                <w:lang w:eastAsia="zh-CN"/>
              </w:rPr>
            </w:pPr>
          </w:p>
        </w:tc>
        <w:tc>
          <w:tcPr>
            <w:tcW w:w="915" w:type="dxa"/>
            <w:noWrap w:val="0"/>
            <w:vAlign w:val="center"/>
          </w:tcPr>
          <w:p>
            <w:pPr>
              <w:widowControl/>
              <w:jc w:val="center"/>
              <w:outlineLvl w:val="1"/>
              <w:rPr>
                <w:rFonts w:hint="default" w:ascii="仿宋_GB2312" w:hAnsi="宋体" w:eastAsia="仿宋_GB2312"/>
                <w:b/>
                <w:bCs/>
                <w:color w:val="auto"/>
                <w:kern w:val="0"/>
                <w:sz w:val="18"/>
                <w:szCs w:val="18"/>
                <w:highlight w:val="none"/>
                <w:lang w:val="en-US" w:eastAsia="zh-CN"/>
              </w:rPr>
            </w:pPr>
            <w:r>
              <w:rPr>
                <w:rFonts w:hint="eastAsia" w:ascii="仿宋_GB2312" w:hAnsi="宋体" w:eastAsia="仿宋_GB2312"/>
                <w:color w:val="auto"/>
                <w:kern w:val="0"/>
                <w:sz w:val="18"/>
                <w:szCs w:val="18"/>
                <w:highlight w:val="none"/>
              </w:rPr>
              <w:t>2.92</w:t>
            </w:r>
          </w:p>
        </w:tc>
        <w:tc>
          <w:tcPr>
            <w:tcW w:w="975" w:type="dxa"/>
            <w:noWrap w:val="0"/>
            <w:vAlign w:val="center"/>
          </w:tcPr>
          <w:p>
            <w:pPr>
              <w:widowControl/>
              <w:jc w:val="center"/>
              <w:outlineLvl w:val="1"/>
              <w:rPr>
                <w:rFonts w:ascii="仿宋_GB2312" w:hAnsi="宋体" w:eastAsia="仿宋_GB2312"/>
                <w:b/>
                <w:bCs/>
                <w:color w:val="auto"/>
                <w:kern w:val="0"/>
                <w:sz w:val="18"/>
                <w:szCs w:val="18"/>
                <w:highlight w:val="none"/>
              </w:rPr>
            </w:pPr>
          </w:p>
        </w:tc>
        <w:tc>
          <w:tcPr>
            <w:tcW w:w="705" w:type="dxa"/>
            <w:noWrap w:val="0"/>
            <w:vAlign w:val="center"/>
          </w:tcPr>
          <w:p>
            <w:pPr>
              <w:widowControl/>
              <w:jc w:val="center"/>
              <w:outlineLvl w:val="1"/>
              <w:rPr>
                <w:rFonts w:ascii="仿宋_GB2312" w:hAnsi="宋体" w:eastAsia="仿宋_GB2312"/>
                <w:b/>
                <w:bCs/>
                <w:color w:val="auto"/>
                <w:kern w:val="0"/>
                <w:sz w:val="18"/>
                <w:szCs w:val="18"/>
                <w:highlight w:val="none"/>
              </w:rPr>
            </w:pPr>
          </w:p>
        </w:tc>
        <w:tc>
          <w:tcPr>
            <w:tcW w:w="570" w:type="dxa"/>
            <w:noWrap w:val="0"/>
            <w:vAlign w:val="center"/>
          </w:tcPr>
          <w:p>
            <w:pPr>
              <w:widowControl/>
              <w:jc w:val="center"/>
              <w:outlineLvl w:val="1"/>
              <w:rPr>
                <w:rFonts w:ascii="仿宋_GB2312" w:hAnsi="宋体" w:eastAsia="仿宋_GB2312"/>
                <w:b/>
                <w:bCs/>
                <w:color w:val="auto"/>
                <w:kern w:val="0"/>
                <w:sz w:val="18"/>
                <w:szCs w:val="18"/>
                <w:highlight w:val="none"/>
              </w:rPr>
            </w:pPr>
          </w:p>
        </w:tc>
        <w:tc>
          <w:tcPr>
            <w:tcW w:w="765" w:type="dxa"/>
            <w:noWrap w:val="0"/>
            <w:vAlign w:val="center"/>
          </w:tcPr>
          <w:p>
            <w:pPr>
              <w:widowControl/>
              <w:jc w:val="center"/>
              <w:outlineLvl w:val="1"/>
              <w:rPr>
                <w:rFonts w:ascii="仿宋_GB2312" w:hAnsi="宋体" w:eastAsia="仿宋_GB2312"/>
                <w:b/>
                <w:bCs/>
                <w:color w:val="auto"/>
                <w:kern w:val="0"/>
                <w:sz w:val="18"/>
                <w:szCs w:val="18"/>
                <w:highlight w:val="none"/>
              </w:rPr>
            </w:pPr>
          </w:p>
        </w:tc>
        <w:tc>
          <w:tcPr>
            <w:tcW w:w="690" w:type="dxa"/>
            <w:noWrap w:val="0"/>
            <w:vAlign w:val="top"/>
          </w:tcPr>
          <w:p>
            <w:pPr>
              <w:widowControl/>
              <w:jc w:val="left"/>
              <w:outlineLvl w:val="1"/>
              <w:rPr>
                <w:rFonts w:ascii="仿宋_GB2312" w:hAnsi="宋体" w:eastAsia="仿宋_GB2312"/>
                <w:b/>
                <w:bCs/>
                <w:color w:val="auto"/>
                <w:kern w:val="0"/>
                <w:sz w:val="18"/>
                <w:szCs w:val="18"/>
                <w:highlight w:val="none"/>
              </w:rPr>
            </w:pPr>
            <w:r>
              <w:rPr>
                <w:rFonts w:hint="eastAsia" w:ascii="仿宋_GB2312" w:hAnsi="宋体" w:eastAsia="仿宋_GB2312"/>
                <w:b/>
                <w:bCs/>
                <w:color w:val="auto"/>
                <w:kern w:val="0"/>
                <w:sz w:val="18"/>
                <w:szCs w:val="18"/>
                <w:highlight w:val="none"/>
              </w:rPr>
              <w:t>　</w:t>
            </w:r>
          </w:p>
        </w:tc>
        <w:tc>
          <w:tcPr>
            <w:tcW w:w="750" w:type="dxa"/>
            <w:noWrap w:val="0"/>
            <w:vAlign w:val="top"/>
          </w:tcPr>
          <w:p>
            <w:pPr>
              <w:widowControl/>
              <w:jc w:val="left"/>
              <w:outlineLvl w:val="1"/>
              <w:rPr>
                <w:rFonts w:ascii="仿宋_GB2312" w:hAnsi="宋体" w:eastAsia="仿宋_GB2312"/>
                <w:b/>
                <w:bCs/>
                <w:color w:val="auto"/>
                <w:kern w:val="0"/>
                <w:sz w:val="18"/>
                <w:szCs w:val="18"/>
                <w:highlight w:val="none"/>
              </w:rPr>
            </w:pPr>
            <w:r>
              <w:rPr>
                <w:rFonts w:hint="eastAsia" w:ascii="仿宋_GB2312" w:hAnsi="宋体" w:eastAsia="仿宋_GB2312"/>
                <w:b/>
                <w:bCs/>
                <w:color w:val="auto"/>
                <w:kern w:val="0"/>
                <w:sz w:val="18"/>
                <w:szCs w:val="18"/>
                <w:highlight w:val="none"/>
              </w:rPr>
              <w:t>　</w:t>
            </w:r>
          </w:p>
        </w:tc>
        <w:tc>
          <w:tcPr>
            <w:tcW w:w="549" w:type="dxa"/>
            <w:noWrap w:val="0"/>
            <w:vAlign w:val="top"/>
          </w:tcPr>
          <w:p>
            <w:pPr>
              <w:widowControl/>
              <w:jc w:val="left"/>
              <w:outlineLvl w:val="1"/>
              <w:rPr>
                <w:rFonts w:ascii="仿宋_GB2312" w:hAnsi="宋体" w:eastAsia="仿宋_GB2312"/>
                <w:b/>
                <w:bCs/>
                <w:color w:val="auto"/>
                <w:kern w:val="0"/>
                <w:sz w:val="18"/>
                <w:szCs w:val="18"/>
                <w:highlight w:val="none"/>
              </w:rPr>
            </w:pPr>
            <w:r>
              <w:rPr>
                <w:rFonts w:hint="eastAsia" w:ascii="仿宋_GB2312" w:hAnsi="宋体" w:eastAsia="仿宋_GB2312"/>
                <w:b/>
                <w:bCs/>
                <w:color w:val="auto"/>
                <w:kern w:val="0"/>
                <w:sz w:val="18"/>
                <w:szCs w:val="18"/>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42" w:type="dxa"/>
            <w:noWrap w:val="0"/>
            <w:vAlign w:val="top"/>
          </w:tcPr>
          <w:p>
            <w:pPr>
              <w:widowControl/>
              <w:jc w:val="left"/>
              <w:outlineLvl w:val="1"/>
              <w:rPr>
                <w:rFonts w:hint="default" w:ascii="仿宋_GB2312" w:hAnsi="宋体" w:eastAsia="仿宋_GB2312"/>
                <w:color w:val="auto"/>
                <w:kern w:val="0"/>
                <w:sz w:val="18"/>
                <w:szCs w:val="18"/>
                <w:highlight w:val="none"/>
                <w:lang w:val="en-US" w:eastAsia="zh-CN"/>
              </w:rPr>
            </w:pPr>
          </w:p>
        </w:tc>
        <w:tc>
          <w:tcPr>
            <w:tcW w:w="737" w:type="dxa"/>
            <w:gridSpan w:val="2"/>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846"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998"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1995" w:type="dxa"/>
            <w:noWrap w:val="0"/>
            <w:vAlign w:val="center"/>
          </w:tcPr>
          <w:p>
            <w:pPr>
              <w:widowControl/>
              <w:jc w:val="center"/>
              <w:outlineLvl w:val="1"/>
              <w:rPr>
                <w:rFonts w:ascii="仿宋_GB2312" w:hAnsi="宋体" w:eastAsia="仿宋_GB2312"/>
                <w:color w:val="auto"/>
                <w:kern w:val="0"/>
                <w:sz w:val="18"/>
                <w:szCs w:val="18"/>
                <w:highlight w:val="none"/>
              </w:rPr>
            </w:pPr>
            <w:r>
              <w:rPr>
                <w:rFonts w:hint="eastAsia" w:ascii="仿宋_GB2312" w:hAnsi="宋体" w:eastAsia="仿宋_GB2312"/>
                <w:b/>
                <w:bCs/>
                <w:color w:val="auto"/>
                <w:kern w:val="0"/>
                <w:sz w:val="18"/>
                <w:szCs w:val="18"/>
                <w:highlight w:val="none"/>
              </w:rPr>
              <w:t>合 计</w:t>
            </w:r>
          </w:p>
        </w:tc>
        <w:tc>
          <w:tcPr>
            <w:tcW w:w="972" w:type="dxa"/>
            <w:noWrap w:val="0"/>
            <w:vAlign w:val="center"/>
          </w:tcPr>
          <w:p>
            <w:pPr>
              <w:widowControl/>
              <w:jc w:val="center"/>
              <w:outlineLvl w:val="1"/>
              <w:rPr>
                <w:rFonts w:hint="eastAsia" w:ascii="仿宋_GB2312" w:hAnsi="宋体" w:eastAsia="仿宋_GB2312"/>
                <w:color w:val="auto"/>
                <w:kern w:val="0"/>
                <w:sz w:val="18"/>
                <w:szCs w:val="18"/>
                <w:highlight w:val="none"/>
                <w:lang w:eastAsia="zh-CN"/>
              </w:rPr>
            </w:pPr>
            <w:r>
              <w:rPr>
                <w:rFonts w:hint="eastAsia" w:ascii="仿宋_GB2312" w:hAnsi="宋体" w:eastAsia="仿宋_GB2312"/>
                <w:b/>
                <w:bCs/>
                <w:color w:val="auto"/>
                <w:kern w:val="0"/>
                <w:sz w:val="18"/>
                <w:szCs w:val="18"/>
                <w:highlight w:val="none"/>
                <w:lang w:val="en-US" w:eastAsia="zh-CN"/>
              </w:rPr>
              <w:t>2.92</w:t>
            </w:r>
          </w:p>
        </w:tc>
        <w:tc>
          <w:tcPr>
            <w:tcW w:w="423" w:type="dxa"/>
            <w:noWrap w:val="0"/>
            <w:vAlign w:val="center"/>
          </w:tcPr>
          <w:p>
            <w:pPr>
              <w:widowControl/>
              <w:jc w:val="center"/>
              <w:outlineLvl w:val="1"/>
              <w:rPr>
                <w:rFonts w:ascii="仿宋_GB2312" w:hAnsi="宋体" w:eastAsia="仿宋_GB2312"/>
                <w:color w:val="auto"/>
                <w:kern w:val="0"/>
                <w:sz w:val="18"/>
                <w:szCs w:val="18"/>
                <w:highlight w:val="none"/>
              </w:rPr>
            </w:pPr>
          </w:p>
        </w:tc>
        <w:tc>
          <w:tcPr>
            <w:tcW w:w="900" w:type="dxa"/>
            <w:noWrap w:val="0"/>
            <w:vAlign w:val="center"/>
          </w:tcPr>
          <w:p>
            <w:pPr>
              <w:widowControl/>
              <w:jc w:val="center"/>
              <w:outlineLvl w:val="1"/>
              <w:rPr>
                <w:rFonts w:ascii="仿宋_GB2312" w:hAnsi="宋体" w:eastAsia="仿宋_GB2312"/>
                <w:color w:val="auto"/>
                <w:kern w:val="0"/>
                <w:sz w:val="18"/>
                <w:szCs w:val="18"/>
                <w:highlight w:val="none"/>
              </w:rPr>
            </w:pPr>
            <w:r>
              <w:rPr>
                <w:rFonts w:hint="eastAsia" w:ascii="仿宋_GB2312" w:hAnsi="宋体" w:eastAsia="仿宋_GB2312"/>
                <w:b/>
                <w:bCs/>
                <w:color w:val="auto"/>
                <w:kern w:val="0"/>
                <w:sz w:val="18"/>
                <w:szCs w:val="18"/>
                <w:highlight w:val="none"/>
                <w:lang w:val="en-US" w:eastAsia="zh-CN"/>
              </w:rPr>
              <w:t>0</w:t>
            </w:r>
          </w:p>
        </w:tc>
        <w:tc>
          <w:tcPr>
            <w:tcW w:w="915" w:type="dxa"/>
            <w:noWrap w:val="0"/>
            <w:vAlign w:val="center"/>
          </w:tcPr>
          <w:p>
            <w:pPr>
              <w:widowControl/>
              <w:jc w:val="center"/>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lang w:val="en-US" w:eastAsia="zh-CN"/>
              </w:rPr>
              <w:t>2.92</w:t>
            </w:r>
          </w:p>
        </w:tc>
        <w:tc>
          <w:tcPr>
            <w:tcW w:w="975" w:type="dxa"/>
            <w:noWrap w:val="0"/>
            <w:vAlign w:val="center"/>
          </w:tcPr>
          <w:p>
            <w:pPr>
              <w:widowControl/>
              <w:jc w:val="center"/>
              <w:outlineLvl w:val="1"/>
              <w:rPr>
                <w:rFonts w:ascii="仿宋_GB2312" w:hAnsi="宋体" w:eastAsia="仿宋_GB2312"/>
                <w:color w:val="auto"/>
                <w:kern w:val="0"/>
                <w:sz w:val="18"/>
                <w:szCs w:val="18"/>
                <w:highlight w:val="none"/>
              </w:rPr>
            </w:pPr>
          </w:p>
        </w:tc>
        <w:tc>
          <w:tcPr>
            <w:tcW w:w="705" w:type="dxa"/>
            <w:noWrap w:val="0"/>
            <w:vAlign w:val="center"/>
          </w:tcPr>
          <w:p>
            <w:pPr>
              <w:widowControl/>
              <w:jc w:val="center"/>
              <w:outlineLvl w:val="1"/>
              <w:rPr>
                <w:rFonts w:ascii="仿宋_GB2312" w:hAnsi="宋体" w:eastAsia="仿宋_GB2312"/>
                <w:color w:val="auto"/>
                <w:kern w:val="0"/>
                <w:sz w:val="18"/>
                <w:szCs w:val="18"/>
                <w:highlight w:val="none"/>
              </w:rPr>
            </w:pPr>
          </w:p>
        </w:tc>
        <w:tc>
          <w:tcPr>
            <w:tcW w:w="570" w:type="dxa"/>
            <w:noWrap w:val="0"/>
            <w:vAlign w:val="center"/>
          </w:tcPr>
          <w:p>
            <w:pPr>
              <w:widowControl/>
              <w:jc w:val="center"/>
              <w:outlineLvl w:val="1"/>
              <w:rPr>
                <w:rFonts w:ascii="仿宋_GB2312" w:hAnsi="宋体" w:eastAsia="仿宋_GB2312"/>
                <w:color w:val="auto"/>
                <w:kern w:val="0"/>
                <w:sz w:val="18"/>
                <w:szCs w:val="18"/>
                <w:highlight w:val="none"/>
              </w:rPr>
            </w:pPr>
          </w:p>
        </w:tc>
        <w:tc>
          <w:tcPr>
            <w:tcW w:w="765" w:type="dxa"/>
            <w:noWrap w:val="0"/>
            <w:vAlign w:val="center"/>
          </w:tcPr>
          <w:p>
            <w:pPr>
              <w:widowControl/>
              <w:jc w:val="center"/>
              <w:outlineLvl w:val="1"/>
              <w:rPr>
                <w:rFonts w:ascii="仿宋_GB2312" w:hAnsi="宋体" w:eastAsia="仿宋_GB2312"/>
                <w:color w:val="auto"/>
                <w:kern w:val="0"/>
                <w:sz w:val="18"/>
                <w:szCs w:val="18"/>
                <w:highlight w:val="none"/>
              </w:rPr>
            </w:pPr>
          </w:p>
        </w:tc>
        <w:tc>
          <w:tcPr>
            <w:tcW w:w="690"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750"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549"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sectPr>
          <w:pgSz w:w="16838" w:h="11906" w:orient="landscape"/>
          <w:pgMar w:top="1531" w:right="2098" w:bottom="1531" w:left="1984" w:header="851" w:footer="992" w:gutter="0"/>
          <w:pgBorders>
            <w:top w:val="none" w:sz="0" w:space="0"/>
            <w:left w:val="none" w:sz="0" w:space="0"/>
            <w:bottom w:val="none" w:sz="0" w:space="0"/>
            <w:right w:val="none" w:sz="0" w:space="0"/>
          </w:pgBorders>
          <w:pgNumType w:fmt="numberInDash"/>
          <w:cols w:space="720" w:num="1"/>
          <w:docGrid w:linePitch="312" w:charSpace="0"/>
        </w:sectPr>
      </w:pPr>
    </w:p>
    <w:p>
      <w:pPr>
        <w:pStyle w:val="8"/>
        <w:rPr>
          <w:rFonts w:hint="eastAsia"/>
          <w:highlight w:val="none"/>
          <w:lang w:val="en-US" w:eastAsia="zh-CN"/>
        </w:r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8</w:t>
      </w:r>
    </w:p>
    <w:p>
      <w:pPr>
        <w:widowControl/>
        <w:jc w:val="center"/>
        <w:rPr>
          <w:rFonts w:hint="eastAsia" w:ascii="黑体" w:hAnsi="黑体" w:eastAsia="黑体" w:cs="黑体"/>
          <w:b/>
          <w:color w:val="auto"/>
          <w:kern w:val="0"/>
          <w:sz w:val="32"/>
          <w:szCs w:val="32"/>
          <w:highlight w:val="none"/>
        </w:rPr>
      </w:pPr>
      <w:r>
        <w:rPr>
          <w:rFonts w:hint="eastAsia" w:ascii="黑体" w:hAnsi="黑体" w:eastAsia="黑体" w:cs="黑体"/>
          <w:b/>
          <w:color w:val="auto"/>
          <w:kern w:val="0"/>
          <w:sz w:val="32"/>
          <w:szCs w:val="32"/>
          <w:highlight w:val="none"/>
          <w:lang w:val="en-US" w:eastAsia="zh-CN"/>
        </w:rPr>
        <w:t>政府性基金预算支出</w:t>
      </w:r>
      <w:r>
        <w:rPr>
          <w:rFonts w:hint="eastAsia" w:ascii="黑体" w:hAnsi="黑体" w:eastAsia="黑体" w:cs="黑体"/>
          <w:b/>
          <w:color w:val="auto"/>
          <w:kern w:val="0"/>
          <w:sz w:val="32"/>
          <w:szCs w:val="32"/>
          <w:highlight w:val="none"/>
        </w:rPr>
        <w:t>情况表</w:t>
      </w:r>
    </w:p>
    <w:p>
      <w:pPr>
        <w:widowControl/>
        <w:spacing w:line="280" w:lineRule="exac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编制</w:t>
      </w:r>
      <w:r>
        <w:rPr>
          <w:rFonts w:hint="eastAsia" w:ascii="仿宋_GB2312" w:hAnsi="宋体" w:eastAsia="仿宋_GB2312"/>
          <w:color w:val="auto"/>
          <w:kern w:val="0"/>
          <w:sz w:val="20"/>
          <w:szCs w:val="20"/>
          <w:highlight w:val="none"/>
          <w:lang w:eastAsia="zh-CN"/>
        </w:rPr>
        <w:t>部门：呼图壁县社会保险中心</w:t>
      </w:r>
      <w:r>
        <w:rPr>
          <w:rFonts w:hint="eastAsia" w:ascii="仿宋_GB2312" w:hAnsi="宋体" w:eastAsia="仿宋_GB2312"/>
          <w:color w:val="auto"/>
          <w:kern w:val="0"/>
          <w:sz w:val="20"/>
          <w:szCs w:val="20"/>
          <w:highlight w:val="none"/>
        </w:rPr>
        <w:t xml:space="preserve">                                        </w:t>
      </w:r>
      <w:r>
        <w:rPr>
          <w:rFonts w:hint="eastAsia" w:ascii="仿宋_GB2312" w:hAnsi="宋体" w:eastAsia="仿宋_GB2312"/>
          <w:color w:val="auto"/>
          <w:kern w:val="0"/>
          <w:sz w:val="20"/>
          <w:szCs w:val="20"/>
          <w:highlight w:val="none"/>
          <w:lang w:val="en-US" w:eastAsia="zh-CN"/>
        </w:rPr>
        <w:t xml:space="preserve">   </w:t>
      </w:r>
      <w:r>
        <w:rPr>
          <w:rFonts w:hint="eastAsia" w:ascii="仿宋_GB2312" w:hAnsi="宋体" w:eastAsia="仿宋_GB2312"/>
          <w:color w:val="auto"/>
          <w:kern w:val="0"/>
          <w:sz w:val="20"/>
          <w:szCs w:val="20"/>
          <w:highlight w:val="none"/>
        </w:rPr>
        <w:t xml:space="preserve">  单位：万元</w:t>
      </w:r>
    </w:p>
    <w:tbl>
      <w:tblPr>
        <w:tblStyle w:val="9"/>
        <w:tblW w:w="9214" w:type="dxa"/>
        <w:tblInd w:w="-34" w:type="dxa"/>
        <w:tblLayout w:type="autofit"/>
        <w:tblCellMar>
          <w:top w:w="0" w:type="dxa"/>
          <w:left w:w="108" w:type="dxa"/>
          <w:bottom w:w="0" w:type="dxa"/>
          <w:right w:w="108" w:type="dxa"/>
        </w:tblCellMar>
      </w:tblPr>
      <w:tblGrid>
        <w:gridCol w:w="585"/>
        <w:gridCol w:w="687"/>
        <w:gridCol w:w="656"/>
        <w:gridCol w:w="2357"/>
        <w:gridCol w:w="1374"/>
        <w:gridCol w:w="1055"/>
        <w:gridCol w:w="1102"/>
        <w:gridCol w:w="1398"/>
      </w:tblGrid>
      <w:tr>
        <w:tblPrEx>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政府性基金预算</w:t>
            </w:r>
            <w:r>
              <w:rPr>
                <w:rFonts w:hint="eastAsia" w:ascii="仿宋_GB2312" w:hAnsi="宋体" w:eastAsia="仿宋_GB2312" w:cs="宋体"/>
                <w:b/>
                <w:bCs/>
                <w:color w:val="auto"/>
                <w:kern w:val="0"/>
                <w:sz w:val="24"/>
                <w:highlight w:val="none"/>
              </w:rPr>
              <w:t>支出</w:t>
            </w:r>
          </w:p>
        </w:tc>
      </w:tr>
      <w:tr>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9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47"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pPr>
        <w:widowControl/>
        <w:spacing w:line="280" w:lineRule="exact"/>
        <w:outlineLvl w:val="1"/>
        <w:rPr>
          <w:rFonts w:hint="default" w:ascii="仿宋_GB2312" w:hAnsi="宋体" w:eastAsia="仿宋_GB2312"/>
          <w:b/>
          <w:color w:val="auto"/>
          <w:kern w:val="0"/>
          <w:sz w:val="24"/>
          <w:szCs w:val="24"/>
          <w:highlight w:val="none"/>
          <w:lang w:val="en-US" w:eastAsia="zh-CN"/>
        </w:rPr>
      </w:pPr>
      <w:r>
        <w:rPr>
          <w:rFonts w:hint="eastAsia" w:ascii="仿宋_GB2312" w:hAnsi="宋体" w:eastAsia="仿宋_GB2312"/>
          <w:b/>
          <w:color w:val="auto"/>
          <w:kern w:val="0"/>
          <w:sz w:val="24"/>
          <w:szCs w:val="24"/>
          <w:highlight w:val="none"/>
          <w:lang w:eastAsia="zh-CN"/>
        </w:rPr>
        <w:t>呼图壁县社会保险中心</w:t>
      </w:r>
      <w:r>
        <w:rPr>
          <w:rFonts w:hint="eastAsia" w:ascii="仿宋_GB2312" w:hAnsi="宋体" w:eastAsia="仿宋_GB2312"/>
          <w:b/>
          <w:color w:val="auto"/>
          <w:kern w:val="0"/>
          <w:sz w:val="24"/>
          <w:szCs w:val="24"/>
          <w:highlight w:val="none"/>
          <w:lang w:val="en-US" w:eastAsia="zh-CN"/>
        </w:rPr>
        <w:t>2025年没有使用政府性基金预算拨款安排的支出，政府性基金预算支出情况表为空表。</w:t>
      </w:r>
    </w:p>
    <w:p>
      <w:pPr>
        <w:keepNext w:val="0"/>
        <w:keepLines w:val="0"/>
        <w:widowControl/>
        <w:suppressLineNumbers w:val="0"/>
        <w:jc w:val="left"/>
        <w:textAlignment w:val="bottom"/>
        <w:rPr>
          <w:rFonts w:hint="eastAsia" w:ascii="宋体" w:hAnsi="宋体" w:eastAsia="宋体" w:cs="宋体"/>
          <w:i w:val="0"/>
          <w:color w:val="auto"/>
          <w:kern w:val="0"/>
          <w:sz w:val="24"/>
          <w:szCs w:val="24"/>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4"/>
          <w:szCs w:val="24"/>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表9</w:t>
      </w:r>
    </w:p>
    <w:p>
      <w:pPr>
        <w:widowControl/>
        <w:jc w:val="center"/>
        <w:rPr>
          <w:rFonts w:hint="eastAsia" w:ascii="黑体" w:hAnsi="黑体" w:eastAsia="黑体" w:cs="黑体"/>
          <w:b/>
          <w:color w:val="auto"/>
          <w:kern w:val="0"/>
          <w:sz w:val="32"/>
          <w:szCs w:val="32"/>
          <w:highlight w:val="none"/>
        </w:rPr>
      </w:pPr>
      <w:r>
        <w:rPr>
          <w:rFonts w:hint="eastAsia" w:ascii="黑体" w:hAnsi="黑体" w:eastAsia="黑体" w:cs="黑体"/>
          <w:b/>
          <w:color w:val="auto"/>
          <w:kern w:val="0"/>
          <w:sz w:val="32"/>
          <w:szCs w:val="32"/>
          <w:highlight w:val="none"/>
          <w:lang w:val="en-US" w:eastAsia="zh-CN"/>
        </w:rPr>
        <w:t>国有资本经营预算支出</w:t>
      </w:r>
      <w:r>
        <w:rPr>
          <w:rFonts w:hint="eastAsia" w:ascii="黑体" w:hAnsi="黑体" w:eastAsia="黑体" w:cs="黑体"/>
          <w:b/>
          <w:color w:val="auto"/>
          <w:kern w:val="0"/>
          <w:sz w:val="32"/>
          <w:szCs w:val="32"/>
          <w:highlight w:val="none"/>
        </w:rPr>
        <w:t>情况表</w:t>
      </w:r>
    </w:p>
    <w:p>
      <w:pPr>
        <w:widowControl/>
        <w:spacing w:line="280" w:lineRule="exac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编制</w:t>
      </w:r>
      <w:r>
        <w:rPr>
          <w:rFonts w:hint="eastAsia" w:ascii="仿宋_GB2312" w:hAnsi="宋体" w:eastAsia="仿宋_GB2312"/>
          <w:color w:val="auto"/>
          <w:kern w:val="0"/>
          <w:sz w:val="20"/>
          <w:szCs w:val="20"/>
          <w:highlight w:val="none"/>
          <w:lang w:eastAsia="zh-CN"/>
        </w:rPr>
        <w:t>部门</w:t>
      </w:r>
      <w:r>
        <w:rPr>
          <w:rFonts w:hint="eastAsia" w:ascii="仿宋_GB2312" w:hAnsi="宋体" w:eastAsia="仿宋_GB2312"/>
          <w:color w:val="auto"/>
          <w:kern w:val="0"/>
          <w:sz w:val="20"/>
          <w:szCs w:val="20"/>
          <w:highlight w:val="none"/>
        </w:rPr>
        <w:t>：</w:t>
      </w:r>
      <w:r>
        <w:rPr>
          <w:rFonts w:hint="eastAsia" w:ascii="仿宋_GB2312" w:hAnsi="宋体" w:eastAsia="仿宋_GB2312"/>
          <w:color w:val="auto"/>
          <w:kern w:val="0"/>
          <w:sz w:val="20"/>
          <w:szCs w:val="20"/>
          <w:highlight w:val="none"/>
          <w:lang w:eastAsia="zh-CN"/>
        </w:rPr>
        <w:t>呼图壁县社会保险中心</w:t>
      </w:r>
      <w:r>
        <w:rPr>
          <w:rFonts w:hint="eastAsia" w:ascii="仿宋_GB2312" w:hAnsi="宋体" w:eastAsia="仿宋_GB2312"/>
          <w:color w:val="auto"/>
          <w:kern w:val="0"/>
          <w:sz w:val="20"/>
          <w:szCs w:val="20"/>
          <w:highlight w:val="none"/>
        </w:rPr>
        <w:t xml:space="preserve">                                          </w:t>
      </w:r>
      <w:r>
        <w:rPr>
          <w:rFonts w:hint="eastAsia" w:ascii="仿宋_GB2312" w:hAnsi="宋体" w:eastAsia="仿宋_GB2312"/>
          <w:color w:val="auto"/>
          <w:kern w:val="0"/>
          <w:sz w:val="20"/>
          <w:szCs w:val="20"/>
          <w:highlight w:val="none"/>
          <w:lang w:val="en-US" w:eastAsia="zh-CN"/>
        </w:rPr>
        <w:t xml:space="preserve">   </w:t>
      </w:r>
      <w:r>
        <w:rPr>
          <w:rFonts w:hint="eastAsia" w:ascii="仿宋_GB2312" w:hAnsi="宋体" w:eastAsia="仿宋_GB2312"/>
          <w:color w:val="auto"/>
          <w:kern w:val="0"/>
          <w:sz w:val="20"/>
          <w:szCs w:val="20"/>
          <w:highlight w:val="none"/>
        </w:rPr>
        <w:t xml:space="preserve">  单位：万元</w:t>
      </w:r>
    </w:p>
    <w:tbl>
      <w:tblPr>
        <w:tblStyle w:val="9"/>
        <w:tblW w:w="9214" w:type="dxa"/>
        <w:tblInd w:w="-34" w:type="dxa"/>
        <w:tblLayout w:type="autofit"/>
        <w:tblCellMar>
          <w:top w:w="0" w:type="dxa"/>
          <w:left w:w="108" w:type="dxa"/>
          <w:bottom w:w="0" w:type="dxa"/>
          <w:right w:w="108" w:type="dxa"/>
        </w:tblCellMar>
      </w:tblPr>
      <w:tblGrid>
        <w:gridCol w:w="585"/>
        <w:gridCol w:w="687"/>
        <w:gridCol w:w="656"/>
        <w:gridCol w:w="2357"/>
        <w:gridCol w:w="1374"/>
        <w:gridCol w:w="1055"/>
        <w:gridCol w:w="1102"/>
        <w:gridCol w:w="1398"/>
      </w:tblGrid>
      <w:tr>
        <w:tblPrEx>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国有资本经营预算</w:t>
            </w:r>
            <w:r>
              <w:rPr>
                <w:rFonts w:hint="eastAsia" w:ascii="仿宋_GB2312" w:hAnsi="宋体" w:eastAsia="仿宋_GB2312" w:cs="宋体"/>
                <w:b/>
                <w:bCs/>
                <w:color w:val="auto"/>
                <w:kern w:val="0"/>
                <w:sz w:val="24"/>
                <w:highlight w:val="none"/>
              </w:rPr>
              <w:t>支出</w:t>
            </w:r>
          </w:p>
        </w:tc>
      </w:tr>
      <w:tr>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312"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pPr>
        <w:widowControl/>
        <w:spacing w:line="280" w:lineRule="exact"/>
        <w:outlineLvl w:val="1"/>
        <w:rPr>
          <w:rFonts w:hint="eastAsia" w:ascii="仿宋_GB2312" w:hAnsi="宋体" w:eastAsia="仿宋_GB2312"/>
          <w:b/>
          <w:color w:val="auto"/>
          <w:kern w:val="0"/>
          <w:sz w:val="28"/>
          <w:szCs w:val="32"/>
          <w:highlight w:val="none"/>
          <w:lang w:eastAsia="zh-CN"/>
        </w:rPr>
      </w:pPr>
    </w:p>
    <w:p>
      <w:pPr>
        <w:widowControl/>
        <w:spacing w:line="280" w:lineRule="exact"/>
        <w:outlineLvl w:val="1"/>
        <w:rPr>
          <w:rFonts w:hint="default" w:ascii="仿宋_GB2312" w:hAnsi="宋体" w:eastAsia="仿宋_GB2312"/>
          <w:b/>
          <w:color w:val="auto"/>
          <w:kern w:val="0"/>
          <w:sz w:val="24"/>
          <w:szCs w:val="24"/>
          <w:highlight w:val="none"/>
          <w:lang w:val="en-US" w:eastAsia="zh-CN"/>
        </w:rPr>
      </w:pPr>
      <w:r>
        <w:rPr>
          <w:rFonts w:hint="eastAsia" w:ascii="仿宋_GB2312" w:hAnsi="宋体" w:eastAsia="仿宋_GB2312"/>
          <w:b/>
          <w:color w:val="auto"/>
          <w:kern w:val="0"/>
          <w:sz w:val="24"/>
          <w:szCs w:val="24"/>
          <w:highlight w:val="none"/>
          <w:lang w:eastAsia="zh-CN"/>
        </w:rPr>
        <w:t>呼图壁县社会保险中心</w:t>
      </w:r>
      <w:r>
        <w:rPr>
          <w:rFonts w:hint="eastAsia" w:ascii="仿宋_GB2312" w:hAnsi="宋体" w:eastAsia="仿宋_GB2312"/>
          <w:b/>
          <w:color w:val="auto"/>
          <w:kern w:val="0"/>
          <w:sz w:val="24"/>
          <w:szCs w:val="24"/>
          <w:highlight w:val="none"/>
          <w:lang w:val="en-US" w:eastAsia="zh-CN"/>
        </w:rPr>
        <w:t>2025年没有使用国有资本经营预算拨款支出，国有资本经营预算支出情况表为空表。</w:t>
      </w: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10</w:t>
      </w:r>
    </w:p>
    <w:p>
      <w:pPr>
        <w:widowControl/>
        <w:jc w:val="center"/>
        <w:rPr>
          <w:rFonts w:hint="eastAsia" w:ascii="仿宋_GB2312" w:hAnsi="宋体" w:eastAsia="仿宋_GB2312"/>
          <w:b/>
          <w:color w:val="auto"/>
          <w:kern w:val="0"/>
          <w:sz w:val="32"/>
          <w:szCs w:val="32"/>
          <w:highlight w:val="none"/>
        </w:rPr>
      </w:pPr>
      <w:r>
        <w:rPr>
          <w:rFonts w:hint="eastAsia" w:ascii="黑体" w:hAnsi="黑体" w:eastAsia="黑体" w:cs="黑体"/>
          <w:b/>
          <w:color w:val="auto"/>
          <w:kern w:val="0"/>
          <w:sz w:val="32"/>
          <w:szCs w:val="32"/>
          <w:highlight w:val="none"/>
          <w:lang w:val="en-US" w:eastAsia="zh-Hans"/>
        </w:rPr>
        <w:t>财政拨款</w:t>
      </w:r>
      <w:r>
        <w:rPr>
          <w:rFonts w:hint="eastAsia" w:ascii="黑体" w:hAnsi="黑体" w:eastAsia="黑体" w:cs="黑体"/>
          <w:b/>
          <w:color w:val="auto"/>
          <w:kern w:val="0"/>
          <w:sz w:val="32"/>
          <w:szCs w:val="32"/>
          <w:highlight w:val="none"/>
        </w:rPr>
        <w:t>“三公”经费支出情况表</w:t>
      </w:r>
    </w:p>
    <w:p>
      <w:pPr>
        <w:widowControl/>
        <w:jc w:val="both"/>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部门：呼图壁县社会保险中心</w:t>
      </w:r>
      <w:r>
        <w:rPr>
          <w:rFonts w:hint="eastAsia" w:ascii="仿宋_GB2312" w:hAnsi="宋体" w:eastAsia="仿宋_GB2312"/>
          <w:color w:val="auto"/>
          <w:kern w:val="0"/>
          <w:sz w:val="24"/>
          <w:highlight w:val="none"/>
        </w:rPr>
        <w:t xml:space="preserve">                                  单位：万元</w:t>
      </w:r>
    </w:p>
    <w:tbl>
      <w:tblPr>
        <w:tblStyle w:val="10"/>
        <w:tblW w:w="9818" w:type="dxa"/>
        <w:tblInd w:w="-5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818"/>
        <w:gridCol w:w="1215"/>
        <w:gridCol w:w="1314"/>
        <w:gridCol w:w="1746"/>
        <w:gridCol w:w="17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Merge w:val="restart"/>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rPr>
              <w:t>三公</w:t>
            </w: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lang w:val="en-US" w:eastAsia="zh-CN"/>
              </w:rPr>
              <w:t>经费</w:t>
            </w:r>
            <w:r>
              <w:rPr>
                <w:rFonts w:hint="eastAsia" w:ascii="仿宋_GB2312" w:hAnsi="宋体" w:eastAsia="仿宋_GB2312"/>
                <w:b/>
                <w:color w:val="auto"/>
                <w:kern w:val="0"/>
                <w:sz w:val="28"/>
                <w:szCs w:val="32"/>
                <w:highlight w:val="none"/>
                <w:vertAlign w:val="baseline"/>
              </w:rPr>
              <w:t>支出内容</w:t>
            </w:r>
          </w:p>
        </w:tc>
        <w:tc>
          <w:tcPr>
            <w:tcW w:w="1215" w:type="dxa"/>
            <w:vMerge w:val="restart"/>
            <w:noWrap w:val="0"/>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合计</w:t>
            </w:r>
          </w:p>
        </w:tc>
        <w:tc>
          <w:tcPr>
            <w:tcW w:w="4785" w:type="dxa"/>
            <w:gridSpan w:val="3"/>
            <w:noWrap w:val="0"/>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Merge w:val="continue"/>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215" w:type="dxa"/>
            <w:vMerge w:val="continue"/>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314"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一般公共预算</w:t>
            </w:r>
          </w:p>
        </w:tc>
        <w:tc>
          <w:tcPr>
            <w:tcW w:w="1746"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政府性基金</w:t>
            </w:r>
          </w:p>
        </w:tc>
        <w:tc>
          <w:tcPr>
            <w:tcW w:w="1725"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4"/>
                <w:szCs w:val="24"/>
                <w:highlight w:val="none"/>
                <w:vertAlign w:val="baseline"/>
              </w:rPr>
            </w:pPr>
            <w:r>
              <w:rPr>
                <w:rFonts w:hint="eastAsia" w:ascii="仿宋_GB2312" w:hAnsi="宋体" w:eastAsia="仿宋_GB2312"/>
                <w:b/>
                <w:color w:val="auto"/>
                <w:kern w:val="0"/>
                <w:sz w:val="24"/>
                <w:szCs w:val="24"/>
                <w:highlight w:val="none"/>
                <w:vertAlign w:val="baseline"/>
              </w:rPr>
              <w:t>合计</w:t>
            </w:r>
          </w:p>
        </w:tc>
        <w:tc>
          <w:tcPr>
            <w:tcW w:w="1215" w:type="dxa"/>
            <w:noWrap w:val="0"/>
            <w:vAlign w:val="center"/>
          </w:tcPr>
          <w:p>
            <w:pPr>
              <w:keepNext w:val="0"/>
              <w:keepLines w:val="0"/>
              <w:pageBreakBefore w:val="0"/>
              <w:widowControl/>
              <w:kinsoku/>
              <w:wordWrap/>
              <w:overflowPunct/>
              <w:topLinePunct w:val="0"/>
              <w:autoSpaceDE/>
              <w:autoSpaceDN/>
              <w:bidi w:val="0"/>
              <w:adjustRightInd/>
              <w:snapToGrid/>
              <w:jc w:val="center"/>
              <w:textAlignment w:val="auto"/>
              <w:outlineLvl w:val="1"/>
              <w:rPr>
                <w:rFonts w:hint="default" w:ascii="仿宋_GB2312" w:hAnsi="宋体" w:eastAsia="仿宋_GB2312"/>
                <w:b/>
                <w:color w:val="auto"/>
                <w:kern w:val="0"/>
                <w:sz w:val="24"/>
                <w:szCs w:val="28"/>
                <w:highlight w:val="none"/>
                <w:vertAlign w:val="baseline"/>
                <w:lang w:val="en-US" w:eastAsia="zh-CN"/>
              </w:rPr>
            </w:pPr>
            <w:r>
              <w:rPr>
                <w:rFonts w:hint="eastAsia" w:ascii="仿宋_GB2312" w:hAnsi="宋体" w:eastAsia="仿宋_GB2312"/>
                <w:b/>
                <w:color w:val="auto"/>
                <w:kern w:val="0"/>
                <w:sz w:val="24"/>
                <w:szCs w:val="28"/>
                <w:highlight w:val="none"/>
                <w:vertAlign w:val="baseline"/>
                <w:lang w:val="en-US" w:eastAsia="zh-CN"/>
              </w:rPr>
              <w:t>1.6</w:t>
            </w:r>
          </w:p>
        </w:tc>
        <w:tc>
          <w:tcPr>
            <w:tcW w:w="1314" w:type="dxa"/>
            <w:noWrap w:val="0"/>
            <w:vAlign w:val="center"/>
          </w:tcPr>
          <w:p>
            <w:pPr>
              <w:keepNext w:val="0"/>
              <w:keepLines w:val="0"/>
              <w:pageBreakBefore w:val="0"/>
              <w:widowControl/>
              <w:kinsoku/>
              <w:wordWrap/>
              <w:overflowPunct/>
              <w:topLinePunct w:val="0"/>
              <w:autoSpaceDE/>
              <w:autoSpaceDN/>
              <w:bidi w:val="0"/>
              <w:adjustRightInd/>
              <w:snapToGrid/>
              <w:jc w:val="center"/>
              <w:textAlignment w:val="auto"/>
              <w:outlineLvl w:val="1"/>
              <w:rPr>
                <w:rFonts w:hint="default" w:ascii="仿宋_GB2312" w:hAnsi="宋体" w:eastAsia="仿宋_GB2312"/>
                <w:b/>
                <w:color w:val="auto"/>
                <w:kern w:val="0"/>
                <w:sz w:val="24"/>
                <w:szCs w:val="28"/>
                <w:highlight w:val="none"/>
                <w:vertAlign w:val="baseline"/>
                <w:lang w:val="en-US" w:eastAsia="zh-CN"/>
              </w:rPr>
            </w:pPr>
            <w:r>
              <w:rPr>
                <w:rFonts w:hint="eastAsia" w:ascii="仿宋_GB2312" w:hAnsi="宋体" w:eastAsia="仿宋_GB2312"/>
                <w:b/>
                <w:color w:val="auto"/>
                <w:kern w:val="0"/>
                <w:sz w:val="24"/>
                <w:szCs w:val="28"/>
                <w:highlight w:val="none"/>
                <w:vertAlign w:val="baseline"/>
                <w:lang w:val="en-US" w:eastAsia="zh-CN"/>
              </w:rPr>
              <w:t>1.6</w:t>
            </w:r>
          </w:p>
        </w:tc>
        <w:tc>
          <w:tcPr>
            <w:tcW w:w="1746"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72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val="0"/>
                <w:bCs/>
                <w:color w:val="auto"/>
                <w:kern w:val="0"/>
                <w:sz w:val="24"/>
                <w:szCs w:val="24"/>
                <w:highlight w:val="none"/>
                <w:vertAlign w:val="baseline"/>
              </w:rPr>
            </w:pPr>
            <w:r>
              <w:rPr>
                <w:rFonts w:hint="eastAsia" w:ascii="仿宋_GB2312" w:hAnsi="宋体" w:eastAsia="仿宋_GB2312"/>
                <w:b w:val="0"/>
                <w:bCs/>
                <w:color w:val="auto"/>
                <w:kern w:val="0"/>
                <w:sz w:val="24"/>
                <w:szCs w:val="24"/>
                <w:highlight w:val="none"/>
                <w:vertAlign w:val="baseline"/>
              </w:rPr>
              <w:t>因公出国（境）费</w:t>
            </w:r>
          </w:p>
        </w:tc>
        <w:tc>
          <w:tcPr>
            <w:tcW w:w="1215" w:type="dxa"/>
            <w:noWrap w:val="0"/>
            <w:vAlign w:val="center"/>
          </w:tcPr>
          <w:p>
            <w:pPr>
              <w:keepNext w:val="0"/>
              <w:keepLines w:val="0"/>
              <w:pageBreakBefore w:val="0"/>
              <w:widowControl/>
              <w:kinsoku/>
              <w:wordWrap/>
              <w:overflowPunct/>
              <w:topLinePunct w:val="0"/>
              <w:autoSpaceDE/>
              <w:autoSpaceDN/>
              <w:bidi w:val="0"/>
              <w:adjustRightInd/>
              <w:snapToGrid/>
              <w:jc w:val="center"/>
              <w:textAlignment w:val="auto"/>
              <w:outlineLvl w:val="1"/>
              <w:rPr>
                <w:rFonts w:hint="eastAsia" w:ascii="仿宋_GB2312" w:hAnsi="宋体" w:eastAsia="仿宋_GB2312"/>
                <w:b/>
                <w:color w:val="auto"/>
                <w:kern w:val="0"/>
                <w:sz w:val="24"/>
                <w:szCs w:val="28"/>
                <w:highlight w:val="none"/>
                <w:vertAlign w:val="baseline"/>
              </w:rPr>
            </w:pPr>
          </w:p>
        </w:tc>
        <w:tc>
          <w:tcPr>
            <w:tcW w:w="1314" w:type="dxa"/>
            <w:noWrap w:val="0"/>
            <w:vAlign w:val="center"/>
          </w:tcPr>
          <w:p>
            <w:pPr>
              <w:keepNext w:val="0"/>
              <w:keepLines w:val="0"/>
              <w:pageBreakBefore w:val="0"/>
              <w:widowControl/>
              <w:kinsoku/>
              <w:wordWrap/>
              <w:overflowPunct/>
              <w:topLinePunct w:val="0"/>
              <w:autoSpaceDE/>
              <w:autoSpaceDN/>
              <w:bidi w:val="0"/>
              <w:adjustRightInd/>
              <w:snapToGrid/>
              <w:jc w:val="center"/>
              <w:textAlignment w:val="auto"/>
              <w:outlineLvl w:val="1"/>
              <w:rPr>
                <w:rFonts w:hint="eastAsia" w:ascii="仿宋_GB2312" w:hAnsi="宋体" w:eastAsia="仿宋_GB2312"/>
                <w:b/>
                <w:color w:val="auto"/>
                <w:kern w:val="0"/>
                <w:sz w:val="24"/>
                <w:szCs w:val="28"/>
                <w:highlight w:val="none"/>
                <w:vertAlign w:val="baseline"/>
              </w:rPr>
            </w:pPr>
          </w:p>
        </w:tc>
        <w:tc>
          <w:tcPr>
            <w:tcW w:w="1746"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72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val="0"/>
                <w:bCs/>
                <w:color w:val="auto"/>
                <w:kern w:val="0"/>
                <w:sz w:val="24"/>
                <w:szCs w:val="24"/>
                <w:highlight w:val="none"/>
                <w:vertAlign w:val="baseline"/>
              </w:rPr>
            </w:pPr>
            <w:r>
              <w:rPr>
                <w:rFonts w:hint="eastAsia" w:ascii="仿宋_GB2312" w:hAnsi="宋体" w:eastAsia="仿宋_GB2312"/>
                <w:b w:val="0"/>
                <w:bCs/>
                <w:color w:val="auto"/>
                <w:kern w:val="0"/>
                <w:sz w:val="24"/>
                <w:szCs w:val="24"/>
                <w:highlight w:val="none"/>
                <w:vertAlign w:val="baseline"/>
              </w:rPr>
              <w:t>公务接待费</w:t>
            </w:r>
          </w:p>
        </w:tc>
        <w:tc>
          <w:tcPr>
            <w:tcW w:w="1215" w:type="dxa"/>
            <w:noWrap w:val="0"/>
            <w:vAlign w:val="center"/>
          </w:tcPr>
          <w:p>
            <w:pPr>
              <w:keepNext w:val="0"/>
              <w:keepLines w:val="0"/>
              <w:pageBreakBefore w:val="0"/>
              <w:widowControl/>
              <w:kinsoku/>
              <w:wordWrap/>
              <w:overflowPunct/>
              <w:topLinePunct w:val="0"/>
              <w:autoSpaceDE/>
              <w:autoSpaceDN/>
              <w:bidi w:val="0"/>
              <w:adjustRightInd/>
              <w:snapToGrid/>
              <w:jc w:val="center"/>
              <w:textAlignment w:val="auto"/>
              <w:outlineLvl w:val="1"/>
              <w:rPr>
                <w:rFonts w:hint="eastAsia" w:ascii="仿宋_GB2312" w:hAnsi="宋体" w:eastAsia="仿宋_GB2312"/>
                <w:b/>
                <w:color w:val="auto"/>
                <w:kern w:val="0"/>
                <w:sz w:val="24"/>
                <w:szCs w:val="28"/>
                <w:highlight w:val="none"/>
                <w:vertAlign w:val="baseline"/>
              </w:rPr>
            </w:pPr>
          </w:p>
        </w:tc>
        <w:tc>
          <w:tcPr>
            <w:tcW w:w="1314" w:type="dxa"/>
            <w:noWrap w:val="0"/>
            <w:vAlign w:val="center"/>
          </w:tcPr>
          <w:p>
            <w:pPr>
              <w:keepNext w:val="0"/>
              <w:keepLines w:val="0"/>
              <w:pageBreakBefore w:val="0"/>
              <w:widowControl/>
              <w:kinsoku/>
              <w:wordWrap/>
              <w:overflowPunct/>
              <w:topLinePunct w:val="0"/>
              <w:autoSpaceDE/>
              <w:autoSpaceDN/>
              <w:bidi w:val="0"/>
              <w:adjustRightInd/>
              <w:snapToGrid/>
              <w:jc w:val="center"/>
              <w:textAlignment w:val="auto"/>
              <w:outlineLvl w:val="1"/>
              <w:rPr>
                <w:rFonts w:hint="eastAsia" w:ascii="仿宋_GB2312" w:hAnsi="宋体" w:eastAsia="仿宋_GB2312"/>
                <w:b/>
                <w:color w:val="auto"/>
                <w:kern w:val="0"/>
                <w:sz w:val="24"/>
                <w:szCs w:val="28"/>
                <w:highlight w:val="none"/>
                <w:vertAlign w:val="baseline"/>
              </w:rPr>
            </w:pPr>
          </w:p>
        </w:tc>
        <w:tc>
          <w:tcPr>
            <w:tcW w:w="1746"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72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4"/>
                <w:szCs w:val="24"/>
                <w:highlight w:val="none"/>
                <w:vertAlign w:val="baseline"/>
              </w:rPr>
            </w:pPr>
            <w:r>
              <w:rPr>
                <w:rFonts w:hint="eastAsia" w:ascii="仿宋_GB2312" w:hAnsi="宋体" w:eastAsia="仿宋_GB2312"/>
                <w:b/>
                <w:color w:val="auto"/>
                <w:kern w:val="0"/>
                <w:sz w:val="24"/>
                <w:szCs w:val="24"/>
                <w:highlight w:val="none"/>
                <w:vertAlign w:val="baseline"/>
              </w:rPr>
              <w:t>公务用车购置及运行费</w:t>
            </w:r>
          </w:p>
          <w:p>
            <w:pPr>
              <w:widowControl/>
              <w:jc w:val="center"/>
              <w:outlineLvl w:val="1"/>
              <w:rPr>
                <w:rFonts w:hint="eastAsia" w:ascii="仿宋_GB2312" w:hAnsi="宋体" w:eastAsia="仿宋_GB2312"/>
                <w:b/>
                <w:color w:val="auto"/>
                <w:kern w:val="0"/>
                <w:sz w:val="24"/>
                <w:szCs w:val="24"/>
                <w:highlight w:val="none"/>
                <w:vertAlign w:val="baseline"/>
              </w:rPr>
            </w:pPr>
            <w:r>
              <w:rPr>
                <w:rFonts w:hint="eastAsia" w:ascii="仿宋_GB2312" w:hAnsi="宋体" w:eastAsia="仿宋_GB2312"/>
                <w:b/>
                <w:color w:val="auto"/>
                <w:kern w:val="0"/>
                <w:sz w:val="24"/>
                <w:szCs w:val="24"/>
                <w:highlight w:val="none"/>
                <w:vertAlign w:val="baseline"/>
              </w:rPr>
              <w:t>（小计）</w:t>
            </w:r>
          </w:p>
        </w:tc>
        <w:tc>
          <w:tcPr>
            <w:tcW w:w="1215" w:type="dxa"/>
            <w:noWrap w:val="0"/>
            <w:vAlign w:val="center"/>
          </w:tcPr>
          <w:p>
            <w:pPr>
              <w:keepNext w:val="0"/>
              <w:keepLines w:val="0"/>
              <w:pageBreakBefore w:val="0"/>
              <w:widowControl/>
              <w:kinsoku/>
              <w:wordWrap/>
              <w:overflowPunct/>
              <w:topLinePunct w:val="0"/>
              <w:autoSpaceDE/>
              <w:autoSpaceDN/>
              <w:bidi w:val="0"/>
              <w:adjustRightInd/>
              <w:snapToGrid/>
              <w:jc w:val="center"/>
              <w:textAlignment w:val="auto"/>
              <w:outlineLvl w:val="1"/>
              <w:rPr>
                <w:rFonts w:hint="default" w:ascii="仿宋_GB2312" w:hAnsi="宋体" w:eastAsia="仿宋_GB2312"/>
                <w:b w:val="0"/>
                <w:bCs/>
                <w:color w:val="auto"/>
                <w:kern w:val="0"/>
                <w:sz w:val="24"/>
                <w:szCs w:val="28"/>
                <w:highlight w:val="none"/>
                <w:vertAlign w:val="baseline"/>
                <w:lang w:val="en-US" w:eastAsia="zh-CN"/>
              </w:rPr>
            </w:pPr>
            <w:r>
              <w:rPr>
                <w:rFonts w:hint="eastAsia" w:ascii="仿宋_GB2312" w:hAnsi="宋体" w:eastAsia="仿宋_GB2312"/>
                <w:b w:val="0"/>
                <w:bCs/>
                <w:color w:val="auto"/>
                <w:kern w:val="0"/>
                <w:sz w:val="24"/>
                <w:szCs w:val="28"/>
                <w:highlight w:val="none"/>
                <w:vertAlign w:val="baseline"/>
                <w:lang w:val="en-US" w:eastAsia="zh-CN"/>
              </w:rPr>
              <w:t>1.6</w:t>
            </w:r>
          </w:p>
        </w:tc>
        <w:tc>
          <w:tcPr>
            <w:tcW w:w="1314" w:type="dxa"/>
            <w:noWrap w:val="0"/>
            <w:vAlign w:val="center"/>
          </w:tcPr>
          <w:p>
            <w:pPr>
              <w:keepNext w:val="0"/>
              <w:keepLines w:val="0"/>
              <w:pageBreakBefore w:val="0"/>
              <w:widowControl/>
              <w:kinsoku/>
              <w:wordWrap/>
              <w:overflowPunct/>
              <w:topLinePunct w:val="0"/>
              <w:autoSpaceDE/>
              <w:autoSpaceDN/>
              <w:bidi w:val="0"/>
              <w:adjustRightInd/>
              <w:snapToGrid/>
              <w:jc w:val="center"/>
              <w:textAlignment w:val="auto"/>
              <w:outlineLvl w:val="1"/>
              <w:rPr>
                <w:rFonts w:hint="default" w:ascii="仿宋_GB2312" w:hAnsi="宋体" w:eastAsia="仿宋_GB2312"/>
                <w:b w:val="0"/>
                <w:bCs/>
                <w:color w:val="auto"/>
                <w:kern w:val="0"/>
                <w:sz w:val="24"/>
                <w:szCs w:val="28"/>
                <w:highlight w:val="none"/>
                <w:vertAlign w:val="baseline"/>
                <w:lang w:val="en-US" w:eastAsia="zh-CN"/>
              </w:rPr>
            </w:pPr>
            <w:r>
              <w:rPr>
                <w:rFonts w:hint="eastAsia" w:ascii="仿宋_GB2312" w:hAnsi="宋体" w:eastAsia="仿宋_GB2312"/>
                <w:b w:val="0"/>
                <w:bCs/>
                <w:color w:val="auto"/>
                <w:kern w:val="0"/>
                <w:sz w:val="24"/>
                <w:szCs w:val="28"/>
                <w:highlight w:val="none"/>
                <w:vertAlign w:val="baseline"/>
                <w:lang w:val="en-US" w:eastAsia="zh-CN"/>
              </w:rPr>
              <w:t>1.6</w:t>
            </w:r>
          </w:p>
        </w:tc>
        <w:tc>
          <w:tcPr>
            <w:tcW w:w="1746"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72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top"/>
          </w:tcPr>
          <w:p>
            <w:pPr>
              <w:widowControl/>
              <w:ind w:firstLine="240" w:firstLineChars="100"/>
              <w:outlineLvl w:val="1"/>
              <w:rPr>
                <w:rFonts w:hint="eastAsia" w:ascii="仿宋_GB2312" w:hAnsi="宋体" w:eastAsia="仿宋_GB2312"/>
                <w:b w:val="0"/>
                <w:bCs/>
                <w:color w:val="auto"/>
                <w:kern w:val="0"/>
                <w:sz w:val="24"/>
                <w:szCs w:val="24"/>
                <w:highlight w:val="none"/>
                <w:vertAlign w:val="baseline"/>
              </w:rPr>
            </w:pPr>
            <w:r>
              <w:rPr>
                <w:rFonts w:hint="eastAsia" w:ascii="仿宋_GB2312" w:hAnsi="宋体" w:eastAsia="仿宋_GB2312"/>
                <w:b w:val="0"/>
                <w:bCs/>
                <w:color w:val="auto"/>
                <w:kern w:val="0"/>
                <w:sz w:val="24"/>
                <w:szCs w:val="24"/>
                <w:highlight w:val="none"/>
                <w:vertAlign w:val="baseline"/>
              </w:rPr>
              <w:t>其中：公务用车购置费</w:t>
            </w:r>
          </w:p>
        </w:tc>
        <w:tc>
          <w:tcPr>
            <w:tcW w:w="1215" w:type="dxa"/>
            <w:noWrap w:val="0"/>
            <w:vAlign w:val="center"/>
          </w:tcPr>
          <w:p>
            <w:pPr>
              <w:keepNext w:val="0"/>
              <w:keepLines w:val="0"/>
              <w:pageBreakBefore w:val="0"/>
              <w:widowControl/>
              <w:kinsoku/>
              <w:wordWrap/>
              <w:overflowPunct/>
              <w:topLinePunct w:val="0"/>
              <w:autoSpaceDE/>
              <w:autoSpaceDN/>
              <w:bidi w:val="0"/>
              <w:adjustRightInd/>
              <w:snapToGrid/>
              <w:jc w:val="center"/>
              <w:textAlignment w:val="auto"/>
              <w:outlineLvl w:val="1"/>
              <w:rPr>
                <w:rFonts w:hint="default" w:ascii="仿宋_GB2312" w:hAnsi="宋体" w:eastAsia="仿宋_GB2312"/>
                <w:b/>
                <w:color w:val="auto"/>
                <w:kern w:val="0"/>
                <w:sz w:val="24"/>
                <w:szCs w:val="28"/>
                <w:highlight w:val="none"/>
                <w:vertAlign w:val="baseline"/>
              </w:rPr>
            </w:pPr>
          </w:p>
        </w:tc>
        <w:tc>
          <w:tcPr>
            <w:tcW w:w="1314" w:type="dxa"/>
            <w:noWrap w:val="0"/>
            <w:vAlign w:val="center"/>
          </w:tcPr>
          <w:p>
            <w:pPr>
              <w:keepNext w:val="0"/>
              <w:keepLines w:val="0"/>
              <w:pageBreakBefore w:val="0"/>
              <w:widowControl/>
              <w:kinsoku/>
              <w:wordWrap/>
              <w:overflowPunct/>
              <w:topLinePunct w:val="0"/>
              <w:autoSpaceDE/>
              <w:autoSpaceDN/>
              <w:bidi w:val="0"/>
              <w:adjustRightInd/>
              <w:snapToGrid/>
              <w:jc w:val="center"/>
              <w:textAlignment w:val="auto"/>
              <w:outlineLvl w:val="1"/>
              <w:rPr>
                <w:rFonts w:hint="default" w:ascii="仿宋_GB2312" w:hAnsi="宋体" w:eastAsia="仿宋_GB2312"/>
                <w:b/>
                <w:color w:val="auto"/>
                <w:kern w:val="0"/>
                <w:sz w:val="24"/>
                <w:szCs w:val="28"/>
                <w:highlight w:val="none"/>
                <w:vertAlign w:val="baseline"/>
              </w:rPr>
            </w:pPr>
          </w:p>
        </w:tc>
        <w:tc>
          <w:tcPr>
            <w:tcW w:w="1746"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72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top"/>
          </w:tcPr>
          <w:p>
            <w:pPr>
              <w:widowControl/>
              <w:outlineLvl w:val="1"/>
              <w:rPr>
                <w:rFonts w:hint="eastAsia" w:ascii="仿宋_GB2312" w:hAnsi="宋体" w:eastAsia="仿宋_GB2312"/>
                <w:b w:val="0"/>
                <w:bCs/>
                <w:color w:val="auto"/>
                <w:kern w:val="0"/>
                <w:sz w:val="24"/>
                <w:szCs w:val="24"/>
                <w:highlight w:val="none"/>
                <w:vertAlign w:val="baseline"/>
              </w:rPr>
            </w:pPr>
            <w:r>
              <w:rPr>
                <w:rFonts w:hint="eastAsia" w:ascii="仿宋_GB2312" w:hAnsi="宋体" w:eastAsia="仿宋_GB2312"/>
                <w:b w:val="0"/>
                <w:bCs/>
                <w:color w:val="auto"/>
                <w:kern w:val="0"/>
                <w:sz w:val="24"/>
                <w:szCs w:val="24"/>
                <w:highlight w:val="none"/>
                <w:vertAlign w:val="baseline"/>
              </w:rPr>
              <w:t xml:space="preserve">     </w:t>
            </w:r>
            <w:r>
              <w:rPr>
                <w:rFonts w:hint="default" w:ascii="仿宋_GB2312" w:hAnsi="宋体" w:eastAsia="仿宋_GB2312"/>
                <w:b w:val="0"/>
                <w:bCs/>
                <w:color w:val="auto"/>
                <w:kern w:val="0"/>
                <w:sz w:val="24"/>
                <w:szCs w:val="24"/>
                <w:highlight w:val="none"/>
                <w:vertAlign w:val="baseline"/>
              </w:rPr>
              <w:t xml:space="preserve">  </w:t>
            </w:r>
            <w:r>
              <w:rPr>
                <w:rFonts w:hint="eastAsia" w:ascii="仿宋_GB2312" w:hAnsi="宋体" w:eastAsia="仿宋_GB2312"/>
                <w:b w:val="0"/>
                <w:bCs/>
                <w:color w:val="auto"/>
                <w:kern w:val="0"/>
                <w:sz w:val="24"/>
                <w:szCs w:val="24"/>
                <w:highlight w:val="none"/>
                <w:vertAlign w:val="baseline"/>
              </w:rPr>
              <w:t xml:space="preserve"> 公务用车运行费</w:t>
            </w:r>
          </w:p>
        </w:tc>
        <w:tc>
          <w:tcPr>
            <w:tcW w:w="1215" w:type="dxa"/>
            <w:noWrap w:val="0"/>
            <w:vAlign w:val="center"/>
          </w:tcPr>
          <w:p>
            <w:pPr>
              <w:keepNext w:val="0"/>
              <w:keepLines w:val="0"/>
              <w:pageBreakBefore w:val="0"/>
              <w:widowControl/>
              <w:kinsoku/>
              <w:wordWrap/>
              <w:overflowPunct/>
              <w:topLinePunct w:val="0"/>
              <w:autoSpaceDE/>
              <w:autoSpaceDN/>
              <w:bidi w:val="0"/>
              <w:adjustRightInd/>
              <w:snapToGrid/>
              <w:jc w:val="center"/>
              <w:textAlignment w:val="auto"/>
              <w:outlineLvl w:val="1"/>
              <w:rPr>
                <w:rFonts w:hint="default" w:ascii="仿宋_GB2312" w:hAnsi="宋体" w:eastAsia="仿宋_GB2312"/>
                <w:b w:val="0"/>
                <w:bCs/>
                <w:color w:val="auto"/>
                <w:kern w:val="0"/>
                <w:sz w:val="24"/>
                <w:szCs w:val="28"/>
                <w:highlight w:val="none"/>
                <w:vertAlign w:val="baseline"/>
                <w:lang w:val="en-US" w:eastAsia="zh-CN"/>
              </w:rPr>
            </w:pPr>
            <w:r>
              <w:rPr>
                <w:rFonts w:hint="eastAsia" w:ascii="仿宋_GB2312" w:hAnsi="宋体" w:eastAsia="仿宋_GB2312"/>
                <w:b w:val="0"/>
                <w:bCs/>
                <w:color w:val="auto"/>
                <w:kern w:val="0"/>
                <w:sz w:val="24"/>
                <w:szCs w:val="28"/>
                <w:highlight w:val="none"/>
                <w:vertAlign w:val="baseline"/>
                <w:lang w:val="en-US" w:eastAsia="zh-CN"/>
              </w:rPr>
              <w:t>1.6</w:t>
            </w:r>
          </w:p>
        </w:tc>
        <w:tc>
          <w:tcPr>
            <w:tcW w:w="1314" w:type="dxa"/>
            <w:noWrap w:val="0"/>
            <w:vAlign w:val="center"/>
          </w:tcPr>
          <w:p>
            <w:pPr>
              <w:keepNext w:val="0"/>
              <w:keepLines w:val="0"/>
              <w:pageBreakBefore w:val="0"/>
              <w:widowControl/>
              <w:kinsoku/>
              <w:wordWrap/>
              <w:overflowPunct/>
              <w:topLinePunct w:val="0"/>
              <w:autoSpaceDE/>
              <w:autoSpaceDN/>
              <w:bidi w:val="0"/>
              <w:adjustRightInd/>
              <w:snapToGrid/>
              <w:jc w:val="center"/>
              <w:textAlignment w:val="auto"/>
              <w:outlineLvl w:val="1"/>
              <w:rPr>
                <w:rFonts w:hint="default" w:ascii="仿宋_GB2312" w:hAnsi="宋体" w:eastAsia="仿宋_GB2312"/>
                <w:b w:val="0"/>
                <w:bCs/>
                <w:color w:val="auto"/>
                <w:kern w:val="0"/>
                <w:sz w:val="24"/>
                <w:szCs w:val="28"/>
                <w:highlight w:val="none"/>
                <w:vertAlign w:val="baseline"/>
                <w:lang w:val="en-US" w:eastAsia="zh-CN"/>
              </w:rPr>
            </w:pPr>
            <w:r>
              <w:rPr>
                <w:rFonts w:hint="eastAsia" w:ascii="仿宋_GB2312" w:hAnsi="宋体" w:eastAsia="仿宋_GB2312"/>
                <w:b w:val="0"/>
                <w:bCs/>
                <w:color w:val="auto"/>
                <w:kern w:val="0"/>
                <w:sz w:val="24"/>
                <w:szCs w:val="28"/>
                <w:highlight w:val="none"/>
                <w:vertAlign w:val="baseline"/>
                <w:lang w:val="en-US" w:eastAsia="zh-CN"/>
              </w:rPr>
              <w:t>1.6</w:t>
            </w:r>
          </w:p>
        </w:tc>
        <w:tc>
          <w:tcPr>
            <w:tcW w:w="1746"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72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bl>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jc w:val="both"/>
        <w:rPr>
          <w:rFonts w:hint="eastAsia" w:ascii="仿宋" w:hAnsi="仿宋" w:eastAsia="仿宋" w:cs="仿宋_GB2312"/>
          <w:bCs/>
          <w:color w:val="auto"/>
          <w:kern w:val="0"/>
          <w:sz w:val="28"/>
          <w:szCs w:val="28"/>
          <w:highlight w:val="none"/>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仿宋" w:hAnsi="仿宋" w:eastAsia="仿宋" w:cs="仿宋_GB2312"/>
          <w:bCs/>
          <w:color w:val="auto"/>
          <w:kern w:val="0"/>
          <w:sz w:val="28"/>
          <w:szCs w:val="28"/>
          <w:highlight w:val="none"/>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w:t>
      </w:r>
      <w:r>
        <w:rPr>
          <w:rFonts w:hint="eastAsia" w:ascii="宋体" w:hAnsi="宋体" w:cs="宋体"/>
          <w:i w:val="0"/>
          <w:color w:val="auto"/>
          <w:kern w:val="0"/>
          <w:sz w:val="20"/>
          <w:szCs w:val="20"/>
          <w:highlight w:val="none"/>
          <w:u w:val="none"/>
          <w:lang w:val="en-US" w:eastAsia="zh-CN" w:bidi="ar"/>
        </w:rPr>
        <w:t>1</w:t>
      </w:r>
    </w:p>
    <w:p>
      <w:pPr>
        <w:spacing w:line="600" w:lineRule="exact"/>
        <w:ind w:firstLine="2249" w:firstLineChars="700"/>
        <w:jc w:val="both"/>
        <w:rPr>
          <w:rFonts w:hint="eastAsia" w:ascii="黑体" w:hAnsi="黑体" w:eastAsia="黑体" w:cs="黑体"/>
          <w:b/>
          <w:bCs w:val="0"/>
          <w:color w:val="auto"/>
          <w:kern w:val="0"/>
          <w:sz w:val="32"/>
          <w:szCs w:val="32"/>
          <w:highlight w:val="none"/>
          <w:lang w:val="en-US" w:eastAsia="zh-Hans"/>
        </w:rPr>
      </w:pPr>
      <w:r>
        <w:rPr>
          <w:rFonts w:hint="eastAsia" w:ascii="黑体" w:hAnsi="黑体" w:eastAsia="黑体" w:cs="黑体"/>
          <w:b/>
          <w:bCs w:val="0"/>
          <w:color w:val="auto"/>
          <w:kern w:val="0"/>
          <w:sz w:val="32"/>
          <w:szCs w:val="32"/>
          <w:highlight w:val="none"/>
          <w:lang w:val="en-US" w:eastAsia="zh-Hans"/>
        </w:rPr>
        <w:t>上年结转</w:t>
      </w:r>
      <w:r>
        <w:rPr>
          <w:rFonts w:hint="eastAsia" w:ascii="黑体" w:hAnsi="黑体" w:eastAsia="黑体" w:cs="黑体"/>
          <w:b/>
          <w:bCs w:val="0"/>
          <w:color w:val="auto"/>
          <w:kern w:val="0"/>
          <w:sz w:val="32"/>
          <w:szCs w:val="32"/>
          <w:highlight w:val="none"/>
          <w:lang w:val="en-US" w:eastAsia="zh-CN"/>
        </w:rPr>
        <w:t>结余</w:t>
      </w:r>
      <w:r>
        <w:rPr>
          <w:rFonts w:hint="eastAsia" w:ascii="黑体" w:hAnsi="黑体" w:eastAsia="黑体" w:cs="黑体"/>
          <w:b/>
          <w:bCs w:val="0"/>
          <w:color w:val="auto"/>
          <w:kern w:val="0"/>
          <w:sz w:val="32"/>
          <w:szCs w:val="32"/>
          <w:highlight w:val="none"/>
          <w:lang w:val="en-US" w:eastAsia="zh-Hans"/>
        </w:rPr>
        <w:t>情况明细表</w:t>
      </w:r>
    </w:p>
    <w:p>
      <w:pPr>
        <w:widowControl/>
        <w:jc w:val="both"/>
        <w:rPr>
          <w:rFonts w:hint="eastAsia" w:ascii="仿宋_GB2312" w:hAnsi="宋体" w:eastAsia="仿宋_GB2312"/>
          <w:b/>
          <w:color w:val="auto"/>
          <w:kern w:val="0"/>
          <w:sz w:val="32"/>
          <w:szCs w:val="32"/>
          <w:highlight w:val="none"/>
          <w:lang w:val="en-US" w:eastAsia="zh-Hans"/>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eastAsia="zh-CN"/>
        </w:rPr>
        <w:t>呼图壁县社会保险中心</w:t>
      </w:r>
      <w:r>
        <w:rPr>
          <w:rFonts w:hint="eastAsia" w:ascii="仿宋_GB2312" w:hAnsi="宋体" w:eastAsia="仿宋_GB2312"/>
          <w:color w:val="auto"/>
          <w:kern w:val="0"/>
          <w:sz w:val="24"/>
          <w:highlight w:val="none"/>
        </w:rPr>
        <w:t xml:space="preserve">                                 单位：万元</w:t>
      </w:r>
    </w:p>
    <w:tbl>
      <w:tblPr>
        <w:tblStyle w:val="10"/>
        <w:tblpPr w:leftFromText="180" w:rightFromText="180" w:vertAnchor="text" w:horzAnchor="page" w:tblpX="852" w:tblpY="190"/>
        <w:tblOverlap w:val="never"/>
        <w:tblW w:w="96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0"/>
        <w:gridCol w:w="735"/>
        <w:gridCol w:w="906"/>
        <w:gridCol w:w="890"/>
        <w:gridCol w:w="714"/>
        <w:gridCol w:w="1211"/>
        <w:gridCol w:w="797"/>
        <w:gridCol w:w="723"/>
        <w:gridCol w:w="881"/>
        <w:gridCol w:w="12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550"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项目</w:t>
            </w:r>
          </w:p>
        </w:tc>
        <w:tc>
          <w:tcPr>
            <w:tcW w:w="735" w:type="dxa"/>
            <w:vMerge w:val="restart"/>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合计</w:t>
            </w:r>
          </w:p>
        </w:tc>
        <w:tc>
          <w:tcPr>
            <w:tcW w:w="3721" w:type="dxa"/>
            <w:gridSpan w:val="4"/>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eastAsia="zh-CN"/>
              </w:rPr>
            </w:pPr>
            <w:r>
              <w:rPr>
                <w:rFonts w:hint="eastAsia" w:ascii="仿宋_GB2312" w:hAnsi="宋体" w:eastAsia="仿宋_GB2312" w:cs="宋体"/>
                <w:b/>
                <w:bCs/>
                <w:color w:val="auto"/>
                <w:kern w:val="0"/>
                <w:sz w:val="20"/>
                <w:szCs w:val="20"/>
                <w:highlight w:val="none"/>
                <w:lang w:val="en-US" w:eastAsia="zh-CN"/>
              </w:rPr>
              <w:t>财政拨款</w:t>
            </w:r>
          </w:p>
        </w:tc>
        <w:tc>
          <w:tcPr>
            <w:tcW w:w="3612" w:type="dxa"/>
            <w:gridSpan w:val="4"/>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550" w:type="dxa"/>
            <w:vMerge w:val="continue"/>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35" w:type="dxa"/>
            <w:vMerge w:val="continue"/>
            <w:noWrap w:val="0"/>
            <w:vAlign w:val="center"/>
          </w:tcPr>
          <w:p>
            <w:pPr>
              <w:spacing w:line="600" w:lineRule="exact"/>
              <w:jc w:val="center"/>
              <w:rPr>
                <w:rFonts w:ascii="仿宋" w:hAnsi="仿宋" w:eastAsia="仿宋" w:cs="仿宋_GB2312"/>
                <w:b/>
                <w:bCs/>
                <w:color w:val="auto"/>
                <w:kern w:val="0"/>
                <w:sz w:val="28"/>
                <w:szCs w:val="28"/>
                <w:highlight w:val="none"/>
              </w:rPr>
            </w:pPr>
          </w:p>
        </w:tc>
        <w:tc>
          <w:tcPr>
            <w:tcW w:w="906" w:type="dxa"/>
            <w:vMerge w:val="restart"/>
            <w:noWrap w:val="0"/>
            <w:vAlign w:val="center"/>
          </w:tcPr>
          <w:p>
            <w:pPr>
              <w:widowControl/>
              <w:spacing w:line="280" w:lineRule="exact"/>
              <w:jc w:val="center"/>
              <w:rPr>
                <w:rFonts w:hint="eastAsia" w:ascii="仿宋_GB2312" w:hAnsi="宋体" w:eastAsia="仿宋_GB2312" w:cs="宋体"/>
                <w:b w:val="0"/>
                <w:bCs w:val="0"/>
                <w:color w:val="auto"/>
                <w:kern w:val="0"/>
                <w:sz w:val="20"/>
                <w:szCs w:val="20"/>
                <w:highlight w:val="none"/>
                <w:lang w:eastAsia="zh-CN"/>
              </w:rPr>
            </w:pPr>
            <w:r>
              <w:rPr>
                <w:rFonts w:hint="eastAsia" w:ascii="仿宋_GB2312" w:hAnsi="宋体" w:eastAsia="仿宋_GB2312" w:cs="宋体"/>
                <w:b/>
                <w:bCs/>
                <w:color w:val="auto"/>
                <w:kern w:val="0"/>
                <w:sz w:val="20"/>
                <w:szCs w:val="20"/>
                <w:highlight w:val="none"/>
                <w:lang w:val="en-US" w:eastAsia="zh-CN"/>
              </w:rPr>
              <w:t>小计</w:t>
            </w:r>
          </w:p>
        </w:tc>
        <w:tc>
          <w:tcPr>
            <w:tcW w:w="1604" w:type="dxa"/>
            <w:gridSpan w:val="2"/>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c>
          <w:tcPr>
            <w:tcW w:w="797" w:type="dxa"/>
            <w:vMerge w:val="restart"/>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小计</w:t>
            </w:r>
          </w:p>
        </w:tc>
        <w:tc>
          <w:tcPr>
            <w:tcW w:w="1604" w:type="dxa"/>
            <w:gridSpan w:val="2"/>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1550"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35" w:type="dxa"/>
            <w:vMerge w:val="continue"/>
            <w:noWrap w:val="0"/>
            <w:vAlign w:val="center"/>
          </w:tcPr>
          <w:p>
            <w:pPr>
              <w:spacing w:line="600" w:lineRule="exact"/>
              <w:jc w:val="center"/>
              <w:rPr>
                <w:rFonts w:ascii="仿宋" w:hAnsi="仿宋" w:eastAsia="仿宋" w:cs="仿宋_GB2312"/>
                <w:b/>
                <w:bCs/>
                <w:color w:val="auto"/>
                <w:kern w:val="0"/>
                <w:sz w:val="28"/>
                <w:szCs w:val="28"/>
                <w:highlight w:val="none"/>
              </w:rPr>
            </w:pPr>
          </w:p>
        </w:tc>
        <w:tc>
          <w:tcPr>
            <w:tcW w:w="906" w:type="dxa"/>
            <w:vMerge w:val="continue"/>
            <w:noWrap w:val="0"/>
            <w:vAlign w:val="center"/>
          </w:tcPr>
          <w:p>
            <w:pPr>
              <w:spacing w:line="600" w:lineRule="exact"/>
              <w:jc w:val="center"/>
              <w:rPr>
                <w:rFonts w:ascii="仿宋" w:hAnsi="仿宋" w:eastAsia="仿宋" w:cs="仿宋_GB2312"/>
                <w:b w:val="0"/>
                <w:bCs w:val="0"/>
                <w:color w:val="auto"/>
                <w:kern w:val="0"/>
                <w:sz w:val="28"/>
                <w:szCs w:val="28"/>
                <w:highlight w:val="none"/>
              </w:rPr>
            </w:pPr>
          </w:p>
        </w:tc>
        <w:tc>
          <w:tcPr>
            <w:tcW w:w="890"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211"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7"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881"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211" w:type="dxa"/>
            <w:vMerge w:val="continue"/>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550" w:type="dxa"/>
            <w:noWrap w:val="0"/>
            <w:vAlign w:val="center"/>
          </w:tcPr>
          <w:p>
            <w:pPr>
              <w:widowControl/>
              <w:numPr>
                <w:ilvl w:val="0"/>
                <w:numId w:val="0"/>
              </w:numPr>
              <w:ind w:leftChars="0"/>
              <w:jc w:val="center"/>
              <w:outlineLvl w:val="1"/>
              <w:rPr>
                <w:rFonts w:hint="eastAsia" w:ascii="仿宋_GB2312" w:hAnsi="宋体" w:eastAsia="仿宋_GB2312"/>
                <w:color w:val="auto"/>
                <w:kern w:val="0"/>
                <w:sz w:val="21"/>
                <w:szCs w:val="21"/>
                <w:highlight w:val="none"/>
                <w:lang w:val="en-US" w:eastAsia="zh-CN"/>
              </w:rPr>
            </w:pPr>
            <w:r>
              <w:rPr>
                <w:rFonts w:hint="eastAsia" w:ascii="仿宋_GB2312" w:hAnsi="宋体" w:eastAsia="仿宋_GB2312"/>
                <w:color w:val="auto"/>
                <w:kern w:val="0"/>
                <w:sz w:val="21"/>
                <w:szCs w:val="21"/>
                <w:highlight w:val="none"/>
                <w:lang w:val="en-US" w:eastAsia="zh-CN"/>
              </w:rPr>
              <w:t>2024年为民办实事好事</w:t>
            </w:r>
          </w:p>
        </w:tc>
        <w:tc>
          <w:tcPr>
            <w:tcW w:w="735" w:type="dxa"/>
            <w:noWrap w:val="0"/>
            <w:vAlign w:val="center"/>
          </w:tcPr>
          <w:p>
            <w:pPr>
              <w:widowControl/>
              <w:numPr>
                <w:ilvl w:val="0"/>
                <w:numId w:val="0"/>
              </w:numPr>
              <w:ind w:leftChars="0"/>
              <w:jc w:val="center"/>
              <w:outlineLvl w:val="1"/>
              <w:rPr>
                <w:rFonts w:hint="eastAsia" w:ascii="仿宋_GB2312" w:hAnsi="宋体" w:eastAsia="仿宋_GB2312"/>
                <w:b/>
                <w:bCs/>
                <w:color w:val="auto"/>
                <w:kern w:val="0"/>
                <w:sz w:val="21"/>
                <w:szCs w:val="21"/>
                <w:highlight w:val="none"/>
                <w:lang w:val="en-US" w:eastAsia="zh-CN"/>
              </w:rPr>
            </w:pPr>
            <w:r>
              <w:rPr>
                <w:rFonts w:hint="eastAsia" w:ascii="仿宋_GB2312" w:hAnsi="宋体" w:eastAsia="仿宋_GB2312"/>
                <w:b/>
                <w:bCs/>
                <w:color w:val="auto"/>
                <w:kern w:val="0"/>
                <w:sz w:val="21"/>
                <w:szCs w:val="21"/>
                <w:highlight w:val="none"/>
                <w:lang w:val="en-US" w:eastAsia="zh-CN"/>
              </w:rPr>
              <w:t>9.66</w:t>
            </w:r>
          </w:p>
        </w:tc>
        <w:tc>
          <w:tcPr>
            <w:tcW w:w="906" w:type="dxa"/>
            <w:noWrap w:val="0"/>
            <w:vAlign w:val="center"/>
          </w:tcPr>
          <w:p>
            <w:pPr>
              <w:widowControl/>
              <w:numPr>
                <w:ilvl w:val="0"/>
                <w:numId w:val="0"/>
              </w:numPr>
              <w:ind w:left="0" w:leftChars="0" w:firstLine="0" w:firstLineChars="0"/>
              <w:jc w:val="center"/>
              <w:outlineLvl w:val="1"/>
              <w:rPr>
                <w:rFonts w:hint="eastAsia" w:ascii="仿宋_GB2312" w:hAnsi="宋体" w:eastAsia="仿宋_GB2312"/>
                <w:b/>
                <w:bCs/>
                <w:color w:val="auto"/>
                <w:kern w:val="0"/>
                <w:sz w:val="21"/>
                <w:szCs w:val="21"/>
                <w:highlight w:val="none"/>
                <w:lang w:val="en-US" w:eastAsia="zh-CN"/>
              </w:rPr>
            </w:pPr>
            <w:r>
              <w:rPr>
                <w:rFonts w:hint="eastAsia" w:ascii="仿宋_GB2312" w:hAnsi="宋体" w:eastAsia="仿宋_GB2312"/>
                <w:color w:val="auto"/>
                <w:kern w:val="0"/>
                <w:sz w:val="21"/>
                <w:szCs w:val="21"/>
                <w:highlight w:val="none"/>
                <w:lang w:val="en-US" w:eastAsia="zh-CN"/>
              </w:rPr>
              <w:t>9.66</w:t>
            </w:r>
          </w:p>
        </w:tc>
        <w:tc>
          <w:tcPr>
            <w:tcW w:w="890" w:type="dxa"/>
            <w:noWrap w:val="0"/>
            <w:vAlign w:val="center"/>
          </w:tcPr>
          <w:p>
            <w:pPr>
              <w:widowControl/>
              <w:numPr>
                <w:ilvl w:val="0"/>
                <w:numId w:val="0"/>
              </w:numPr>
              <w:ind w:leftChars="0"/>
              <w:jc w:val="center"/>
              <w:outlineLvl w:val="1"/>
              <w:rPr>
                <w:rFonts w:hint="eastAsia" w:ascii="仿宋_GB2312" w:hAnsi="宋体" w:eastAsia="仿宋_GB2312"/>
                <w:color w:val="auto"/>
                <w:kern w:val="0"/>
                <w:sz w:val="21"/>
                <w:szCs w:val="21"/>
                <w:highlight w:val="none"/>
                <w:lang w:val="en-US" w:eastAsia="zh-CN"/>
              </w:rPr>
            </w:pPr>
          </w:p>
        </w:tc>
        <w:tc>
          <w:tcPr>
            <w:tcW w:w="714" w:type="dxa"/>
            <w:noWrap w:val="0"/>
            <w:vAlign w:val="center"/>
          </w:tcPr>
          <w:p>
            <w:pPr>
              <w:widowControl/>
              <w:numPr>
                <w:ilvl w:val="0"/>
                <w:numId w:val="0"/>
              </w:numPr>
              <w:ind w:leftChars="0"/>
              <w:jc w:val="center"/>
              <w:outlineLvl w:val="1"/>
              <w:rPr>
                <w:rFonts w:hint="eastAsia" w:ascii="仿宋_GB2312" w:hAnsi="宋体" w:eastAsia="仿宋_GB2312"/>
                <w:color w:val="auto"/>
                <w:kern w:val="0"/>
                <w:sz w:val="21"/>
                <w:szCs w:val="21"/>
                <w:highlight w:val="none"/>
                <w:lang w:val="en-US" w:eastAsia="zh-CN"/>
              </w:rPr>
            </w:pPr>
          </w:p>
        </w:tc>
        <w:tc>
          <w:tcPr>
            <w:tcW w:w="1211" w:type="dxa"/>
            <w:noWrap w:val="0"/>
            <w:vAlign w:val="center"/>
          </w:tcPr>
          <w:p>
            <w:pPr>
              <w:widowControl/>
              <w:numPr>
                <w:ilvl w:val="0"/>
                <w:numId w:val="0"/>
              </w:numPr>
              <w:ind w:leftChars="0"/>
              <w:jc w:val="center"/>
              <w:outlineLvl w:val="1"/>
              <w:rPr>
                <w:rFonts w:hint="eastAsia" w:ascii="仿宋_GB2312" w:hAnsi="宋体" w:eastAsia="仿宋_GB2312"/>
                <w:color w:val="auto"/>
                <w:kern w:val="0"/>
                <w:sz w:val="21"/>
                <w:szCs w:val="21"/>
                <w:highlight w:val="none"/>
                <w:lang w:val="en-US" w:eastAsia="zh-CN"/>
              </w:rPr>
            </w:pPr>
            <w:r>
              <w:rPr>
                <w:rFonts w:hint="eastAsia" w:ascii="仿宋_GB2312" w:hAnsi="宋体" w:eastAsia="仿宋_GB2312"/>
                <w:color w:val="auto"/>
                <w:kern w:val="0"/>
                <w:sz w:val="21"/>
                <w:szCs w:val="21"/>
                <w:highlight w:val="none"/>
                <w:lang w:val="en-US" w:eastAsia="zh-CN"/>
              </w:rPr>
              <w:t>9.66</w:t>
            </w:r>
          </w:p>
        </w:tc>
        <w:tc>
          <w:tcPr>
            <w:tcW w:w="797" w:type="dxa"/>
            <w:noWrap w:val="0"/>
            <w:vAlign w:val="center"/>
          </w:tcPr>
          <w:p>
            <w:pPr>
              <w:spacing w:line="600" w:lineRule="exact"/>
              <w:jc w:val="center"/>
              <w:rPr>
                <w:rFonts w:ascii="仿宋" w:hAnsi="仿宋" w:eastAsia="仿宋" w:cs="仿宋_GB2312"/>
                <w:bCs/>
                <w:color w:val="auto"/>
                <w:kern w:val="0"/>
                <w:sz w:val="21"/>
                <w:szCs w:val="21"/>
                <w:highlight w:val="none"/>
              </w:rPr>
            </w:pPr>
          </w:p>
        </w:tc>
        <w:tc>
          <w:tcPr>
            <w:tcW w:w="723" w:type="dxa"/>
            <w:noWrap w:val="0"/>
            <w:vAlign w:val="center"/>
          </w:tcPr>
          <w:p>
            <w:pPr>
              <w:spacing w:line="600" w:lineRule="exact"/>
              <w:jc w:val="center"/>
              <w:rPr>
                <w:rFonts w:ascii="仿宋" w:hAnsi="仿宋" w:eastAsia="仿宋" w:cs="仿宋_GB2312"/>
                <w:bCs/>
                <w:color w:val="auto"/>
                <w:kern w:val="0"/>
                <w:sz w:val="21"/>
                <w:szCs w:val="21"/>
                <w:highlight w:val="none"/>
              </w:rPr>
            </w:pPr>
          </w:p>
        </w:tc>
        <w:tc>
          <w:tcPr>
            <w:tcW w:w="881" w:type="dxa"/>
            <w:noWrap w:val="0"/>
            <w:vAlign w:val="center"/>
          </w:tcPr>
          <w:p>
            <w:pPr>
              <w:spacing w:line="600" w:lineRule="exact"/>
              <w:jc w:val="center"/>
              <w:rPr>
                <w:rFonts w:ascii="仿宋" w:hAnsi="仿宋" w:eastAsia="仿宋" w:cs="仿宋_GB2312"/>
                <w:bCs/>
                <w:color w:val="auto"/>
                <w:kern w:val="0"/>
                <w:sz w:val="21"/>
                <w:szCs w:val="21"/>
                <w:highlight w:val="none"/>
              </w:rPr>
            </w:pPr>
          </w:p>
        </w:tc>
        <w:tc>
          <w:tcPr>
            <w:tcW w:w="1211" w:type="dxa"/>
            <w:noWrap w:val="0"/>
            <w:vAlign w:val="center"/>
          </w:tcPr>
          <w:p>
            <w:pPr>
              <w:spacing w:line="600" w:lineRule="exact"/>
              <w:jc w:val="center"/>
              <w:rPr>
                <w:rFonts w:ascii="仿宋" w:hAnsi="仿宋" w:eastAsia="仿宋" w:cs="仿宋_GB2312"/>
                <w:bCs/>
                <w:color w:val="auto"/>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550" w:type="dxa"/>
            <w:noWrap w:val="0"/>
            <w:vAlign w:val="center"/>
          </w:tcPr>
          <w:p>
            <w:pPr>
              <w:widowControl/>
              <w:numPr>
                <w:ilvl w:val="0"/>
                <w:numId w:val="0"/>
              </w:numPr>
              <w:ind w:leftChars="0"/>
              <w:jc w:val="center"/>
              <w:outlineLvl w:val="1"/>
              <w:rPr>
                <w:rFonts w:hint="eastAsia" w:ascii="仿宋_GB2312" w:hAnsi="宋体" w:eastAsia="仿宋_GB2312"/>
                <w:color w:val="auto"/>
                <w:kern w:val="0"/>
                <w:sz w:val="21"/>
                <w:szCs w:val="21"/>
                <w:highlight w:val="none"/>
                <w:lang w:val="en-US" w:eastAsia="zh-CN"/>
              </w:rPr>
            </w:pPr>
            <w:r>
              <w:rPr>
                <w:rFonts w:hint="eastAsia" w:ascii="仿宋_GB2312" w:hAnsi="宋体" w:eastAsia="仿宋_GB2312"/>
                <w:color w:val="auto"/>
                <w:kern w:val="0"/>
                <w:sz w:val="21"/>
                <w:szCs w:val="21"/>
                <w:highlight w:val="none"/>
                <w:lang w:val="en-US" w:eastAsia="zh-CN"/>
              </w:rPr>
              <w:t>1995年前退休（退职）人员2024年4月-2025年3月生活补贴资金</w:t>
            </w:r>
          </w:p>
        </w:tc>
        <w:tc>
          <w:tcPr>
            <w:tcW w:w="735" w:type="dxa"/>
            <w:noWrap w:val="0"/>
            <w:vAlign w:val="center"/>
          </w:tcPr>
          <w:p>
            <w:pPr>
              <w:widowControl/>
              <w:numPr>
                <w:ilvl w:val="0"/>
                <w:numId w:val="0"/>
              </w:numPr>
              <w:ind w:leftChars="0"/>
              <w:jc w:val="center"/>
              <w:outlineLvl w:val="1"/>
              <w:rPr>
                <w:rFonts w:hint="eastAsia" w:ascii="仿宋_GB2312" w:hAnsi="宋体" w:eastAsia="仿宋_GB2312"/>
                <w:b/>
                <w:bCs/>
                <w:color w:val="auto"/>
                <w:kern w:val="0"/>
                <w:sz w:val="21"/>
                <w:szCs w:val="21"/>
                <w:highlight w:val="none"/>
                <w:lang w:val="en-US" w:eastAsia="zh-CN"/>
              </w:rPr>
            </w:pPr>
            <w:r>
              <w:rPr>
                <w:rFonts w:hint="eastAsia" w:ascii="仿宋_GB2312" w:hAnsi="宋体" w:eastAsia="仿宋_GB2312"/>
                <w:b/>
                <w:bCs/>
                <w:color w:val="auto"/>
                <w:kern w:val="0"/>
                <w:sz w:val="21"/>
                <w:szCs w:val="21"/>
                <w:highlight w:val="none"/>
                <w:lang w:val="en-US" w:eastAsia="zh-CN"/>
              </w:rPr>
              <w:t>0.94</w:t>
            </w:r>
          </w:p>
        </w:tc>
        <w:tc>
          <w:tcPr>
            <w:tcW w:w="906" w:type="dxa"/>
            <w:noWrap w:val="0"/>
            <w:vAlign w:val="center"/>
          </w:tcPr>
          <w:p>
            <w:pPr>
              <w:widowControl/>
              <w:numPr>
                <w:ilvl w:val="0"/>
                <w:numId w:val="0"/>
              </w:numPr>
              <w:ind w:left="0" w:leftChars="0" w:firstLine="0" w:firstLineChars="0"/>
              <w:jc w:val="center"/>
              <w:outlineLvl w:val="1"/>
              <w:rPr>
                <w:rFonts w:hint="eastAsia" w:ascii="仿宋_GB2312" w:hAnsi="宋体" w:eastAsia="仿宋_GB2312"/>
                <w:b/>
                <w:bCs/>
                <w:color w:val="auto"/>
                <w:kern w:val="0"/>
                <w:sz w:val="21"/>
                <w:szCs w:val="21"/>
                <w:highlight w:val="none"/>
                <w:lang w:val="en-US" w:eastAsia="zh-CN"/>
              </w:rPr>
            </w:pPr>
            <w:r>
              <w:rPr>
                <w:rFonts w:hint="eastAsia" w:ascii="仿宋_GB2312" w:hAnsi="宋体" w:eastAsia="仿宋_GB2312"/>
                <w:color w:val="auto"/>
                <w:kern w:val="0"/>
                <w:sz w:val="21"/>
                <w:szCs w:val="21"/>
                <w:highlight w:val="none"/>
                <w:lang w:val="en-US" w:eastAsia="zh-CN"/>
              </w:rPr>
              <w:t>0.94</w:t>
            </w:r>
          </w:p>
        </w:tc>
        <w:tc>
          <w:tcPr>
            <w:tcW w:w="890" w:type="dxa"/>
            <w:noWrap w:val="0"/>
            <w:vAlign w:val="center"/>
          </w:tcPr>
          <w:p>
            <w:pPr>
              <w:widowControl/>
              <w:numPr>
                <w:ilvl w:val="0"/>
                <w:numId w:val="0"/>
              </w:numPr>
              <w:ind w:leftChars="0"/>
              <w:jc w:val="center"/>
              <w:outlineLvl w:val="1"/>
              <w:rPr>
                <w:rFonts w:hint="eastAsia" w:ascii="仿宋_GB2312" w:hAnsi="宋体" w:eastAsia="仿宋_GB2312"/>
                <w:color w:val="auto"/>
                <w:kern w:val="0"/>
                <w:sz w:val="21"/>
                <w:szCs w:val="21"/>
                <w:highlight w:val="none"/>
                <w:lang w:val="en-US" w:eastAsia="zh-CN"/>
              </w:rPr>
            </w:pPr>
          </w:p>
        </w:tc>
        <w:tc>
          <w:tcPr>
            <w:tcW w:w="714" w:type="dxa"/>
            <w:noWrap w:val="0"/>
            <w:vAlign w:val="center"/>
          </w:tcPr>
          <w:p>
            <w:pPr>
              <w:widowControl/>
              <w:numPr>
                <w:ilvl w:val="0"/>
                <w:numId w:val="0"/>
              </w:numPr>
              <w:ind w:leftChars="0"/>
              <w:jc w:val="center"/>
              <w:outlineLvl w:val="1"/>
              <w:rPr>
                <w:rFonts w:hint="eastAsia" w:ascii="仿宋_GB2312" w:hAnsi="宋体" w:eastAsia="仿宋_GB2312"/>
                <w:color w:val="auto"/>
                <w:kern w:val="0"/>
                <w:sz w:val="21"/>
                <w:szCs w:val="21"/>
                <w:highlight w:val="none"/>
                <w:lang w:val="en-US" w:eastAsia="zh-CN"/>
              </w:rPr>
            </w:pPr>
          </w:p>
        </w:tc>
        <w:tc>
          <w:tcPr>
            <w:tcW w:w="1211" w:type="dxa"/>
            <w:noWrap w:val="0"/>
            <w:vAlign w:val="center"/>
          </w:tcPr>
          <w:p>
            <w:pPr>
              <w:widowControl/>
              <w:numPr>
                <w:ilvl w:val="0"/>
                <w:numId w:val="0"/>
              </w:numPr>
              <w:ind w:leftChars="0"/>
              <w:jc w:val="center"/>
              <w:outlineLvl w:val="1"/>
              <w:rPr>
                <w:rFonts w:hint="eastAsia" w:ascii="仿宋_GB2312" w:hAnsi="宋体" w:eastAsia="仿宋_GB2312"/>
                <w:color w:val="auto"/>
                <w:kern w:val="0"/>
                <w:sz w:val="21"/>
                <w:szCs w:val="21"/>
                <w:highlight w:val="none"/>
                <w:lang w:val="en-US" w:eastAsia="zh-CN"/>
              </w:rPr>
            </w:pPr>
            <w:r>
              <w:rPr>
                <w:rFonts w:hint="eastAsia" w:ascii="仿宋_GB2312" w:hAnsi="宋体" w:eastAsia="仿宋_GB2312"/>
                <w:color w:val="auto"/>
                <w:kern w:val="0"/>
                <w:sz w:val="21"/>
                <w:szCs w:val="21"/>
                <w:highlight w:val="none"/>
                <w:lang w:val="en-US" w:eastAsia="zh-CN"/>
              </w:rPr>
              <w:t>0.94</w:t>
            </w:r>
          </w:p>
        </w:tc>
        <w:tc>
          <w:tcPr>
            <w:tcW w:w="797" w:type="dxa"/>
            <w:noWrap w:val="0"/>
            <w:vAlign w:val="center"/>
          </w:tcPr>
          <w:p>
            <w:pPr>
              <w:spacing w:line="600" w:lineRule="exact"/>
              <w:jc w:val="center"/>
              <w:rPr>
                <w:rFonts w:ascii="仿宋" w:hAnsi="仿宋" w:eastAsia="仿宋" w:cs="仿宋_GB2312"/>
                <w:bCs/>
                <w:color w:val="auto"/>
                <w:kern w:val="0"/>
                <w:sz w:val="21"/>
                <w:szCs w:val="21"/>
                <w:highlight w:val="none"/>
              </w:rPr>
            </w:pPr>
          </w:p>
        </w:tc>
        <w:tc>
          <w:tcPr>
            <w:tcW w:w="723" w:type="dxa"/>
            <w:noWrap w:val="0"/>
            <w:vAlign w:val="center"/>
          </w:tcPr>
          <w:p>
            <w:pPr>
              <w:spacing w:line="600" w:lineRule="exact"/>
              <w:jc w:val="center"/>
              <w:rPr>
                <w:rFonts w:ascii="仿宋" w:hAnsi="仿宋" w:eastAsia="仿宋" w:cs="仿宋_GB2312"/>
                <w:bCs/>
                <w:color w:val="auto"/>
                <w:kern w:val="0"/>
                <w:sz w:val="21"/>
                <w:szCs w:val="21"/>
                <w:highlight w:val="none"/>
              </w:rPr>
            </w:pPr>
          </w:p>
        </w:tc>
        <w:tc>
          <w:tcPr>
            <w:tcW w:w="881" w:type="dxa"/>
            <w:noWrap w:val="0"/>
            <w:vAlign w:val="center"/>
          </w:tcPr>
          <w:p>
            <w:pPr>
              <w:spacing w:line="600" w:lineRule="exact"/>
              <w:jc w:val="center"/>
              <w:rPr>
                <w:rFonts w:ascii="仿宋" w:hAnsi="仿宋" w:eastAsia="仿宋" w:cs="仿宋_GB2312"/>
                <w:bCs/>
                <w:color w:val="auto"/>
                <w:kern w:val="0"/>
                <w:sz w:val="21"/>
                <w:szCs w:val="21"/>
                <w:highlight w:val="none"/>
              </w:rPr>
            </w:pPr>
          </w:p>
        </w:tc>
        <w:tc>
          <w:tcPr>
            <w:tcW w:w="1211" w:type="dxa"/>
            <w:noWrap w:val="0"/>
            <w:vAlign w:val="center"/>
          </w:tcPr>
          <w:p>
            <w:pPr>
              <w:spacing w:line="600" w:lineRule="exact"/>
              <w:jc w:val="center"/>
              <w:rPr>
                <w:rFonts w:ascii="仿宋" w:hAnsi="仿宋" w:eastAsia="仿宋" w:cs="仿宋_GB2312"/>
                <w:bCs/>
                <w:color w:val="auto"/>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550" w:type="dxa"/>
            <w:noWrap w:val="0"/>
            <w:vAlign w:val="center"/>
          </w:tcPr>
          <w:p>
            <w:pPr>
              <w:widowControl/>
              <w:numPr>
                <w:ilvl w:val="0"/>
                <w:numId w:val="0"/>
              </w:numPr>
              <w:ind w:leftChars="0"/>
              <w:jc w:val="center"/>
              <w:outlineLvl w:val="1"/>
              <w:rPr>
                <w:rFonts w:hint="eastAsia" w:ascii="仿宋_GB2312" w:hAnsi="宋体" w:eastAsia="仿宋_GB2312"/>
                <w:color w:val="auto"/>
                <w:kern w:val="0"/>
                <w:sz w:val="21"/>
                <w:szCs w:val="21"/>
                <w:highlight w:val="none"/>
                <w:lang w:val="en-US" w:eastAsia="zh-CN"/>
              </w:rPr>
            </w:pPr>
          </w:p>
        </w:tc>
        <w:tc>
          <w:tcPr>
            <w:tcW w:w="735" w:type="dxa"/>
            <w:noWrap w:val="0"/>
            <w:vAlign w:val="center"/>
          </w:tcPr>
          <w:p>
            <w:pPr>
              <w:widowControl/>
              <w:numPr>
                <w:ilvl w:val="0"/>
                <w:numId w:val="0"/>
              </w:numPr>
              <w:ind w:leftChars="0"/>
              <w:jc w:val="center"/>
              <w:outlineLvl w:val="1"/>
              <w:rPr>
                <w:rFonts w:hint="eastAsia" w:ascii="仿宋_GB2312" w:hAnsi="宋体" w:eastAsia="仿宋_GB2312"/>
                <w:b/>
                <w:bCs/>
                <w:color w:val="auto"/>
                <w:kern w:val="0"/>
                <w:sz w:val="21"/>
                <w:szCs w:val="21"/>
                <w:highlight w:val="none"/>
                <w:lang w:val="en-US" w:eastAsia="zh-CN"/>
              </w:rPr>
            </w:pPr>
          </w:p>
        </w:tc>
        <w:tc>
          <w:tcPr>
            <w:tcW w:w="906" w:type="dxa"/>
            <w:noWrap w:val="0"/>
            <w:vAlign w:val="center"/>
          </w:tcPr>
          <w:p>
            <w:pPr>
              <w:widowControl/>
              <w:numPr>
                <w:ilvl w:val="0"/>
                <w:numId w:val="0"/>
              </w:numPr>
              <w:ind w:leftChars="0"/>
              <w:jc w:val="center"/>
              <w:outlineLvl w:val="1"/>
              <w:rPr>
                <w:rFonts w:hint="eastAsia" w:ascii="仿宋_GB2312" w:hAnsi="宋体" w:eastAsia="仿宋_GB2312"/>
                <w:b/>
                <w:bCs/>
                <w:color w:val="auto"/>
                <w:kern w:val="0"/>
                <w:sz w:val="21"/>
                <w:szCs w:val="21"/>
                <w:highlight w:val="none"/>
                <w:lang w:val="en-US" w:eastAsia="zh-CN"/>
              </w:rPr>
            </w:pPr>
          </w:p>
        </w:tc>
        <w:tc>
          <w:tcPr>
            <w:tcW w:w="890" w:type="dxa"/>
            <w:noWrap w:val="0"/>
            <w:vAlign w:val="center"/>
          </w:tcPr>
          <w:p>
            <w:pPr>
              <w:widowControl/>
              <w:numPr>
                <w:ilvl w:val="0"/>
                <w:numId w:val="0"/>
              </w:numPr>
              <w:ind w:leftChars="0"/>
              <w:jc w:val="center"/>
              <w:outlineLvl w:val="1"/>
              <w:rPr>
                <w:rFonts w:hint="eastAsia" w:ascii="仿宋_GB2312" w:hAnsi="宋体" w:eastAsia="仿宋_GB2312"/>
                <w:color w:val="auto"/>
                <w:kern w:val="0"/>
                <w:sz w:val="21"/>
                <w:szCs w:val="21"/>
                <w:highlight w:val="none"/>
                <w:lang w:val="en-US" w:eastAsia="zh-CN"/>
              </w:rPr>
            </w:pPr>
          </w:p>
        </w:tc>
        <w:tc>
          <w:tcPr>
            <w:tcW w:w="714" w:type="dxa"/>
            <w:noWrap w:val="0"/>
            <w:vAlign w:val="center"/>
          </w:tcPr>
          <w:p>
            <w:pPr>
              <w:widowControl/>
              <w:numPr>
                <w:ilvl w:val="0"/>
                <w:numId w:val="0"/>
              </w:numPr>
              <w:ind w:leftChars="0"/>
              <w:jc w:val="center"/>
              <w:outlineLvl w:val="1"/>
              <w:rPr>
                <w:rFonts w:hint="eastAsia" w:ascii="仿宋_GB2312" w:hAnsi="宋体" w:eastAsia="仿宋_GB2312"/>
                <w:color w:val="auto"/>
                <w:kern w:val="0"/>
                <w:sz w:val="21"/>
                <w:szCs w:val="21"/>
                <w:highlight w:val="none"/>
                <w:lang w:val="en-US" w:eastAsia="zh-CN"/>
              </w:rPr>
            </w:pPr>
          </w:p>
        </w:tc>
        <w:tc>
          <w:tcPr>
            <w:tcW w:w="1211" w:type="dxa"/>
            <w:noWrap w:val="0"/>
            <w:vAlign w:val="center"/>
          </w:tcPr>
          <w:p>
            <w:pPr>
              <w:widowControl/>
              <w:numPr>
                <w:ilvl w:val="0"/>
                <w:numId w:val="0"/>
              </w:numPr>
              <w:ind w:leftChars="0"/>
              <w:jc w:val="center"/>
              <w:outlineLvl w:val="1"/>
              <w:rPr>
                <w:rFonts w:hint="eastAsia" w:ascii="仿宋_GB2312" w:hAnsi="宋体" w:eastAsia="仿宋_GB2312"/>
                <w:color w:val="auto"/>
                <w:kern w:val="0"/>
                <w:sz w:val="21"/>
                <w:szCs w:val="21"/>
                <w:highlight w:val="none"/>
                <w:lang w:val="en-US" w:eastAsia="zh-CN"/>
              </w:rPr>
            </w:pPr>
          </w:p>
        </w:tc>
        <w:tc>
          <w:tcPr>
            <w:tcW w:w="797" w:type="dxa"/>
            <w:noWrap w:val="0"/>
            <w:vAlign w:val="center"/>
          </w:tcPr>
          <w:p>
            <w:pPr>
              <w:spacing w:line="600" w:lineRule="exact"/>
              <w:jc w:val="center"/>
              <w:rPr>
                <w:rFonts w:ascii="仿宋" w:hAnsi="仿宋" w:eastAsia="仿宋" w:cs="仿宋_GB2312"/>
                <w:bCs/>
                <w:color w:val="auto"/>
                <w:kern w:val="0"/>
                <w:sz w:val="21"/>
                <w:szCs w:val="21"/>
                <w:highlight w:val="none"/>
              </w:rPr>
            </w:pPr>
          </w:p>
        </w:tc>
        <w:tc>
          <w:tcPr>
            <w:tcW w:w="723" w:type="dxa"/>
            <w:noWrap w:val="0"/>
            <w:vAlign w:val="center"/>
          </w:tcPr>
          <w:p>
            <w:pPr>
              <w:spacing w:line="600" w:lineRule="exact"/>
              <w:jc w:val="center"/>
              <w:rPr>
                <w:rFonts w:ascii="仿宋" w:hAnsi="仿宋" w:eastAsia="仿宋" w:cs="仿宋_GB2312"/>
                <w:bCs/>
                <w:color w:val="auto"/>
                <w:kern w:val="0"/>
                <w:sz w:val="21"/>
                <w:szCs w:val="21"/>
                <w:highlight w:val="none"/>
              </w:rPr>
            </w:pPr>
          </w:p>
        </w:tc>
        <w:tc>
          <w:tcPr>
            <w:tcW w:w="881" w:type="dxa"/>
            <w:noWrap w:val="0"/>
            <w:vAlign w:val="center"/>
          </w:tcPr>
          <w:p>
            <w:pPr>
              <w:spacing w:line="600" w:lineRule="exact"/>
              <w:jc w:val="center"/>
              <w:rPr>
                <w:rFonts w:ascii="仿宋" w:hAnsi="仿宋" w:eastAsia="仿宋" w:cs="仿宋_GB2312"/>
                <w:bCs/>
                <w:color w:val="auto"/>
                <w:kern w:val="0"/>
                <w:sz w:val="21"/>
                <w:szCs w:val="21"/>
                <w:highlight w:val="none"/>
              </w:rPr>
            </w:pPr>
          </w:p>
        </w:tc>
        <w:tc>
          <w:tcPr>
            <w:tcW w:w="1211" w:type="dxa"/>
            <w:noWrap w:val="0"/>
            <w:vAlign w:val="center"/>
          </w:tcPr>
          <w:p>
            <w:pPr>
              <w:spacing w:line="600" w:lineRule="exact"/>
              <w:jc w:val="center"/>
              <w:rPr>
                <w:rFonts w:ascii="仿宋" w:hAnsi="仿宋" w:eastAsia="仿宋" w:cs="仿宋_GB2312"/>
                <w:bCs/>
                <w:color w:val="auto"/>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1550" w:type="dxa"/>
            <w:noWrap w:val="0"/>
            <w:vAlign w:val="center"/>
          </w:tcPr>
          <w:p>
            <w:pPr>
              <w:widowControl/>
              <w:numPr>
                <w:ilvl w:val="0"/>
                <w:numId w:val="0"/>
              </w:numPr>
              <w:ind w:leftChars="0"/>
              <w:jc w:val="center"/>
              <w:outlineLvl w:val="1"/>
              <w:rPr>
                <w:rFonts w:hint="eastAsia" w:ascii="仿宋_GB2312" w:hAnsi="宋体" w:eastAsia="仿宋_GB2312"/>
                <w:color w:val="auto"/>
                <w:kern w:val="0"/>
                <w:sz w:val="21"/>
                <w:szCs w:val="21"/>
                <w:highlight w:val="none"/>
                <w:lang w:val="en-US" w:eastAsia="zh-CN"/>
              </w:rPr>
            </w:pPr>
          </w:p>
        </w:tc>
        <w:tc>
          <w:tcPr>
            <w:tcW w:w="735" w:type="dxa"/>
            <w:noWrap w:val="0"/>
            <w:vAlign w:val="center"/>
          </w:tcPr>
          <w:p>
            <w:pPr>
              <w:widowControl/>
              <w:numPr>
                <w:ilvl w:val="0"/>
                <w:numId w:val="0"/>
              </w:numPr>
              <w:ind w:leftChars="0"/>
              <w:jc w:val="center"/>
              <w:outlineLvl w:val="1"/>
              <w:rPr>
                <w:rFonts w:hint="eastAsia" w:ascii="仿宋_GB2312" w:hAnsi="宋体" w:eastAsia="仿宋_GB2312"/>
                <w:b/>
                <w:bCs/>
                <w:color w:val="auto"/>
                <w:kern w:val="0"/>
                <w:sz w:val="21"/>
                <w:szCs w:val="21"/>
                <w:highlight w:val="none"/>
                <w:lang w:val="en-US" w:eastAsia="zh-CN"/>
              </w:rPr>
            </w:pPr>
            <w:r>
              <w:rPr>
                <w:rFonts w:hint="eastAsia" w:ascii="仿宋_GB2312" w:hAnsi="宋体" w:eastAsia="仿宋_GB2312"/>
                <w:b/>
                <w:bCs/>
                <w:color w:val="auto"/>
                <w:kern w:val="0"/>
                <w:sz w:val="21"/>
                <w:szCs w:val="21"/>
                <w:highlight w:val="none"/>
                <w:lang w:val="en-US" w:eastAsia="zh-CN"/>
              </w:rPr>
              <w:t>总计</w:t>
            </w:r>
          </w:p>
        </w:tc>
        <w:tc>
          <w:tcPr>
            <w:tcW w:w="906" w:type="dxa"/>
            <w:noWrap w:val="0"/>
            <w:vAlign w:val="center"/>
          </w:tcPr>
          <w:p>
            <w:pPr>
              <w:widowControl/>
              <w:numPr>
                <w:ilvl w:val="0"/>
                <w:numId w:val="0"/>
              </w:numPr>
              <w:ind w:leftChars="0"/>
              <w:jc w:val="center"/>
              <w:outlineLvl w:val="1"/>
              <w:rPr>
                <w:rFonts w:hint="default" w:ascii="仿宋_GB2312" w:hAnsi="宋体" w:eastAsia="仿宋_GB2312"/>
                <w:b/>
                <w:bCs/>
                <w:color w:val="auto"/>
                <w:kern w:val="0"/>
                <w:sz w:val="21"/>
                <w:szCs w:val="21"/>
                <w:highlight w:val="none"/>
                <w:lang w:val="en-US" w:eastAsia="zh-CN"/>
              </w:rPr>
            </w:pPr>
            <w:r>
              <w:rPr>
                <w:rFonts w:hint="eastAsia" w:ascii="仿宋_GB2312" w:hAnsi="宋体" w:eastAsia="仿宋_GB2312"/>
                <w:b/>
                <w:bCs/>
                <w:color w:val="auto"/>
                <w:kern w:val="0"/>
                <w:sz w:val="21"/>
                <w:szCs w:val="21"/>
                <w:highlight w:val="none"/>
                <w:lang w:val="en-US" w:eastAsia="zh-CN"/>
              </w:rPr>
              <w:t>10.6</w:t>
            </w:r>
          </w:p>
        </w:tc>
        <w:tc>
          <w:tcPr>
            <w:tcW w:w="890" w:type="dxa"/>
            <w:noWrap w:val="0"/>
            <w:vAlign w:val="center"/>
          </w:tcPr>
          <w:p>
            <w:pPr>
              <w:widowControl/>
              <w:numPr>
                <w:ilvl w:val="0"/>
                <w:numId w:val="0"/>
              </w:numPr>
              <w:ind w:leftChars="0"/>
              <w:jc w:val="center"/>
              <w:outlineLvl w:val="1"/>
              <w:rPr>
                <w:rFonts w:hint="eastAsia" w:ascii="仿宋_GB2312" w:hAnsi="宋体" w:eastAsia="仿宋_GB2312"/>
                <w:b/>
                <w:bCs/>
                <w:color w:val="auto"/>
                <w:kern w:val="0"/>
                <w:sz w:val="21"/>
                <w:szCs w:val="21"/>
                <w:highlight w:val="none"/>
                <w:lang w:val="en-US" w:eastAsia="zh-CN"/>
              </w:rPr>
            </w:pPr>
          </w:p>
        </w:tc>
        <w:tc>
          <w:tcPr>
            <w:tcW w:w="714" w:type="dxa"/>
            <w:noWrap w:val="0"/>
            <w:vAlign w:val="center"/>
          </w:tcPr>
          <w:p>
            <w:pPr>
              <w:widowControl/>
              <w:numPr>
                <w:ilvl w:val="0"/>
                <w:numId w:val="0"/>
              </w:numPr>
              <w:ind w:leftChars="0"/>
              <w:jc w:val="center"/>
              <w:outlineLvl w:val="1"/>
              <w:rPr>
                <w:rFonts w:hint="default" w:ascii="仿宋_GB2312" w:hAnsi="宋体" w:eastAsia="仿宋_GB2312"/>
                <w:b/>
                <w:bCs/>
                <w:color w:val="auto"/>
                <w:kern w:val="0"/>
                <w:sz w:val="21"/>
                <w:szCs w:val="21"/>
                <w:highlight w:val="none"/>
                <w:lang w:val="en-US" w:eastAsia="zh-CN"/>
              </w:rPr>
            </w:pPr>
            <w:r>
              <w:rPr>
                <w:rFonts w:hint="eastAsia" w:ascii="仿宋_GB2312" w:hAnsi="宋体" w:eastAsia="仿宋_GB2312"/>
                <w:b/>
                <w:bCs/>
                <w:color w:val="auto"/>
                <w:kern w:val="0"/>
                <w:sz w:val="21"/>
                <w:szCs w:val="21"/>
                <w:highlight w:val="none"/>
                <w:lang w:val="en-US" w:eastAsia="zh-CN"/>
              </w:rPr>
              <w:t>9.66</w:t>
            </w:r>
          </w:p>
        </w:tc>
        <w:tc>
          <w:tcPr>
            <w:tcW w:w="1211" w:type="dxa"/>
            <w:noWrap w:val="0"/>
            <w:vAlign w:val="center"/>
          </w:tcPr>
          <w:p>
            <w:pPr>
              <w:widowControl/>
              <w:numPr>
                <w:ilvl w:val="0"/>
                <w:numId w:val="0"/>
              </w:numPr>
              <w:ind w:leftChars="0"/>
              <w:jc w:val="center"/>
              <w:outlineLvl w:val="1"/>
              <w:rPr>
                <w:rFonts w:hint="default" w:ascii="仿宋_GB2312" w:hAnsi="宋体" w:eastAsia="仿宋_GB2312"/>
                <w:b/>
                <w:bCs/>
                <w:color w:val="auto"/>
                <w:kern w:val="0"/>
                <w:sz w:val="21"/>
                <w:szCs w:val="21"/>
                <w:highlight w:val="none"/>
                <w:lang w:val="en-US" w:eastAsia="zh-CN"/>
              </w:rPr>
            </w:pPr>
            <w:r>
              <w:rPr>
                <w:rFonts w:hint="eastAsia" w:ascii="仿宋_GB2312" w:hAnsi="宋体" w:eastAsia="仿宋_GB2312"/>
                <w:b/>
                <w:bCs/>
                <w:color w:val="auto"/>
                <w:kern w:val="0"/>
                <w:sz w:val="21"/>
                <w:szCs w:val="21"/>
                <w:highlight w:val="none"/>
                <w:lang w:val="en-US" w:eastAsia="zh-CN"/>
              </w:rPr>
              <w:t>0.94</w:t>
            </w:r>
          </w:p>
        </w:tc>
        <w:tc>
          <w:tcPr>
            <w:tcW w:w="797" w:type="dxa"/>
            <w:noWrap w:val="0"/>
            <w:vAlign w:val="center"/>
          </w:tcPr>
          <w:p>
            <w:pPr>
              <w:spacing w:line="600" w:lineRule="exact"/>
              <w:jc w:val="center"/>
              <w:rPr>
                <w:rFonts w:ascii="仿宋" w:hAnsi="仿宋" w:eastAsia="仿宋" w:cs="仿宋_GB2312"/>
                <w:bCs/>
                <w:color w:val="auto"/>
                <w:kern w:val="0"/>
                <w:sz w:val="21"/>
                <w:szCs w:val="21"/>
                <w:highlight w:val="none"/>
              </w:rPr>
            </w:pPr>
          </w:p>
        </w:tc>
        <w:tc>
          <w:tcPr>
            <w:tcW w:w="723" w:type="dxa"/>
            <w:noWrap w:val="0"/>
            <w:vAlign w:val="center"/>
          </w:tcPr>
          <w:p>
            <w:pPr>
              <w:spacing w:line="600" w:lineRule="exact"/>
              <w:jc w:val="center"/>
              <w:rPr>
                <w:rFonts w:ascii="仿宋" w:hAnsi="仿宋" w:eastAsia="仿宋" w:cs="仿宋_GB2312"/>
                <w:bCs/>
                <w:color w:val="auto"/>
                <w:kern w:val="0"/>
                <w:sz w:val="21"/>
                <w:szCs w:val="21"/>
                <w:highlight w:val="none"/>
              </w:rPr>
            </w:pPr>
          </w:p>
        </w:tc>
        <w:tc>
          <w:tcPr>
            <w:tcW w:w="881" w:type="dxa"/>
            <w:noWrap w:val="0"/>
            <w:vAlign w:val="center"/>
          </w:tcPr>
          <w:p>
            <w:pPr>
              <w:spacing w:line="600" w:lineRule="exact"/>
              <w:jc w:val="center"/>
              <w:rPr>
                <w:rFonts w:ascii="仿宋" w:hAnsi="仿宋" w:eastAsia="仿宋" w:cs="仿宋_GB2312"/>
                <w:bCs/>
                <w:color w:val="auto"/>
                <w:kern w:val="0"/>
                <w:sz w:val="21"/>
                <w:szCs w:val="21"/>
                <w:highlight w:val="none"/>
              </w:rPr>
            </w:pPr>
          </w:p>
        </w:tc>
        <w:tc>
          <w:tcPr>
            <w:tcW w:w="1211" w:type="dxa"/>
            <w:noWrap w:val="0"/>
            <w:vAlign w:val="center"/>
          </w:tcPr>
          <w:p>
            <w:pPr>
              <w:spacing w:line="600" w:lineRule="exact"/>
              <w:jc w:val="center"/>
              <w:rPr>
                <w:rFonts w:ascii="仿宋" w:hAnsi="仿宋" w:eastAsia="仿宋" w:cs="仿宋_GB2312"/>
                <w:bCs/>
                <w:color w:val="auto"/>
                <w:kern w:val="0"/>
                <w:sz w:val="21"/>
                <w:szCs w:val="21"/>
                <w:highlight w:val="none"/>
              </w:rPr>
            </w:pPr>
          </w:p>
        </w:tc>
      </w:tr>
    </w:tbl>
    <w:p>
      <w:pPr>
        <w:widowControl/>
        <w:spacing w:line="280" w:lineRule="exact"/>
        <w:jc w:val="left"/>
        <w:outlineLvl w:val="1"/>
        <w:rPr>
          <w:rFonts w:ascii="仿宋_GB2312" w:hAnsi="宋体" w:eastAsia="仿宋_GB2312"/>
          <w:color w:val="FF0000"/>
          <w:kern w:val="0"/>
          <w:sz w:val="32"/>
          <w:szCs w:val="32"/>
          <w:highlight w:val="none"/>
        </w:rPr>
      </w:pPr>
    </w:p>
    <w:p>
      <w:pPr>
        <w:widowControl/>
        <w:spacing w:line="280" w:lineRule="exact"/>
        <w:jc w:val="left"/>
        <w:outlineLvl w:val="1"/>
        <w:rPr>
          <w:rFonts w:ascii="仿宋_GB2312" w:hAnsi="宋体" w:eastAsia="仿宋_GB2312"/>
          <w:color w:val="FF0000"/>
          <w:kern w:val="0"/>
          <w:sz w:val="32"/>
          <w:szCs w:val="32"/>
          <w:highlight w:val="none"/>
        </w:rPr>
        <w:sectPr>
          <w:pgSz w:w="11906" w:h="16838"/>
          <w:pgMar w:top="2098" w:right="1531" w:bottom="1984" w:left="1531"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b/>
          <w:bCs/>
          <w:color w:val="auto"/>
          <w:kern w:val="0"/>
          <w:sz w:val="32"/>
          <w:szCs w:val="32"/>
          <w:highlight w:val="none"/>
        </w:rPr>
      </w:pPr>
      <w:r>
        <w:rPr>
          <w:rFonts w:hint="eastAsia" w:ascii="黑体" w:hAnsi="黑体" w:eastAsia="黑体"/>
          <w:b/>
          <w:bCs/>
          <w:color w:val="auto"/>
          <w:kern w:val="0"/>
          <w:sz w:val="32"/>
          <w:szCs w:val="32"/>
          <w:highlight w:val="none"/>
        </w:rPr>
        <w:t xml:space="preserve">第三部分 </w:t>
      </w:r>
      <w:r>
        <w:rPr>
          <w:rFonts w:hint="eastAsia" w:ascii="黑体" w:hAnsi="黑体" w:eastAsia="黑体"/>
          <w:b/>
          <w:bCs/>
          <w:color w:val="auto"/>
          <w:kern w:val="0"/>
          <w:sz w:val="32"/>
          <w:szCs w:val="32"/>
          <w:highlight w:val="none"/>
          <w:lang w:val="en-US" w:eastAsia="zh-CN"/>
        </w:rPr>
        <w:t xml:space="preserve">    </w:t>
      </w:r>
      <w:r>
        <w:rPr>
          <w:rFonts w:hint="eastAsia" w:ascii="黑体" w:hAnsi="黑体" w:eastAsia="黑体"/>
          <w:b/>
          <w:bCs/>
          <w:color w:val="auto"/>
          <w:kern w:val="0"/>
          <w:sz w:val="32"/>
          <w:szCs w:val="32"/>
          <w:highlight w:val="none"/>
          <w:lang w:eastAsia="zh-CN"/>
        </w:rPr>
        <w:t>202</w:t>
      </w:r>
      <w:r>
        <w:rPr>
          <w:rFonts w:hint="eastAsia" w:ascii="黑体" w:hAnsi="黑体" w:eastAsia="黑体"/>
          <w:b/>
          <w:bCs/>
          <w:color w:val="auto"/>
          <w:kern w:val="0"/>
          <w:sz w:val="32"/>
          <w:szCs w:val="32"/>
          <w:highlight w:val="none"/>
          <w:lang w:val="en-US" w:eastAsia="zh-CN"/>
        </w:rPr>
        <w:t>5</w:t>
      </w:r>
      <w:r>
        <w:rPr>
          <w:rFonts w:hint="eastAsia" w:ascii="黑体" w:hAnsi="黑体" w:eastAsia="黑体"/>
          <w:b/>
          <w:bCs/>
          <w:color w:val="auto"/>
          <w:kern w:val="0"/>
          <w:sz w:val="32"/>
          <w:szCs w:val="32"/>
          <w:highlight w:val="none"/>
          <w:lang w:eastAsia="zh-CN"/>
        </w:rPr>
        <w:t>年部门</w:t>
      </w:r>
      <w:r>
        <w:rPr>
          <w:rFonts w:hint="eastAsia" w:ascii="黑体" w:hAnsi="黑体" w:eastAsia="黑体"/>
          <w:b/>
          <w:bCs/>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楷体_GB2312" w:hAnsi="楷体_GB2312" w:eastAsia="楷体_GB2312" w:cs="楷体_GB2312"/>
          <w:b/>
          <w:bCs w:val="0"/>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黑体" w:hAnsi="黑体" w:eastAsia="黑体" w:cs="黑体"/>
          <w:b/>
          <w:bCs w:val="0"/>
          <w:color w:val="auto"/>
          <w:kern w:val="0"/>
          <w:sz w:val="32"/>
          <w:szCs w:val="32"/>
          <w:highlight w:val="none"/>
        </w:rPr>
      </w:pPr>
      <w:r>
        <w:rPr>
          <w:rFonts w:hint="eastAsia" w:ascii="黑体" w:hAnsi="黑体" w:eastAsia="黑体" w:cs="黑体"/>
          <w:b/>
          <w:bCs w:val="0"/>
          <w:color w:val="auto"/>
          <w:kern w:val="0"/>
          <w:sz w:val="32"/>
          <w:szCs w:val="32"/>
          <w:highlight w:val="none"/>
        </w:rPr>
        <w:t>一、关于</w:t>
      </w:r>
      <w:r>
        <w:rPr>
          <w:rFonts w:hint="eastAsia" w:ascii="黑体" w:hAnsi="黑体" w:eastAsia="黑体" w:cs="黑体"/>
          <w:b/>
          <w:bCs w:val="0"/>
          <w:color w:val="auto"/>
          <w:kern w:val="0"/>
          <w:sz w:val="32"/>
          <w:szCs w:val="32"/>
          <w:highlight w:val="none"/>
          <w:lang w:val="en-US" w:eastAsia="zh-CN"/>
        </w:rPr>
        <w:t>呼图壁县社会保险中心</w:t>
      </w:r>
      <w:r>
        <w:rPr>
          <w:rFonts w:hint="eastAsia" w:ascii="黑体" w:hAnsi="黑体" w:eastAsia="黑体" w:cs="黑体"/>
          <w:b/>
          <w:bCs w:val="0"/>
          <w:color w:val="auto"/>
          <w:kern w:val="0"/>
          <w:sz w:val="32"/>
          <w:szCs w:val="32"/>
          <w:highlight w:val="none"/>
          <w:lang w:eastAsia="zh-CN"/>
        </w:rPr>
        <w:t>20</w:t>
      </w:r>
      <w:r>
        <w:rPr>
          <w:rFonts w:hint="eastAsia" w:ascii="黑体" w:hAnsi="黑体" w:eastAsia="黑体" w:cs="黑体"/>
          <w:b/>
          <w:bCs w:val="0"/>
          <w:color w:val="auto"/>
          <w:kern w:val="0"/>
          <w:sz w:val="32"/>
          <w:szCs w:val="32"/>
          <w:highlight w:val="none"/>
          <w:lang w:val="en-US" w:eastAsia="zh-CN"/>
        </w:rPr>
        <w:t>25</w:t>
      </w:r>
      <w:r>
        <w:rPr>
          <w:rFonts w:hint="eastAsia" w:ascii="黑体" w:hAnsi="黑体" w:eastAsia="黑体" w:cs="黑体"/>
          <w:b/>
          <w:bCs w:val="0"/>
          <w:color w:val="auto"/>
          <w:kern w:val="0"/>
          <w:sz w:val="32"/>
          <w:szCs w:val="32"/>
          <w:highlight w:val="none"/>
          <w:lang w:eastAsia="zh-CN"/>
        </w:rPr>
        <w:t>年</w:t>
      </w:r>
      <w:r>
        <w:rPr>
          <w:rFonts w:hint="eastAsia" w:ascii="黑体" w:hAnsi="黑体" w:eastAsia="黑体" w:cs="黑体"/>
          <w:b/>
          <w:bCs w:val="0"/>
          <w:color w:val="auto"/>
          <w:kern w:val="0"/>
          <w:sz w:val="32"/>
          <w:szCs w:val="32"/>
          <w:highlight w:val="none"/>
        </w:rPr>
        <w:t>收支预算情况总体说明</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按照全口径预算的原则，</w:t>
      </w:r>
      <w:r>
        <w:rPr>
          <w:rFonts w:hint="eastAsia" w:ascii="仿宋_GB2312" w:hAnsi="宋体" w:eastAsia="仿宋_GB2312" w:cs="宋体"/>
          <w:color w:val="auto"/>
          <w:kern w:val="0"/>
          <w:sz w:val="32"/>
          <w:szCs w:val="32"/>
          <w:highlight w:val="none"/>
          <w:lang w:eastAsia="zh-CN"/>
        </w:rPr>
        <w:t>呼图壁县社会保险中心202</w:t>
      </w:r>
      <w:r>
        <w:rPr>
          <w:rFonts w:hint="eastAsia" w:ascii="仿宋_GB2312" w:hAnsi="宋体" w:eastAsia="仿宋_GB2312" w:cs="宋体"/>
          <w:color w:val="auto"/>
          <w:kern w:val="0"/>
          <w:sz w:val="32"/>
          <w:szCs w:val="32"/>
          <w:highlight w:val="none"/>
          <w:lang w:val="en-US" w:eastAsia="zh-CN"/>
        </w:rPr>
        <w:t>5</w:t>
      </w:r>
      <w:r>
        <w:rPr>
          <w:rFonts w:hint="eastAsia" w:ascii="仿宋_GB2312" w:hAnsi="宋体" w:eastAsia="仿宋_GB2312" w:cs="宋体"/>
          <w:color w:val="auto"/>
          <w:kern w:val="0"/>
          <w:sz w:val="32"/>
          <w:szCs w:val="32"/>
          <w:highlight w:val="none"/>
          <w:lang w:eastAsia="zh-CN"/>
        </w:rPr>
        <w:t>年</w:t>
      </w:r>
      <w:r>
        <w:rPr>
          <w:rFonts w:hint="eastAsia" w:ascii="仿宋_GB2312" w:hAnsi="宋体" w:eastAsia="仿宋_GB2312" w:cs="宋体"/>
          <w:color w:val="auto"/>
          <w:kern w:val="0"/>
          <w:sz w:val="32"/>
          <w:szCs w:val="32"/>
          <w:highlight w:val="none"/>
        </w:rPr>
        <w:t>所有收入和支出均纳入</w:t>
      </w:r>
      <w:r>
        <w:rPr>
          <w:rFonts w:hint="eastAsia" w:ascii="仿宋_GB2312" w:hAnsi="宋体" w:eastAsia="仿宋_GB2312" w:cs="宋体"/>
          <w:color w:val="auto"/>
          <w:kern w:val="0"/>
          <w:sz w:val="32"/>
          <w:szCs w:val="32"/>
          <w:highlight w:val="none"/>
          <w:lang w:eastAsia="zh-CN"/>
        </w:rPr>
        <w:t>呼图壁县社会保险中心</w:t>
      </w:r>
      <w:r>
        <w:rPr>
          <w:rFonts w:hint="eastAsia" w:ascii="仿宋_GB2312" w:hAnsi="宋体" w:eastAsia="仿宋_GB2312" w:cs="宋体"/>
          <w:color w:val="auto"/>
          <w:kern w:val="0"/>
          <w:sz w:val="32"/>
          <w:szCs w:val="32"/>
          <w:highlight w:val="none"/>
        </w:rPr>
        <w:t>预算管理。收支总预算</w:t>
      </w:r>
      <w:r>
        <w:rPr>
          <w:rFonts w:hint="eastAsia" w:ascii="仿宋_GB2312" w:hAnsi="宋体" w:eastAsia="仿宋_GB2312" w:cs="宋体"/>
          <w:color w:val="auto"/>
          <w:kern w:val="0"/>
          <w:sz w:val="32"/>
          <w:szCs w:val="32"/>
          <w:highlight w:val="none"/>
          <w:lang w:val="en-US" w:eastAsia="zh-CN"/>
        </w:rPr>
        <w:t>765.13</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收入预算包括：一般公共预算、</w:t>
      </w:r>
      <w:r>
        <w:rPr>
          <w:rFonts w:hint="eastAsia" w:ascii="仿宋_GB2312" w:hAnsi="宋体" w:eastAsia="仿宋_GB2312" w:cs="宋体"/>
          <w:color w:val="auto"/>
          <w:kern w:val="0"/>
          <w:sz w:val="32"/>
          <w:szCs w:val="32"/>
          <w:highlight w:val="none"/>
          <w:lang w:val="en-US" w:eastAsia="zh-CN"/>
        </w:rPr>
        <w:t>上级一般公共预算安排的转移支付</w:t>
      </w:r>
      <w:r>
        <w:rPr>
          <w:rFonts w:hint="eastAsia" w:ascii="仿宋_GB2312" w:hAnsi="宋体" w:eastAsia="仿宋_GB2312" w:cs="宋体"/>
          <w:kern w:val="0"/>
          <w:sz w:val="32"/>
          <w:szCs w:val="32"/>
          <w:highlight w:val="none"/>
        </w:rPr>
        <w:t>、</w:t>
      </w:r>
      <w:r>
        <w:rPr>
          <w:rFonts w:hint="eastAsia" w:ascii="仿宋_GB2312" w:hAnsi="宋体" w:eastAsia="仿宋_GB2312" w:cs="宋体"/>
          <w:kern w:val="0"/>
          <w:sz w:val="32"/>
          <w:szCs w:val="32"/>
          <w:highlight w:val="none"/>
          <w:lang w:val="en-US" w:eastAsia="zh-Hans"/>
        </w:rPr>
        <w:t>单位资金、财政拨款结转结余</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支出预算包括：社会保障和就业支出、卫生健康支出、住房保障支出</w:t>
      </w:r>
      <w:r>
        <w:rPr>
          <w:rFonts w:hint="eastAsia" w:ascii="仿宋_GB2312" w:hAnsi="宋体" w:eastAsia="仿宋_GB2312" w:cs="宋体"/>
          <w:color w:val="auto"/>
          <w:kern w:val="0"/>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3" w:firstLineChars="200"/>
        <w:jc w:val="both"/>
        <w:textAlignment w:val="auto"/>
        <w:rPr>
          <w:rFonts w:hint="eastAsia" w:ascii="黑体" w:hAnsi="黑体" w:eastAsia="黑体" w:cs="黑体"/>
          <w:b/>
          <w:bCs/>
          <w:color w:val="auto"/>
          <w:kern w:val="0"/>
          <w:sz w:val="32"/>
          <w:szCs w:val="32"/>
          <w:highlight w:val="none"/>
        </w:rPr>
      </w:pPr>
      <w:r>
        <w:rPr>
          <w:rFonts w:hint="eastAsia" w:ascii="黑体" w:hAnsi="黑体" w:eastAsia="黑体" w:cs="黑体"/>
          <w:b/>
          <w:bCs/>
          <w:color w:val="auto"/>
          <w:kern w:val="0"/>
          <w:sz w:val="32"/>
          <w:szCs w:val="32"/>
          <w:highlight w:val="none"/>
        </w:rPr>
        <w:t>二、关于</w:t>
      </w:r>
      <w:r>
        <w:rPr>
          <w:rFonts w:hint="eastAsia" w:ascii="黑体" w:hAnsi="黑体" w:eastAsia="黑体" w:cs="黑体"/>
          <w:b/>
          <w:bCs w:val="0"/>
          <w:color w:val="auto"/>
          <w:kern w:val="0"/>
          <w:sz w:val="32"/>
          <w:szCs w:val="32"/>
          <w:highlight w:val="none"/>
          <w:lang w:val="en-US" w:eastAsia="zh-CN"/>
        </w:rPr>
        <w:t>呼图壁县社会保险中心</w:t>
      </w:r>
      <w:r>
        <w:rPr>
          <w:rFonts w:hint="eastAsia" w:ascii="黑体" w:hAnsi="黑体" w:eastAsia="黑体" w:cs="黑体"/>
          <w:b/>
          <w:bCs/>
          <w:color w:val="auto"/>
          <w:kern w:val="0"/>
          <w:sz w:val="32"/>
          <w:szCs w:val="32"/>
          <w:highlight w:val="none"/>
          <w:lang w:eastAsia="zh-CN"/>
        </w:rPr>
        <w:t>2024年</w:t>
      </w:r>
      <w:r>
        <w:rPr>
          <w:rFonts w:hint="eastAsia" w:ascii="黑体" w:hAnsi="黑体" w:eastAsia="黑体" w:cs="黑体"/>
          <w:b/>
          <w:bCs/>
          <w:color w:val="auto"/>
          <w:kern w:val="0"/>
          <w:sz w:val="32"/>
          <w:szCs w:val="32"/>
          <w:highlight w:val="none"/>
        </w:rPr>
        <w:t>收入预算情况说明</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呼图壁县社会保险中心</w:t>
      </w:r>
      <w:r>
        <w:rPr>
          <w:rFonts w:hint="eastAsia" w:ascii="仿宋_GB2312" w:hAnsi="宋体" w:eastAsia="仿宋_GB2312" w:cs="宋体"/>
          <w:color w:val="auto"/>
          <w:kern w:val="0"/>
          <w:sz w:val="32"/>
          <w:szCs w:val="32"/>
          <w:highlight w:val="none"/>
        </w:rPr>
        <w:t>收入预算</w:t>
      </w:r>
      <w:r>
        <w:rPr>
          <w:rFonts w:hint="eastAsia" w:ascii="仿宋_GB2312" w:hAnsi="宋体" w:eastAsia="仿宋_GB2312" w:cs="宋体"/>
          <w:color w:val="auto"/>
          <w:kern w:val="0"/>
          <w:sz w:val="32"/>
          <w:szCs w:val="32"/>
          <w:highlight w:val="none"/>
          <w:lang w:val="en-US" w:eastAsia="zh-CN"/>
        </w:rPr>
        <w:t>765.13</w:t>
      </w:r>
      <w:r>
        <w:rPr>
          <w:rFonts w:hint="eastAsia" w:ascii="仿宋_GB2312" w:hAnsi="宋体" w:eastAsia="仿宋_GB2312" w:cs="宋体"/>
          <w:color w:val="auto"/>
          <w:kern w:val="0"/>
          <w:sz w:val="32"/>
          <w:szCs w:val="32"/>
          <w:highlight w:val="none"/>
          <w:lang w:eastAsia="zh-CN"/>
        </w:rPr>
        <w:t>万</w:t>
      </w:r>
      <w:r>
        <w:rPr>
          <w:rFonts w:hint="eastAsia" w:ascii="仿宋_GB2312" w:hAnsi="宋体" w:eastAsia="仿宋_GB2312" w:cs="宋体"/>
          <w:color w:val="auto"/>
          <w:kern w:val="0"/>
          <w:sz w:val="32"/>
          <w:szCs w:val="32"/>
          <w:highlight w:val="none"/>
        </w:rPr>
        <w:t>元，其中：</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一般公共预算</w:t>
      </w:r>
      <w:r>
        <w:rPr>
          <w:rFonts w:hint="eastAsia" w:ascii="仿宋_GB2312" w:hAnsi="宋体" w:eastAsia="仿宋_GB2312" w:cs="宋体"/>
          <w:color w:val="auto"/>
          <w:kern w:val="0"/>
          <w:sz w:val="32"/>
          <w:szCs w:val="32"/>
          <w:highlight w:val="none"/>
          <w:lang w:val="en-US" w:eastAsia="zh-CN"/>
        </w:rPr>
        <w:t>716.38</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94.01</w:t>
      </w:r>
      <w:r>
        <w:rPr>
          <w:rFonts w:hint="eastAsia" w:ascii="仿宋_GB2312" w:hAnsi="宋体" w:eastAsia="仿宋_GB2312" w:cs="宋体"/>
          <w:color w:val="auto"/>
          <w:kern w:val="0"/>
          <w:sz w:val="32"/>
          <w:szCs w:val="32"/>
          <w:highlight w:val="none"/>
        </w:rPr>
        <w:t>%，比上年预算</w:t>
      </w:r>
      <w:r>
        <w:rPr>
          <w:rFonts w:hint="eastAsia" w:ascii="仿宋_GB2312" w:hAnsi="宋体" w:eastAsia="仿宋_GB2312" w:cs="宋体"/>
          <w:color w:val="auto"/>
          <w:kern w:val="0"/>
          <w:sz w:val="32"/>
          <w:szCs w:val="32"/>
          <w:highlight w:val="none"/>
          <w:lang w:eastAsia="zh-CN"/>
        </w:rPr>
        <w:t>增加</w:t>
      </w:r>
      <w:r>
        <w:rPr>
          <w:rFonts w:hint="eastAsia" w:ascii="仿宋_GB2312" w:hAnsi="宋体" w:eastAsia="仿宋_GB2312" w:cs="宋体"/>
          <w:color w:val="auto"/>
          <w:kern w:val="0"/>
          <w:sz w:val="32"/>
          <w:szCs w:val="32"/>
          <w:highlight w:val="none"/>
          <w:lang w:val="en-US" w:eastAsia="zh-CN"/>
        </w:rPr>
        <w:t>11.89</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1.69 %，</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lang w:val="en-US" w:eastAsia="zh-CN"/>
        </w:rPr>
        <w:t>在职人员工资、社保及公积金有所增加。</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上级</w:t>
      </w:r>
      <w:r>
        <w:rPr>
          <w:rFonts w:hint="eastAsia" w:ascii="仿宋_GB2312" w:hAnsi="宋体" w:eastAsia="仿宋_GB2312" w:cs="宋体"/>
          <w:color w:val="auto"/>
          <w:kern w:val="0"/>
          <w:sz w:val="32"/>
          <w:szCs w:val="32"/>
          <w:highlight w:val="none"/>
        </w:rPr>
        <w:t>一般公共预算</w:t>
      </w:r>
      <w:r>
        <w:rPr>
          <w:rFonts w:hint="eastAsia" w:ascii="仿宋_GB2312" w:hAnsi="宋体" w:eastAsia="仿宋_GB2312" w:cs="宋体"/>
          <w:color w:val="auto"/>
          <w:kern w:val="0"/>
          <w:sz w:val="32"/>
          <w:szCs w:val="32"/>
          <w:highlight w:val="none"/>
          <w:lang w:val="en-US" w:eastAsia="zh-Hans"/>
        </w:rPr>
        <w:t>安排的转移支付资金</w:t>
      </w:r>
      <w:r>
        <w:rPr>
          <w:rFonts w:hint="eastAsia" w:ascii="仿宋_GB2312" w:hAnsi="宋体" w:eastAsia="仿宋_GB2312" w:cs="宋体"/>
          <w:color w:val="auto"/>
          <w:kern w:val="0"/>
          <w:sz w:val="32"/>
          <w:szCs w:val="32"/>
          <w:highlight w:val="none"/>
          <w:lang w:val="en-US" w:eastAsia="zh-CN"/>
        </w:rPr>
        <w:t>2.92</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0.38</w:t>
      </w:r>
      <w:r>
        <w:rPr>
          <w:rFonts w:hint="eastAsia" w:ascii="仿宋_GB2312" w:hAnsi="宋体" w:eastAsia="仿宋_GB2312" w:cs="宋体"/>
          <w:color w:val="auto"/>
          <w:kern w:val="0"/>
          <w:sz w:val="32"/>
          <w:szCs w:val="32"/>
          <w:highlight w:val="none"/>
        </w:rPr>
        <w:t>%，比上年预算</w:t>
      </w:r>
      <w:r>
        <w:rPr>
          <w:rFonts w:hint="eastAsia" w:ascii="仿宋_GB2312" w:hAnsi="宋体" w:eastAsia="仿宋_GB2312" w:cs="宋体"/>
          <w:color w:val="auto"/>
          <w:kern w:val="0"/>
          <w:sz w:val="32"/>
          <w:szCs w:val="32"/>
          <w:highlight w:val="none"/>
          <w:lang w:eastAsia="zh-CN"/>
        </w:rPr>
        <w:t>增加</w:t>
      </w:r>
      <w:r>
        <w:rPr>
          <w:rFonts w:hint="eastAsia" w:ascii="仿宋_GB2312" w:hAnsi="宋体" w:eastAsia="仿宋_GB2312" w:cs="宋体"/>
          <w:color w:val="auto"/>
          <w:kern w:val="0"/>
          <w:sz w:val="32"/>
          <w:szCs w:val="32"/>
          <w:highlight w:val="none"/>
          <w:lang w:val="en-US" w:eastAsia="zh-CN"/>
        </w:rPr>
        <w:t>0.62</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26.96%，</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2025年1995年前退休（退职）人员生活补贴调资增加以及死亡人员增加导致丧葬费比去年增加了，所以今年比上年预算增加了0.62万元。</w:t>
      </w:r>
      <w:r>
        <w:rPr>
          <w:rFonts w:hint="eastAsia" w:ascii="仿宋_GB2312" w:hAnsi="宋体" w:eastAsia="仿宋_GB2312" w:cs="宋体"/>
          <w:color w:val="auto"/>
          <w:kern w:val="0"/>
          <w:sz w:val="32"/>
          <w:szCs w:val="32"/>
          <w:highlight w:val="none"/>
        </w:rPr>
        <w:t xml:space="preserve">    </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政府性基金预算未安排。</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上级政府性基金安排的转移支付资金</w:t>
      </w:r>
      <w:r>
        <w:rPr>
          <w:rFonts w:hint="eastAsia" w:ascii="仿宋_GB2312" w:hAnsi="宋体" w:eastAsia="仿宋_GB2312" w:cs="宋体"/>
          <w:color w:val="auto"/>
          <w:kern w:val="0"/>
          <w:sz w:val="32"/>
          <w:szCs w:val="32"/>
          <w:highlight w:val="none"/>
        </w:rPr>
        <w:t>未安排。</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国有资本经营</w:t>
      </w:r>
      <w:r>
        <w:rPr>
          <w:rFonts w:hint="eastAsia" w:ascii="仿宋_GB2312" w:hAnsi="宋体" w:eastAsia="仿宋_GB2312" w:cs="宋体"/>
          <w:color w:val="auto"/>
          <w:kern w:val="0"/>
          <w:sz w:val="32"/>
          <w:szCs w:val="32"/>
          <w:highlight w:val="none"/>
        </w:rPr>
        <w:t>预算未安排。</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上级国有资本经营预算安排的转移支付资金</w:t>
      </w:r>
      <w:r>
        <w:rPr>
          <w:rFonts w:hint="eastAsia" w:ascii="仿宋_GB2312" w:hAnsi="宋体" w:eastAsia="仿宋_GB2312" w:cs="宋体"/>
          <w:color w:val="auto"/>
          <w:kern w:val="0"/>
          <w:sz w:val="32"/>
          <w:szCs w:val="32"/>
          <w:highlight w:val="none"/>
        </w:rPr>
        <w:t>未安排。</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单位资金</w:t>
      </w:r>
      <w:r>
        <w:rPr>
          <w:rFonts w:hint="eastAsia" w:ascii="仿宋_GB2312" w:hAnsi="宋体" w:eastAsia="仿宋_GB2312" w:cs="宋体"/>
          <w:color w:val="auto"/>
          <w:kern w:val="0"/>
          <w:sz w:val="32"/>
          <w:szCs w:val="32"/>
          <w:highlight w:val="none"/>
          <w:lang w:val="en-US" w:eastAsia="zh-CN"/>
        </w:rPr>
        <w:t>35.22</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4.60</w:t>
      </w:r>
      <w:r>
        <w:rPr>
          <w:rFonts w:hint="eastAsia" w:ascii="仿宋_GB2312" w:hAnsi="宋体" w:eastAsia="仿宋_GB2312" w:cs="宋体"/>
          <w:color w:val="auto"/>
          <w:kern w:val="0"/>
          <w:sz w:val="32"/>
          <w:szCs w:val="32"/>
          <w:highlight w:val="none"/>
        </w:rPr>
        <w:t>%，比上年预算</w:t>
      </w:r>
      <w:r>
        <w:rPr>
          <w:rFonts w:hint="eastAsia" w:ascii="仿宋_GB2312" w:hAnsi="宋体" w:eastAsia="仿宋_GB2312" w:cs="宋体"/>
          <w:color w:val="auto"/>
          <w:kern w:val="0"/>
          <w:sz w:val="32"/>
          <w:szCs w:val="32"/>
          <w:highlight w:val="none"/>
          <w:lang w:val="en-US" w:eastAsia="zh-CN"/>
        </w:rPr>
        <w:t>减少155.44</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val="en-US" w:eastAsia="zh-CN"/>
        </w:rPr>
        <w:t>降低81.53%，</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2025年人员减少，单位资金预算相应减低</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财政拨款结转</w:t>
      </w:r>
      <w:r>
        <w:rPr>
          <w:rFonts w:hint="eastAsia" w:ascii="仿宋_GB2312" w:hAnsi="宋体" w:eastAsia="仿宋_GB2312" w:cs="宋体"/>
          <w:color w:val="auto"/>
          <w:kern w:val="0"/>
          <w:sz w:val="32"/>
          <w:szCs w:val="32"/>
          <w:highlight w:val="none"/>
          <w:lang w:val="en-US" w:eastAsia="zh-CN"/>
        </w:rPr>
        <w:t>10.60</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1.39</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9</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562.5%，</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2024年为民办实事好事和1995年前退休（退职）人员2024年4月-2025年3月生活补贴资金结转至2025年使用；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b/>
          <w:color w:val="FF0000"/>
          <w:kern w:val="0"/>
          <w:sz w:val="32"/>
          <w:szCs w:val="32"/>
          <w:highlight w:val="none"/>
        </w:rPr>
      </w:pPr>
      <w:r>
        <w:rPr>
          <w:rFonts w:hint="eastAsia" w:ascii="仿宋_GB2312" w:hAnsi="宋体" w:eastAsia="仿宋_GB2312" w:cs="宋体"/>
          <w:color w:val="auto"/>
          <w:kern w:val="0"/>
          <w:sz w:val="32"/>
          <w:szCs w:val="32"/>
          <w:highlight w:val="none"/>
          <w:lang w:val="en-US" w:eastAsia="zh-Hans"/>
        </w:rPr>
        <w:t>非财政拨款结转结余</w:t>
      </w:r>
      <w:r>
        <w:rPr>
          <w:rFonts w:hint="eastAsia" w:ascii="仿宋_GB2312" w:hAnsi="宋体" w:eastAsia="仿宋_GB2312" w:cs="宋体"/>
          <w:color w:val="auto"/>
          <w:kern w:val="0"/>
          <w:sz w:val="32"/>
          <w:szCs w:val="32"/>
          <w:highlight w:val="none"/>
          <w:lang w:val="en-US" w:eastAsia="zh-CN"/>
        </w:rPr>
        <w:t>未安排。</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3" w:firstLineChars="200"/>
        <w:jc w:val="both"/>
        <w:textAlignment w:val="auto"/>
        <w:rPr>
          <w:rFonts w:hint="eastAsia" w:ascii="黑体" w:hAnsi="黑体" w:eastAsia="黑体" w:cs="黑体"/>
          <w:b/>
          <w:bCs/>
          <w:color w:val="auto"/>
          <w:kern w:val="0"/>
          <w:sz w:val="32"/>
          <w:szCs w:val="32"/>
          <w:highlight w:val="none"/>
        </w:rPr>
      </w:pPr>
      <w:r>
        <w:rPr>
          <w:rFonts w:hint="eastAsia" w:ascii="黑体" w:hAnsi="黑体" w:eastAsia="黑体" w:cs="黑体"/>
          <w:b/>
          <w:bCs/>
          <w:color w:val="auto"/>
          <w:kern w:val="0"/>
          <w:sz w:val="32"/>
          <w:szCs w:val="32"/>
          <w:highlight w:val="none"/>
        </w:rPr>
        <w:t>三、关于</w:t>
      </w:r>
      <w:r>
        <w:rPr>
          <w:rFonts w:hint="eastAsia" w:ascii="黑体" w:hAnsi="黑体" w:eastAsia="黑体" w:cs="黑体"/>
          <w:b/>
          <w:bCs w:val="0"/>
          <w:color w:val="auto"/>
          <w:kern w:val="0"/>
          <w:sz w:val="32"/>
          <w:szCs w:val="32"/>
          <w:highlight w:val="none"/>
          <w:lang w:val="en-US" w:eastAsia="zh-CN"/>
        </w:rPr>
        <w:t>呼图壁县社会保险中心</w:t>
      </w:r>
      <w:r>
        <w:rPr>
          <w:rFonts w:hint="eastAsia" w:ascii="黑体" w:hAnsi="黑体" w:eastAsia="黑体" w:cs="黑体"/>
          <w:b/>
          <w:bCs/>
          <w:color w:val="auto"/>
          <w:kern w:val="0"/>
          <w:sz w:val="32"/>
          <w:szCs w:val="32"/>
          <w:highlight w:val="none"/>
          <w:lang w:eastAsia="zh-CN"/>
        </w:rPr>
        <w:t>202</w:t>
      </w:r>
      <w:r>
        <w:rPr>
          <w:rFonts w:hint="eastAsia" w:ascii="黑体" w:hAnsi="黑体" w:eastAsia="黑体" w:cs="黑体"/>
          <w:b/>
          <w:bCs/>
          <w:color w:val="auto"/>
          <w:kern w:val="0"/>
          <w:sz w:val="32"/>
          <w:szCs w:val="32"/>
          <w:highlight w:val="none"/>
          <w:lang w:val="en-US" w:eastAsia="zh-CN"/>
        </w:rPr>
        <w:t>5</w:t>
      </w:r>
      <w:r>
        <w:rPr>
          <w:rFonts w:hint="eastAsia" w:ascii="黑体" w:hAnsi="黑体" w:eastAsia="黑体" w:cs="黑体"/>
          <w:b/>
          <w:bCs/>
          <w:color w:val="auto"/>
          <w:kern w:val="0"/>
          <w:sz w:val="32"/>
          <w:szCs w:val="32"/>
          <w:highlight w:val="none"/>
          <w:lang w:eastAsia="zh-CN"/>
        </w:rPr>
        <w:t>年</w:t>
      </w:r>
      <w:r>
        <w:rPr>
          <w:rFonts w:hint="eastAsia" w:ascii="黑体" w:hAnsi="黑体" w:eastAsia="黑体" w:cs="黑体"/>
          <w:b/>
          <w:bCs/>
          <w:color w:val="auto"/>
          <w:kern w:val="0"/>
          <w:sz w:val="32"/>
          <w:szCs w:val="32"/>
          <w:highlight w:val="none"/>
        </w:rPr>
        <w:t>支出预算情况说明</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呼图壁县社会保险中心202</w:t>
      </w:r>
      <w:r>
        <w:rPr>
          <w:rFonts w:hint="eastAsia" w:ascii="仿宋_GB2312" w:hAnsi="宋体" w:eastAsia="仿宋_GB2312" w:cs="宋体"/>
          <w:color w:val="auto"/>
          <w:kern w:val="0"/>
          <w:sz w:val="32"/>
          <w:szCs w:val="32"/>
          <w:highlight w:val="none"/>
          <w:lang w:val="en-US" w:eastAsia="zh-CN"/>
        </w:rPr>
        <w:t>5</w:t>
      </w:r>
      <w:r>
        <w:rPr>
          <w:rFonts w:hint="eastAsia" w:ascii="仿宋_GB2312" w:hAnsi="宋体" w:eastAsia="仿宋_GB2312" w:cs="宋体"/>
          <w:color w:val="auto"/>
          <w:kern w:val="0"/>
          <w:sz w:val="32"/>
          <w:szCs w:val="32"/>
          <w:highlight w:val="none"/>
          <w:lang w:eastAsia="zh-CN"/>
        </w:rPr>
        <w:t>年</w:t>
      </w:r>
      <w:r>
        <w:rPr>
          <w:rFonts w:hint="eastAsia" w:ascii="仿宋_GB2312" w:hAnsi="宋体" w:eastAsia="仿宋_GB2312" w:cs="宋体"/>
          <w:color w:val="auto"/>
          <w:kern w:val="0"/>
          <w:sz w:val="32"/>
          <w:szCs w:val="32"/>
          <w:highlight w:val="none"/>
        </w:rPr>
        <w:t>支出预算</w:t>
      </w:r>
      <w:r>
        <w:rPr>
          <w:rFonts w:hint="eastAsia" w:ascii="仿宋_GB2312" w:hAnsi="宋体" w:eastAsia="仿宋_GB2312" w:cs="宋体"/>
          <w:color w:val="auto"/>
          <w:kern w:val="0"/>
          <w:sz w:val="32"/>
          <w:szCs w:val="32"/>
          <w:highlight w:val="none"/>
          <w:lang w:val="en-US" w:eastAsia="zh-CN"/>
        </w:rPr>
        <w:t>765.13</w:t>
      </w:r>
      <w:r>
        <w:rPr>
          <w:rFonts w:hint="eastAsia" w:ascii="仿宋_GB2312" w:hAnsi="宋体" w:eastAsia="仿宋_GB2312" w:cs="宋体"/>
          <w:color w:val="auto"/>
          <w:kern w:val="0"/>
          <w:sz w:val="32"/>
          <w:szCs w:val="32"/>
          <w:highlight w:val="none"/>
          <w:lang w:eastAsia="zh-CN"/>
        </w:rPr>
        <w:t>万</w:t>
      </w:r>
      <w:r>
        <w:rPr>
          <w:rFonts w:hint="eastAsia" w:ascii="仿宋_GB2312" w:hAnsi="宋体" w:eastAsia="仿宋_GB2312" w:cs="宋体"/>
          <w:color w:val="auto"/>
          <w:kern w:val="0"/>
          <w:sz w:val="32"/>
          <w:szCs w:val="32"/>
          <w:highlight w:val="none"/>
        </w:rPr>
        <w:t>元，其中：</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ascii="仿宋_GB2312" w:hAnsi="宋体" w:eastAsia="仿宋_GB2312" w:cs="宋体"/>
          <w:b/>
          <w:color w:val="auto"/>
          <w:kern w:val="0"/>
          <w:sz w:val="32"/>
          <w:szCs w:val="32"/>
          <w:highlight w:val="none"/>
        </w:rPr>
      </w:pPr>
      <w:r>
        <w:rPr>
          <w:rFonts w:hint="eastAsia" w:ascii="仿宋_GB2312" w:hAnsi="宋体" w:eastAsia="仿宋_GB2312" w:cs="宋体"/>
          <w:color w:val="auto"/>
          <w:kern w:val="0"/>
          <w:sz w:val="32"/>
          <w:szCs w:val="32"/>
          <w:highlight w:val="none"/>
        </w:rPr>
        <w:t>基本支出</w:t>
      </w:r>
      <w:r>
        <w:rPr>
          <w:rFonts w:hint="eastAsia" w:ascii="仿宋_GB2312" w:hAnsi="宋体" w:eastAsia="仿宋_GB2312" w:cs="宋体"/>
          <w:color w:val="auto"/>
          <w:kern w:val="0"/>
          <w:sz w:val="32"/>
          <w:szCs w:val="32"/>
          <w:highlight w:val="none"/>
          <w:lang w:val="en-US" w:eastAsia="zh-CN"/>
        </w:rPr>
        <w:t>751.6</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98.23</w:t>
      </w:r>
      <w:r>
        <w:rPr>
          <w:rFonts w:hint="eastAsia" w:ascii="仿宋_GB2312" w:hAnsi="宋体" w:eastAsia="仿宋_GB2312" w:cs="宋体"/>
          <w:color w:val="auto"/>
          <w:kern w:val="0"/>
          <w:sz w:val="32"/>
          <w:szCs w:val="32"/>
          <w:highlight w:val="none"/>
        </w:rPr>
        <w:t>%，比上年预算</w:t>
      </w:r>
      <w:r>
        <w:rPr>
          <w:rFonts w:hint="eastAsia" w:ascii="仿宋_GB2312" w:hAnsi="宋体" w:eastAsia="仿宋_GB2312" w:cs="宋体"/>
          <w:color w:val="auto"/>
          <w:kern w:val="0"/>
          <w:sz w:val="32"/>
          <w:szCs w:val="32"/>
          <w:highlight w:val="none"/>
          <w:lang w:eastAsia="zh-CN"/>
        </w:rPr>
        <w:t>减少</w:t>
      </w:r>
      <w:r>
        <w:rPr>
          <w:rFonts w:hint="eastAsia" w:ascii="仿宋_GB2312" w:hAnsi="宋体" w:eastAsia="仿宋_GB2312" w:cs="宋体"/>
          <w:color w:val="auto"/>
          <w:kern w:val="0"/>
          <w:sz w:val="32"/>
          <w:szCs w:val="32"/>
          <w:highlight w:val="none"/>
          <w:lang w:val="en-US" w:eastAsia="zh-CN"/>
        </w:rPr>
        <w:t>146.48</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减少</w:t>
      </w:r>
      <w:r>
        <w:rPr>
          <w:rFonts w:hint="eastAsia" w:ascii="仿宋_GB2312" w:hAnsi="宋体" w:eastAsia="仿宋_GB2312" w:cs="宋体"/>
          <w:color w:val="auto"/>
          <w:kern w:val="0"/>
          <w:sz w:val="32"/>
          <w:szCs w:val="32"/>
          <w:highlight w:val="none"/>
          <w:lang w:val="en-US" w:eastAsia="zh-CN"/>
        </w:rPr>
        <w:t>16.31%，</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rPr>
        <w:t>国防工水利工两类人员退休工资</w:t>
      </w:r>
      <w:r>
        <w:rPr>
          <w:rFonts w:hint="eastAsia" w:ascii="仿宋_GB2312" w:hAnsi="宋体" w:eastAsia="仿宋_GB2312" w:cs="宋体"/>
          <w:color w:val="auto"/>
          <w:kern w:val="0"/>
          <w:sz w:val="32"/>
          <w:szCs w:val="32"/>
          <w:highlight w:val="none"/>
          <w:lang w:eastAsia="zh-CN"/>
        </w:rPr>
        <w:t>、财政对参加企业职工基本养老保险社会统筹的有关退休人员实施生活补贴的补助</w:t>
      </w:r>
      <w:r>
        <w:rPr>
          <w:rFonts w:hint="default" w:ascii="仿宋_GB2312" w:hAnsi="宋体" w:eastAsia="仿宋_GB2312" w:cs="宋体"/>
          <w:color w:val="auto"/>
          <w:kern w:val="0"/>
          <w:sz w:val="32"/>
          <w:szCs w:val="32"/>
          <w:highlight w:val="none"/>
          <w:lang w:eastAsia="zh-CN"/>
        </w:rPr>
        <w:t>按实际支付金额</w:t>
      </w:r>
      <w:r>
        <w:rPr>
          <w:rFonts w:hint="eastAsia" w:ascii="仿宋_GB2312" w:hAnsi="宋体" w:eastAsia="仿宋_GB2312" w:cs="宋体"/>
          <w:color w:val="auto"/>
          <w:kern w:val="0"/>
          <w:sz w:val="32"/>
          <w:szCs w:val="32"/>
          <w:highlight w:val="none"/>
          <w:lang w:eastAsia="zh-CN"/>
        </w:rPr>
        <w:t>调资和丧葬费未列入预算。</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ascii="仿宋_GB2312" w:hAnsi="宋体" w:eastAsia="仿宋_GB2312" w:cs="宋体"/>
          <w:b/>
          <w:color w:val="FF0000"/>
          <w:spacing w:val="-6"/>
          <w:kern w:val="0"/>
          <w:sz w:val="32"/>
          <w:szCs w:val="32"/>
          <w:highlight w:val="none"/>
        </w:rPr>
      </w:pPr>
      <w:r>
        <w:rPr>
          <w:rFonts w:hint="eastAsia" w:ascii="仿宋_GB2312" w:hAnsi="宋体" w:eastAsia="仿宋_GB2312" w:cs="宋体"/>
          <w:color w:val="auto"/>
          <w:kern w:val="0"/>
          <w:sz w:val="32"/>
          <w:szCs w:val="32"/>
          <w:highlight w:val="none"/>
        </w:rPr>
        <w:t>项目支出</w:t>
      </w:r>
      <w:r>
        <w:rPr>
          <w:rFonts w:hint="eastAsia" w:ascii="仿宋_GB2312" w:hAnsi="宋体" w:eastAsia="仿宋_GB2312" w:cs="宋体"/>
          <w:color w:val="auto"/>
          <w:kern w:val="0"/>
          <w:sz w:val="32"/>
          <w:szCs w:val="32"/>
          <w:highlight w:val="none"/>
          <w:lang w:val="en-US" w:eastAsia="zh-CN"/>
        </w:rPr>
        <w:t>13.53</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1.77</w:t>
      </w:r>
      <w:r>
        <w:rPr>
          <w:rFonts w:hint="eastAsia" w:ascii="仿宋_GB2312" w:hAnsi="宋体" w:eastAsia="仿宋_GB2312" w:cs="宋体"/>
          <w:color w:val="auto"/>
          <w:kern w:val="0"/>
          <w:sz w:val="32"/>
          <w:szCs w:val="32"/>
          <w:highlight w:val="none"/>
        </w:rPr>
        <w:t>%，比上年预算</w:t>
      </w:r>
      <w:r>
        <w:rPr>
          <w:rFonts w:hint="eastAsia" w:ascii="仿宋_GB2312" w:hAnsi="宋体" w:eastAsia="仿宋_GB2312" w:cs="宋体"/>
          <w:color w:val="auto"/>
          <w:kern w:val="0"/>
          <w:sz w:val="32"/>
          <w:szCs w:val="32"/>
          <w:highlight w:val="none"/>
          <w:lang w:eastAsia="zh-CN"/>
        </w:rPr>
        <w:t>增加</w:t>
      </w:r>
      <w:r>
        <w:rPr>
          <w:rFonts w:hint="eastAsia" w:ascii="仿宋_GB2312" w:hAnsi="宋体" w:eastAsia="仿宋_GB2312" w:cs="宋体"/>
          <w:color w:val="auto"/>
          <w:kern w:val="0"/>
          <w:sz w:val="32"/>
          <w:szCs w:val="32"/>
          <w:highlight w:val="none"/>
          <w:lang w:val="en-US" w:eastAsia="zh-CN"/>
        </w:rPr>
        <w:t>8.69</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增加</w:t>
      </w:r>
      <w:r>
        <w:rPr>
          <w:rFonts w:hint="eastAsia" w:ascii="仿宋_GB2312" w:hAnsi="宋体" w:eastAsia="仿宋_GB2312" w:cs="宋体"/>
          <w:color w:val="auto"/>
          <w:kern w:val="0"/>
          <w:sz w:val="32"/>
          <w:szCs w:val="32"/>
          <w:highlight w:val="none"/>
          <w:lang w:val="en-US" w:eastAsia="zh-CN"/>
        </w:rPr>
        <w:t>179.55%，</w:t>
      </w:r>
      <w:r>
        <w:rPr>
          <w:rFonts w:hint="eastAsia" w:ascii="仿宋_GB2312" w:hAnsi="宋体" w:eastAsia="仿宋_GB2312" w:cs="宋体"/>
          <w:kern w:val="0"/>
          <w:sz w:val="32"/>
          <w:szCs w:val="32"/>
          <w:highlight w:val="none"/>
        </w:rPr>
        <w:t>主要原因是</w:t>
      </w:r>
      <w:r>
        <w:rPr>
          <w:rFonts w:hint="eastAsia" w:ascii="仿宋_GB2312" w:hAnsi="宋体" w:eastAsia="仿宋_GB2312" w:cs="宋体"/>
          <w:kern w:val="0"/>
          <w:sz w:val="32"/>
          <w:szCs w:val="32"/>
          <w:highlight w:val="none"/>
          <w:lang w:eastAsia="zh-CN"/>
        </w:rPr>
        <w:t>今年</w:t>
      </w:r>
      <w:r>
        <w:rPr>
          <w:rFonts w:hint="eastAsia" w:ascii="仿宋_GB2312" w:hAnsi="宋体" w:eastAsia="仿宋_GB2312" w:cs="宋体"/>
          <w:kern w:val="0"/>
          <w:sz w:val="32"/>
          <w:szCs w:val="32"/>
          <w:highlight w:val="none"/>
          <w:lang w:val="en-US" w:eastAsia="zh-CN"/>
        </w:rPr>
        <w:t xml:space="preserve">2024年为民办实事好事项目增加了10万元，所以今年预算比去年增加了8.69万元。  </w:t>
      </w:r>
    </w:p>
    <w:p>
      <w:pPr>
        <w:keepNext w:val="0"/>
        <w:keepLines w:val="0"/>
        <w:pageBreakBefore w:val="0"/>
        <w:widowControl w:val="0"/>
        <w:kinsoku/>
        <w:wordWrap/>
        <w:overflowPunct/>
        <w:topLinePunct w:val="0"/>
        <w:autoSpaceDE/>
        <w:autoSpaceDN/>
        <w:bidi w:val="0"/>
        <w:adjustRightInd/>
        <w:snapToGrid/>
        <w:spacing w:line="560" w:lineRule="exact"/>
        <w:ind w:firstLine="321" w:firstLineChars="100"/>
        <w:jc w:val="both"/>
        <w:textAlignment w:val="auto"/>
        <w:rPr>
          <w:rFonts w:hint="eastAsia" w:ascii="黑体" w:hAnsi="黑体" w:eastAsia="黑体" w:cs="黑体"/>
          <w:b/>
          <w:bCs/>
          <w:color w:val="auto"/>
          <w:kern w:val="0"/>
          <w:sz w:val="32"/>
          <w:szCs w:val="32"/>
          <w:highlight w:val="none"/>
        </w:rPr>
      </w:pPr>
      <w:r>
        <w:rPr>
          <w:rFonts w:hint="eastAsia" w:ascii="黑体" w:hAnsi="黑体" w:eastAsia="黑体" w:cs="黑体"/>
          <w:b/>
          <w:bCs/>
          <w:color w:val="auto"/>
          <w:kern w:val="0"/>
          <w:sz w:val="32"/>
          <w:szCs w:val="32"/>
          <w:highlight w:val="none"/>
        </w:rPr>
        <w:t>四、关于</w:t>
      </w:r>
      <w:r>
        <w:rPr>
          <w:rFonts w:hint="eastAsia" w:ascii="黑体" w:hAnsi="黑体" w:eastAsia="黑体" w:cs="黑体"/>
          <w:b/>
          <w:bCs w:val="0"/>
          <w:color w:val="auto"/>
          <w:kern w:val="0"/>
          <w:sz w:val="32"/>
          <w:szCs w:val="32"/>
          <w:highlight w:val="none"/>
          <w:lang w:val="en-US" w:eastAsia="zh-CN"/>
        </w:rPr>
        <w:t>呼图壁县社会保险中心</w:t>
      </w:r>
      <w:r>
        <w:rPr>
          <w:rFonts w:hint="eastAsia" w:ascii="黑体" w:hAnsi="黑体" w:eastAsia="黑体" w:cs="黑体"/>
          <w:b/>
          <w:bCs/>
          <w:color w:val="auto"/>
          <w:kern w:val="0"/>
          <w:sz w:val="32"/>
          <w:szCs w:val="32"/>
          <w:highlight w:val="none"/>
          <w:lang w:eastAsia="zh-CN"/>
        </w:rPr>
        <w:t>2024年</w:t>
      </w:r>
      <w:r>
        <w:rPr>
          <w:rFonts w:hint="eastAsia" w:ascii="黑体" w:hAnsi="黑体" w:eastAsia="黑体" w:cs="黑体"/>
          <w:b/>
          <w:bCs/>
          <w:color w:val="auto"/>
          <w:kern w:val="0"/>
          <w:sz w:val="32"/>
          <w:szCs w:val="32"/>
          <w:highlight w:val="none"/>
        </w:rPr>
        <w:t>财政拨款收支预算情况的总体说明</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202</w:t>
      </w:r>
      <w:r>
        <w:rPr>
          <w:rFonts w:hint="eastAsia" w:ascii="仿宋_GB2312" w:hAnsi="宋体" w:eastAsia="仿宋_GB2312" w:cs="宋体"/>
          <w:color w:val="auto"/>
          <w:kern w:val="0"/>
          <w:sz w:val="32"/>
          <w:szCs w:val="32"/>
          <w:highlight w:val="none"/>
          <w:lang w:val="en-US" w:eastAsia="zh-CN"/>
        </w:rPr>
        <w:t>5</w:t>
      </w:r>
      <w:r>
        <w:rPr>
          <w:rFonts w:hint="eastAsia" w:ascii="仿宋_GB2312" w:hAnsi="宋体" w:eastAsia="仿宋_GB2312" w:cs="宋体"/>
          <w:color w:val="auto"/>
          <w:kern w:val="0"/>
          <w:sz w:val="32"/>
          <w:szCs w:val="32"/>
          <w:highlight w:val="none"/>
          <w:lang w:eastAsia="zh-CN"/>
        </w:rPr>
        <w:t>年</w:t>
      </w:r>
      <w:r>
        <w:rPr>
          <w:rFonts w:hint="eastAsia" w:ascii="仿宋_GB2312" w:hAnsi="宋体" w:eastAsia="仿宋_GB2312" w:cs="宋体"/>
          <w:color w:val="auto"/>
          <w:kern w:val="0"/>
          <w:sz w:val="32"/>
          <w:szCs w:val="32"/>
          <w:highlight w:val="none"/>
        </w:rPr>
        <w:t>财政拨款收支总预算</w:t>
      </w:r>
      <w:r>
        <w:rPr>
          <w:rFonts w:hint="eastAsia" w:ascii="仿宋_GB2312" w:hAnsi="宋体" w:eastAsia="仿宋_GB2312" w:cs="宋体"/>
          <w:color w:val="auto"/>
          <w:kern w:val="0"/>
          <w:sz w:val="32"/>
          <w:szCs w:val="32"/>
          <w:highlight w:val="none"/>
          <w:lang w:val="en-US" w:eastAsia="zh-CN"/>
        </w:rPr>
        <w:t>719.31</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rPr>
      </w:pPr>
      <w:r>
        <w:rPr>
          <w:rFonts w:hint="eastAsia" w:ascii="仿宋_GB2312" w:hAnsi="宋体" w:eastAsia="仿宋_GB2312" w:cs="宋体"/>
          <w:color w:val="auto"/>
          <w:spacing w:val="-6"/>
          <w:kern w:val="0"/>
          <w:sz w:val="32"/>
          <w:szCs w:val="32"/>
          <w:highlight w:val="none"/>
        </w:rPr>
        <w:t>收入全部为一般公共预算拨款，无政府性基金预算拨款和国有资本经营预算。</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收入预算包括：一般公共预算拨款</w:t>
      </w:r>
      <w:r>
        <w:rPr>
          <w:rFonts w:hint="eastAsia" w:ascii="仿宋_GB2312" w:hAnsi="宋体" w:eastAsia="仿宋_GB2312" w:cs="宋体"/>
          <w:color w:val="auto"/>
          <w:kern w:val="0"/>
          <w:sz w:val="32"/>
          <w:szCs w:val="32"/>
          <w:highlight w:val="none"/>
          <w:lang w:val="en-US" w:eastAsia="zh-CN"/>
        </w:rPr>
        <w:t>719.31</w:t>
      </w:r>
      <w:r>
        <w:rPr>
          <w:rFonts w:hint="eastAsia" w:ascii="仿宋_GB2312" w:hAnsi="宋体" w:eastAsia="仿宋_GB2312" w:cs="宋体"/>
          <w:color w:val="auto"/>
          <w:kern w:val="0"/>
          <w:sz w:val="32"/>
          <w:szCs w:val="32"/>
          <w:highlight w:val="none"/>
        </w:rPr>
        <w:t>万元。</w:t>
      </w:r>
    </w:p>
    <w:p>
      <w:pPr>
        <w:keepNext w:val="0"/>
        <w:keepLines w:val="0"/>
        <w:pageBreakBefore w:val="0"/>
        <w:kinsoku/>
        <w:wordWrap/>
        <w:overflowPunct/>
        <w:topLinePunct w:val="0"/>
        <w:autoSpaceDE/>
        <w:autoSpaceDN/>
        <w:bidi w:val="0"/>
        <w:adjustRightInd/>
        <w:snapToGrid/>
        <w:spacing w:after="0" w:line="560" w:lineRule="exact"/>
        <w:ind w:left="0" w:firstLine="640" w:firstLineChars="200"/>
        <w:textAlignment w:val="auto"/>
        <w:rPr>
          <w:rFonts w:hint="eastAsia" w:ascii="楷体_GB2312" w:hAnsi="楷体_GB2312" w:eastAsia="楷体_GB2312" w:cs="楷体_GB2312"/>
          <w:b/>
          <w:bCs/>
          <w:color w:val="auto"/>
          <w:kern w:val="0"/>
          <w:sz w:val="32"/>
          <w:szCs w:val="32"/>
          <w:highlight w:val="none"/>
        </w:rPr>
      </w:pPr>
      <w:r>
        <w:rPr>
          <w:rFonts w:hint="eastAsia" w:ascii="仿宋_GB2312" w:hAnsi="宋体" w:eastAsia="仿宋_GB2312" w:cs="宋体"/>
          <w:color w:val="auto"/>
          <w:kern w:val="0"/>
          <w:sz w:val="32"/>
          <w:szCs w:val="32"/>
          <w:highlight w:val="none"/>
        </w:rPr>
        <w:t>一般公共预算支出包括：</w:t>
      </w:r>
      <w:r>
        <w:rPr>
          <w:rFonts w:hint="eastAsia" w:ascii="仿宋_GB2312" w:hAnsi="仿宋" w:eastAsia="仿宋_GB2312"/>
          <w:color w:val="auto"/>
          <w:sz w:val="32"/>
          <w:highlight w:val="none"/>
          <w:lang w:eastAsia="zh-CN"/>
        </w:rPr>
        <w:t>社会保障和就业支出</w:t>
      </w:r>
      <w:r>
        <w:rPr>
          <w:rFonts w:hint="eastAsia" w:ascii="仿宋_GB2312" w:hAnsi="宋体" w:eastAsia="仿宋_GB2312" w:cs="宋体"/>
          <w:color w:val="auto"/>
          <w:kern w:val="0"/>
          <w:sz w:val="32"/>
          <w:szCs w:val="32"/>
          <w:highlight w:val="none"/>
          <w:lang w:val="en-US" w:eastAsia="zh-CN"/>
        </w:rPr>
        <w:t>669.08</w:t>
      </w:r>
      <w:r>
        <w:rPr>
          <w:rFonts w:hint="eastAsia" w:ascii="仿宋_GB2312" w:hAnsi="仿宋" w:eastAsia="仿宋_GB2312"/>
          <w:color w:val="auto"/>
          <w:sz w:val="32"/>
          <w:highlight w:val="none"/>
        </w:rPr>
        <w:t>万元，</w:t>
      </w:r>
      <w:r>
        <w:rPr>
          <w:rFonts w:hint="eastAsia" w:ascii="仿宋_GB2312" w:hAnsi="仿宋" w:eastAsia="仿宋_GB2312"/>
          <w:color w:val="auto"/>
          <w:sz w:val="32"/>
          <w:highlight w:val="none"/>
          <w:lang w:val="en-US" w:eastAsia="zh-CN"/>
        </w:rPr>
        <w:t>主要用于：人力资源和社会保障管理事务625.04万元，行政事业单位养老支出41.12万元，企业改革补助2.92万元；卫生健康支出23.97万元，主要用于：行政事业单位医疗23.97万元；</w:t>
      </w:r>
      <w:r>
        <w:rPr>
          <w:rFonts w:hint="eastAsia" w:ascii="仿宋_GB2312" w:hAnsi="宋体" w:eastAsia="仿宋_GB2312" w:cs="宋体"/>
          <w:color w:val="auto"/>
          <w:sz w:val="32"/>
          <w:szCs w:val="32"/>
          <w:highlight w:val="none"/>
          <w:lang w:val="en-US" w:eastAsia="zh-CN"/>
        </w:rPr>
        <w:t>住房保障支出26.26万元，主要用于：住房改革支出26.26万元。</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hint="eastAsia" w:ascii="黑体" w:hAnsi="黑体" w:eastAsia="黑体" w:cs="黑体"/>
          <w:b/>
          <w:bCs/>
          <w:color w:val="auto"/>
          <w:spacing w:val="-6"/>
          <w:kern w:val="0"/>
          <w:sz w:val="32"/>
          <w:szCs w:val="32"/>
          <w:highlight w:val="none"/>
        </w:rPr>
      </w:pPr>
      <w:r>
        <w:rPr>
          <w:rFonts w:hint="eastAsia" w:ascii="黑体" w:hAnsi="黑体" w:eastAsia="黑体" w:cs="黑体"/>
          <w:b/>
          <w:bCs/>
          <w:color w:val="auto"/>
          <w:kern w:val="0"/>
          <w:sz w:val="32"/>
          <w:szCs w:val="32"/>
          <w:highlight w:val="none"/>
        </w:rPr>
        <w:t>五、</w:t>
      </w:r>
      <w:r>
        <w:rPr>
          <w:rFonts w:hint="eastAsia" w:ascii="黑体" w:hAnsi="黑体" w:eastAsia="黑体" w:cs="黑体"/>
          <w:b/>
          <w:bCs/>
          <w:color w:val="auto"/>
          <w:spacing w:val="-6"/>
          <w:kern w:val="0"/>
          <w:sz w:val="32"/>
          <w:szCs w:val="32"/>
          <w:highlight w:val="none"/>
        </w:rPr>
        <w:t>关于</w:t>
      </w:r>
      <w:r>
        <w:rPr>
          <w:rFonts w:hint="eastAsia" w:ascii="黑体" w:hAnsi="黑体" w:eastAsia="黑体" w:cs="黑体"/>
          <w:b/>
          <w:bCs w:val="0"/>
          <w:color w:val="auto"/>
          <w:kern w:val="0"/>
          <w:sz w:val="32"/>
          <w:szCs w:val="32"/>
          <w:highlight w:val="none"/>
          <w:lang w:val="en-US" w:eastAsia="zh-CN"/>
        </w:rPr>
        <w:t>呼图壁县社会保险中心</w:t>
      </w:r>
      <w:r>
        <w:rPr>
          <w:rFonts w:hint="eastAsia" w:ascii="黑体" w:hAnsi="黑体" w:eastAsia="黑体" w:cs="黑体"/>
          <w:b/>
          <w:bCs/>
          <w:color w:val="auto"/>
          <w:spacing w:val="-6"/>
          <w:kern w:val="0"/>
          <w:sz w:val="32"/>
          <w:szCs w:val="32"/>
          <w:highlight w:val="none"/>
          <w:lang w:eastAsia="zh-CN"/>
        </w:rPr>
        <w:t>202</w:t>
      </w:r>
      <w:r>
        <w:rPr>
          <w:rFonts w:hint="eastAsia" w:ascii="黑体" w:hAnsi="黑体" w:eastAsia="黑体" w:cs="黑体"/>
          <w:b/>
          <w:bCs/>
          <w:color w:val="auto"/>
          <w:spacing w:val="-6"/>
          <w:kern w:val="0"/>
          <w:sz w:val="32"/>
          <w:szCs w:val="32"/>
          <w:highlight w:val="none"/>
          <w:lang w:val="en-US" w:eastAsia="zh-CN"/>
        </w:rPr>
        <w:t>5</w:t>
      </w:r>
      <w:r>
        <w:rPr>
          <w:rFonts w:hint="eastAsia" w:ascii="黑体" w:hAnsi="黑体" w:eastAsia="黑体" w:cs="黑体"/>
          <w:b/>
          <w:bCs/>
          <w:color w:val="auto"/>
          <w:spacing w:val="-6"/>
          <w:kern w:val="0"/>
          <w:sz w:val="32"/>
          <w:szCs w:val="32"/>
          <w:highlight w:val="none"/>
          <w:lang w:eastAsia="zh-CN"/>
        </w:rPr>
        <w:t>年</w:t>
      </w:r>
      <w:r>
        <w:rPr>
          <w:rFonts w:hint="eastAsia" w:ascii="黑体" w:hAnsi="黑体" w:eastAsia="黑体" w:cs="黑体"/>
          <w:b/>
          <w:bCs/>
          <w:color w:val="auto"/>
          <w:spacing w:val="-6"/>
          <w:kern w:val="0"/>
          <w:sz w:val="32"/>
          <w:szCs w:val="32"/>
          <w:highlight w:val="none"/>
        </w:rPr>
        <w:t>一般公共预算当年拨款情况说明</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3" w:firstLineChars="200"/>
        <w:jc w:val="both"/>
        <w:textAlignment w:val="auto"/>
        <w:rPr>
          <w:rFonts w:hint="eastAsia" w:ascii="黑体" w:hAnsi="黑体" w:eastAsia="黑体" w:cs="黑体"/>
          <w:b/>
          <w:color w:val="auto"/>
          <w:kern w:val="0"/>
          <w:sz w:val="32"/>
          <w:szCs w:val="32"/>
          <w:highlight w:val="none"/>
        </w:rPr>
      </w:pPr>
      <w:r>
        <w:rPr>
          <w:rFonts w:hint="eastAsia" w:ascii="黑体" w:hAnsi="黑体" w:eastAsia="黑体" w:cs="黑体"/>
          <w:b/>
          <w:color w:val="auto"/>
          <w:kern w:val="0"/>
          <w:sz w:val="32"/>
          <w:szCs w:val="32"/>
          <w:highlight w:val="none"/>
        </w:rPr>
        <w:t>（一）一般公共预算当年拨款规模变化情况</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呼图壁县社会保险中心202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lang w:eastAsia="zh-CN"/>
        </w:rPr>
        <w:t>年</w:t>
      </w:r>
      <w:r>
        <w:rPr>
          <w:rFonts w:hint="eastAsia" w:ascii="仿宋_GB2312" w:hAnsi="仿宋_GB2312" w:eastAsia="仿宋_GB2312" w:cs="仿宋_GB2312"/>
          <w:color w:val="auto"/>
          <w:kern w:val="0"/>
          <w:sz w:val="32"/>
          <w:szCs w:val="32"/>
          <w:highlight w:val="none"/>
        </w:rPr>
        <w:t xml:space="preserve">一般公共预算拨款合计  </w:t>
      </w:r>
      <w:r>
        <w:rPr>
          <w:rFonts w:hint="eastAsia" w:ascii="仿宋_GB2312" w:hAnsi="仿宋_GB2312" w:eastAsia="仿宋_GB2312" w:cs="仿宋_GB2312"/>
          <w:color w:val="auto"/>
          <w:kern w:val="0"/>
          <w:sz w:val="32"/>
          <w:szCs w:val="32"/>
          <w:highlight w:val="none"/>
          <w:lang w:val="en-US" w:eastAsia="zh-CN"/>
        </w:rPr>
        <w:t>719.31</w:t>
      </w:r>
      <w:r>
        <w:rPr>
          <w:rFonts w:hint="eastAsia" w:ascii="仿宋_GB2312" w:hAnsi="仿宋_GB2312" w:eastAsia="仿宋_GB2312" w:cs="仿宋_GB2312"/>
          <w:color w:val="auto"/>
          <w:kern w:val="0"/>
          <w:sz w:val="32"/>
          <w:szCs w:val="32"/>
          <w:highlight w:val="none"/>
        </w:rPr>
        <w:t>万元，其中：基本支出</w:t>
      </w:r>
      <w:r>
        <w:rPr>
          <w:rFonts w:hint="eastAsia" w:ascii="仿宋_GB2312" w:hAnsi="仿宋_GB2312" w:eastAsia="仿宋_GB2312" w:cs="仿宋_GB2312"/>
          <w:color w:val="auto"/>
          <w:kern w:val="0"/>
          <w:sz w:val="32"/>
          <w:szCs w:val="32"/>
          <w:highlight w:val="none"/>
          <w:lang w:val="en-US" w:eastAsia="zh-CN"/>
        </w:rPr>
        <w:t>716.38</w:t>
      </w:r>
      <w:r>
        <w:rPr>
          <w:rFonts w:hint="eastAsia" w:ascii="仿宋_GB2312" w:hAnsi="仿宋_GB2312" w:eastAsia="仿宋_GB2312" w:cs="仿宋_GB2312"/>
          <w:color w:val="auto"/>
          <w:kern w:val="0"/>
          <w:sz w:val="32"/>
          <w:szCs w:val="32"/>
          <w:highlight w:val="none"/>
        </w:rPr>
        <w:t>万元，比上年预算增加</w:t>
      </w:r>
      <w:r>
        <w:rPr>
          <w:rFonts w:hint="eastAsia" w:ascii="仿宋_GB2312" w:hAnsi="仿宋_GB2312" w:eastAsia="仿宋_GB2312" w:cs="仿宋_GB2312"/>
          <w:color w:val="auto"/>
          <w:kern w:val="0"/>
          <w:sz w:val="32"/>
          <w:szCs w:val="32"/>
          <w:highlight w:val="none"/>
          <w:lang w:val="en-US" w:eastAsia="zh-CN"/>
        </w:rPr>
        <w:t>4.12</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0.58</w:t>
      </w:r>
      <w:r>
        <w:rPr>
          <w:rFonts w:hint="eastAsia" w:ascii="仿宋_GB2312" w:hAnsi="仿宋_GB2312" w:eastAsia="仿宋_GB2312" w:cs="仿宋_GB2312"/>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在职人员工资及社保增加、同工同酬人员增加</w:t>
      </w:r>
      <w:r>
        <w:rPr>
          <w:rFonts w:hint="eastAsia" w:ascii="仿宋_GB2312" w:hAnsi="宋体" w:eastAsia="仿宋_GB2312" w:cs="宋体"/>
          <w:kern w:val="0"/>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项目支出</w:t>
      </w:r>
      <w:r>
        <w:rPr>
          <w:rFonts w:hint="eastAsia" w:ascii="仿宋_GB2312" w:hAnsi="仿宋_GB2312" w:eastAsia="仿宋_GB2312" w:cs="仿宋_GB2312"/>
          <w:color w:val="auto"/>
          <w:kern w:val="0"/>
          <w:sz w:val="32"/>
          <w:szCs w:val="32"/>
          <w:highlight w:val="none"/>
          <w:lang w:val="en-US" w:eastAsia="zh-CN"/>
        </w:rPr>
        <w:t>2.92</w:t>
      </w:r>
      <w:r>
        <w:rPr>
          <w:rFonts w:hint="eastAsia" w:ascii="仿宋_GB2312" w:hAnsi="仿宋_GB2312" w:eastAsia="仿宋_GB2312" w:cs="仿宋_GB2312"/>
          <w:color w:val="auto"/>
          <w:kern w:val="0"/>
          <w:sz w:val="32"/>
          <w:szCs w:val="32"/>
          <w:highlight w:val="none"/>
        </w:rPr>
        <w:t>万元，比上年预算</w:t>
      </w:r>
      <w:r>
        <w:rPr>
          <w:rFonts w:hint="eastAsia" w:ascii="仿宋_GB2312" w:hAnsi="仿宋_GB2312" w:eastAsia="仿宋_GB2312" w:cs="仿宋_GB2312"/>
          <w:color w:val="auto"/>
          <w:kern w:val="0"/>
          <w:sz w:val="32"/>
          <w:szCs w:val="32"/>
          <w:highlight w:val="none"/>
          <w:lang w:val="en-US" w:eastAsia="zh-CN"/>
        </w:rPr>
        <w:t>减少1.92</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下降39.66</w:t>
      </w:r>
      <w:r>
        <w:rPr>
          <w:rFonts w:hint="eastAsia" w:ascii="仿宋_GB2312" w:hAnsi="仿宋_GB2312" w:eastAsia="仿宋_GB2312" w:cs="仿宋_GB2312"/>
          <w:color w:val="auto"/>
          <w:kern w:val="0"/>
          <w:sz w:val="32"/>
          <w:szCs w:val="32"/>
          <w:highlight w:val="none"/>
        </w:rPr>
        <w:t>%。主要原因是</w:t>
      </w:r>
      <w:r>
        <w:rPr>
          <w:rFonts w:hint="eastAsia" w:ascii="仿宋_GB2312" w:hAnsi="宋体" w:eastAsia="仿宋_GB2312" w:cs="宋体"/>
          <w:kern w:val="0"/>
          <w:sz w:val="32"/>
          <w:szCs w:val="32"/>
          <w:highlight w:val="none"/>
          <w:lang w:val="en-US" w:eastAsia="zh-CN"/>
        </w:rPr>
        <w:t>国有林退休（退职）人员减少，所以相关项目支出预算减少</w:t>
      </w:r>
      <w:r>
        <w:rPr>
          <w:rFonts w:hint="eastAsia" w:ascii="仿宋_GB2312" w:hAnsi="宋体" w:eastAsia="仿宋_GB2312" w:cs="宋体"/>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3" w:firstLineChars="200"/>
        <w:jc w:val="both"/>
        <w:textAlignment w:val="auto"/>
        <w:rPr>
          <w:rFonts w:hint="eastAsia" w:ascii="黑体" w:hAnsi="黑体" w:eastAsia="黑体" w:cs="黑体"/>
          <w:b/>
          <w:color w:val="auto"/>
          <w:kern w:val="0"/>
          <w:sz w:val="32"/>
          <w:szCs w:val="32"/>
          <w:highlight w:val="none"/>
        </w:rPr>
      </w:pPr>
      <w:r>
        <w:rPr>
          <w:rFonts w:hint="eastAsia" w:ascii="黑体" w:hAnsi="黑体" w:eastAsia="黑体" w:cs="黑体"/>
          <w:b/>
          <w:color w:val="auto"/>
          <w:kern w:val="0"/>
          <w:sz w:val="32"/>
          <w:szCs w:val="32"/>
          <w:highlight w:val="none"/>
        </w:rPr>
        <w:t>（二）一般公共预算当年拨款结构情况</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 w:eastAsia="仿宋_GB2312"/>
          <w:b w:val="0"/>
          <w:bCs w:val="0"/>
          <w:color w:val="auto"/>
          <w:sz w:val="32"/>
          <w:highlight w:val="none"/>
          <w:lang w:val="en-US" w:eastAsia="zh-CN"/>
        </w:rPr>
      </w:pPr>
      <w:r>
        <w:rPr>
          <w:rFonts w:hint="eastAsia" w:ascii="仿宋_GB2312" w:eastAsia="仿宋_GB2312"/>
          <w:b w:val="0"/>
          <w:bCs w:val="0"/>
          <w:color w:val="auto"/>
          <w:sz w:val="32"/>
          <w:szCs w:val="32"/>
          <w:highlight w:val="none"/>
        </w:rPr>
        <w:t>1</w:t>
      </w:r>
      <w:r>
        <w:rPr>
          <w:rFonts w:hint="eastAsia" w:ascii="仿宋_GB2312" w:eastAsia="仿宋_GB2312"/>
          <w:b w:val="0"/>
          <w:bCs w:val="0"/>
          <w:color w:val="auto"/>
          <w:sz w:val="32"/>
          <w:szCs w:val="32"/>
          <w:highlight w:val="none"/>
          <w:lang w:eastAsia="zh-CN"/>
        </w:rPr>
        <w:t>、</w:t>
      </w:r>
      <w:r>
        <w:rPr>
          <w:rFonts w:hint="eastAsia" w:ascii="仿宋_GB2312" w:eastAsia="仿宋_GB2312"/>
          <w:b w:val="0"/>
          <w:bCs w:val="0"/>
          <w:color w:val="auto"/>
          <w:sz w:val="32"/>
          <w:szCs w:val="32"/>
          <w:highlight w:val="none"/>
          <w:lang w:val="en-US" w:eastAsia="zh-CN"/>
        </w:rPr>
        <w:t>208社会保障和就业支出</w:t>
      </w:r>
      <w:r>
        <w:rPr>
          <w:rFonts w:hint="eastAsia" w:ascii="仿宋_GB2312" w:eastAsia="仿宋_GB2312"/>
          <w:b w:val="0"/>
          <w:bCs w:val="0"/>
          <w:color w:val="auto"/>
          <w:sz w:val="32"/>
          <w:szCs w:val="32"/>
          <w:highlight w:val="none"/>
        </w:rPr>
        <w:t>（类）</w:t>
      </w:r>
      <w:r>
        <w:rPr>
          <w:rFonts w:hint="eastAsia" w:ascii="仿宋_GB2312" w:hAnsi="宋体" w:eastAsia="仿宋_GB2312" w:cs="宋体"/>
          <w:color w:val="auto"/>
          <w:kern w:val="0"/>
          <w:sz w:val="32"/>
          <w:szCs w:val="32"/>
          <w:highlight w:val="none"/>
          <w:lang w:val="en-US" w:eastAsia="zh-CN"/>
        </w:rPr>
        <w:t>714.9</w:t>
      </w:r>
      <w:r>
        <w:rPr>
          <w:rFonts w:hint="eastAsia" w:ascii="仿宋_GB2312" w:hAnsi="宋体" w:eastAsia="仿宋_GB2312" w:cs="宋体"/>
          <w:b w:val="0"/>
          <w:bCs w:val="0"/>
          <w:color w:val="auto"/>
          <w:kern w:val="0"/>
          <w:sz w:val="32"/>
          <w:szCs w:val="32"/>
          <w:highlight w:val="none"/>
        </w:rPr>
        <w:t>万元，占</w:t>
      </w:r>
      <w:r>
        <w:rPr>
          <w:rFonts w:hint="eastAsia" w:ascii="仿宋_GB2312" w:hAnsi="宋体" w:eastAsia="仿宋_GB2312" w:cs="宋体"/>
          <w:b w:val="0"/>
          <w:bCs w:val="0"/>
          <w:color w:val="auto"/>
          <w:kern w:val="0"/>
          <w:sz w:val="32"/>
          <w:szCs w:val="32"/>
          <w:highlight w:val="none"/>
          <w:lang w:val="en-US" w:eastAsia="zh-CN"/>
        </w:rPr>
        <w:t>93.43</w:t>
      </w:r>
      <w:r>
        <w:rPr>
          <w:rFonts w:hint="eastAsia" w:ascii="仿宋_GB2312" w:hAnsi="宋体" w:eastAsia="仿宋_GB2312" w:cs="宋体"/>
          <w:b w:val="0"/>
          <w:bCs w:val="0"/>
          <w:color w:val="auto"/>
          <w:kern w:val="0"/>
          <w:sz w:val="32"/>
          <w:szCs w:val="32"/>
          <w:highlight w:val="none"/>
        </w:rPr>
        <w:t>%</w:t>
      </w:r>
      <w:r>
        <w:rPr>
          <w:rFonts w:hint="eastAsia" w:ascii="仿宋_GB2312" w:hAnsi="宋体" w:eastAsia="仿宋_GB2312" w:cs="宋体"/>
          <w:b w:val="0"/>
          <w:bCs w:val="0"/>
          <w:color w:val="auto"/>
          <w:kern w:val="0"/>
          <w:sz w:val="32"/>
          <w:szCs w:val="32"/>
          <w:highlight w:val="none"/>
          <w:lang w:eastAsia="zh-CN"/>
        </w:rPr>
        <w:t>；</w:t>
      </w:r>
    </w:p>
    <w:p>
      <w:pPr>
        <w:keepNext w:val="0"/>
        <w:keepLines w:val="0"/>
        <w:pageBreakBefore w:val="0"/>
        <w:kinsoku/>
        <w:wordWrap/>
        <w:overflowPunct/>
        <w:topLinePunct w:val="0"/>
        <w:autoSpaceDE/>
        <w:autoSpaceDN/>
        <w:bidi w:val="0"/>
        <w:adjustRightInd/>
        <w:snapToGrid/>
        <w:spacing w:after="0" w:line="560" w:lineRule="exact"/>
        <w:ind w:left="0" w:firstLine="640" w:firstLineChars="200"/>
        <w:textAlignment w:val="auto"/>
        <w:rPr>
          <w:rFonts w:hint="eastAsia" w:ascii="仿宋_GB2312" w:hAnsi="仿宋" w:eastAsia="仿宋_GB2312"/>
          <w:b w:val="0"/>
          <w:bCs w:val="0"/>
          <w:color w:val="auto"/>
          <w:sz w:val="32"/>
          <w:highlight w:val="none"/>
          <w:lang w:val="en-US" w:eastAsia="zh-CN"/>
        </w:rPr>
      </w:pPr>
      <w:r>
        <w:rPr>
          <w:rFonts w:hint="eastAsia" w:ascii="仿宋_GB2312" w:eastAsia="仿宋_GB2312" w:cs="Times New Roman"/>
          <w:b w:val="0"/>
          <w:bCs w:val="0"/>
          <w:color w:val="auto"/>
          <w:sz w:val="32"/>
          <w:szCs w:val="32"/>
          <w:highlight w:val="none"/>
          <w:lang w:val="en-US" w:eastAsia="zh-CN"/>
        </w:rPr>
        <w:t>2</w:t>
      </w:r>
      <w:r>
        <w:rPr>
          <w:rFonts w:hint="eastAsia" w:ascii="仿宋_GB2312" w:eastAsia="仿宋_GB2312" w:cs="Times New Roman"/>
          <w:b w:val="0"/>
          <w:bCs w:val="0"/>
          <w:color w:val="auto"/>
          <w:sz w:val="32"/>
          <w:szCs w:val="32"/>
          <w:highlight w:val="none"/>
          <w:lang w:eastAsia="zh-CN"/>
        </w:rPr>
        <w:t>、</w:t>
      </w:r>
      <w:r>
        <w:rPr>
          <w:rFonts w:hint="eastAsia" w:ascii="仿宋_GB2312" w:eastAsia="仿宋_GB2312" w:cs="Times New Roman"/>
          <w:b w:val="0"/>
          <w:bCs w:val="0"/>
          <w:color w:val="auto"/>
          <w:sz w:val="32"/>
          <w:szCs w:val="32"/>
          <w:highlight w:val="none"/>
          <w:lang w:val="en-US" w:eastAsia="zh-CN"/>
        </w:rPr>
        <w:t>2</w:t>
      </w:r>
      <w:r>
        <w:rPr>
          <w:rFonts w:hint="eastAsia" w:ascii="仿宋_GB2312" w:hAnsi="仿宋" w:eastAsia="仿宋_GB2312"/>
          <w:b w:val="0"/>
          <w:bCs w:val="0"/>
          <w:color w:val="auto"/>
          <w:sz w:val="32"/>
          <w:highlight w:val="none"/>
          <w:lang w:val="en-US" w:eastAsia="zh-CN"/>
        </w:rPr>
        <w:t>10卫生健康支出（类）23.97万元，</w:t>
      </w:r>
      <w:r>
        <w:rPr>
          <w:rFonts w:hint="eastAsia" w:ascii="仿宋_GB2312" w:hAnsi="宋体" w:eastAsia="仿宋_GB2312" w:cs="宋体"/>
          <w:b w:val="0"/>
          <w:bCs w:val="0"/>
          <w:color w:val="auto"/>
          <w:kern w:val="0"/>
          <w:sz w:val="32"/>
          <w:szCs w:val="32"/>
          <w:highlight w:val="none"/>
        </w:rPr>
        <w:t>占</w:t>
      </w:r>
      <w:r>
        <w:rPr>
          <w:rFonts w:hint="eastAsia" w:ascii="仿宋_GB2312" w:hAnsi="宋体" w:eastAsia="仿宋_GB2312" w:cs="宋体"/>
          <w:b w:val="0"/>
          <w:bCs w:val="0"/>
          <w:color w:val="auto"/>
          <w:kern w:val="0"/>
          <w:sz w:val="32"/>
          <w:szCs w:val="32"/>
          <w:highlight w:val="none"/>
          <w:lang w:val="en-US" w:eastAsia="zh-CN"/>
        </w:rPr>
        <w:t>3.13</w:t>
      </w:r>
      <w:r>
        <w:rPr>
          <w:rFonts w:hint="eastAsia" w:ascii="仿宋_GB2312" w:hAnsi="宋体" w:eastAsia="仿宋_GB2312" w:cs="宋体"/>
          <w:b w:val="0"/>
          <w:bCs w:val="0"/>
          <w:color w:val="auto"/>
          <w:kern w:val="0"/>
          <w:sz w:val="32"/>
          <w:szCs w:val="32"/>
          <w:highlight w:val="none"/>
        </w:rPr>
        <w:t>%</w:t>
      </w:r>
      <w:r>
        <w:rPr>
          <w:rFonts w:hint="eastAsia" w:ascii="仿宋_GB2312" w:hAnsi="宋体" w:eastAsia="仿宋_GB2312" w:cs="宋体"/>
          <w:b w:val="0"/>
          <w:bCs w:val="0"/>
          <w:color w:val="auto"/>
          <w:kern w:val="0"/>
          <w:sz w:val="32"/>
          <w:szCs w:val="32"/>
          <w:highlight w:val="none"/>
          <w:lang w:eastAsia="zh-CN"/>
        </w:rPr>
        <w:t>；</w:t>
      </w:r>
    </w:p>
    <w:p>
      <w:pPr>
        <w:keepNext w:val="0"/>
        <w:keepLines w:val="0"/>
        <w:pageBreakBefore w:val="0"/>
        <w:kinsoku/>
        <w:wordWrap/>
        <w:overflowPunct/>
        <w:topLinePunct w:val="0"/>
        <w:autoSpaceDE/>
        <w:autoSpaceDN/>
        <w:bidi w:val="0"/>
        <w:adjustRightInd/>
        <w:snapToGrid/>
        <w:spacing w:after="0" w:line="560" w:lineRule="exact"/>
        <w:ind w:left="0" w:firstLine="640" w:firstLineChars="200"/>
        <w:textAlignment w:val="auto"/>
        <w:rPr>
          <w:rFonts w:hint="default" w:ascii="仿宋_GB2312" w:eastAsia="仿宋_GB2312"/>
          <w:b w:val="0"/>
          <w:bCs w:val="0"/>
          <w:color w:val="auto"/>
          <w:sz w:val="32"/>
          <w:szCs w:val="32"/>
          <w:highlight w:val="none"/>
          <w:lang w:val="en-US" w:eastAsia="zh-CN"/>
        </w:rPr>
      </w:pPr>
      <w:r>
        <w:rPr>
          <w:rFonts w:hint="eastAsia" w:ascii="仿宋_GB2312" w:hAnsi="仿宋" w:eastAsia="仿宋_GB2312"/>
          <w:b w:val="0"/>
          <w:bCs w:val="0"/>
          <w:color w:val="auto"/>
          <w:sz w:val="32"/>
          <w:highlight w:val="none"/>
          <w:lang w:val="en-US" w:eastAsia="zh-CN"/>
        </w:rPr>
        <w:t>3、221住房保障支出（类）26.26万元，</w:t>
      </w:r>
      <w:r>
        <w:rPr>
          <w:rFonts w:hint="eastAsia" w:ascii="仿宋_GB2312" w:hAnsi="宋体" w:eastAsia="仿宋_GB2312" w:cs="宋体"/>
          <w:b w:val="0"/>
          <w:bCs w:val="0"/>
          <w:color w:val="auto"/>
          <w:kern w:val="0"/>
          <w:sz w:val="32"/>
          <w:szCs w:val="32"/>
          <w:highlight w:val="none"/>
        </w:rPr>
        <w:t>占</w:t>
      </w:r>
      <w:r>
        <w:rPr>
          <w:rFonts w:hint="eastAsia" w:ascii="仿宋_GB2312" w:hAnsi="宋体" w:eastAsia="仿宋_GB2312" w:cs="宋体"/>
          <w:b w:val="0"/>
          <w:bCs w:val="0"/>
          <w:color w:val="auto"/>
          <w:kern w:val="0"/>
          <w:sz w:val="32"/>
          <w:szCs w:val="32"/>
          <w:highlight w:val="none"/>
          <w:lang w:val="en-US" w:eastAsia="zh-CN"/>
        </w:rPr>
        <w:t>3.43</w:t>
      </w:r>
      <w:r>
        <w:rPr>
          <w:rFonts w:hint="eastAsia" w:ascii="仿宋_GB2312" w:hAnsi="宋体" w:eastAsia="仿宋_GB2312" w:cs="宋体"/>
          <w:b w:val="0"/>
          <w:bCs w:val="0"/>
          <w:color w:val="auto"/>
          <w:kern w:val="0"/>
          <w:sz w:val="32"/>
          <w:szCs w:val="32"/>
          <w:highlight w:val="none"/>
        </w:rPr>
        <w:t>%</w:t>
      </w:r>
      <w:r>
        <w:rPr>
          <w:rFonts w:hint="eastAsia" w:ascii="仿宋_GB2312" w:hAnsi="仿宋" w:eastAsia="仿宋_GB2312"/>
          <w:b w:val="0"/>
          <w:bCs w:val="0"/>
          <w:color w:val="auto"/>
          <w:sz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3" w:firstLineChars="200"/>
        <w:jc w:val="both"/>
        <w:textAlignment w:val="auto"/>
        <w:rPr>
          <w:rFonts w:hint="eastAsia" w:ascii="黑体" w:hAnsi="黑体" w:eastAsia="黑体" w:cs="黑体"/>
          <w:b/>
          <w:color w:val="auto"/>
          <w:kern w:val="0"/>
          <w:sz w:val="32"/>
          <w:szCs w:val="32"/>
          <w:highlight w:val="none"/>
        </w:rPr>
      </w:pPr>
      <w:r>
        <w:rPr>
          <w:rFonts w:hint="eastAsia" w:ascii="黑体" w:hAnsi="黑体" w:eastAsia="黑体" w:cs="黑体"/>
          <w:b/>
          <w:color w:val="auto"/>
          <w:kern w:val="0"/>
          <w:sz w:val="32"/>
          <w:szCs w:val="32"/>
          <w:highlight w:val="none"/>
        </w:rPr>
        <w:t>（三）一般公共预算当年拨款具体使用情况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 w:eastAsia="仿宋_GB2312" w:cs="Times New Roman"/>
          <w:color w:val="auto"/>
          <w:sz w:val="32"/>
          <w:highlight w:val="none"/>
          <w:lang w:val="en-US" w:eastAsia="zh-CN"/>
        </w:rPr>
      </w:pPr>
      <w:r>
        <w:rPr>
          <w:rFonts w:hint="eastAsia" w:ascii="仿宋_GB2312" w:hAnsi="宋体" w:eastAsia="仿宋_GB2312" w:cs="宋体"/>
          <w:color w:val="auto"/>
          <w:kern w:val="0"/>
          <w:sz w:val="32"/>
          <w:szCs w:val="32"/>
          <w:highlight w:val="none"/>
        </w:rPr>
        <w:t>1</w:t>
      </w:r>
      <w:r>
        <w:rPr>
          <w:rFonts w:hint="eastAsia" w:ascii="仿宋_GB2312" w:hAnsi="宋体" w:eastAsia="仿宋_GB2312" w:cs="宋体"/>
          <w:color w:val="auto"/>
          <w:kern w:val="0"/>
          <w:sz w:val="32"/>
          <w:szCs w:val="32"/>
          <w:highlight w:val="none"/>
          <w:lang w:eastAsia="zh-CN"/>
        </w:rPr>
        <w:t>、</w:t>
      </w:r>
      <w:r>
        <w:rPr>
          <w:rFonts w:hint="eastAsia" w:ascii="仿宋_GB2312" w:hAnsi="仿宋" w:eastAsia="仿宋_GB2312"/>
          <w:color w:val="auto"/>
          <w:sz w:val="32"/>
          <w:highlight w:val="none"/>
          <w:lang w:eastAsia="zh-CN"/>
        </w:rPr>
        <w:t>社会保障和就业支出（</w:t>
      </w:r>
      <w:r>
        <w:rPr>
          <w:rFonts w:hint="eastAsia" w:ascii="仿宋_GB2312" w:hAnsi="仿宋" w:eastAsia="仿宋_GB2312"/>
          <w:color w:val="auto"/>
          <w:sz w:val="32"/>
          <w:highlight w:val="none"/>
          <w:lang w:val="en-US" w:eastAsia="zh-CN"/>
        </w:rPr>
        <w:t>类</w:t>
      </w:r>
      <w:r>
        <w:rPr>
          <w:rFonts w:hint="eastAsia" w:ascii="仿宋_GB2312" w:hAnsi="仿宋" w:eastAsia="仿宋_GB2312"/>
          <w:color w:val="auto"/>
          <w:sz w:val="32"/>
          <w:highlight w:val="none"/>
          <w:lang w:eastAsia="zh-CN"/>
        </w:rPr>
        <w:t>）</w:t>
      </w:r>
      <w:r>
        <w:rPr>
          <w:rFonts w:hint="eastAsia" w:ascii="仿宋_GB2312" w:hAnsi="仿宋" w:eastAsia="仿宋_GB2312"/>
          <w:color w:val="auto"/>
          <w:sz w:val="32"/>
          <w:highlight w:val="none"/>
          <w:lang w:val="en-US" w:eastAsia="zh-CN"/>
        </w:rPr>
        <w:t>人力资源和社会保障管理事务（款）社会保险经办机构</w:t>
      </w:r>
      <w:r>
        <w:rPr>
          <w:rFonts w:ascii="仿宋_GB2312" w:hAnsi="宋体" w:eastAsia="仿宋_GB2312" w:cs="宋体"/>
          <w:color w:val="auto"/>
          <w:kern w:val="0"/>
          <w:sz w:val="32"/>
          <w:szCs w:val="32"/>
          <w:highlight w:val="none"/>
        </w:rPr>
        <w:t>（项）</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lang w:val="en-US" w:eastAsia="zh-CN"/>
        </w:rPr>
        <w:t>2025</w:t>
      </w:r>
      <w:r>
        <w:rPr>
          <w:rFonts w:ascii="仿宋_GB2312" w:hAnsi="宋体" w:eastAsia="仿宋_GB2312" w:cs="宋体"/>
          <w:color w:val="auto"/>
          <w:kern w:val="0"/>
          <w:sz w:val="32"/>
          <w:szCs w:val="32"/>
          <w:highlight w:val="none"/>
        </w:rPr>
        <w:t>年预算数为</w:t>
      </w:r>
      <w:r>
        <w:rPr>
          <w:rFonts w:hint="eastAsia" w:ascii="仿宋_GB2312" w:hAnsi="宋体" w:eastAsia="仿宋_GB2312" w:cs="宋体"/>
          <w:color w:val="auto"/>
          <w:kern w:val="0"/>
          <w:sz w:val="32"/>
          <w:szCs w:val="32"/>
          <w:highlight w:val="none"/>
          <w:lang w:val="en-US" w:eastAsia="zh-CN"/>
        </w:rPr>
        <w:t>625.04</w:t>
      </w:r>
      <w:r>
        <w:rPr>
          <w:rFonts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rPr>
        <w:t>比上年预算</w:t>
      </w:r>
      <w:r>
        <w:rPr>
          <w:rFonts w:hint="eastAsia" w:ascii="仿宋_GB2312" w:hAnsi="宋体" w:eastAsia="仿宋_GB2312" w:cs="宋体"/>
          <w:color w:val="auto"/>
          <w:kern w:val="0"/>
          <w:sz w:val="32"/>
          <w:szCs w:val="32"/>
          <w:highlight w:val="none"/>
          <w:lang w:val="en-US" w:eastAsia="zh-CN"/>
        </w:rPr>
        <w:t>增加11.62</w:t>
      </w:r>
      <w:r>
        <w:rPr>
          <w:rFonts w:hint="eastAsia" w:ascii="仿宋_GB2312" w:hAnsi="宋体" w:eastAsia="仿宋_GB2312" w:cs="宋体"/>
          <w:color w:val="auto"/>
          <w:kern w:val="0"/>
          <w:sz w:val="32"/>
          <w:szCs w:val="32"/>
          <w:highlight w:val="none"/>
        </w:rPr>
        <w:t>万元，增</w:t>
      </w:r>
      <w:r>
        <w:rPr>
          <w:rFonts w:hint="eastAsia" w:ascii="仿宋_GB2312" w:hAnsi="宋体" w:eastAsia="仿宋_GB2312" w:cs="宋体"/>
          <w:color w:val="auto"/>
          <w:kern w:val="0"/>
          <w:sz w:val="32"/>
          <w:szCs w:val="32"/>
          <w:highlight w:val="none"/>
          <w:lang w:val="en-US" w:eastAsia="zh-CN"/>
        </w:rPr>
        <w:t>长1.89</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2024年在职在编人员工资、社保均上调，同工同酬人员增加</w:t>
      </w:r>
      <w:r>
        <w:rPr>
          <w:rFonts w:hint="eastAsia" w:ascii="仿宋_GB2312" w:hAnsi="宋体" w:eastAsia="仿宋_GB2312" w:cs="宋体"/>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 w:eastAsia="仿宋_GB2312" w:cs="Times New Roman"/>
          <w:color w:val="auto"/>
          <w:sz w:val="32"/>
          <w:highlight w:val="none"/>
          <w:lang w:val="en-US" w:eastAsia="zh-CN"/>
        </w:rPr>
      </w:pPr>
      <w:r>
        <w:rPr>
          <w:rFonts w:hint="eastAsia" w:ascii="仿宋_GB2312" w:hAnsi="仿宋" w:eastAsia="仿宋_GB2312" w:cs="Times New Roman"/>
          <w:color w:val="auto"/>
          <w:sz w:val="32"/>
          <w:highlight w:val="none"/>
          <w:lang w:val="en-US" w:eastAsia="zh-CN"/>
        </w:rPr>
        <w:t>2、社会保障和就业支出（类）人力资源和社会保障管理事务（款）事业单位离退休（项）：2025年预算数为9.43万元，比上年预算减少1.73万元，下降15.50%，主要原因是：上年错误将退休人员独生子女奖励金列入事业单位离退休科目，导致2024年此科目金额偏大，2025年精准安排预算，所以预算金额下降；</w:t>
      </w:r>
    </w:p>
    <w:p>
      <w:pPr>
        <w:keepNext w:val="0"/>
        <w:keepLines w:val="0"/>
        <w:pageBreakBefore w:val="0"/>
        <w:kinsoku/>
        <w:wordWrap/>
        <w:overflowPunct/>
        <w:topLinePunct w:val="0"/>
        <w:autoSpaceDE/>
        <w:autoSpaceDN/>
        <w:bidi w:val="0"/>
        <w:adjustRightInd/>
        <w:snapToGrid/>
        <w:spacing w:after="0" w:line="560" w:lineRule="exact"/>
        <w:ind w:left="0" w:firstLine="640" w:firstLineChars="200"/>
        <w:textAlignment w:val="auto"/>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3、</w:t>
      </w:r>
      <w:r>
        <w:rPr>
          <w:rFonts w:hint="eastAsia" w:ascii="仿宋_GB2312" w:hAnsi="仿宋" w:eastAsia="仿宋_GB2312"/>
          <w:color w:val="auto"/>
          <w:sz w:val="32"/>
          <w:highlight w:val="none"/>
          <w:lang w:eastAsia="zh-CN"/>
        </w:rPr>
        <w:t>社会保障和就业支出（</w:t>
      </w:r>
      <w:r>
        <w:rPr>
          <w:rFonts w:hint="eastAsia" w:ascii="仿宋_GB2312" w:hAnsi="仿宋" w:eastAsia="仿宋_GB2312"/>
          <w:color w:val="auto"/>
          <w:sz w:val="32"/>
          <w:highlight w:val="none"/>
          <w:lang w:val="en-US" w:eastAsia="zh-CN"/>
        </w:rPr>
        <w:t>类</w:t>
      </w:r>
      <w:r>
        <w:rPr>
          <w:rFonts w:hint="eastAsia" w:ascii="仿宋_GB2312" w:hAnsi="仿宋" w:eastAsia="仿宋_GB2312"/>
          <w:color w:val="auto"/>
          <w:sz w:val="32"/>
          <w:highlight w:val="none"/>
          <w:lang w:eastAsia="zh-CN"/>
        </w:rPr>
        <w:t>）</w:t>
      </w:r>
      <w:r>
        <w:rPr>
          <w:rFonts w:hint="eastAsia" w:ascii="仿宋_GB2312" w:hAnsi="仿宋" w:eastAsia="仿宋_GB2312"/>
          <w:color w:val="auto"/>
          <w:sz w:val="32"/>
          <w:highlight w:val="none"/>
          <w:lang w:val="en-US" w:eastAsia="zh-CN"/>
        </w:rPr>
        <w:t>行政事业单位养老支出（款）机关事业单位基本养老保险缴费支出（项）：2025</w:t>
      </w:r>
      <w:r>
        <w:rPr>
          <w:rFonts w:ascii="仿宋_GB2312" w:hAnsi="宋体" w:eastAsia="仿宋_GB2312" w:cs="宋体"/>
          <w:color w:val="auto"/>
          <w:kern w:val="0"/>
          <w:sz w:val="32"/>
          <w:szCs w:val="32"/>
          <w:highlight w:val="none"/>
        </w:rPr>
        <w:t>年预算数为</w:t>
      </w:r>
      <w:r>
        <w:rPr>
          <w:rFonts w:hint="eastAsia" w:ascii="仿宋_GB2312" w:hAnsi="宋体" w:eastAsia="仿宋_GB2312" w:cs="宋体"/>
          <w:color w:val="auto"/>
          <w:kern w:val="0"/>
          <w:sz w:val="32"/>
          <w:szCs w:val="32"/>
          <w:highlight w:val="none"/>
          <w:lang w:val="en-US" w:eastAsia="zh-CN"/>
        </w:rPr>
        <w:t>31.69</w:t>
      </w:r>
      <w:r>
        <w:rPr>
          <w:rFonts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rPr>
        <w:t>比上年预算</w:t>
      </w:r>
      <w:r>
        <w:rPr>
          <w:rFonts w:hint="eastAsia" w:ascii="仿宋_GB2312" w:hAnsi="宋体" w:eastAsia="仿宋_GB2312" w:cs="宋体"/>
          <w:color w:val="auto"/>
          <w:kern w:val="0"/>
          <w:sz w:val="32"/>
          <w:szCs w:val="32"/>
          <w:highlight w:val="none"/>
          <w:lang w:val="en-US" w:eastAsia="zh-CN"/>
        </w:rPr>
        <w:t>减少1.86</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val="en-US" w:eastAsia="zh-CN"/>
        </w:rPr>
        <w:t>下降5.54</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2025年在职在编人员减少。</w:t>
      </w:r>
    </w:p>
    <w:p>
      <w:pPr>
        <w:keepNext w:val="0"/>
        <w:keepLines w:val="0"/>
        <w:pageBreakBefore w:val="0"/>
        <w:kinsoku/>
        <w:wordWrap/>
        <w:overflowPunct/>
        <w:topLinePunct w:val="0"/>
        <w:autoSpaceDE/>
        <w:autoSpaceDN/>
        <w:bidi w:val="0"/>
        <w:adjustRightInd/>
        <w:snapToGrid/>
        <w:spacing w:after="0" w:line="560" w:lineRule="exact"/>
        <w:ind w:left="0" w:firstLine="640" w:firstLineChars="200"/>
        <w:textAlignment w:val="auto"/>
        <w:rPr>
          <w:rFonts w:hint="eastAsia" w:ascii="仿宋_GB2312" w:hAnsi="仿宋" w:eastAsia="仿宋_GB2312"/>
          <w:color w:val="auto"/>
          <w:sz w:val="32"/>
          <w:highlight w:val="none"/>
          <w:lang w:val="en-US" w:eastAsia="zh-CN"/>
        </w:rPr>
      </w:pPr>
      <w:r>
        <w:rPr>
          <w:rFonts w:hint="eastAsia" w:ascii="仿宋_GB2312" w:hAnsi="宋体" w:eastAsia="仿宋_GB2312" w:cs="宋体"/>
          <w:color w:val="auto"/>
          <w:kern w:val="0"/>
          <w:sz w:val="32"/>
          <w:szCs w:val="32"/>
          <w:highlight w:val="none"/>
          <w:lang w:val="en-US" w:eastAsia="zh-CN"/>
        </w:rPr>
        <w:t>4、</w:t>
      </w:r>
      <w:r>
        <w:rPr>
          <w:rFonts w:hint="eastAsia" w:ascii="仿宋_GB2312" w:hAnsi="仿宋" w:eastAsia="仿宋_GB2312"/>
          <w:color w:val="auto"/>
          <w:sz w:val="32"/>
          <w:highlight w:val="none"/>
          <w:lang w:eastAsia="zh-CN"/>
        </w:rPr>
        <w:t>社会保障和就业支出（</w:t>
      </w:r>
      <w:r>
        <w:rPr>
          <w:rFonts w:hint="eastAsia" w:ascii="仿宋_GB2312" w:hAnsi="仿宋" w:eastAsia="仿宋_GB2312"/>
          <w:color w:val="auto"/>
          <w:sz w:val="32"/>
          <w:highlight w:val="none"/>
          <w:lang w:val="en-US" w:eastAsia="zh-CN"/>
        </w:rPr>
        <w:t>类</w:t>
      </w:r>
      <w:r>
        <w:rPr>
          <w:rFonts w:hint="eastAsia" w:ascii="仿宋_GB2312" w:hAnsi="仿宋" w:eastAsia="仿宋_GB2312"/>
          <w:color w:val="auto"/>
          <w:sz w:val="32"/>
          <w:highlight w:val="none"/>
          <w:lang w:eastAsia="zh-CN"/>
        </w:rPr>
        <w:t>）</w:t>
      </w:r>
      <w:r>
        <w:rPr>
          <w:rFonts w:hint="eastAsia" w:ascii="仿宋_GB2312" w:hAnsi="仿宋" w:eastAsia="仿宋_GB2312"/>
          <w:color w:val="auto"/>
          <w:sz w:val="32"/>
          <w:highlight w:val="none"/>
          <w:lang w:val="en-US" w:eastAsia="zh-CN"/>
        </w:rPr>
        <w:t>企业改革补助（款）其他企业改革发展补助（项）：2025</w:t>
      </w:r>
      <w:r>
        <w:rPr>
          <w:rFonts w:ascii="仿宋_GB2312" w:hAnsi="宋体" w:eastAsia="仿宋_GB2312" w:cs="宋体"/>
          <w:color w:val="auto"/>
          <w:kern w:val="0"/>
          <w:sz w:val="32"/>
          <w:szCs w:val="32"/>
          <w:highlight w:val="none"/>
        </w:rPr>
        <w:t>年预算数为</w:t>
      </w:r>
      <w:r>
        <w:rPr>
          <w:rFonts w:hint="eastAsia" w:ascii="仿宋_GB2312" w:hAnsi="仿宋" w:eastAsia="仿宋_GB2312"/>
          <w:color w:val="auto"/>
          <w:sz w:val="32"/>
          <w:highlight w:val="none"/>
          <w:lang w:val="en-US" w:eastAsia="zh-CN"/>
        </w:rPr>
        <w:t>3.87万元，</w:t>
      </w:r>
      <w:r>
        <w:rPr>
          <w:rFonts w:hint="eastAsia" w:ascii="仿宋_GB2312" w:hAnsi="宋体" w:eastAsia="仿宋_GB2312" w:cs="宋体"/>
          <w:color w:val="auto"/>
          <w:kern w:val="0"/>
          <w:sz w:val="32"/>
          <w:szCs w:val="32"/>
          <w:highlight w:val="none"/>
        </w:rPr>
        <w:t>比上年预算</w:t>
      </w:r>
      <w:r>
        <w:rPr>
          <w:rFonts w:hint="eastAsia" w:ascii="仿宋_GB2312" w:hAnsi="宋体" w:eastAsia="仿宋_GB2312" w:cs="宋体"/>
          <w:color w:val="auto"/>
          <w:kern w:val="0"/>
          <w:sz w:val="32"/>
          <w:szCs w:val="32"/>
          <w:highlight w:val="none"/>
          <w:lang w:val="en-US" w:eastAsia="zh-CN"/>
        </w:rPr>
        <w:t>减少0.97</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val="en-US" w:eastAsia="zh-CN"/>
        </w:rPr>
        <w:t>下降20.04</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2025年</w:t>
      </w:r>
      <w:r>
        <w:rPr>
          <w:rFonts w:hint="eastAsia" w:ascii="仿宋_GB2312" w:hAnsi="仿宋" w:eastAsia="仿宋_GB2312"/>
          <w:color w:val="auto"/>
          <w:sz w:val="32"/>
          <w:highlight w:val="none"/>
          <w:lang w:val="en-US" w:eastAsia="zh-CN"/>
        </w:rPr>
        <w:t>对国有林退休（退职）生活补贴调整类款项至该类款项；</w:t>
      </w:r>
    </w:p>
    <w:p>
      <w:pPr>
        <w:keepNext w:val="0"/>
        <w:keepLines w:val="0"/>
        <w:pageBreakBefore w:val="0"/>
        <w:kinsoku/>
        <w:wordWrap/>
        <w:overflowPunct/>
        <w:topLinePunct w:val="0"/>
        <w:autoSpaceDE/>
        <w:autoSpaceDN/>
        <w:bidi w:val="0"/>
        <w:adjustRightInd/>
        <w:snapToGrid/>
        <w:spacing w:after="0" w:line="560" w:lineRule="exact"/>
        <w:ind w:left="0" w:firstLine="640" w:firstLineChars="200"/>
        <w:textAlignment w:val="auto"/>
        <w:rPr>
          <w:rFonts w:hint="eastAsia" w:ascii="仿宋_GB2312" w:hAnsi="仿宋" w:eastAsia="仿宋_GB2312"/>
          <w:color w:val="auto"/>
          <w:sz w:val="32"/>
          <w:highlight w:val="none"/>
          <w:lang w:val="en-US" w:eastAsia="zh-CN"/>
        </w:rPr>
      </w:pPr>
      <w:r>
        <w:rPr>
          <w:rFonts w:hint="eastAsia" w:ascii="仿宋_GB2312" w:hAnsi="仿宋" w:eastAsia="仿宋_GB2312"/>
          <w:color w:val="auto"/>
          <w:sz w:val="32"/>
          <w:highlight w:val="none"/>
          <w:lang w:val="en-US" w:eastAsia="zh-CN"/>
        </w:rPr>
        <w:t>5、卫生健康支出（类）行政事业单位医疗（款）行政单位医疗（项）：2025</w:t>
      </w:r>
      <w:r>
        <w:rPr>
          <w:rFonts w:ascii="仿宋_GB2312" w:hAnsi="宋体" w:eastAsia="仿宋_GB2312" w:cs="宋体"/>
          <w:color w:val="auto"/>
          <w:kern w:val="0"/>
          <w:sz w:val="32"/>
          <w:szCs w:val="32"/>
          <w:highlight w:val="none"/>
        </w:rPr>
        <w:t>年预算数为</w:t>
      </w:r>
      <w:r>
        <w:rPr>
          <w:rFonts w:hint="eastAsia" w:ascii="仿宋_GB2312" w:hAnsi="仿宋" w:eastAsia="仿宋_GB2312"/>
          <w:color w:val="auto"/>
          <w:sz w:val="32"/>
          <w:highlight w:val="none"/>
          <w:lang w:val="en-US" w:eastAsia="zh-CN"/>
        </w:rPr>
        <w:t>12.54万元，</w:t>
      </w:r>
      <w:r>
        <w:rPr>
          <w:rFonts w:hint="eastAsia" w:ascii="仿宋_GB2312" w:hAnsi="宋体" w:eastAsia="仿宋_GB2312" w:cs="宋体"/>
          <w:color w:val="auto"/>
          <w:kern w:val="0"/>
          <w:sz w:val="32"/>
          <w:szCs w:val="32"/>
          <w:highlight w:val="none"/>
        </w:rPr>
        <w:t>比上年预算</w:t>
      </w:r>
      <w:r>
        <w:rPr>
          <w:rFonts w:hint="eastAsia" w:ascii="仿宋_GB2312" w:hAnsi="宋体" w:eastAsia="仿宋_GB2312" w:cs="宋体"/>
          <w:color w:val="auto"/>
          <w:kern w:val="0"/>
          <w:sz w:val="32"/>
          <w:szCs w:val="32"/>
          <w:highlight w:val="none"/>
          <w:lang w:val="en-US" w:eastAsia="zh-CN"/>
        </w:rPr>
        <w:t>减少0.14</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val="en-US" w:eastAsia="zh-CN"/>
        </w:rPr>
        <w:t>下降1.10</w:t>
      </w:r>
      <w:r>
        <w:rPr>
          <w:rFonts w:hint="eastAsia" w:ascii="仿宋_GB2312" w:hAnsi="宋体" w:eastAsia="仿宋_GB2312" w:cs="宋体"/>
          <w:color w:val="auto"/>
          <w:kern w:val="0"/>
          <w:sz w:val="32"/>
          <w:szCs w:val="32"/>
          <w:highlight w:val="none"/>
        </w:rPr>
        <w:t>%，主要原因是：</w:t>
      </w:r>
      <w:r>
        <w:rPr>
          <w:rFonts w:hint="eastAsia" w:ascii="仿宋_GB2312" w:hAnsi="仿宋" w:eastAsia="仿宋_GB2312"/>
          <w:color w:val="auto"/>
          <w:sz w:val="32"/>
          <w:highlight w:val="none"/>
          <w:lang w:val="en-US" w:eastAsia="zh-CN"/>
        </w:rPr>
        <w:t>部门在职人员减少；</w:t>
      </w:r>
    </w:p>
    <w:p>
      <w:pPr>
        <w:keepNext w:val="0"/>
        <w:keepLines w:val="0"/>
        <w:pageBreakBefore w:val="0"/>
        <w:kinsoku/>
        <w:wordWrap/>
        <w:overflowPunct/>
        <w:topLinePunct w:val="0"/>
        <w:autoSpaceDE/>
        <w:autoSpaceDN/>
        <w:bidi w:val="0"/>
        <w:adjustRightInd/>
        <w:snapToGrid/>
        <w:spacing w:after="0" w:line="560" w:lineRule="exact"/>
        <w:ind w:left="0" w:firstLine="640" w:firstLineChars="200"/>
        <w:textAlignment w:val="auto"/>
        <w:rPr>
          <w:rFonts w:hint="eastAsia" w:ascii="仿宋_GB2312" w:hAnsi="仿宋" w:eastAsia="仿宋_GB2312"/>
          <w:color w:val="auto"/>
          <w:sz w:val="32"/>
          <w:highlight w:val="none"/>
          <w:lang w:val="en-US" w:eastAsia="zh-CN"/>
        </w:rPr>
      </w:pPr>
      <w:r>
        <w:rPr>
          <w:rFonts w:hint="eastAsia" w:ascii="仿宋_GB2312" w:hAnsi="仿宋" w:eastAsia="仿宋_GB2312"/>
          <w:color w:val="auto"/>
          <w:sz w:val="32"/>
          <w:highlight w:val="none"/>
          <w:lang w:val="en-US" w:eastAsia="zh-CN"/>
        </w:rPr>
        <w:t>6、卫生健康支出（类）行政事业单位医疗（款）行政单位医疗（项）：2025</w:t>
      </w:r>
      <w:r>
        <w:rPr>
          <w:rFonts w:ascii="仿宋_GB2312" w:hAnsi="宋体" w:eastAsia="仿宋_GB2312" w:cs="宋体"/>
          <w:color w:val="auto"/>
          <w:kern w:val="0"/>
          <w:sz w:val="32"/>
          <w:szCs w:val="32"/>
          <w:highlight w:val="none"/>
        </w:rPr>
        <w:t>年预算数为</w:t>
      </w:r>
      <w:r>
        <w:rPr>
          <w:rFonts w:hint="eastAsia" w:ascii="仿宋_GB2312" w:hAnsi="仿宋" w:eastAsia="仿宋_GB2312"/>
          <w:color w:val="auto"/>
          <w:sz w:val="32"/>
          <w:highlight w:val="none"/>
          <w:lang w:val="en-US" w:eastAsia="zh-CN"/>
        </w:rPr>
        <w:t>23.97万元，</w:t>
      </w:r>
      <w:r>
        <w:rPr>
          <w:rFonts w:hint="eastAsia" w:ascii="仿宋_GB2312" w:hAnsi="宋体" w:eastAsia="仿宋_GB2312" w:cs="宋体"/>
          <w:color w:val="auto"/>
          <w:kern w:val="0"/>
          <w:sz w:val="32"/>
          <w:szCs w:val="32"/>
          <w:highlight w:val="none"/>
        </w:rPr>
        <w:t>比上年预算</w:t>
      </w:r>
      <w:r>
        <w:rPr>
          <w:rFonts w:hint="eastAsia" w:ascii="仿宋_GB2312" w:hAnsi="宋体" w:eastAsia="仿宋_GB2312" w:cs="宋体"/>
          <w:color w:val="auto"/>
          <w:kern w:val="0"/>
          <w:sz w:val="32"/>
          <w:szCs w:val="32"/>
          <w:highlight w:val="none"/>
          <w:lang w:eastAsia="zh-CN"/>
        </w:rPr>
        <w:t>减少</w:t>
      </w:r>
      <w:r>
        <w:rPr>
          <w:rFonts w:hint="eastAsia" w:ascii="仿宋_GB2312" w:hAnsi="宋体" w:eastAsia="仿宋_GB2312" w:cs="宋体"/>
          <w:color w:val="auto"/>
          <w:kern w:val="0"/>
          <w:sz w:val="32"/>
          <w:szCs w:val="32"/>
          <w:highlight w:val="none"/>
          <w:lang w:val="en-US" w:eastAsia="zh-CN"/>
        </w:rPr>
        <w:t>0.79</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lang w:val="en-US" w:eastAsia="zh-CN"/>
        </w:rPr>
        <w:t>下降19.32</w:t>
      </w:r>
      <w:r>
        <w:rPr>
          <w:rFonts w:hint="eastAsia" w:ascii="仿宋_GB2312" w:hAnsi="宋体" w:eastAsia="仿宋_GB2312" w:cs="宋体"/>
          <w:color w:val="auto"/>
          <w:kern w:val="0"/>
          <w:sz w:val="32"/>
          <w:szCs w:val="32"/>
          <w:highlight w:val="none"/>
        </w:rPr>
        <w:t>%，主要原因是：</w:t>
      </w:r>
      <w:r>
        <w:rPr>
          <w:rFonts w:hint="eastAsia" w:ascii="仿宋_GB2312" w:hAnsi="仿宋" w:eastAsia="仿宋_GB2312"/>
          <w:color w:val="auto"/>
          <w:sz w:val="32"/>
          <w:highlight w:val="none"/>
          <w:lang w:val="en-US" w:eastAsia="zh-CN"/>
        </w:rPr>
        <w:t>部门在职人员减少。</w:t>
      </w:r>
    </w:p>
    <w:p>
      <w:pPr>
        <w:keepNext w:val="0"/>
        <w:keepLines w:val="0"/>
        <w:pageBreakBefore w:val="0"/>
        <w:kinsoku/>
        <w:wordWrap/>
        <w:overflowPunct/>
        <w:topLinePunct w:val="0"/>
        <w:autoSpaceDE/>
        <w:autoSpaceDN/>
        <w:bidi w:val="0"/>
        <w:adjustRightInd/>
        <w:snapToGrid/>
        <w:spacing w:after="0" w:line="560" w:lineRule="exact"/>
        <w:ind w:left="0" w:firstLine="640" w:firstLineChars="200"/>
        <w:textAlignment w:val="auto"/>
        <w:rPr>
          <w:rFonts w:hint="eastAsia" w:ascii="仿宋_GB2312" w:hAnsi="仿宋" w:eastAsia="仿宋_GB2312"/>
          <w:color w:val="auto"/>
          <w:sz w:val="32"/>
          <w:highlight w:val="none"/>
          <w:lang w:val="en-US" w:eastAsia="zh-CN"/>
        </w:rPr>
      </w:pPr>
      <w:r>
        <w:rPr>
          <w:rFonts w:hint="eastAsia" w:ascii="仿宋_GB2312" w:hAnsi="仿宋" w:eastAsia="仿宋_GB2312"/>
          <w:color w:val="auto"/>
          <w:sz w:val="32"/>
          <w:highlight w:val="none"/>
          <w:lang w:val="en-US" w:eastAsia="zh-CN"/>
        </w:rPr>
        <w:t>7、卫生健康支出（类）行政事业单位医疗（款）公务员医疗补助（项）：2025</w:t>
      </w:r>
      <w:r>
        <w:rPr>
          <w:rFonts w:ascii="仿宋_GB2312" w:hAnsi="宋体" w:eastAsia="仿宋_GB2312" w:cs="宋体"/>
          <w:color w:val="auto"/>
          <w:kern w:val="0"/>
          <w:sz w:val="32"/>
          <w:szCs w:val="32"/>
          <w:highlight w:val="none"/>
        </w:rPr>
        <w:t>年预算数为</w:t>
      </w:r>
      <w:r>
        <w:rPr>
          <w:rFonts w:hint="eastAsia" w:ascii="仿宋_GB2312" w:hAnsi="仿宋" w:eastAsia="仿宋_GB2312"/>
          <w:color w:val="auto"/>
          <w:sz w:val="32"/>
          <w:highlight w:val="none"/>
          <w:lang w:val="en-US" w:eastAsia="zh-CN"/>
        </w:rPr>
        <w:t>7.92万元，</w:t>
      </w:r>
      <w:r>
        <w:rPr>
          <w:rFonts w:hint="eastAsia" w:ascii="仿宋_GB2312" w:hAnsi="宋体" w:eastAsia="仿宋_GB2312" w:cs="宋体"/>
          <w:color w:val="auto"/>
          <w:kern w:val="0"/>
          <w:sz w:val="32"/>
          <w:szCs w:val="32"/>
          <w:highlight w:val="none"/>
        </w:rPr>
        <w:t>比上年预算</w:t>
      </w:r>
      <w:r>
        <w:rPr>
          <w:rFonts w:hint="eastAsia" w:ascii="仿宋_GB2312" w:hAnsi="宋体" w:eastAsia="仿宋_GB2312" w:cs="宋体"/>
          <w:color w:val="auto"/>
          <w:kern w:val="0"/>
          <w:sz w:val="32"/>
          <w:szCs w:val="32"/>
          <w:highlight w:val="none"/>
          <w:lang w:val="en-US" w:eastAsia="zh-CN"/>
        </w:rPr>
        <w:t>增加4.2</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val="en-US" w:eastAsia="zh-CN"/>
        </w:rPr>
        <w:t>增长112.90</w:t>
      </w:r>
      <w:r>
        <w:rPr>
          <w:rFonts w:hint="eastAsia" w:ascii="仿宋_GB2312" w:hAnsi="宋体" w:eastAsia="仿宋_GB2312" w:cs="宋体"/>
          <w:color w:val="auto"/>
          <w:kern w:val="0"/>
          <w:sz w:val="32"/>
          <w:szCs w:val="32"/>
          <w:highlight w:val="none"/>
        </w:rPr>
        <w:t>%，主要原因是：</w:t>
      </w:r>
      <w:r>
        <w:rPr>
          <w:rFonts w:hint="eastAsia" w:ascii="仿宋_GB2312" w:hAnsi="仿宋" w:eastAsia="仿宋_GB2312"/>
          <w:color w:val="auto"/>
          <w:sz w:val="32"/>
          <w:highlight w:val="none"/>
          <w:lang w:val="en-US" w:eastAsia="zh-CN"/>
        </w:rPr>
        <w:t>退休人员公补调整至此款项；</w:t>
      </w:r>
    </w:p>
    <w:p>
      <w:pPr>
        <w:keepNext w:val="0"/>
        <w:keepLines w:val="0"/>
        <w:pageBreakBefore w:val="0"/>
        <w:kinsoku/>
        <w:wordWrap/>
        <w:overflowPunct/>
        <w:topLinePunct w:val="0"/>
        <w:autoSpaceDE/>
        <w:autoSpaceDN/>
        <w:bidi w:val="0"/>
        <w:adjustRightInd/>
        <w:snapToGrid/>
        <w:spacing w:after="0" w:line="560" w:lineRule="exact"/>
        <w:ind w:left="0" w:firstLine="640" w:firstLineChars="200"/>
        <w:textAlignment w:val="auto"/>
        <w:rPr>
          <w:rFonts w:hint="eastAsia" w:ascii="仿宋_GB2312" w:hAnsi="仿宋" w:eastAsia="仿宋_GB2312"/>
          <w:color w:val="auto"/>
          <w:sz w:val="32"/>
          <w:highlight w:val="none"/>
          <w:lang w:val="en-US" w:eastAsia="zh-CN"/>
        </w:rPr>
      </w:pPr>
      <w:r>
        <w:rPr>
          <w:rFonts w:hint="eastAsia" w:ascii="仿宋_GB2312" w:hAnsi="仿宋" w:eastAsia="仿宋_GB2312"/>
          <w:color w:val="auto"/>
          <w:sz w:val="32"/>
          <w:highlight w:val="none"/>
          <w:lang w:val="en-US" w:eastAsia="zh-CN"/>
        </w:rPr>
        <w:t>8、卫生健康支出（类）行政事业单位医疗（款）其他行政事业单位医疗支出（项）：2025</w:t>
      </w:r>
      <w:r>
        <w:rPr>
          <w:rFonts w:ascii="仿宋_GB2312" w:hAnsi="宋体" w:eastAsia="仿宋_GB2312" w:cs="宋体"/>
          <w:color w:val="auto"/>
          <w:kern w:val="0"/>
          <w:sz w:val="32"/>
          <w:szCs w:val="32"/>
          <w:highlight w:val="none"/>
        </w:rPr>
        <w:t>年预算数为</w:t>
      </w:r>
      <w:r>
        <w:rPr>
          <w:rFonts w:hint="eastAsia" w:ascii="仿宋_GB2312" w:hAnsi="仿宋" w:eastAsia="仿宋_GB2312"/>
          <w:color w:val="auto"/>
          <w:sz w:val="32"/>
          <w:highlight w:val="none"/>
          <w:lang w:val="en-US" w:eastAsia="zh-CN"/>
        </w:rPr>
        <w:t>0.2万元，</w:t>
      </w:r>
      <w:r>
        <w:rPr>
          <w:rFonts w:hint="eastAsia" w:ascii="仿宋_GB2312" w:hAnsi="宋体" w:eastAsia="仿宋_GB2312" w:cs="宋体"/>
          <w:color w:val="auto"/>
          <w:kern w:val="0"/>
          <w:sz w:val="32"/>
          <w:szCs w:val="32"/>
          <w:highlight w:val="none"/>
        </w:rPr>
        <w:t>比上年预算</w:t>
      </w:r>
      <w:r>
        <w:rPr>
          <w:rFonts w:hint="eastAsia" w:ascii="仿宋_GB2312" w:hAnsi="宋体" w:eastAsia="仿宋_GB2312" w:cs="宋体"/>
          <w:color w:val="auto"/>
          <w:kern w:val="0"/>
          <w:sz w:val="32"/>
          <w:szCs w:val="32"/>
          <w:highlight w:val="none"/>
          <w:lang w:val="en-US" w:eastAsia="zh-CN"/>
        </w:rPr>
        <w:t>增加0.08</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val="en-US" w:eastAsia="zh-CN"/>
        </w:rPr>
        <w:t>增长66.67</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2025年在职人员增加大额医疗补助资金增加。</w:t>
      </w:r>
    </w:p>
    <w:p>
      <w:pPr>
        <w:keepNext w:val="0"/>
        <w:keepLines w:val="0"/>
        <w:pageBreakBefore w:val="0"/>
        <w:kinsoku/>
        <w:wordWrap/>
        <w:overflowPunct/>
        <w:topLinePunct w:val="0"/>
        <w:autoSpaceDE/>
        <w:autoSpaceDN/>
        <w:bidi w:val="0"/>
        <w:adjustRightInd/>
        <w:snapToGrid/>
        <w:spacing w:after="0" w:line="560" w:lineRule="exact"/>
        <w:ind w:left="0" w:firstLine="640" w:firstLineChars="200"/>
        <w:textAlignment w:val="auto"/>
        <w:rPr>
          <w:rFonts w:hint="eastAsia" w:ascii="黑体" w:hAnsi="黑体" w:eastAsia="黑体" w:cs="黑体"/>
          <w:b/>
          <w:bCs/>
          <w:color w:val="auto"/>
          <w:kern w:val="0"/>
          <w:sz w:val="32"/>
          <w:szCs w:val="32"/>
          <w:highlight w:val="none"/>
        </w:rPr>
      </w:pPr>
      <w:r>
        <w:rPr>
          <w:rFonts w:hint="eastAsia" w:ascii="仿宋_GB2312" w:hAnsi="仿宋" w:eastAsia="仿宋_GB2312"/>
          <w:color w:val="auto"/>
          <w:sz w:val="32"/>
          <w:highlight w:val="none"/>
          <w:lang w:val="en-US" w:eastAsia="zh-CN"/>
        </w:rPr>
        <w:t>9、住房保障支出（类）住房改革支出（款）住房公积金（项）：2024</w:t>
      </w:r>
      <w:r>
        <w:rPr>
          <w:rFonts w:ascii="仿宋_GB2312" w:hAnsi="宋体" w:eastAsia="仿宋_GB2312" w:cs="宋体"/>
          <w:color w:val="auto"/>
          <w:kern w:val="0"/>
          <w:sz w:val="32"/>
          <w:szCs w:val="32"/>
          <w:highlight w:val="none"/>
        </w:rPr>
        <w:t>年预算数为</w:t>
      </w:r>
      <w:r>
        <w:rPr>
          <w:rFonts w:hint="eastAsia" w:ascii="仿宋_GB2312" w:hAnsi="仿宋" w:eastAsia="仿宋_GB2312"/>
          <w:color w:val="auto"/>
          <w:sz w:val="32"/>
          <w:highlight w:val="none"/>
          <w:lang w:val="en-US" w:eastAsia="zh-CN"/>
        </w:rPr>
        <w:t>26.26万元，</w:t>
      </w:r>
      <w:r>
        <w:rPr>
          <w:rFonts w:hint="eastAsia" w:ascii="仿宋_GB2312" w:hAnsi="宋体" w:eastAsia="仿宋_GB2312" w:cs="宋体"/>
          <w:color w:val="auto"/>
          <w:kern w:val="0"/>
          <w:sz w:val="32"/>
          <w:szCs w:val="32"/>
          <w:highlight w:val="none"/>
        </w:rPr>
        <w:t>比上年预算</w:t>
      </w:r>
      <w:r>
        <w:rPr>
          <w:rFonts w:hint="eastAsia" w:ascii="仿宋_GB2312" w:hAnsi="宋体" w:eastAsia="仿宋_GB2312" w:cs="宋体"/>
          <w:color w:val="auto"/>
          <w:kern w:val="0"/>
          <w:sz w:val="32"/>
          <w:szCs w:val="32"/>
          <w:highlight w:val="none"/>
          <w:lang w:val="en-US" w:eastAsia="zh-CN"/>
        </w:rPr>
        <w:t>减少1</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lang w:val="en-US" w:eastAsia="zh-CN"/>
        </w:rPr>
        <w:t>下降3.67</w:t>
      </w:r>
      <w:r>
        <w:rPr>
          <w:rFonts w:hint="eastAsia" w:ascii="仿宋_GB2312" w:hAnsi="宋体" w:eastAsia="仿宋_GB2312" w:cs="宋体"/>
          <w:color w:val="auto"/>
          <w:kern w:val="0"/>
          <w:sz w:val="32"/>
          <w:szCs w:val="32"/>
          <w:highlight w:val="none"/>
        </w:rPr>
        <w:t>%，主要原因是：</w:t>
      </w:r>
      <w:r>
        <w:rPr>
          <w:rFonts w:hint="eastAsia" w:ascii="仿宋_GB2312" w:hAnsi="仿宋" w:eastAsia="仿宋_GB2312"/>
          <w:color w:val="auto"/>
          <w:sz w:val="32"/>
          <w:highlight w:val="none"/>
          <w:lang w:val="en-US" w:eastAsia="zh-CN"/>
        </w:rPr>
        <w:t>部门在编人员住房公积金基数调增。</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3" w:firstLineChars="200"/>
        <w:jc w:val="both"/>
        <w:textAlignment w:val="auto"/>
        <w:rPr>
          <w:rFonts w:hint="eastAsia" w:ascii="黑体" w:hAnsi="黑体" w:eastAsia="黑体" w:cs="黑体"/>
          <w:b/>
          <w:bCs/>
          <w:color w:val="auto"/>
          <w:spacing w:val="-6"/>
          <w:kern w:val="0"/>
          <w:sz w:val="32"/>
          <w:szCs w:val="32"/>
          <w:highlight w:val="none"/>
        </w:rPr>
      </w:pPr>
      <w:r>
        <w:rPr>
          <w:rFonts w:hint="eastAsia" w:ascii="黑体" w:hAnsi="黑体" w:eastAsia="黑体" w:cs="黑体"/>
          <w:b/>
          <w:bCs/>
          <w:color w:val="auto"/>
          <w:kern w:val="0"/>
          <w:sz w:val="32"/>
          <w:szCs w:val="32"/>
          <w:highlight w:val="none"/>
        </w:rPr>
        <w:t>六、</w:t>
      </w:r>
      <w:r>
        <w:rPr>
          <w:rFonts w:hint="eastAsia" w:ascii="黑体" w:hAnsi="黑体" w:eastAsia="黑体" w:cs="黑体"/>
          <w:b/>
          <w:bCs/>
          <w:color w:val="auto"/>
          <w:spacing w:val="-6"/>
          <w:kern w:val="0"/>
          <w:sz w:val="32"/>
          <w:szCs w:val="32"/>
          <w:highlight w:val="none"/>
        </w:rPr>
        <w:t>关于</w:t>
      </w:r>
      <w:r>
        <w:rPr>
          <w:rFonts w:hint="eastAsia" w:ascii="黑体" w:hAnsi="黑体" w:eastAsia="黑体" w:cs="黑体"/>
          <w:b/>
          <w:bCs w:val="0"/>
          <w:color w:val="auto"/>
          <w:kern w:val="0"/>
          <w:sz w:val="32"/>
          <w:szCs w:val="32"/>
          <w:highlight w:val="none"/>
          <w:lang w:val="en-US" w:eastAsia="zh-CN"/>
        </w:rPr>
        <w:t>呼图壁县社会保险中心</w:t>
      </w:r>
      <w:r>
        <w:rPr>
          <w:rFonts w:hint="eastAsia" w:ascii="黑体" w:hAnsi="黑体" w:eastAsia="黑体" w:cs="黑体"/>
          <w:b/>
          <w:bCs/>
          <w:color w:val="auto"/>
          <w:spacing w:val="-6"/>
          <w:kern w:val="0"/>
          <w:sz w:val="32"/>
          <w:szCs w:val="32"/>
          <w:highlight w:val="none"/>
          <w:lang w:eastAsia="zh-CN"/>
        </w:rPr>
        <w:t>202</w:t>
      </w:r>
      <w:r>
        <w:rPr>
          <w:rFonts w:hint="eastAsia" w:ascii="黑体" w:hAnsi="黑体" w:eastAsia="黑体" w:cs="黑体"/>
          <w:b/>
          <w:bCs/>
          <w:color w:val="auto"/>
          <w:spacing w:val="-6"/>
          <w:kern w:val="0"/>
          <w:sz w:val="32"/>
          <w:szCs w:val="32"/>
          <w:highlight w:val="none"/>
          <w:lang w:val="en-US" w:eastAsia="zh-CN"/>
        </w:rPr>
        <w:t>5</w:t>
      </w:r>
      <w:r>
        <w:rPr>
          <w:rFonts w:hint="eastAsia" w:ascii="黑体" w:hAnsi="黑体" w:eastAsia="黑体" w:cs="黑体"/>
          <w:b/>
          <w:bCs/>
          <w:color w:val="auto"/>
          <w:spacing w:val="-6"/>
          <w:kern w:val="0"/>
          <w:sz w:val="32"/>
          <w:szCs w:val="32"/>
          <w:highlight w:val="none"/>
          <w:lang w:eastAsia="zh-CN"/>
        </w:rPr>
        <w:t>年</w:t>
      </w:r>
      <w:r>
        <w:rPr>
          <w:rFonts w:hint="eastAsia" w:ascii="黑体" w:hAnsi="黑体" w:eastAsia="黑体" w:cs="黑体"/>
          <w:b/>
          <w:bCs/>
          <w:color w:val="auto"/>
          <w:spacing w:val="-6"/>
          <w:kern w:val="0"/>
          <w:sz w:val="32"/>
          <w:szCs w:val="32"/>
          <w:highlight w:val="none"/>
        </w:rPr>
        <w:t>一般公共预算基本支出情况说明</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firstLineChars="200"/>
        <w:jc w:val="both"/>
        <w:textAlignment w:val="auto"/>
        <w:rPr>
          <w:rFonts w:ascii="仿宋_GB2312" w:hAnsi="宋体" w:eastAsia="仿宋_GB2312" w:cs="宋体"/>
          <w:color w:val="auto"/>
          <w:spacing w:val="-6"/>
          <w:kern w:val="0"/>
          <w:sz w:val="32"/>
          <w:szCs w:val="32"/>
          <w:highlight w:val="none"/>
        </w:rPr>
      </w:pPr>
      <w:r>
        <w:rPr>
          <w:rFonts w:hint="eastAsia" w:ascii="仿宋_GB2312" w:hAnsi="宋体" w:eastAsia="仿宋_GB2312" w:cs="宋体"/>
          <w:color w:val="auto"/>
          <w:kern w:val="0"/>
          <w:sz w:val="32"/>
          <w:szCs w:val="32"/>
          <w:highlight w:val="none"/>
          <w:lang w:eastAsia="zh-CN"/>
        </w:rPr>
        <w:t>呼图壁县社会保险中心</w:t>
      </w:r>
      <w:r>
        <w:rPr>
          <w:rFonts w:hint="eastAsia" w:ascii="仿宋_GB2312" w:hAnsi="宋体" w:eastAsia="仿宋_GB2312" w:cs="宋体"/>
          <w:color w:val="auto"/>
          <w:spacing w:val="-6"/>
          <w:kern w:val="0"/>
          <w:sz w:val="32"/>
          <w:szCs w:val="32"/>
          <w:highlight w:val="none"/>
          <w:lang w:eastAsia="zh-CN"/>
        </w:rPr>
        <w:t>202</w:t>
      </w:r>
      <w:r>
        <w:rPr>
          <w:rFonts w:hint="eastAsia" w:ascii="仿宋_GB2312" w:hAnsi="宋体" w:eastAsia="仿宋_GB2312" w:cs="宋体"/>
          <w:color w:val="auto"/>
          <w:spacing w:val="-6"/>
          <w:kern w:val="0"/>
          <w:sz w:val="32"/>
          <w:szCs w:val="32"/>
          <w:highlight w:val="none"/>
          <w:lang w:val="en-US" w:eastAsia="zh-CN"/>
        </w:rPr>
        <w:t>5</w:t>
      </w:r>
      <w:r>
        <w:rPr>
          <w:rFonts w:hint="eastAsia" w:ascii="仿宋_GB2312" w:hAnsi="宋体" w:eastAsia="仿宋_GB2312" w:cs="宋体"/>
          <w:color w:val="auto"/>
          <w:spacing w:val="-6"/>
          <w:kern w:val="0"/>
          <w:sz w:val="32"/>
          <w:szCs w:val="32"/>
          <w:highlight w:val="none"/>
          <w:lang w:eastAsia="zh-CN"/>
        </w:rPr>
        <w:t>年</w:t>
      </w:r>
      <w:r>
        <w:rPr>
          <w:rFonts w:hint="eastAsia" w:ascii="仿宋_GB2312" w:hAnsi="宋体" w:eastAsia="仿宋_GB2312" w:cs="宋体"/>
          <w:color w:val="auto"/>
          <w:spacing w:val="-6"/>
          <w:kern w:val="0"/>
          <w:sz w:val="32"/>
          <w:szCs w:val="32"/>
          <w:highlight w:val="none"/>
        </w:rPr>
        <w:t xml:space="preserve">一般公共预算基本支出    </w:t>
      </w:r>
      <w:r>
        <w:rPr>
          <w:rFonts w:hint="eastAsia" w:ascii="仿宋_GB2312" w:hAnsi="宋体" w:eastAsia="仿宋_GB2312" w:cs="宋体"/>
          <w:color w:val="auto"/>
          <w:spacing w:val="-6"/>
          <w:kern w:val="0"/>
          <w:sz w:val="32"/>
          <w:szCs w:val="32"/>
          <w:highlight w:val="none"/>
          <w:lang w:val="en-US" w:eastAsia="zh-CN"/>
        </w:rPr>
        <w:t>716.38</w:t>
      </w:r>
      <w:r>
        <w:rPr>
          <w:rFonts w:hint="eastAsia" w:ascii="仿宋_GB2312" w:hAnsi="宋体" w:eastAsia="仿宋_GB2312" w:cs="宋体"/>
          <w:color w:val="auto"/>
          <w:spacing w:val="-6"/>
          <w:kern w:val="0"/>
          <w:sz w:val="32"/>
          <w:szCs w:val="32"/>
          <w:highlight w:val="none"/>
        </w:rPr>
        <w:t>万元， 其中：</w:t>
      </w:r>
    </w:p>
    <w:p>
      <w:pPr>
        <w:pStyle w:val="7"/>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rPr>
        <w:t>人员经费</w:t>
      </w:r>
      <w:r>
        <w:rPr>
          <w:rFonts w:hint="eastAsia" w:ascii="仿宋_GB2312" w:hAnsi="宋体" w:eastAsia="仿宋_GB2312" w:cs="宋体"/>
          <w:color w:val="auto"/>
          <w:kern w:val="0"/>
          <w:sz w:val="32"/>
          <w:szCs w:val="32"/>
          <w:highlight w:val="none"/>
          <w:lang w:val="en-US" w:eastAsia="zh-CN"/>
        </w:rPr>
        <w:t>671.56</w:t>
      </w:r>
      <w:r>
        <w:rPr>
          <w:rFonts w:hint="eastAsia" w:ascii="仿宋_GB2312" w:hAnsi="宋体" w:eastAsia="仿宋_GB2312" w:cs="宋体"/>
          <w:color w:val="auto"/>
          <w:kern w:val="0"/>
          <w:sz w:val="32"/>
          <w:szCs w:val="32"/>
          <w:highlight w:val="none"/>
        </w:rPr>
        <w:t>万元，主要包括：基本工资、津贴补贴、奖金、绩效工资、机关事业单位基本养老保险缴费、职工基本医疗保险缴费、公务员医疗补助缴费、其他社会保障缴费、住房公积金、其他工资福利支出</w:t>
      </w:r>
      <w:r>
        <w:rPr>
          <w:rFonts w:hint="eastAsia" w:ascii="仿宋_GB2312" w:hAnsi="宋体" w:eastAsia="仿宋_GB2312" w:cs="宋体"/>
          <w:color w:val="auto"/>
          <w:kern w:val="0"/>
          <w:sz w:val="32"/>
          <w:szCs w:val="32"/>
          <w:highlight w:val="none"/>
          <w:lang w:val="en-US" w:eastAsia="zh-CN"/>
        </w:rPr>
        <w:t>。</w:t>
      </w:r>
      <w:r>
        <w:rPr>
          <w:rFonts w:hint="eastAsia" w:ascii="仿宋_GB2312" w:hAnsi="宋体" w:eastAsia="仿宋_GB2312" w:cs="宋体"/>
          <w:color w:val="auto"/>
          <w:kern w:val="0"/>
          <w:sz w:val="32"/>
          <w:szCs w:val="32"/>
          <w:highlight w:val="none"/>
        </w:rPr>
        <w:t>退休费、生活补助、奖励金</w:t>
      </w:r>
      <w:r>
        <w:rPr>
          <w:rFonts w:hint="eastAsia" w:ascii="仿宋_GB2312" w:hAnsi="宋体" w:eastAsia="仿宋_GB2312" w:cs="宋体"/>
          <w:color w:val="auto"/>
          <w:kern w:val="0"/>
          <w:sz w:val="32"/>
          <w:szCs w:val="32"/>
          <w:highlight w:val="none"/>
          <w:lang w:val="en-US" w:eastAsia="zh-CN"/>
        </w:rPr>
        <w:t>。</w:t>
      </w:r>
    </w:p>
    <w:p>
      <w:pPr>
        <w:pStyle w:val="7"/>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公用经费</w:t>
      </w:r>
      <w:r>
        <w:rPr>
          <w:rFonts w:hint="eastAsia" w:ascii="仿宋_GB2312" w:hAnsi="宋体" w:eastAsia="仿宋_GB2312" w:cs="宋体"/>
          <w:color w:val="auto"/>
          <w:kern w:val="0"/>
          <w:sz w:val="32"/>
          <w:szCs w:val="32"/>
          <w:highlight w:val="none"/>
          <w:lang w:val="en-US" w:eastAsia="zh-CN"/>
        </w:rPr>
        <w:t>44.83</w:t>
      </w:r>
      <w:r>
        <w:rPr>
          <w:rFonts w:hint="eastAsia" w:ascii="仿宋_GB2312" w:hAnsi="宋体" w:eastAsia="仿宋_GB2312" w:cs="宋体"/>
          <w:color w:val="auto"/>
          <w:kern w:val="0"/>
          <w:sz w:val="32"/>
          <w:szCs w:val="32"/>
          <w:highlight w:val="none"/>
        </w:rPr>
        <w:t>万元，主要包括：办公费、水费、电费、邮电费、差旅费、</w:t>
      </w:r>
      <w:r>
        <w:rPr>
          <w:rFonts w:hint="eastAsia" w:ascii="仿宋_GB2312" w:hAnsi="宋体" w:eastAsia="仿宋_GB2312" w:cs="宋体"/>
          <w:color w:val="auto"/>
          <w:kern w:val="0"/>
          <w:sz w:val="32"/>
          <w:szCs w:val="32"/>
          <w:highlight w:val="none"/>
          <w:lang w:eastAsia="zh-CN"/>
        </w:rPr>
        <w:t>维修护</w:t>
      </w:r>
      <w:r>
        <w:rPr>
          <w:rFonts w:hint="eastAsia" w:ascii="仿宋_GB2312" w:hAnsi="宋体" w:eastAsia="仿宋_GB2312" w:cs="宋体"/>
          <w:color w:val="auto"/>
          <w:kern w:val="0"/>
          <w:sz w:val="32"/>
          <w:szCs w:val="32"/>
          <w:highlight w:val="none"/>
        </w:rPr>
        <w:t>费、工会经费、公务用车运行维护费。</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3" w:firstLineChars="200"/>
        <w:jc w:val="both"/>
        <w:textAlignment w:val="auto"/>
        <w:rPr>
          <w:rFonts w:hint="eastAsia" w:ascii="黑体" w:hAnsi="黑体" w:eastAsia="黑体" w:cs="黑体"/>
          <w:b/>
          <w:bCs/>
          <w:color w:val="auto"/>
          <w:spacing w:val="-6"/>
          <w:kern w:val="0"/>
          <w:sz w:val="32"/>
          <w:szCs w:val="32"/>
          <w:highlight w:val="none"/>
        </w:rPr>
      </w:pPr>
      <w:r>
        <w:rPr>
          <w:rFonts w:hint="eastAsia" w:ascii="黑体" w:hAnsi="黑体" w:eastAsia="黑体" w:cs="黑体"/>
          <w:b/>
          <w:bCs/>
          <w:color w:val="auto"/>
          <w:kern w:val="0"/>
          <w:sz w:val="32"/>
          <w:szCs w:val="32"/>
          <w:highlight w:val="none"/>
        </w:rPr>
        <w:t>七、</w:t>
      </w:r>
      <w:r>
        <w:rPr>
          <w:rFonts w:hint="eastAsia" w:ascii="黑体" w:hAnsi="黑体" w:eastAsia="黑体" w:cs="黑体"/>
          <w:b/>
          <w:bCs/>
          <w:color w:val="auto"/>
          <w:spacing w:val="-6"/>
          <w:kern w:val="0"/>
          <w:sz w:val="32"/>
          <w:szCs w:val="32"/>
          <w:highlight w:val="none"/>
        </w:rPr>
        <w:t>关于</w:t>
      </w:r>
      <w:r>
        <w:rPr>
          <w:rFonts w:hint="eastAsia" w:ascii="黑体" w:hAnsi="黑体" w:eastAsia="黑体" w:cs="黑体"/>
          <w:b/>
          <w:bCs w:val="0"/>
          <w:color w:val="auto"/>
          <w:kern w:val="0"/>
          <w:sz w:val="32"/>
          <w:szCs w:val="32"/>
          <w:highlight w:val="none"/>
          <w:lang w:val="en-US" w:eastAsia="zh-CN"/>
        </w:rPr>
        <w:t>呼图壁县社会保险中心</w:t>
      </w:r>
      <w:r>
        <w:rPr>
          <w:rFonts w:hint="eastAsia" w:ascii="黑体" w:hAnsi="黑体" w:eastAsia="黑体" w:cs="黑体"/>
          <w:b/>
          <w:bCs/>
          <w:color w:val="auto"/>
          <w:spacing w:val="-6"/>
          <w:kern w:val="0"/>
          <w:sz w:val="32"/>
          <w:szCs w:val="32"/>
          <w:highlight w:val="none"/>
          <w:lang w:eastAsia="zh-CN"/>
        </w:rPr>
        <w:t>202</w:t>
      </w:r>
      <w:r>
        <w:rPr>
          <w:rFonts w:hint="eastAsia" w:ascii="黑体" w:hAnsi="黑体" w:eastAsia="黑体" w:cs="黑体"/>
          <w:b/>
          <w:bCs/>
          <w:color w:val="auto"/>
          <w:spacing w:val="-6"/>
          <w:kern w:val="0"/>
          <w:sz w:val="32"/>
          <w:szCs w:val="32"/>
          <w:highlight w:val="none"/>
          <w:lang w:val="en-US" w:eastAsia="zh-CN"/>
        </w:rPr>
        <w:t>5</w:t>
      </w:r>
      <w:r>
        <w:rPr>
          <w:rFonts w:hint="eastAsia" w:ascii="黑体" w:hAnsi="黑体" w:eastAsia="黑体" w:cs="黑体"/>
          <w:b/>
          <w:bCs/>
          <w:color w:val="auto"/>
          <w:spacing w:val="-6"/>
          <w:kern w:val="0"/>
          <w:sz w:val="32"/>
          <w:szCs w:val="32"/>
          <w:highlight w:val="none"/>
          <w:lang w:eastAsia="zh-CN"/>
        </w:rPr>
        <w:t>年</w:t>
      </w:r>
      <w:r>
        <w:rPr>
          <w:rFonts w:hint="eastAsia" w:ascii="黑体" w:hAnsi="黑体" w:eastAsia="黑体" w:cs="黑体"/>
          <w:b/>
          <w:bCs/>
          <w:color w:val="auto"/>
          <w:spacing w:val="-6"/>
          <w:kern w:val="0"/>
          <w:sz w:val="32"/>
          <w:szCs w:val="32"/>
          <w:highlight w:val="none"/>
        </w:rPr>
        <w:t>一般公共预算项目支出情况说明</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1、项目名称：</w:t>
      </w:r>
      <w:r>
        <w:rPr>
          <w:rFonts w:hint="eastAsia" w:ascii="仿宋_GB2312" w:hAnsi="宋体" w:eastAsia="仿宋_GB2312" w:cs="宋体"/>
          <w:color w:val="auto"/>
          <w:kern w:val="0"/>
          <w:sz w:val="32"/>
          <w:szCs w:val="32"/>
          <w:highlight w:val="none"/>
        </w:rPr>
        <w:t>关于提前下达1995年前退休[退职]人员20</w:t>
      </w:r>
      <w:r>
        <w:rPr>
          <w:rFonts w:hint="eastAsia" w:ascii="仿宋_GB2312" w:hAnsi="宋体" w:eastAsia="仿宋_GB2312" w:cs="宋体"/>
          <w:color w:val="auto"/>
          <w:kern w:val="0"/>
          <w:sz w:val="32"/>
          <w:szCs w:val="32"/>
          <w:highlight w:val="none"/>
          <w:lang w:val="en-US" w:eastAsia="zh-CN"/>
        </w:rPr>
        <w:t>25</w:t>
      </w:r>
      <w:r>
        <w:rPr>
          <w:rFonts w:hint="eastAsia" w:ascii="仿宋_GB2312" w:hAnsi="宋体" w:eastAsia="仿宋_GB2312" w:cs="宋体"/>
          <w:color w:val="auto"/>
          <w:kern w:val="0"/>
          <w:sz w:val="32"/>
          <w:szCs w:val="32"/>
          <w:highlight w:val="none"/>
        </w:rPr>
        <w:t>年4月-202</w:t>
      </w:r>
      <w:r>
        <w:rPr>
          <w:rFonts w:hint="eastAsia" w:ascii="仿宋_GB2312" w:hAnsi="宋体" w:eastAsia="仿宋_GB2312" w:cs="宋体"/>
          <w:color w:val="auto"/>
          <w:kern w:val="0"/>
          <w:sz w:val="32"/>
          <w:szCs w:val="32"/>
          <w:highlight w:val="none"/>
          <w:lang w:val="en-US" w:eastAsia="zh-CN"/>
        </w:rPr>
        <w:t>6</w:t>
      </w:r>
      <w:r>
        <w:rPr>
          <w:rFonts w:hint="eastAsia" w:ascii="仿宋_GB2312" w:hAnsi="宋体" w:eastAsia="仿宋_GB2312" w:cs="宋体"/>
          <w:color w:val="auto"/>
          <w:kern w:val="0"/>
          <w:sz w:val="32"/>
          <w:szCs w:val="32"/>
          <w:highlight w:val="none"/>
        </w:rPr>
        <w:t>年3月生活补贴资</w:t>
      </w:r>
      <w:r>
        <w:rPr>
          <w:rFonts w:hint="eastAsia" w:ascii="仿宋_GB2312" w:hAnsi="宋体" w:eastAsia="仿宋_GB2312" w:cs="宋体"/>
          <w:color w:val="auto"/>
          <w:kern w:val="0"/>
          <w:sz w:val="32"/>
          <w:szCs w:val="32"/>
          <w:highlight w:val="none"/>
          <w:lang w:val="en-US" w:eastAsia="zh-CN"/>
        </w:rPr>
        <w:t>金</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s="宋体"/>
          <w:color w:val="auto"/>
          <w:kern w:val="0"/>
          <w:sz w:val="32"/>
          <w:szCs w:val="32"/>
          <w:highlight w:val="none"/>
          <w:lang w:eastAsia="zh-CN"/>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lang w:val="en-US" w:eastAsia="zh-CN"/>
        </w:rPr>
        <w:t>关于对参加城镇职工基本养老保险统筹的有关退休人员实施生活补贴的通知</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lang w:val="en-US" w:eastAsia="zh-CN"/>
        </w:rPr>
        <w:t>新政办发[2010]168号</w:t>
      </w:r>
      <w:r>
        <w:rPr>
          <w:rFonts w:hint="eastAsia" w:ascii="仿宋_GB2312" w:hAnsi="宋体" w:eastAsia="仿宋_GB2312" w:cs="宋体"/>
          <w:color w:val="auto"/>
          <w:kern w:val="0"/>
          <w:sz w:val="32"/>
          <w:szCs w:val="32"/>
          <w:highlight w:val="none"/>
          <w:lang w:eastAsia="zh-CN"/>
        </w:rPr>
        <w:t>）</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仿宋_GB2312" w:hAnsi="宋体" w:eastAsia="宋体" w:cs="宋体"/>
          <w:color w:val="auto"/>
          <w:kern w:val="0"/>
          <w:sz w:val="32"/>
          <w:szCs w:val="32"/>
          <w:highlight w:val="none"/>
          <w:lang w:val="en-US"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2.92万元</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呼图壁县社会保险中心</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2.92万元全部用于自治区核定的1995年12月31日前企业退休（退职）国有林人员</w:t>
      </w:r>
      <w:r>
        <w:rPr>
          <w:rFonts w:hint="eastAsia" w:ascii="仿宋_GB2312" w:hAnsi="宋体" w:eastAsia="仿宋_GB2312" w:cs="宋体"/>
          <w:color w:val="auto"/>
          <w:kern w:val="0"/>
          <w:sz w:val="32"/>
          <w:szCs w:val="32"/>
          <w:highlight w:val="none"/>
        </w:rPr>
        <w:t>2023年4月-2024年3月生活补贴</w:t>
      </w:r>
      <w:r>
        <w:rPr>
          <w:rFonts w:hint="eastAsia" w:ascii="仿宋_GB2312" w:hAnsi="宋体" w:eastAsia="仿宋_GB2312" w:cs="宋体"/>
          <w:color w:val="auto"/>
          <w:kern w:val="0"/>
          <w:sz w:val="32"/>
          <w:szCs w:val="32"/>
          <w:highlight w:val="none"/>
          <w:lang w:eastAsia="zh-CN"/>
        </w:rPr>
        <w:t>；</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2025年4月-2026年3月</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仿宋_GB2312" w:hAnsi="宋体" w:eastAsia="仿宋_GB2312" w:cs="宋体"/>
          <w:color w:val="auto"/>
          <w:kern w:val="0"/>
          <w:sz w:val="32"/>
          <w:szCs w:val="32"/>
          <w:highlight w:val="none"/>
          <w:lang w:val="en-US" w:eastAsia="zh-CN"/>
        </w:rPr>
      </w:pPr>
      <w:r>
        <w:rPr>
          <w:rFonts w:ascii="仿宋_GB2312" w:hAnsi="宋体" w:eastAsia="仿宋_GB2312"/>
          <w:color w:val="auto"/>
          <w:sz w:val="32"/>
          <w:szCs w:val="22"/>
          <w:highlight w:val="none"/>
        </w:rPr>
        <w:t>资金来源</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自治区财政厅</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仿宋_GB2312" w:hAnsi="黑体" w:eastAsia="仿宋_GB2312"/>
          <w:color w:val="auto"/>
          <w:sz w:val="32"/>
          <w:szCs w:val="32"/>
          <w:highlight w:val="none"/>
          <w:lang w:val="en-US" w:eastAsia="zh-CN"/>
        </w:rPr>
      </w:pPr>
      <w:r>
        <w:rPr>
          <w:rFonts w:ascii="仿宋_GB2312" w:hAnsi="宋体" w:eastAsia="仿宋_GB2312"/>
          <w:color w:val="auto"/>
          <w:sz w:val="32"/>
          <w:szCs w:val="22"/>
          <w:highlight w:val="none"/>
        </w:rPr>
        <w:t>补贴人数</w:t>
      </w:r>
      <w:r>
        <w:rPr>
          <w:rFonts w:hint="eastAsia" w:ascii="仿宋_GB2312" w:hAnsi="黑体" w:eastAsia="仿宋_GB2312"/>
          <w:color w:val="auto"/>
          <w:sz w:val="32"/>
          <w:szCs w:val="32"/>
          <w:highlight w:val="none"/>
        </w:rPr>
        <w:t>：</w:t>
      </w:r>
      <w:r>
        <w:rPr>
          <w:rFonts w:hint="eastAsia" w:ascii="宋体" w:hAnsi="宋体" w:eastAsia="宋体" w:cs="宋体"/>
          <w:color w:val="auto"/>
          <w:sz w:val="32"/>
          <w:szCs w:val="32"/>
          <w:highlight w:val="none"/>
        </w:rPr>
        <w:t>≦</w:t>
      </w:r>
      <w:r>
        <w:rPr>
          <w:rFonts w:hint="eastAsia" w:ascii="仿宋_GB2312" w:hAnsi="黑体" w:eastAsia="仿宋_GB2312"/>
          <w:color w:val="auto"/>
          <w:sz w:val="32"/>
          <w:szCs w:val="32"/>
          <w:highlight w:val="none"/>
          <w:lang w:val="en-US" w:eastAsia="zh-CN"/>
        </w:rPr>
        <w:t>30人次</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仿宋_GB2312" w:hAnsi="宋体" w:eastAsia="仿宋_GB2312"/>
          <w:color w:val="auto"/>
          <w:sz w:val="32"/>
          <w:szCs w:val="22"/>
          <w:highlight w:val="none"/>
          <w:lang w:val="en-US" w:eastAsia="zh-CN"/>
        </w:rPr>
      </w:pPr>
      <w:r>
        <w:rPr>
          <w:rFonts w:ascii="仿宋_GB2312" w:hAnsi="宋体" w:eastAsia="仿宋_GB2312"/>
          <w:color w:val="auto"/>
          <w:sz w:val="32"/>
          <w:szCs w:val="22"/>
          <w:highlight w:val="none"/>
        </w:rPr>
        <w:t>补贴标准</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120元/人/月</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s="宋体"/>
          <w:color w:val="auto"/>
          <w:kern w:val="0"/>
          <w:sz w:val="32"/>
          <w:szCs w:val="32"/>
          <w:highlight w:val="none"/>
        </w:rPr>
      </w:pPr>
      <w:r>
        <w:rPr>
          <w:rFonts w:ascii="仿宋_GB2312" w:hAnsi="宋体" w:eastAsia="仿宋_GB2312"/>
          <w:color w:val="auto"/>
          <w:sz w:val="32"/>
          <w:szCs w:val="22"/>
          <w:highlight w:val="none"/>
        </w:rPr>
        <w:t>补贴范围</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rPr>
        <w:t>1995年前退休[退职]人员</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仿宋_GB2312" w:hAnsi="宋体" w:eastAsia="仿宋_GB2312" w:cs="宋体"/>
          <w:color w:val="auto"/>
          <w:kern w:val="0"/>
          <w:sz w:val="32"/>
          <w:szCs w:val="32"/>
          <w:highlight w:val="none"/>
          <w:lang w:val="en-US" w:eastAsia="zh-CN"/>
        </w:rPr>
      </w:pPr>
      <w:r>
        <w:rPr>
          <w:rFonts w:ascii="仿宋_GB2312" w:hAnsi="宋体" w:eastAsia="仿宋_GB2312"/>
          <w:color w:val="auto"/>
          <w:sz w:val="32"/>
          <w:szCs w:val="22"/>
          <w:highlight w:val="none"/>
        </w:rPr>
        <w:t>补贴方式</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eastAsia="zh-CN"/>
        </w:rPr>
        <w:t>按月</w:t>
      </w:r>
      <w:r>
        <w:rPr>
          <w:rFonts w:hint="eastAsia" w:ascii="仿宋_GB2312" w:hAnsi="黑体" w:eastAsia="仿宋_GB2312"/>
          <w:color w:val="auto"/>
          <w:sz w:val="32"/>
          <w:szCs w:val="32"/>
          <w:highlight w:val="none"/>
          <w:lang w:val="en-US" w:eastAsia="zh-CN"/>
        </w:rPr>
        <w:t>通过银行卡</w:t>
      </w:r>
      <w:r>
        <w:rPr>
          <w:rFonts w:hint="eastAsia" w:ascii="仿宋_GB2312" w:hAnsi="黑体" w:eastAsia="仿宋_GB2312"/>
          <w:color w:val="auto"/>
          <w:sz w:val="32"/>
          <w:szCs w:val="32"/>
          <w:highlight w:val="none"/>
          <w:lang w:eastAsia="zh-CN"/>
        </w:rPr>
        <w:t>发放</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rPr>
        <w:t>发放程序：</w:t>
      </w:r>
      <w:r>
        <w:rPr>
          <w:rFonts w:hint="eastAsia" w:ascii="仿宋_GB2312" w:hAnsi="宋体" w:eastAsia="仿宋_GB2312" w:cs="宋体"/>
          <w:color w:val="auto"/>
          <w:kern w:val="0"/>
          <w:sz w:val="32"/>
          <w:szCs w:val="32"/>
          <w:highlight w:val="none"/>
          <w:lang w:val="en-US" w:eastAsia="zh-CN"/>
        </w:rPr>
        <w:t>业务提供发放人员名单-财务科资金申请-财政拨款-资金到位后发放至个人银行卡</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宋体" w:eastAsia="仿宋_GB2312" w:cs="宋体"/>
          <w:color w:val="auto"/>
          <w:kern w:val="0"/>
          <w:sz w:val="32"/>
          <w:szCs w:val="32"/>
          <w:highlight w:val="none"/>
          <w:lang w:eastAsia="zh-CN"/>
        </w:rPr>
      </w:pPr>
      <w:r>
        <w:rPr>
          <w:rFonts w:ascii="仿宋_GB2312" w:hAnsi="宋体" w:eastAsia="仿宋_GB2312"/>
          <w:color w:val="auto"/>
          <w:sz w:val="32"/>
          <w:szCs w:val="22"/>
          <w:highlight w:val="none"/>
        </w:rPr>
        <w:t>受益人群和社会效益</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rPr>
        <w:t>参加自治区城镇企业职工基本养老保险社会统筹，并于1995年12月31日前办理退休(退职)手续的</w:t>
      </w:r>
      <w:r>
        <w:rPr>
          <w:rFonts w:hint="eastAsia" w:ascii="仿宋_GB2312" w:hAnsi="宋体" w:eastAsia="仿宋_GB2312" w:cs="宋体"/>
          <w:color w:val="auto"/>
          <w:kern w:val="0"/>
          <w:sz w:val="32"/>
          <w:szCs w:val="32"/>
          <w:highlight w:val="none"/>
          <w:lang w:val="en-US" w:eastAsia="zh-CN"/>
        </w:rPr>
        <w:t>国有林</w:t>
      </w:r>
      <w:r>
        <w:rPr>
          <w:rFonts w:hint="eastAsia" w:ascii="仿宋_GB2312" w:hAnsi="宋体" w:eastAsia="仿宋_GB2312" w:cs="宋体"/>
          <w:color w:val="auto"/>
          <w:kern w:val="0"/>
          <w:sz w:val="32"/>
          <w:szCs w:val="32"/>
          <w:highlight w:val="none"/>
        </w:rPr>
        <w:t>退休人员</w:t>
      </w:r>
      <w:r>
        <w:rPr>
          <w:rFonts w:hint="eastAsia" w:ascii="仿宋_GB2312" w:hAnsi="宋体" w:eastAsia="仿宋_GB2312" w:cs="宋体"/>
          <w:color w:val="auto"/>
          <w:kern w:val="0"/>
          <w:sz w:val="32"/>
          <w:szCs w:val="32"/>
          <w:highlight w:val="none"/>
          <w:lang w:eastAsia="zh-CN"/>
        </w:rPr>
        <w:t>；保障1993年前退休人员的养老金待遇，享受国家发展改革成果，实现老有所养，确保社会稳定和长治久安。</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3" w:firstLineChars="200"/>
        <w:jc w:val="both"/>
        <w:textAlignment w:val="auto"/>
        <w:rPr>
          <w:rFonts w:hint="eastAsia" w:ascii="黑体" w:hAnsi="黑体" w:eastAsia="黑体" w:cs="黑体"/>
          <w:b/>
          <w:bCs/>
          <w:color w:val="auto"/>
          <w:kern w:val="0"/>
          <w:sz w:val="32"/>
          <w:szCs w:val="32"/>
          <w:highlight w:val="none"/>
        </w:rPr>
      </w:pPr>
      <w:r>
        <w:rPr>
          <w:rFonts w:hint="eastAsia" w:ascii="黑体" w:hAnsi="黑体" w:eastAsia="黑体" w:cs="黑体"/>
          <w:b/>
          <w:bCs/>
          <w:color w:val="auto"/>
          <w:kern w:val="0"/>
          <w:sz w:val="32"/>
          <w:szCs w:val="32"/>
          <w:highlight w:val="none"/>
          <w:lang w:val="en-US" w:eastAsia="zh-Hans"/>
        </w:rPr>
        <w:t>八</w:t>
      </w:r>
      <w:r>
        <w:rPr>
          <w:rFonts w:hint="eastAsia" w:ascii="黑体" w:hAnsi="黑体" w:eastAsia="黑体" w:cs="黑体"/>
          <w:b/>
          <w:bCs/>
          <w:color w:val="auto"/>
          <w:kern w:val="0"/>
          <w:sz w:val="32"/>
          <w:szCs w:val="32"/>
          <w:highlight w:val="none"/>
        </w:rPr>
        <w:t>、关于</w:t>
      </w:r>
      <w:r>
        <w:rPr>
          <w:rFonts w:hint="eastAsia" w:ascii="黑体" w:hAnsi="黑体" w:eastAsia="黑体" w:cs="黑体"/>
          <w:b/>
          <w:bCs w:val="0"/>
          <w:color w:val="auto"/>
          <w:kern w:val="0"/>
          <w:sz w:val="32"/>
          <w:szCs w:val="32"/>
          <w:highlight w:val="none"/>
          <w:lang w:val="en-US" w:eastAsia="zh-CN"/>
        </w:rPr>
        <w:t>呼图壁县社会保险中心</w:t>
      </w:r>
      <w:r>
        <w:rPr>
          <w:rFonts w:hint="eastAsia" w:ascii="黑体" w:hAnsi="黑体" w:eastAsia="黑体" w:cs="黑体"/>
          <w:b/>
          <w:bCs/>
          <w:color w:val="auto"/>
          <w:kern w:val="0"/>
          <w:sz w:val="32"/>
          <w:szCs w:val="32"/>
          <w:highlight w:val="none"/>
          <w:lang w:eastAsia="zh-CN"/>
        </w:rPr>
        <w:t>202</w:t>
      </w:r>
      <w:r>
        <w:rPr>
          <w:rFonts w:hint="eastAsia" w:ascii="黑体" w:hAnsi="黑体" w:eastAsia="黑体" w:cs="黑体"/>
          <w:b/>
          <w:bCs/>
          <w:color w:val="auto"/>
          <w:kern w:val="0"/>
          <w:sz w:val="32"/>
          <w:szCs w:val="32"/>
          <w:highlight w:val="none"/>
          <w:lang w:val="en-US" w:eastAsia="zh-CN"/>
        </w:rPr>
        <w:t>5</w:t>
      </w:r>
      <w:r>
        <w:rPr>
          <w:rFonts w:hint="eastAsia" w:ascii="黑体" w:hAnsi="黑体" w:eastAsia="黑体" w:cs="黑体"/>
          <w:b/>
          <w:bCs/>
          <w:color w:val="auto"/>
          <w:kern w:val="0"/>
          <w:sz w:val="32"/>
          <w:szCs w:val="32"/>
          <w:highlight w:val="none"/>
          <w:lang w:eastAsia="zh-CN"/>
        </w:rPr>
        <w:t>年</w:t>
      </w:r>
      <w:r>
        <w:rPr>
          <w:rFonts w:hint="eastAsia" w:ascii="黑体" w:hAnsi="黑体" w:eastAsia="黑体" w:cs="黑体"/>
          <w:b/>
          <w:bCs/>
          <w:color w:val="auto"/>
          <w:kern w:val="0"/>
          <w:sz w:val="32"/>
          <w:szCs w:val="32"/>
          <w:highlight w:val="none"/>
        </w:rPr>
        <w:t>政府性基金预算拨款情况说明</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呼图壁县社会保险中心202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lang w:eastAsia="zh-CN"/>
        </w:rPr>
        <w:t>年</w:t>
      </w:r>
      <w:r>
        <w:rPr>
          <w:rFonts w:hint="eastAsia" w:ascii="仿宋_GB2312" w:hAnsi="仿宋_GB2312" w:eastAsia="仿宋_GB2312" w:cs="仿宋_GB2312"/>
          <w:color w:val="auto"/>
          <w:kern w:val="0"/>
          <w:sz w:val="32"/>
          <w:szCs w:val="32"/>
          <w:highlight w:val="none"/>
        </w:rPr>
        <w:t>没有使用政府性基金预算拨款安排的支出，政府性基金预算支出情况表为空表。</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3" w:firstLineChars="200"/>
        <w:jc w:val="both"/>
        <w:textAlignment w:val="auto"/>
        <w:rPr>
          <w:rFonts w:hint="eastAsia" w:ascii="黑体" w:hAnsi="黑体" w:eastAsia="黑体" w:cs="黑体"/>
          <w:b/>
          <w:bCs/>
          <w:color w:val="auto"/>
          <w:kern w:val="0"/>
          <w:sz w:val="32"/>
          <w:szCs w:val="32"/>
          <w:highlight w:val="none"/>
        </w:rPr>
      </w:pPr>
      <w:r>
        <w:rPr>
          <w:rFonts w:hint="eastAsia" w:ascii="黑体" w:hAnsi="黑体" w:eastAsia="黑体" w:cs="黑体"/>
          <w:b/>
          <w:bCs/>
          <w:color w:val="auto"/>
          <w:kern w:val="0"/>
          <w:sz w:val="32"/>
          <w:szCs w:val="32"/>
          <w:highlight w:val="none"/>
          <w:lang w:val="en-US" w:eastAsia="zh-Hans"/>
        </w:rPr>
        <w:t>九、</w:t>
      </w:r>
      <w:r>
        <w:rPr>
          <w:rFonts w:hint="eastAsia" w:ascii="黑体" w:hAnsi="黑体" w:eastAsia="黑体" w:cs="黑体"/>
          <w:b/>
          <w:bCs/>
          <w:color w:val="auto"/>
          <w:kern w:val="0"/>
          <w:sz w:val="32"/>
          <w:szCs w:val="32"/>
          <w:highlight w:val="none"/>
        </w:rPr>
        <w:t>关于</w:t>
      </w:r>
      <w:r>
        <w:rPr>
          <w:rFonts w:hint="eastAsia" w:ascii="黑体" w:hAnsi="黑体" w:eastAsia="黑体" w:cs="黑体"/>
          <w:b/>
          <w:bCs w:val="0"/>
          <w:color w:val="auto"/>
          <w:kern w:val="0"/>
          <w:sz w:val="32"/>
          <w:szCs w:val="32"/>
          <w:highlight w:val="none"/>
          <w:lang w:val="en-US" w:eastAsia="zh-CN"/>
        </w:rPr>
        <w:t>呼图壁县社会保险中心</w:t>
      </w:r>
      <w:r>
        <w:rPr>
          <w:rFonts w:hint="eastAsia" w:ascii="黑体" w:hAnsi="黑体" w:eastAsia="黑体" w:cs="黑体"/>
          <w:b/>
          <w:bCs/>
          <w:color w:val="auto"/>
          <w:kern w:val="0"/>
          <w:sz w:val="32"/>
          <w:szCs w:val="32"/>
          <w:highlight w:val="none"/>
          <w:lang w:eastAsia="zh-CN"/>
        </w:rPr>
        <w:t>202</w:t>
      </w:r>
      <w:r>
        <w:rPr>
          <w:rFonts w:hint="eastAsia" w:ascii="黑体" w:hAnsi="黑体" w:eastAsia="黑体" w:cs="黑体"/>
          <w:b/>
          <w:bCs/>
          <w:color w:val="auto"/>
          <w:kern w:val="0"/>
          <w:sz w:val="32"/>
          <w:szCs w:val="32"/>
          <w:highlight w:val="none"/>
          <w:lang w:val="en-US" w:eastAsia="zh-CN"/>
        </w:rPr>
        <w:t>5</w:t>
      </w:r>
      <w:r>
        <w:rPr>
          <w:rFonts w:hint="eastAsia" w:ascii="黑体" w:hAnsi="黑体" w:eastAsia="黑体" w:cs="黑体"/>
          <w:b/>
          <w:bCs/>
          <w:color w:val="auto"/>
          <w:kern w:val="0"/>
          <w:sz w:val="32"/>
          <w:szCs w:val="32"/>
          <w:highlight w:val="none"/>
          <w:lang w:eastAsia="zh-CN"/>
        </w:rPr>
        <w:t>年</w:t>
      </w:r>
      <w:r>
        <w:rPr>
          <w:rFonts w:hint="eastAsia" w:ascii="黑体" w:hAnsi="黑体" w:eastAsia="黑体" w:cs="黑体"/>
          <w:b/>
          <w:bCs/>
          <w:color w:val="auto"/>
          <w:kern w:val="0"/>
          <w:sz w:val="32"/>
          <w:szCs w:val="32"/>
          <w:highlight w:val="none"/>
        </w:rPr>
        <w:t>国有资本经营预算拨款情况说明</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呼图壁县社会保险中心202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lang w:eastAsia="zh-CN"/>
        </w:rPr>
        <w:t>年</w:t>
      </w:r>
      <w:r>
        <w:rPr>
          <w:rFonts w:hint="eastAsia" w:ascii="仿宋_GB2312" w:hAnsi="仿宋_GB2312" w:eastAsia="仿宋_GB2312" w:cs="仿宋_GB2312"/>
          <w:color w:val="auto"/>
          <w:kern w:val="0"/>
          <w:sz w:val="32"/>
          <w:szCs w:val="32"/>
          <w:highlight w:val="none"/>
        </w:rPr>
        <w:t>没有使用国有资本经营预算拨款安排的支出，国有资本经营预算支出情况表为空表。</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3" w:firstLineChars="200"/>
        <w:jc w:val="both"/>
        <w:textAlignment w:val="auto"/>
        <w:rPr>
          <w:rFonts w:hint="eastAsia" w:ascii="黑体" w:hAnsi="黑体" w:eastAsia="黑体" w:cs="黑体"/>
          <w:b/>
          <w:bCs/>
          <w:color w:val="auto"/>
          <w:kern w:val="0"/>
          <w:sz w:val="32"/>
          <w:szCs w:val="32"/>
          <w:highlight w:val="none"/>
        </w:rPr>
      </w:pPr>
      <w:r>
        <w:rPr>
          <w:rFonts w:hint="eastAsia" w:ascii="黑体" w:hAnsi="黑体" w:eastAsia="黑体" w:cs="黑体"/>
          <w:b/>
          <w:bCs/>
          <w:color w:val="auto"/>
          <w:kern w:val="0"/>
          <w:sz w:val="32"/>
          <w:szCs w:val="32"/>
          <w:highlight w:val="none"/>
          <w:lang w:val="en-US" w:eastAsia="zh-Hans"/>
        </w:rPr>
        <w:t>十</w:t>
      </w:r>
      <w:r>
        <w:rPr>
          <w:rFonts w:hint="eastAsia" w:ascii="黑体" w:hAnsi="黑体" w:eastAsia="黑体" w:cs="黑体"/>
          <w:b/>
          <w:bCs/>
          <w:color w:val="auto"/>
          <w:kern w:val="0"/>
          <w:sz w:val="32"/>
          <w:szCs w:val="32"/>
          <w:highlight w:val="none"/>
        </w:rPr>
        <w:t>、关于</w:t>
      </w:r>
      <w:r>
        <w:rPr>
          <w:rFonts w:hint="eastAsia" w:ascii="黑体" w:hAnsi="黑体" w:eastAsia="黑体" w:cs="黑体"/>
          <w:b/>
          <w:bCs w:val="0"/>
          <w:color w:val="auto"/>
          <w:kern w:val="0"/>
          <w:sz w:val="32"/>
          <w:szCs w:val="32"/>
          <w:highlight w:val="none"/>
          <w:lang w:val="en-US" w:eastAsia="zh-CN"/>
        </w:rPr>
        <w:t>呼图壁县社会保险中心</w:t>
      </w:r>
      <w:r>
        <w:rPr>
          <w:rFonts w:hint="eastAsia" w:ascii="黑体" w:hAnsi="黑体" w:eastAsia="黑体" w:cs="黑体"/>
          <w:b/>
          <w:bCs/>
          <w:color w:val="auto"/>
          <w:kern w:val="0"/>
          <w:sz w:val="32"/>
          <w:szCs w:val="32"/>
          <w:highlight w:val="none"/>
          <w:lang w:eastAsia="zh-CN"/>
        </w:rPr>
        <w:t>202</w:t>
      </w:r>
      <w:r>
        <w:rPr>
          <w:rFonts w:hint="eastAsia" w:ascii="黑体" w:hAnsi="黑体" w:eastAsia="黑体" w:cs="黑体"/>
          <w:b/>
          <w:bCs/>
          <w:color w:val="auto"/>
          <w:kern w:val="0"/>
          <w:sz w:val="32"/>
          <w:szCs w:val="32"/>
          <w:highlight w:val="none"/>
          <w:lang w:val="en-US" w:eastAsia="zh-CN"/>
        </w:rPr>
        <w:t>5</w:t>
      </w:r>
      <w:r>
        <w:rPr>
          <w:rFonts w:hint="eastAsia" w:ascii="黑体" w:hAnsi="黑体" w:eastAsia="黑体" w:cs="黑体"/>
          <w:b/>
          <w:bCs/>
          <w:color w:val="auto"/>
          <w:kern w:val="0"/>
          <w:sz w:val="32"/>
          <w:szCs w:val="32"/>
          <w:highlight w:val="none"/>
          <w:lang w:eastAsia="zh-CN"/>
        </w:rPr>
        <w:t>年</w:t>
      </w:r>
      <w:r>
        <w:rPr>
          <w:rFonts w:hint="eastAsia" w:ascii="黑体" w:hAnsi="黑体" w:eastAsia="黑体" w:cs="黑体"/>
          <w:b/>
          <w:bCs/>
          <w:color w:val="auto"/>
          <w:kern w:val="0"/>
          <w:sz w:val="32"/>
          <w:szCs w:val="32"/>
          <w:highlight w:val="none"/>
          <w:lang w:val="en-US" w:eastAsia="zh-Hans"/>
        </w:rPr>
        <w:t>财政拨款</w:t>
      </w:r>
      <w:r>
        <w:rPr>
          <w:rFonts w:hint="eastAsia" w:ascii="黑体" w:hAnsi="黑体" w:eastAsia="黑体" w:cs="黑体"/>
          <w:b/>
          <w:bCs/>
          <w:color w:val="auto"/>
          <w:kern w:val="0"/>
          <w:sz w:val="32"/>
          <w:szCs w:val="32"/>
          <w:highlight w:val="none"/>
        </w:rPr>
        <w:t>“三公”经费预算情况说明</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呼图壁县社会保险中心202</w:t>
      </w:r>
      <w:r>
        <w:rPr>
          <w:rFonts w:hint="eastAsia" w:ascii="仿宋_GB2312" w:hAnsi="宋体" w:eastAsia="仿宋_GB2312" w:cs="宋体"/>
          <w:color w:val="auto"/>
          <w:kern w:val="0"/>
          <w:sz w:val="32"/>
          <w:szCs w:val="32"/>
          <w:highlight w:val="none"/>
          <w:lang w:val="en-US" w:eastAsia="zh-CN"/>
        </w:rPr>
        <w:t>5</w:t>
      </w:r>
      <w:r>
        <w:rPr>
          <w:rFonts w:hint="eastAsia" w:ascii="仿宋_GB2312" w:hAnsi="宋体" w:eastAsia="仿宋_GB2312" w:cs="宋体"/>
          <w:color w:val="auto"/>
          <w:kern w:val="0"/>
          <w:sz w:val="32"/>
          <w:szCs w:val="32"/>
          <w:highlight w:val="none"/>
          <w:lang w:eastAsia="zh-CN"/>
        </w:rPr>
        <w:t>年</w:t>
      </w:r>
      <w:r>
        <w:rPr>
          <w:rFonts w:hint="eastAsia" w:ascii="仿宋_GB2312" w:hAnsi="宋体" w:eastAsia="仿宋_GB2312" w:cs="宋体"/>
          <w:color w:val="auto"/>
          <w:kern w:val="0"/>
          <w:sz w:val="32"/>
          <w:szCs w:val="32"/>
          <w:highlight w:val="none"/>
          <w:lang w:val="en-US" w:eastAsia="zh-Hans"/>
        </w:rPr>
        <w:t>财政拨款</w:t>
      </w:r>
      <w:r>
        <w:rPr>
          <w:rFonts w:hint="eastAsia" w:ascii="仿宋_GB2312" w:hAnsi="宋体" w:eastAsia="仿宋_GB2312" w:cs="宋体"/>
          <w:color w:val="auto"/>
          <w:kern w:val="0"/>
          <w:sz w:val="32"/>
          <w:szCs w:val="32"/>
          <w:highlight w:val="none"/>
        </w:rPr>
        <w:t>“三公”经费数为</w:t>
      </w:r>
      <w:r>
        <w:rPr>
          <w:rFonts w:hint="eastAsia" w:ascii="仿宋_GB2312" w:hAnsi="宋体" w:eastAsia="仿宋_GB2312" w:cs="宋体"/>
          <w:color w:val="auto"/>
          <w:kern w:val="0"/>
          <w:sz w:val="32"/>
          <w:szCs w:val="32"/>
          <w:highlight w:val="none"/>
          <w:lang w:val="en-US" w:eastAsia="zh-CN"/>
        </w:rPr>
        <w:t>1.6</w:t>
      </w:r>
      <w:r>
        <w:rPr>
          <w:rFonts w:hint="eastAsia" w:ascii="仿宋_GB2312" w:hAnsi="宋体" w:eastAsia="仿宋_GB2312" w:cs="宋体"/>
          <w:color w:val="auto"/>
          <w:kern w:val="0"/>
          <w:sz w:val="32"/>
          <w:szCs w:val="32"/>
          <w:highlight w:val="none"/>
        </w:rPr>
        <w:t>万元，其中：因公出国（境）费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万元，公务用车购置</w:t>
      </w:r>
      <w:r>
        <w:rPr>
          <w:rFonts w:hint="eastAsia" w:ascii="仿宋_GB2312" w:hAnsi="宋体" w:eastAsia="仿宋_GB2312" w:cs="宋体"/>
          <w:color w:val="auto"/>
          <w:kern w:val="0"/>
          <w:sz w:val="32"/>
          <w:szCs w:val="32"/>
          <w:highlight w:val="none"/>
          <w:lang w:eastAsia="zh-CN"/>
        </w:rPr>
        <w:t>费</w:t>
      </w:r>
      <w:r>
        <w:rPr>
          <w:rFonts w:hint="eastAsia" w:ascii="仿宋_GB2312" w:hAnsi="宋体" w:eastAsia="仿宋_GB2312" w:cs="宋体"/>
          <w:color w:val="auto"/>
          <w:kern w:val="0"/>
          <w:sz w:val="32"/>
          <w:szCs w:val="32"/>
          <w:highlight w:val="none"/>
        </w:rPr>
        <w:t xml:space="preserve"> </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 xml:space="preserve"> 万元，公务用车运行费</w:t>
      </w:r>
      <w:r>
        <w:rPr>
          <w:rFonts w:hint="eastAsia" w:ascii="仿宋_GB2312" w:hAnsi="宋体" w:eastAsia="仿宋_GB2312" w:cs="宋体"/>
          <w:color w:val="auto"/>
          <w:kern w:val="0"/>
          <w:sz w:val="32"/>
          <w:szCs w:val="32"/>
          <w:highlight w:val="none"/>
          <w:lang w:val="en-US" w:eastAsia="zh-CN"/>
        </w:rPr>
        <w:t>1.6</w:t>
      </w:r>
      <w:r>
        <w:rPr>
          <w:rFonts w:hint="eastAsia" w:ascii="仿宋_GB2312" w:hAnsi="宋体" w:eastAsia="仿宋_GB2312" w:cs="宋体"/>
          <w:color w:val="auto"/>
          <w:kern w:val="0"/>
          <w:sz w:val="32"/>
          <w:szCs w:val="32"/>
          <w:highlight w:val="none"/>
        </w:rPr>
        <w:t>万元，公务接待费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202</w:t>
      </w:r>
      <w:r>
        <w:rPr>
          <w:rFonts w:hint="eastAsia" w:ascii="仿宋_GB2312" w:hAnsi="宋体" w:eastAsia="仿宋_GB2312" w:cs="宋体"/>
          <w:color w:val="auto"/>
          <w:kern w:val="0"/>
          <w:sz w:val="32"/>
          <w:szCs w:val="32"/>
          <w:highlight w:val="none"/>
          <w:lang w:val="en-US" w:eastAsia="zh-CN"/>
        </w:rPr>
        <w:t>5</w:t>
      </w:r>
      <w:r>
        <w:rPr>
          <w:rFonts w:hint="eastAsia" w:ascii="仿宋_GB2312" w:hAnsi="宋体" w:eastAsia="仿宋_GB2312" w:cs="宋体"/>
          <w:color w:val="auto"/>
          <w:kern w:val="0"/>
          <w:sz w:val="32"/>
          <w:szCs w:val="32"/>
          <w:highlight w:val="none"/>
          <w:lang w:eastAsia="zh-CN"/>
        </w:rPr>
        <w:t>年</w:t>
      </w:r>
      <w:r>
        <w:rPr>
          <w:rFonts w:hint="eastAsia" w:ascii="仿宋_GB2312" w:hAnsi="宋体" w:eastAsia="仿宋_GB2312" w:cs="宋体"/>
          <w:color w:val="auto"/>
          <w:kern w:val="0"/>
          <w:sz w:val="32"/>
          <w:szCs w:val="32"/>
          <w:highlight w:val="none"/>
          <w:lang w:val="en-US" w:eastAsia="zh-Hans"/>
        </w:rPr>
        <w:t>财政拨款</w:t>
      </w:r>
      <w:r>
        <w:rPr>
          <w:rFonts w:hint="eastAsia" w:ascii="仿宋_GB2312" w:hAnsi="宋体" w:eastAsia="仿宋_GB2312" w:cs="宋体"/>
          <w:color w:val="auto"/>
          <w:kern w:val="0"/>
          <w:sz w:val="32"/>
          <w:szCs w:val="32"/>
          <w:highlight w:val="none"/>
        </w:rPr>
        <w:t>“三公”经费比上年</w:t>
      </w:r>
      <w:r>
        <w:rPr>
          <w:rFonts w:hint="eastAsia" w:ascii="仿宋_GB2312" w:hAnsi="宋体" w:eastAsia="仿宋_GB2312" w:cs="宋体"/>
          <w:color w:val="auto"/>
          <w:kern w:val="0"/>
          <w:sz w:val="32"/>
          <w:szCs w:val="32"/>
          <w:highlight w:val="none"/>
          <w:lang w:val="en-US" w:eastAsia="zh-Hans"/>
        </w:rPr>
        <w:t>预算</w:t>
      </w:r>
      <w:r>
        <w:rPr>
          <w:rFonts w:hint="eastAsia" w:ascii="仿宋_GB2312" w:hAnsi="宋体" w:eastAsia="仿宋_GB2312" w:cs="宋体"/>
          <w:color w:val="auto"/>
          <w:kern w:val="0"/>
          <w:sz w:val="32"/>
          <w:szCs w:val="32"/>
          <w:highlight w:val="none"/>
          <w:lang w:eastAsia="zh-CN"/>
        </w:rPr>
        <w:t>减少</w:t>
      </w:r>
      <w:r>
        <w:rPr>
          <w:rFonts w:hint="eastAsia" w:ascii="仿宋_GB2312" w:hAnsi="宋体" w:eastAsia="仿宋_GB2312" w:cs="宋体"/>
          <w:color w:val="auto"/>
          <w:kern w:val="0"/>
          <w:sz w:val="32"/>
          <w:szCs w:val="32"/>
          <w:highlight w:val="none"/>
          <w:lang w:val="en-US" w:eastAsia="zh-CN"/>
        </w:rPr>
        <w:t>1.74</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减少</w:t>
      </w:r>
      <w:r>
        <w:rPr>
          <w:rFonts w:hint="eastAsia" w:ascii="仿宋_GB2312" w:hAnsi="宋体" w:eastAsia="仿宋_GB2312" w:cs="宋体"/>
          <w:color w:val="auto"/>
          <w:kern w:val="0"/>
          <w:sz w:val="32"/>
          <w:szCs w:val="32"/>
          <w:highlight w:val="none"/>
          <w:lang w:val="en-US" w:eastAsia="zh-CN"/>
        </w:rPr>
        <w:t>52.10 %，</w:t>
      </w:r>
      <w:r>
        <w:rPr>
          <w:rFonts w:hint="eastAsia" w:ascii="仿宋_GB2312" w:hAnsi="宋体" w:eastAsia="仿宋_GB2312" w:cs="宋体"/>
          <w:color w:val="auto"/>
          <w:kern w:val="0"/>
          <w:sz w:val="32"/>
          <w:szCs w:val="32"/>
          <w:highlight w:val="none"/>
        </w:rPr>
        <w:t>其中：因公出国（境）费增加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主要原因</w:t>
      </w:r>
      <w:r>
        <w:rPr>
          <w:rFonts w:hint="eastAsia" w:ascii="仿宋_GB2312" w:hAnsi="宋体" w:eastAsia="仿宋_GB2312" w:cs="宋体"/>
          <w:kern w:val="0"/>
          <w:sz w:val="32"/>
          <w:szCs w:val="32"/>
          <w:highlight w:val="none"/>
        </w:rPr>
        <w:t>是</w:t>
      </w:r>
      <w:r>
        <w:rPr>
          <w:rFonts w:hint="eastAsia" w:ascii="仿宋_GB2312" w:hAnsi="宋体" w:eastAsia="仿宋_GB2312" w:cs="宋体"/>
          <w:kern w:val="0"/>
          <w:sz w:val="32"/>
          <w:szCs w:val="32"/>
          <w:highlight w:val="none"/>
          <w:lang w:val="en-US" w:eastAsia="zh-CN"/>
        </w:rPr>
        <w:t>2024年-2025年均未安排此项经费</w:t>
      </w:r>
      <w:r>
        <w:rPr>
          <w:rFonts w:hint="eastAsia" w:ascii="仿宋_GB2312" w:hAnsi="宋体" w:eastAsia="仿宋_GB2312" w:cs="宋体"/>
          <w:color w:val="auto"/>
          <w:kern w:val="0"/>
          <w:sz w:val="32"/>
          <w:szCs w:val="32"/>
          <w:highlight w:val="none"/>
          <w:lang w:val="en-US" w:eastAsia="zh-CN"/>
        </w:rPr>
        <w:t>；</w:t>
      </w:r>
      <w:r>
        <w:rPr>
          <w:rFonts w:hint="eastAsia" w:ascii="仿宋_GB2312" w:hAnsi="宋体" w:eastAsia="仿宋_GB2312" w:cs="宋体"/>
          <w:color w:val="auto"/>
          <w:kern w:val="0"/>
          <w:sz w:val="32"/>
          <w:szCs w:val="32"/>
          <w:highlight w:val="none"/>
        </w:rPr>
        <w:t>公务用车购置费增加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按照机关事务局批复单位车辆已满编，不再新增车辆</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rPr>
        <w:t>公务用车运行费增加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0 %，</w:t>
      </w:r>
      <w:r>
        <w:rPr>
          <w:rFonts w:hint="eastAsia" w:ascii="仿宋_GB2312" w:hAnsi="宋体" w:eastAsia="仿宋_GB2312" w:cs="宋体"/>
          <w:color w:val="auto"/>
          <w:kern w:val="0"/>
          <w:sz w:val="32"/>
          <w:szCs w:val="32"/>
          <w:highlight w:val="none"/>
        </w:rPr>
        <w:t>主要原因按照上级关于政府部门过紧日子相关部署及预算资金只减不增相关要求，严格控制车辆运行费用；公务接待费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2024年-2025年均未安排此项经费</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3" w:firstLineChars="200"/>
        <w:jc w:val="both"/>
        <w:textAlignment w:val="auto"/>
        <w:rPr>
          <w:rFonts w:hint="eastAsia" w:ascii="黑体" w:hAnsi="黑体" w:eastAsia="黑体" w:cs="黑体"/>
          <w:b/>
          <w:color w:val="auto"/>
          <w:kern w:val="0"/>
          <w:sz w:val="32"/>
          <w:szCs w:val="32"/>
          <w:highlight w:val="none"/>
        </w:rPr>
      </w:pPr>
      <w:r>
        <w:rPr>
          <w:rFonts w:hint="eastAsia" w:ascii="黑体" w:hAnsi="黑体" w:eastAsia="黑体" w:cs="黑体"/>
          <w:b/>
          <w:bCs/>
          <w:color w:val="auto"/>
          <w:kern w:val="0"/>
          <w:sz w:val="32"/>
          <w:szCs w:val="32"/>
          <w:highlight w:val="none"/>
          <w:lang w:val="en-US" w:eastAsia="zh-Hans"/>
        </w:rPr>
        <w:t>十</w:t>
      </w:r>
      <w:r>
        <w:rPr>
          <w:rFonts w:hint="eastAsia" w:ascii="黑体" w:hAnsi="黑体" w:eastAsia="黑体" w:cs="黑体"/>
          <w:b/>
          <w:bCs/>
          <w:color w:val="auto"/>
          <w:kern w:val="0"/>
          <w:sz w:val="32"/>
          <w:szCs w:val="32"/>
          <w:highlight w:val="none"/>
          <w:lang w:val="en-US" w:eastAsia="zh-CN"/>
        </w:rPr>
        <w:t>一</w:t>
      </w:r>
      <w:r>
        <w:rPr>
          <w:rFonts w:hint="eastAsia" w:ascii="黑体" w:hAnsi="黑体" w:eastAsia="黑体" w:cs="黑体"/>
          <w:b/>
          <w:bCs/>
          <w:color w:val="auto"/>
          <w:kern w:val="0"/>
          <w:sz w:val="32"/>
          <w:szCs w:val="32"/>
          <w:highlight w:val="none"/>
        </w:rPr>
        <w:t>、关于</w:t>
      </w:r>
      <w:r>
        <w:rPr>
          <w:rFonts w:hint="eastAsia" w:ascii="黑体" w:hAnsi="黑体" w:eastAsia="黑体" w:cs="黑体"/>
          <w:b/>
          <w:bCs w:val="0"/>
          <w:color w:val="auto"/>
          <w:kern w:val="0"/>
          <w:sz w:val="32"/>
          <w:szCs w:val="32"/>
          <w:highlight w:val="none"/>
          <w:lang w:val="en-US" w:eastAsia="zh-CN"/>
        </w:rPr>
        <w:t>呼图壁县社会保险中心</w:t>
      </w:r>
      <w:r>
        <w:rPr>
          <w:rFonts w:hint="eastAsia" w:ascii="黑体" w:hAnsi="黑体" w:eastAsia="黑体" w:cs="黑体"/>
          <w:b/>
          <w:bCs/>
          <w:color w:val="auto"/>
          <w:kern w:val="0"/>
          <w:sz w:val="32"/>
          <w:szCs w:val="32"/>
          <w:highlight w:val="none"/>
          <w:lang w:eastAsia="zh-CN"/>
        </w:rPr>
        <w:t>202</w:t>
      </w:r>
      <w:r>
        <w:rPr>
          <w:rFonts w:hint="eastAsia" w:ascii="黑体" w:hAnsi="黑体" w:eastAsia="黑体" w:cs="黑体"/>
          <w:b/>
          <w:bCs/>
          <w:color w:val="auto"/>
          <w:kern w:val="0"/>
          <w:sz w:val="32"/>
          <w:szCs w:val="32"/>
          <w:highlight w:val="none"/>
          <w:lang w:val="en-US" w:eastAsia="zh-CN"/>
        </w:rPr>
        <w:t>5</w:t>
      </w:r>
      <w:r>
        <w:rPr>
          <w:rFonts w:hint="eastAsia" w:ascii="黑体" w:hAnsi="黑体" w:eastAsia="黑体" w:cs="黑体"/>
          <w:b/>
          <w:bCs/>
          <w:color w:val="auto"/>
          <w:kern w:val="0"/>
          <w:sz w:val="32"/>
          <w:szCs w:val="32"/>
          <w:highlight w:val="none"/>
          <w:lang w:eastAsia="zh-CN"/>
        </w:rPr>
        <w:t>年</w:t>
      </w:r>
      <w:r>
        <w:rPr>
          <w:rFonts w:hint="eastAsia" w:ascii="黑体" w:hAnsi="黑体" w:eastAsia="黑体" w:cs="黑体"/>
          <w:b/>
          <w:bCs/>
          <w:color w:val="auto"/>
          <w:kern w:val="0"/>
          <w:sz w:val="32"/>
          <w:szCs w:val="32"/>
          <w:highlight w:val="none"/>
          <w:lang w:val="en-US" w:eastAsia="zh-CN"/>
        </w:rPr>
        <w:t>上年结转结余</w:t>
      </w:r>
      <w:r>
        <w:rPr>
          <w:rFonts w:hint="eastAsia" w:ascii="黑体" w:hAnsi="黑体" w:eastAsia="黑体" w:cs="黑体"/>
          <w:b/>
          <w:bCs/>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呼图壁县社会保险中心202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lang w:eastAsia="zh-CN"/>
        </w:rPr>
        <w:t>年</w:t>
      </w:r>
      <w:r>
        <w:rPr>
          <w:rFonts w:hint="eastAsia" w:ascii="仿宋_GB2312" w:hAnsi="仿宋_GB2312" w:eastAsia="仿宋_GB2312" w:cs="仿宋_GB2312"/>
          <w:color w:val="auto"/>
          <w:kern w:val="0"/>
          <w:sz w:val="32"/>
          <w:szCs w:val="32"/>
          <w:highlight w:val="none"/>
          <w:lang w:val="en-US" w:eastAsia="zh-CN"/>
        </w:rPr>
        <w:t>上年结转结余10.60万元，包括：财政拨款10.60万元，</w:t>
      </w:r>
      <w:r>
        <w:rPr>
          <w:rFonts w:hint="eastAsia" w:ascii="仿宋_GB2312" w:hAnsi="仿宋_GB2312" w:eastAsia="仿宋_GB2312" w:cs="仿宋_GB2312"/>
          <w:color w:val="auto"/>
          <w:kern w:val="0"/>
          <w:sz w:val="32"/>
          <w:szCs w:val="32"/>
          <w:highlight w:val="none"/>
        </w:rPr>
        <w:t>其中：</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1、昌州财建[2023]161号-关于拨付2024年4月至2025年3月1995年以前退休人员生活补助0.94万元，主要用于</w:t>
      </w:r>
      <w:r>
        <w:rPr>
          <w:rFonts w:hint="eastAsia" w:ascii="仿宋_GB2312" w:hAnsi="宋体" w:eastAsia="仿宋_GB2312" w:cs="宋体"/>
          <w:kern w:val="0"/>
          <w:sz w:val="32"/>
          <w:szCs w:val="32"/>
          <w:highlight w:val="none"/>
        </w:rPr>
        <w:t>参加自治区城镇企业职工基本养老保险社会统筹，并于1995年12月31日前办理退休(退职)手续的</w:t>
      </w:r>
      <w:r>
        <w:rPr>
          <w:rFonts w:hint="eastAsia" w:ascii="仿宋_GB2312" w:hAnsi="宋体" w:eastAsia="仿宋_GB2312" w:cs="宋体"/>
          <w:kern w:val="0"/>
          <w:sz w:val="32"/>
          <w:szCs w:val="32"/>
          <w:highlight w:val="none"/>
          <w:lang w:val="en-US" w:eastAsia="zh-CN"/>
        </w:rPr>
        <w:t>国有林</w:t>
      </w:r>
      <w:r>
        <w:rPr>
          <w:rFonts w:hint="eastAsia" w:ascii="仿宋_GB2312" w:hAnsi="宋体" w:eastAsia="仿宋_GB2312" w:cs="宋体"/>
          <w:kern w:val="0"/>
          <w:sz w:val="32"/>
          <w:szCs w:val="32"/>
          <w:highlight w:val="none"/>
        </w:rPr>
        <w:t>退休人员</w:t>
      </w:r>
      <w:r>
        <w:rPr>
          <w:rFonts w:hint="eastAsia" w:ascii="仿宋_GB2312" w:hAnsi="宋体" w:eastAsia="仿宋_GB2312" w:cs="宋体"/>
          <w:color w:val="auto"/>
          <w:kern w:val="0"/>
          <w:sz w:val="32"/>
          <w:szCs w:val="32"/>
          <w:highlight w:val="none"/>
          <w:lang w:val="en-US" w:eastAsia="zh-CN"/>
        </w:rPr>
        <w:t>2023年4月至2024年3月生活补贴。</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2昌州财预[2024]18号2024年为民办实事好事9.66万元，主要用于访惠聚驻村工作，帮助驻村单位解决实际困难，慰问看望低保户等工作。</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3" w:firstLineChars="200"/>
        <w:jc w:val="both"/>
        <w:textAlignment w:val="auto"/>
        <w:rPr>
          <w:rFonts w:hint="eastAsia" w:ascii="黑体" w:hAnsi="黑体" w:eastAsia="黑体" w:cs="黑体"/>
          <w:b/>
          <w:bCs/>
          <w:color w:val="auto"/>
          <w:kern w:val="0"/>
          <w:sz w:val="32"/>
          <w:szCs w:val="32"/>
          <w:highlight w:val="none"/>
          <w:lang w:val="en-US" w:eastAsia="zh-Hans"/>
        </w:rPr>
      </w:pPr>
      <w:r>
        <w:rPr>
          <w:rFonts w:hint="eastAsia" w:ascii="黑体" w:hAnsi="黑体" w:eastAsia="黑体" w:cs="黑体"/>
          <w:b/>
          <w:bCs/>
          <w:color w:val="auto"/>
          <w:kern w:val="0"/>
          <w:sz w:val="32"/>
          <w:szCs w:val="32"/>
          <w:highlight w:val="none"/>
          <w:lang w:val="en-US" w:eastAsia="zh-Hans"/>
        </w:rPr>
        <w:t>十</w:t>
      </w:r>
      <w:r>
        <w:rPr>
          <w:rFonts w:hint="eastAsia" w:ascii="黑体" w:hAnsi="黑体" w:eastAsia="黑体" w:cs="黑体"/>
          <w:b/>
          <w:bCs/>
          <w:color w:val="auto"/>
          <w:kern w:val="0"/>
          <w:sz w:val="32"/>
          <w:szCs w:val="32"/>
          <w:highlight w:val="none"/>
          <w:lang w:val="en-US" w:eastAsia="zh-CN"/>
        </w:rPr>
        <w:t>二</w:t>
      </w:r>
      <w:r>
        <w:rPr>
          <w:rFonts w:hint="eastAsia" w:ascii="黑体" w:hAnsi="黑体" w:eastAsia="黑体" w:cs="黑体"/>
          <w:b/>
          <w:bCs/>
          <w:color w:val="auto"/>
          <w:kern w:val="0"/>
          <w:sz w:val="32"/>
          <w:szCs w:val="32"/>
          <w:highlight w:val="none"/>
          <w:lang w:val="en-US" w:eastAsia="zh-Hans"/>
        </w:rPr>
        <w:t>、其他重要事项的情况说明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rPr>
        <w:t>（一）</w:t>
      </w:r>
      <w:r>
        <w:rPr>
          <w:rFonts w:hint="eastAsia" w:ascii="仿宋_GB2312" w:hAnsi="仿宋_GB2312" w:eastAsia="仿宋_GB2312" w:cs="仿宋_GB2312"/>
          <w:color w:val="auto"/>
          <w:kern w:val="0"/>
          <w:sz w:val="32"/>
          <w:szCs w:val="32"/>
          <w:highlight w:val="none"/>
          <w:lang w:val="en-US" w:eastAsia="zh-CN"/>
        </w:rPr>
        <w:t>单位</w:t>
      </w:r>
      <w:r>
        <w:rPr>
          <w:rFonts w:hint="eastAsia" w:ascii="仿宋_GB2312" w:hAnsi="仿宋_GB2312" w:eastAsia="仿宋_GB2312" w:cs="仿宋_GB2312"/>
          <w:color w:val="auto"/>
          <w:kern w:val="0"/>
          <w:sz w:val="32"/>
          <w:szCs w:val="32"/>
          <w:highlight w:val="none"/>
        </w:rPr>
        <w:t>运行经费情况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eastAsia="zh-CN"/>
        </w:rPr>
        <w:t>呼图壁县社会保险中心202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lang w:eastAsia="zh-CN"/>
        </w:rPr>
        <w:t>年</w:t>
      </w:r>
      <w:r>
        <w:rPr>
          <w:rFonts w:hint="eastAsia" w:ascii="仿宋_GB2312" w:hAnsi="仿宋_GB2312" w:eastAsia="仿宋_GB2312" w:cs="仿宋_GB2312"/>
          <w:color w:val="auto"/>
          <w:kern w:val="0"/>
          <w:sz w:val="32"/>
          <w:szCs w:val="32"/>
          <w:highlight w:val="none"/>
        </w:rPr>
        <w:t>的机关运行经费财政拨款预算</w:t>
      </w:r>
      <w:r>
        <w:rPr>
          <w:rFonts w:hint="eastAsia" w:ascii="仿宋_GB2312" w:hAnsi="仿宋_GB2312" w:eastAsia="仿宋_GB2312" w:cs="仿宋_GB2312"/>
          <w:color w:val="auto"/>
          <w:kern w:val="0"/>
          <w:sz w:val="32"/>
          <w:szCs w:val="32"/>
          <w:highlight w:val="none"/>
          <w:lang w:val="en-US" w:eastAsia="zh-CN"/>
        </w:rPr>
        <w:t>44.83</w:t>
      </w:r>
      <w:r>
        <w:rPr>
          <w:rFonts w:hint="eastAsia" w:ascii="仿宋_GB2312" w:hAnsi="仿宋_GB2312" w:eastAsia="仿宋_GB2312" w:cs="仿宋_GB2312"/>
          <w:color w:val="auto"/>
          <w:kern w:val="0"/>
          <w:sz w:val="32"/>
          <w:szCs w:val="32"/>
          <w:highlight w:val="none"/>
        </w:rPr>
        <w:t>万元，比上年预算增加</w:t>
      </w:r>
      <w:r>
        <w:rPr>
          <w:rFonts w:hint="eastAsia" w:ascii="仿宋_GB2312" w:hAnsi="仿宋_GB2312" w:eastAsia="仿宋_GB2312" w:cs="仿宋_GB2312"/>
          <w:color w:val="auto"/>
          <w:kern w:val="0"/>
          <w:sz w:val="32"/>
          <w:szCs w:val="32"/>
          <w:highlight w:val="none"/>
          <w:lang w:val="en-US" w:eastAsia="zh-CN"/>
        </w:rPr>
        <w:t>33.63</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300.27</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val="en-US" w:eastAsia="zh-CN"/>
        </w:rPr>
        <w:t>结算以前年度社保专线租费有所增加</w:t>
      </w:r>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（二）政府采购情况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eastAsia="zh-CN"/>
        </w:rPr>
        <w:t>呼图壁县社会保险中心</w:t>
      </w:r>
      <w:r>
        <w:rPr>
          <w:rFonts w:hint="eastAsia" w:ascii="仿宋_GB2312" w:hAnsi="仿宋_GB2312" w:eastAsia="仿宋_GB2312" w:cs="仿宋_GB2312"/>
          <w:color w:val="auto"/>
          <w:kern w:val="0"/>
          <w:sz w:val="32"/>
          <w:szCs w:val="32"/>
          <w:highlight w:val="none"/>
        </w:rPr>
        <w:t>政府采购预算</w:t>
      </w:r>
      <w:r>
        <w:rPr>
          <w:rFonts w:hint="eastAsia" w:ascii="仿宋_GB2312" w:hAnsi="仿宋_GB2312" w:eastAsia="仿宋_GB2312" w:cs="仿宋_GB2312"/>
          <w:color w:val="auto"/>
          <w:kern w:val="0"/>
          <w:sz w:val="32"/>
          <w:szCs w:val="32"/>
          <w:highlight w:val="none"/>
          <w:lang w:val="en-US" w:eastAsia="zh-CN"/>
        </w:rPr>
        <w:t>2.5</w:t>
      </w:r>
      <w:r>
        <w:rPr>
          <w:rFonts w:hint="eastAsia" w:ascii="仿宋_GB2312" w:hAnsi="仿宋_GB2312" w:eastAsia="仿宋_GB2312" w:cs="仿宋_GB2312"/>
          <w:color w:val="auto"/>
          <w:kern w:val="0"/>
          <w:sz w:val="32"/>
          <w:szCs w:val="32"/>
          <w:highlight w:val="none"/>
        </w:rPr>
        <w:t>万元，其中：政府采购货物预算</w:t>
      </w:r>
      <w:r>
        <w:rPr>
          <w:rFonts w:hint="eastAsia" w:ascii="仿宋_GB2312" w:hAnsi="仿宋_GB2312" w:eastAsia="仿宋_GB2312" w:cs="仿宋_GB2312"/>
          <w:color w:val="auto"/>
          <w:kern w:val="0"/>
          <w:sz w:val="32"/>
          <w:szCs w:val="32"/>
          <w:highlight w:val="none"/>
          <w:lang w:val="en-US" w:eastAsia="zh-CN"/>
        </w:rPr>
        <w:t>0.46</w:t>
      </w:r>
      <w:r>
        <w:rPr>
          <w:rFonts w:hint="eastAsia" w:ascii="仿宋_GB2312" w:hAnsi="仿宋_GB2312" w:eastAsia="仿宋_GB2312" w:cs="仿宋_GB2312"/>
          <w:color w:val="auto"/>
          <w:kern w:val="0"/>
          <w:sz w:val="32"/>
          <w:szCs w:val="32"/>
          <w:highlight w:val="none"/>
        </w:rPr>
        <w:t>万元，政府采购工程预算</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万元，政府采购服务预算</w:t>
      </w:r>
      <w:r>
        <w:rPr>
          <w:rFonts w:hint="eastAsia" w:ascii="仿宋_GB2312" w:hAnsi="仿宋_GB2312" w:eastAsia="仿宋_GB2312" w:cs="仿宋_GB2312"/>
          <w:color w:val="auto"/>
          <w:kern w:val="0"/>
          <w:sz w:val="32"/>
          <w:szCs w:val="32"/>
          <w:highlight w:val="none"/>
          <w:lang w:val="en-US" w:eastAsia="zh-CN"/>
        </w:rPr>
        <w:t>2.04</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eastAsia="zh-CN"/>
        </w:rPr>
        <w:t>呼图壁县社会保险中心</w:t>
      </w:r>
      <w:r>
        <w:rPr>
          <w:rFonts w:hint="eastAsia" w:ascii="仿宋_GB2312" w:hAnsi="仿宋_GB2312" w:eastAsia="仿宋_GB2312" w:cs="仿宋_GB2312"/>
          <w:color w:val="auto"/>
          <w:kern w:val="0"/>
          <w:sz w:val="32"/>
          <w:szCs w:val="32"/>
          <w:highlight w:val="none"/>
        </w:rPr>
        <w:t>面向中小企业预留政府采购项目预算金额</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小微</w:t>
      </w:r>
      <w:r>
        <w:rPr>
          <w:rFonts w:hint="eastAsia" w:ascii="仿宋_GB2312" w:hAnsi="仿宋_GB2312" w:eastAsia="仿宋_GB2312" w:cs="仿宋_GB2312"/>
          <w:color w:val="auto"/>
          <w:kern w:val="0"/>
          <w:sz w:val="32"/>
          <w:szCs w:val="32"/>
          <w:highlight w:val="none"/>
        </w:rPr>
        <w:t>企业预留政府采购项目预算金额</w:t>
      </w:r>
      <w:r>
        <w:rPr>
          <w:rFonts w:hint="eastAsia" w:ascii="仿宋_GB2312" w:hAnsi="仿宋_GB2312" w:eastAsia="仿宋_GB2312" w:cs="仿宋_GB2312"/>
          <w:color w:val="auto"/>
          <w:kern w:val="0"/>
          <w:sz w:val="32"/>
          <w:szCs w:val="32"/>
          <w:highlight w:val="none"/>
          <w:lang w:val="en-US" w:eastAsia="zh-CN"/>
        </w:rPr>
        <w:t>2.5</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（三）国有资产占用使用情况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rPr>
        <w:t>截至</w:t>
      </w:r>
      <w:r>
        <w:rPr>
          <w:rFonts w:hint="eastAsia" w:ascii="仿宋_GB2312" w:hAnsi="仿宋_GB2312" w:eastAsia="仿宋_GB2312" w:cs="仿宋_GB2312"/>
          <w:color w:val="auto"/>
          <w:kern w:val="0"/>
          <w:sz w:val="32"/>
          <w:szCs w:val="32"/>
          <w:highlight w:val="none"/>
          <w:lang w:val="en-US" w:eastAsia="zh-CN"/>
        </w:rPr>
        <w:t>2024</w:t>
      </w:r>
      <w:r>
        <w:rPr>
          <w:rFonts w:hint="eastAsia" w:ascii="仿宋_GB2312" w:hAnsi="仿宋_GB2312" w:eastAsia="仿宋_GB2312" w:cs="仿宋_GB2312"/>
          <w:color w:val="auto"/>
          <w:kern w:val="0"/>
          <w:sz w:val="32"/>
          <w:szCs w:val="32"/>
          <w:highlight w:val="none"/>
        </w:rPr>
        <w:t>年底，</w:t>
      </w:r>
      <w:r>
        <w:rPr>
          <w:rFonts w:hint="eastAsia" w:ascii="仿宋_GB2312" w:hAnsi="仿宋_GB2312" w:eastAsia="仿宋_GB2312" w:cs="仿宋_GB2312"/>
          <w:color w:val="auto"/>
          <w:kern w:val="0"/>
          <w:sz w:val="32"/>
          <w:szCs w:val="32"/>
          <w:highlight w:val="none"/>
          <w:lang w:eastAsia="zh-CN"/>
        </w:rPr>
        <w:t>呼图壁县社会保险中心</w:t>
      </w:r>
      <w:r>
        <w:rPr>
          <w:rFonts w:hint="eastAsia" w:ascii="仿宋_GB2312" w:hAnsi="仿宋_GB2312" w:eastAsia="仿宋_GB2312" w:cs="仿宋_GB2312"/>
          <w:color w:val="auto"/>
          <w:kern w:val="0"/>
          <w:sz w:val="32"/>
          <w:szCs w:val="32"/>
          <w:highlight w:val="none"/>
        </w:rPr>
        <w:t>占用使用国有资产总体情况为</w:t>
      </w:r>
      <w:r>
        <w:rPr>
          <w:rFonts w:hint="eastAsia" w:ascii="仿宋_GB2312" w:hAnsi="仿宋_GB2312" w:eastAsia="仿宋_GB2312" w:cs="仿宋_GB2312"/>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1.房屋</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平方米，价值</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2.车辆</w:t>
      </w:r>
      <w:r>
        <w:rPr>
          <w:rFonts w:hint="eastAsia" w:ascii="仿宋_GB2312" w:hAnsi="仿宋_GB2312" w:eastAsia="仿宋_GB2312" w:cs="仿宋_GB2312"/>
          <w:color w:val="auto"/>
          <w:kern w:val="0"/>
          <w:sz w:val="32"/>
          <w:szCs w:val="32"/>
          <w:highlight w:val="none"/>
          <w:lang w:val="en-US" w:eastAsia="zh-CN"/>
        </w:rPr>
        <w:t>2</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31.28</w:t>
      </w:r>
      <w:r>
        <w:rPr>
          <w:rFonts w:hint="eastAsia" w:ascii="仿宋_GB2312" w:hAnsi="仿宋_GB2312" w:eastAsia="仿宋_GB2312" w:cs="仿宋_GB2312"/>
          <w:color w:val="auto"/>
          <w:kern w:val="0"/>
          <w:sz w:val="32"/>
          <w:szCs w:val="32"/>
          <w:highlight w:val="none"/>
        </w:rPr>
        <w:t>万元；其中：一般公务用车</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万元；执法执勤用车</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万元；其他车辆</w:t>
      </w:r>
      <w:r>
        <w:rPr>
          <w:rFonts w:hint="eastAsia" w:ascii="仿宋_GB2312" w:hAnsi="仿宋_GB2312" w:eastAsia="仿宋_GB2312" w:cs="仿宋_GB2312"/>
          <w:color w:val="auto"/>
          <w:kern w:val="0"/>
          <w:sz w:val="32"/>
          <w:szCs w:val="32"/>
          <w:highlight w:val="none"/>
          <w:lang w:val="en-US" w:eastAsia="zh-CN"/>
        </w:rPr>
        <w:t>2</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31.28</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3.办公家具价值</w:t>
      </w:r>
      <w:r>
        <w:rPr>
          <w:rFonts w:hint="eastAsia" w:ascii="仿宋_GB2312" w:hAnsi="仿宋_GB2312" w:eastAsia="仿宋_GB2312" w:cs="仿宋_GB2312"/>
          <w:color w:val="auto"/>
          <w:kern w:val="0"/>
          <w:sz w:val="32"/>
          <w:szCs w:val="32"/>
          <w:highlight w:val="none"/>
          <w:lang w:val="en-US" w:eastAsia="zh-CN"/>
        </w:rPr>
        <w:t>20.81</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4.其他资产价值</w:t>
      </w:r>
      <w:r>
        <w:rPr>
          <w:rFonts w:hint="eastAsia" w:ascii="仿宋_GB2312" w:hAnsi="仿宋_GB2312" w:eastAsia="仿宋_GB2312" w:cs="仿宋_GB2312"/>
          <w:color w:val="auto"/>
          <w:kern w:val="0"/>
          <w:sz w:val="32"/>
          <w:szCs w:val="32"/>
          <w:highlight w:val="none"/>
          <w:lang w:val="en-US" w:eastAsia="zh-CN"/>
        </w:rPr>
        <w:t>91.73</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rPr>
        <w:t>价值50万元以上大型设备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w:t>
      </w:r>
      <w:r>
        <w:rPr>
          <w:rFonts w:hint="eastAsia" w:ascii="仿宋_GB2312" w:hAnsi="仿宋_GB2312" w:eastAsia="仿宋_GB2312" w:cs="仿宋_GB2312"/>
          <w:color w:val="auto"/>
          <w:kern w:val="0"/>
          <w:sz w:val="32"/>
          <w:szCs w:val="32"/>
          <w:highlight w:val="none"/>
          <w:lang w:eastAsia="zh-CN"/>
        </w:rPr>
        <w:t>呼图壁县社会保险中心</w:t>
      </w:r>
      <w:r>
        <w:rPr>
          <w:rFonts w:hint="eastAsia" w:ascii="仿宋_GB2312" w:hAnsi="仿宋_GB2312" w:eastAsia="仿宋_GB2312" w:cs="仿宋_GB2312"/>
          <w:color w:val="auto"/>
          <w:kern w:val="0"/>
          <w:sz w:val="32"/>
          <w:szCs w:val="32"/>
          <w:highlight w:val="none"/>
        </w:rPr>
        <w:t>价值100万元以上大型设备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lang w:eastAsia="zh-CN"/>
        </w:rPr>
        <w:t>年部门</w:t>
      </w:r>
      <w:r>
        <w:rPr>
          <w:rFonts w:hint="eastAsia" w:ascii="仿宋_GB2312" w:hAnsi="仿宋_GB2312" w:eastAsia="仿宋_GB2312" w:cs="仿宋_GB2312"/>
          <w:color w:val="auto"/>
          <w:kern w:val="0"/>
          <w:sz w:val="32"/>
          <w:szCs w:val="32"/>
          <w:highlight w:val="none"/>
        </w:rPr>
        <w:t>预算未安排购置车辆经费，安排购置50万元以上大型设备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台，单位价值100万元以上大型设备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lang w:val="en-US" w:eastAsia="zh-Hans"/>
        </w:rPr>
        <w:t>（四）</w:t>
      </w:r>
      <w:r>
        <w:rPr>
          <w:rFonts w:hint="eastAsia" w:ascii="仿宋_GB2312" w:hAnsi="仿宋_GB2312" w:eastAsia="仿宋_GB2312" w:cs="仿宋_GB2312"/>
          <w:b/>
          <w:color w:val="auto"/>
          <w:kern w:val="0"/>
          <w:sz w:val="32"/>
          <w:szCs w:val="32"/>
          <w:highlight w:val="none"/>
        </w:rPr>
        <w:t>预算绩效情况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bookmarkStart w:id="0" w:name="OLE_LINK1"/>
      <w:r>
        <w:rPr>
          <w:rFonts w:hint="default" w:ascii="Times New Roman" w:hAnsi="Times New Roman" w:eastAsia="仿宋_GB2312" w:cs="Times New Roman"/>
          <w:color w:val="auto"/>
          <w:kern w:val="0"/>
          <w:sz w:val="32"/>
          <w:szCs w:val="32"/>
          <w:highlight w:val="none"/>
        </w:rPr>
        <w:t>202</w:t>
      </w:r>
      <w:r>
        <w:rPr>
          <w:rFonts w:hint="default" w:ascii="Times New Roman" w:hAnsi="Times New Roman" w:eastAsia="仿宋_GB2312" w:cs="Times New Roman"/>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CN"/>
        </w:rPr>
        <w:t>本部门</w:t>
      </w:r>
      <w:r>
        <w:rPr>
          <w:rFonts w:hint="eastAsia" w:ascii="仿宋_GB2312" w:hAnsi="仿宋_GB2312" w:eastAsia="仿宋_GB2312" w:cs="仿宋_GB2312"/>
          <w:color w:val="auto"/>
          <w:kern w:val="0"/>
          <w:sz w:val="32"/>
          <w:szCs w:val="32"/>
          <w:highlight w:val="none"/>
        </w:rPr>
        <w:t>预算绩效管理</w:t>
      </w:r>
      <w:r>
        <w:rPr>
          <w:rFonts w:hint="eastAsia" w:ascii="仿宋_GB2312" w:hAnsi="仿宋_GB2312" w:eastAsia="仿宋_GB2312" w:cs="仿宋_GB2312"/>
          <w:color w:val="auto"/>
          <w:kern w:val="0"/>
          <w:sz w:val="32"/>
          <w:szCs w:val="32"/>
          <w:highlight w:val="none"/>
          <w:lang w:val="en-US" w:eastAsia="zh-CN"/>
        </w:rPr>
        <w:t>整体预算绩效目标1个，涉及预算金额765.13万元；当年预算安排项目共1个，其中:</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项目</w:t>
      </w:r>
      <w:r>
        <w:rPr>
          <w:rFonts w:hint="eastAsia" w:ascii="仿宋_GB2312" w:hAnsi="仿宋_GB2312" w:eastAsia="仿宋_GB2312" w:cs="仿宋_GB2312"/>
          <w:color w:val="auto"/>
          <w:kern w:val="0"/>
          <w:sz w:val="32"/>
          <w:szCs w:val="32"/>
          <w:highlight w:val="none"/>
          <w:lang w:val="en-US" w:eastAsia="zh-CN"/>
        </w:rPr>
        <w:t>涉及预算金额2.92万元；</w:t>
      </w:r>
      <w:r>
        <w:rPr>
          <w:rFonts w:hint="eastAsia" w:ascii="仿宋_GB2312" w:hAnsi="仿宋_GB2312" w:eastAsia="仿宋_GB2312" w:cs="仿宋_GB2312"/>
          <w:color w:val="auto"/>
          <w:kern w:val="0"/>
          <w:sz w:val="32"/>
          <w:szCs w:val="32"/>
          <w:highlight w:val="none"/>
          <w:lang w:val="en-US" w:eastAsia="zh-Hans"/>
        </w:rPr>
        <w:t>非财政拨款项目</w:t>
      </w:r>
      <w:r>
        <w:rPr>
          <w:rFonts w:hint="eastAsia" w:ascii="仿宋_GB2312" w:hAnsi="仿宋_GB2312" w:eastAsia="仿宋_GB2312" w:cs="仿宋_GB2312"/>
          <w:color w:val="auto"/>
          <w:kern w:val="0"/>
          <w:sz w:val="32"/>
          <w:szCs w:val="32"/>
          <w:highlight w:val="none"/>
        </w:rPr>
        <w:t>涉及预算金额</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万元。具体情况见下表：</w:t>
      </w:r>
      <w:r>
        <w:rPr>
          <w:rFonts w:hint="eastAsia" w:ascii="仿宋_GB2312" w:hAnsi="仿宋_GB2312" w:eastAsia="仿宋_GB2312" w:cs="仿宋_GB2312"/>
          <w:color w:val="auto"/>
          <w:kern w:val="0"/>
          <w:sz w:val="32"/>
          <w:szCs w:val="32"/>
          <w:highlight w:val="none"/>
          <w:lang w:val="en-US" w:eastAsia="zh-CN"/>
        </w:rPr>
        <w:t xml:space="preserve">  </w:t>
      </w:r>
    </w:p>
    <w:bookmarkEnd w:id="0"/>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p>
    <w:tbl>
      <w:tblPr>
        <w:tblStyle w:val="9"/>
        <w:tblpPr w:leftFromText="180" w:rightFromText="180" w:vertAnchor="text" w:horzAnchor="page" w:tblpX="1210" w:tblpY="-1043"/>
        <w:tblOverlap w:val="never"/>
        <w:tblW w:w="934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22"/>
        <w:gridCol w:w="1367"/>
        <w:gridCol w:w="1657"/>
        <w:gridCol w:w="1271"/>
        <w:gridCol w:w="2114"/>
        <w:gridCol w:w="180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668" w:hRule="atLeast"/>
        </w:trPr>
        <w:tc>
          <w:tcPr>
            <w:tcW w:w="9340" w:type="dxa"/>
            <w:gridSpan w:val="6"/>
            <w:tcBorders>
              <w:top w:val="nil"/>
              <w:left w:val="nil"/>
              <w:bottom w:val="nil"/>
              <w:right w:val="nil"/>
            </w:tcBorders>
            <w:noWrap w:val="0"/>
            <w:vAlign w:val="center"/>
          </w:tcPr>
          <w:p>
            <w:pPr>
              <w:keepNext w:val="0"/>
              <w:keepLines w:val="0"/>
              <w:widowControl/>
              <w:suppressLineNumbers w:val="0"/>
              <w:jc w:val="both"/>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黑体" w:hAnsi="黑体" w:eastAsia="黑体" w:cs="黑体"/>
                <w:b/>
                <w:color w:val="000000"/>
                <w:kern w:val="0"/>
                <w:sz w:val="32"/>
                <w:szCs w:val="32"/>
                <w:highlight w:val="none"/>
                <w:lang w:val="en-US" w:eastAsia="zh-CN" w:bidi="ar"/>
              </w:rPr>
              <w:t>部门整体绩效目标表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trPr>
        <w:tc>
          <w:tcPr>
            <w:tcW w:w="9340" w:type="dxa"/>
            <w:gridSpan w:val="6"/>
            <w:tcBorders>
              <w:top w:val="nil"/>
              <w:left w:val="nil"/>
              <w:bottom w:val="nil"/>
              <w:right w:val="nil"/>
            </w:tcBorders>
            <w:noWrap w:val="0"/>
            <w:vAlign w:val="center"/>
          </w:tcPr>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w:t>
            </w:r>
            <w:r>
              <w:rPr>
                <w:rFonts w:hint="eastAsia" w:ascii="宋体" w:hAnsi="宋体" w:cs="宋体"/>
                <w:i w:val="0"/>
                <w:iCs w:val="0"/>
                <w:color w:val="000000"/>
                <w:sz w:val="24"/>
                <w:szCs w:val="24"/>
                <w:highlight w:val="none"/>
                <w:u w:val="none"/>
                <w:lang w:val="en-US" w:eastAsia="zh-CN"/>
              </w:rPr>
              <w:t>5</w:t>
            </w:r>
            <w:r>
              <w:rPr>
                <w:rFonts w:hint="eastAsia" w:ascii="宋体" w:hAnsi="宋体" w:eastAsia="宋体" w:cs="宋体"/>
                <w:i w:val="0"/>
                <w:iCs w:val="0"/>
                <w:color w:val="000000"/>
                <w:sz w:val="24"/>
                <w:szCs w:val="24"/>
                <w:highlight w:val="none"/>
                <w:u w:val="none"/>
                <w:lang w:val="en-US" w:eastAsia="zh-CN"/>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黑体" w:hAnsi="黑体" w:eastAsia="黑体" w:cs="黑体"/>
                <w:b/>
                <w:bCs/>
                <w:i w:val="0"/>
                <w:iCs w:val="0"/>
                <w:color w:val="000000"/>
                <w:kern w:val="0"/>
                <w:sz w:val="20"/>
                <w:szCs w:val="20"/>
                <w:highlight w:val="none"/>
                <w:u w:val="none"/>
                <w:lang w:val="en-US" w:eastAsia="zh-CN" w:bidi="ar"/>
              </w:rPr>
              <w:t>单位名称（盖章）</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呼图壁县社会保险中心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黑体" w:hAnsi="黑体" w:eastAsia="黑体" w:cs="黑体"/>
                <w:b/>
                <w:bCs/>
                <w:i w:val="0"/>
                <w:iCs w:val="0"/>
                <w:color w:val="000000"/>
                <w:kern w:val="0"/>
                <w:sz w:val="20"/>
                <w:szCs w:val="20"/>
                <w:highlight w:val="none"/>
                <w:u w:val="none"/>
                <w:lang w:val="en-US" w:eastAsia="zh-CN" w:bidi="ar"/>
              </w:rPr>
              <w:t>单位联系人</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20"/>
                <w:szCs w:val="20"/>
                <w:highlight w:val="none"/>
                <w:u w:val="none"/>
                <w:lang w:eastAsia="zh-CN"/>
              </w:rPr>
            </w:pPr>
            <w:r>
              <w:rPr>
                <w:rFonts w:hint="eastAsia" w:ascii="宋体" w:hAnsi="宋体" w:cs="宋体"/>
                <w:i w:val="0"/>
                <w:iCs w:val="0"/>
                <w:color w:val="000000"/>
                <w:sz w:val="20"/>
                <w:szCs w:val="20"/>
                <w:highlight w:val="none"/>
                <w:u w:val="none"/>
                <w:lang w:eastAsia="zh-CN"/>
              </w:rPr>
              <w:t>余冰洋</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黑体" w:hAnsi="黑体" w:eastAsia="黑体" w:cs="黑体"/>
                <w:b/>
                <w:bCs/>
                <w:i w:val="0"/>
                <w:iCs w:val="0"/>
                <w:color w:val="000000"/>
                <w:kern w:val="0"/>
                <w:sz w:val="20"/>
                <w:szCs w:val="20"/>
                <w:highlight w:val="none"/>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17309942345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pPr>
              <w:keepNext w:val="0"/>
              <w:keepLines w:val="0"/>
              <w:widowControl/>
              <w:suppressLineNumbers w:val="0"/>
              <w:jc w:val="center"/>
              <w:textAlignment w:val="top"/>
              <w:rPr>
                <w:rFonts w:hint="eastAsia" w:ascii="黑体" w:hAnsi="黑体" w:eastAsia="黑体" w:cs="黑体"/>
                <w:b/>
                <w:bCs/>
                <w:i w:val="0"/>
                <w:iCs w:val="0"/>
                <w:color w:val="000000"/>
                <w:sz w:val="20"/>
                <w:szCs w:val="20"/>
                <w:highlight w:val="none"/>
                <w:u w:val="none"/>
              </w:rPr>
            </w:pPr>
            <w:r>
              <w:rPr>
                <w:rFonts w:hint="eastAsia" w:ascii="黑体" w:hAnsi="黑体" w:eastAsia="黑体" w:cs="黑体"/>
                <w:b/>
                <w:bCs/>
                <w:i w:val="0"/>
                <w:iCs w:val="0"/>
                <w:color w:val="000000"/>
                <w:kern w:val="0"/>
                <w:sz w:val="20"/>
                <w:szCs w:val="20"/>
                <w:highlight w:val="none"/>
                <w:u w:val="none"/>
                <w:lang w:val="en-US" w:eastAsia="zh-CN" w:bidi="ar"/>
              </w:rPr>
              <w:br w:type="textWrapping"/>
            </w:r>
            <w:r>
              <w:rPr>
                <w:rFonts w:hint="eastAsia" w:ascii="黑体" w:hAnsi="黑体" w:eastAsia="黑体" w:cs="黑体"/>
                <w:b/>
                <w:bCs/>
                <w:i w:val="0"/>
                <w:iCs w:val="0"/>
                <w:color w:val="000000"/>
                <w:kern w:val="0"/>
                <w:sz w:val="20"/>
                <w:szCs w:val="20"/>
                <w:highlight w:val="none"/>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rPr>
              <w:t>对单位职工工资福利支出、国防水利人员养老金及企业退休（职）人员生活补贴等提供经费保障，同时保障各类险种的待遇审核、发放、统计分析、稽核等基本运行</w:t>
            </w:r>
            <w:r>
              <w:rPr>
                <w:rFonts w:hint="eastAsia" w:ascii="宋体" w:hAnsi="宋体" w:cs="宋体"/>
                <w:i w:val="0"/>
                <w:iCs w:val="0"/>
                <w:color w:val="000000"/>
                <w:sz w:val="20"/>
                <w:szCs w:val="20"/>
                <w:highlight w:val="none"/>
                <w:u w:val="none"/>
                <w:lang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trPr>
        <w:tc>
          <w:tcPr>
            <w:tcW w:w="2489"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黑体" w:hAnsi="黑体" w:eastAsia="黑体" w:cs="黑体"/>
                <w:b/>
                <w:bCs/>
                <w:i w:val="0"/>
                <w:iCs w:val="0"/>
                <w:color w:val="000000"/>
                <w:sz w:val="20"/>
                <w:szCs w:val="20"/>
                <w:highlight w:val="none"/>
                <w:u w:val="none"/>
              </w:rPr>
            </w:pPr>
            <w:r>
              <w:rPr>
                <w:rFonts w:hint="eastAsia" w:ascii="黑体" w:hAnsi="黑体" w:eastAsia="黑体" w:cs="黑体"/>
                <w:b/>
                <w:bCs/>
                <w:i w:val="0"/>
                <w:iCs w:val="0"/>
                <w:color w:val="000000"/>
                <w:kern w:val="0"/>
                <w:sz w:val="20"/>
                <w:szCs w:val="20"/>
                <w:highlight w:val="none"/>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资金总额（万元）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highlight w:val="none"/>
                <w:u w:val="none"/>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上级</w:t>
            </w:r>
            <w:r>
              <w:rPr>
                <w:rFonts w:hint="eastAsia" w:ascii="宋体" w:hAnsi="宋体" w:eastAsia="宋体" w:cs="宋体"/>
                <w:i w:val="0"/>
                <w:iCs w:val="0"/>
                <w:color w:val="000000"/>
                <w:kern w:val="0"/>
                <w:sz w:val="20"/>
                <w:szCs w:val="20"/>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2.92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highlight w:val="none"/>
                <w:u w:val="none"/>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highlight w:val="none"/>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本级</w:t>
            </w:r>
            <w:r>
              <w:rPr>
                <w:rFonts w:hint="eastAsia" w:ascii="宋体" w:hAnsi="宋体" w:eastAsia="宋体" w:cs="宋体"/>
                <w:i w:val="0"/>
                <w:iCs w:val="0"/>
                <w:color w:val="000000"/>
                <w:kern w:val="0"/>
                <w:sz w:val="20"/>
                <w:szCs w:val="20"/>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726.98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highlight w:val="none"/>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35.22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黑体" w:hAnsi="黑体" w:eastAsia="黑体" w:cs="黑体"/>
                <w:b/>
                <w:bCs/>
                <w:i w:val="0"/>
                <w:iCs w:val="0"/>
                <w:color w:val="000000"/>
                <w:sz w:val="20"/>
                <w:szCs w:val="20"/>
                <w:highlight w:val="none"/>
                <w:u w:val="none"/>
              </w:rPr>
            </w:pPr>
            <w:r>
              <w:rPr>
                <w:rFonts w:hint="eastAsia" w:ascii="黑体" w:hAnsi="黑体" w:eastAsia="黑体" w:cs="黑体"/>
                <w:b/>
                <w:bCs/>
                <w:i w:val="0"/>
                <w:iCs w:val="0"/>
                <w:color w:val="000000"/>
                <w:kern w:val="0"/>
                <w:sz w:val="20"/>
                <w:szCs w:val="20"/>
                <w:highlight w:val="none"/>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黑体" w:hAnsi="黑体" w:eastAsia="黑体" w:cs="黑体"/>
                <w:b/>
                <w:bCs/>
                <w:i w:val="0"/>
                <w:iCs w:val="0"/>
                <w:color w:val="000000"/>
                <w:sz w:val="20"/>
                <w:szCs w:val="20"/>
                <w:highlight w:val="none"/>
                <w:u w:val="none"/>
              </w:rPr>
            </w:pPr>
            <w:r>
              <w:rPr>
                <w:rFonts w:hint="eastAsia" w:ascii="黑体" w:hAnsi="黑体" w:eastAsia="黑体" w:cs="黑体"/>
                <w:b/>
                <w:bCs/>
                <w:i w:val="0"/>
                <w:iCs w:val="0"/>
                <w:color w:val="000000"/>
                <w:kern w:val="0"/>
                <w:sz w:val="20"/>
                <w:szCs w:val="20"/>
                <w:highlight w:val="none"/>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黑体" w:hAnsi="黑体" w:eastAsia="黑体" w:cs="黑体"/>
                <w:b/>
                <w:bCs/>
                <w:i w:val="0"/>
                <w:iCs w:val="0"/>
                <w:color w:val="000000"/>
                <w:sz w:val="20"/>
                <w:szCs w:val="20"/>
                <w:highlight w:val="none"/>
                <w:u w:val="none"/>
              </w:rPr>
            </w:pPr>
            <w:r>
              <w:rPr>
                <w:rFonts w:hint="eastAsia" w:ascii="黑体" w:hAnsi="黑体" w:eastAsia="黑体" w:cs="黑体"/>
                <w:b/>
                <w:bCs/>
                <w:i w:val="0"/>
                <w:iCs w:val="0"/>
                <w:color w:val="000000"/>
                <w:kern w:val="0"/>
                <w:sz w:val="20"/>
                <w:szCs w:val="20"/>
                <w:highlight w:val="none"/>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黑体" w:hAnsi="黑体" w:eastAsia="黑体" w:cs="黑体"/>
                <w:b/>
                <w:bCs/>
                <w:i w:val="0"/>
                <w:iCs w:val="0"/>
                <w:color w:val="000000"/>
                <w:sz w:val="20"/>
                <w:szCs w:val="20"/>
                <w:highlight w:val="none"/>
                <w:u w:val="none"/>
              </w:rPr>
            </w:pPr>
            <w:r>
              <w:rPr>
                <w:rFonts w:hint="eastAsia" w:ascii="黑体" w:hAnsi="黑体" w:eastAsia="黑体" w:cs="黑体"/>
                <w:b/>
                <w:bCs/>
                <w:i w:val="0"/>
                <w:iCs w:val="0"/>
                <w:color w:val="000000"/>
                <w:kern w:val="0"/>
                <w:sz w:val="20"/>
                <w:szCs w:val="20"/>
                <w:highlight w:val="none"/>
                <w:u w:val="none"/>
                <w:lang w:val="en-US" w:eastAsia="zh-CN" w:bidi="ar"/>
              </w:rPr>
              <w:t>指标值</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黑体" w:hAnsi="黑体" w:eastAsia="黑体" w:cs="黑体"/>
                <w:b/>
                <w:bCs/>
                <w:i w:val="0"/>
                <w:iCs w:val="0"/>
                <w:color w:val="000000"/>
                <w:sz w:val="20"/>
                <w:szCs w:val="20"/>
                <w:highlight w:val="none"/>
                <w:u w:val="none"/>
              </w:rPr>
            </w:pPr>
            <w:r>
              <w:rPr>
                <w:rFonts w:hint="eastAsia" w:ascii="黑体" w:hAnsi="黑体" w:eastAsia="黑体" w:cs="黑体"/>
                <w:b/>
                <w:bCs/>
                <w:i w:val="0"/>
                <w:iCs w:val="0"/>
                <w:color w:val="000000"/>
                <w:kern w:val="0"/>
                <w:sz w:val="20"/>
                <w:szCs w:val="20"/>
                <w:highlight w:val="none"/>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黑体" w:hAnsi="黑体" w:eastAsia="黑体" w:cs="黑体"/>
                <w:b/>
                <w:bCs/>
                <w:i w:val="0"/>
                <w:iCs w:val="0"/>
                <w:color w:val="000000"/>
                <w:sz w:val="20"/>
                <w:szCs w:val="20"/>
                <w:highlight w:val="none"/>
                <w:u w:val="none"/>
              </w:rPr>
            </w:pPr>
            <w:r>
              <w:rPr>
                <w:rFonts w:hint="eastAsia" w:ascii="黑体" w:hAnsi="黑体" w:eastAsia="黑体" w:cs="黑体"/>
                <w:b/>
                <w:bCs/>
                <w:i w:val="0"/>
                <w:iCs w:val="0"/>
                <w:color w:val="000000"/>
                <w:kern w:val="0"/>
                <w:sz w:val="20"/>
                <w:szCs w:val="20"/>
                <w:highlight w:val="none"/>
                <w:u w:val="none"/>
                <w:lang w:val="en-US" w:eastAsia="zh-CN" w:bidi="ar"/>
              </w:rPr>
              <w:t>分值权重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1122"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b w:val="0"/>
                <w:bCs w:val="0"/>
                <w:i w:val="0"/>
                <w:iCs w:val="0"/>
                <w:color w:val="000000"/>
                <w:kern w:val="0"/>
                <w:sz w:val="20"/>
                <w:szCs w:val="20"/>
                <w:highlight w:val="none"/>
                <w:u w:val="none"/>
                <w:lang w:val="en-US" w:eastAsia="zh-CN" w:bidi="ar"/>
              </w:rPr>
            </w:pPr>
            <w:r>
              <w:rPr>
                <w:rFonts w:hint="eastAsia" w:ascii="仿宋" w:hAnsi="仿宋" w:eastAsia="仿宋" w:cs="仿宋"/>
                <w:b w:val="0"/>
                <w:bCs w:val="0"/>
                <w:i w:val="0"/>
                <w:iCs w:val="0"/>
                <w:color w:val="000000"/>
                <w:kern w:val="0"/>
                <w:sz w:val="20"/>
                <w:szCs w:val="20"/>
                <w:highlight w:val="none"/>
                <w:u w:val="none"/>
                <w:lang w:val="en-US" w:eastAsia="zh-CN" w:bidi="ar"/>
              </w:rPr>
              <w:t>履职效能</w:t>
            </w:r>
          </w:p>
        </w:tc>
        <w:tc>
          <w:tcPr>
            <w:tcW w:w="136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仿宋" w:hAnsi="仿宋" w:eastAsia="仿宋" w:cs="仿宋"/>
                <w:b w:val="0"/>
                <w:bCs w:val="0"/>
                <w:i w:val="0"/>
                <w:iCs w:val="0"/>
                <w:color w:val="000000"/>
                <w:kern w:val="0"/>
                <w:sz w:val="20"/>
                <w:szCs w:val="20"/>
                <w:highlight w:val="none"/>
                <w:u w:val="none"/>
                <w:lang w:val="en-US" w:eastAsia="zh-CN" w:bidi="ar"/>
              </w:rPr>
            </w:pPr>
            <w:r>
              <w:rPr>
                <w:rFonts w:hint="eastAsia" w:ascii="仿宋" w:hAnsi="仿宋" w:eastAsia="仿宋" w:cs="仿宋"/>
                <w:b w:val="0"/>
                <w:bCs w:val="0"/>
                <w:i w:val="0"/>
                <w:iCs w:val="0"/>
                <w:color w:val="000000"/>
                <w:kern w:val="0"/>
                <w:sz w:val="20"/>
                <w:szCs w:val="20"/>
                <w:highlight w:val="none"/>
                <w:u w:val="none"/>
                <w:lang w:val="en-US" w:eastAsia="zh-CN" w:bidi="ar"/>
              </w:rPr>
              <w:t>参保扩面任务完成率</w:t>
            </w:r>
          </w:p>
        </w:tc>
        <w:tc>
          <w:tcPr>
            <w:tcW w:w="165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仿宋" w:hAnsi="仿宋" w:eastAsia="仿宋" w:cs="仿宋"/>
                <w:b w:val="0"/>
                <w:bCs w:val="0"/>
                <w:i w:val="0"/>
                <w:iCs w:val="0"/>
                <w:color w:val="000000"/>
                <w:kern w:val="2"/>
                <w:sz w:val="20"/>
                <w:szCs w:val="20"/>
                <w:highlight w:val="none"/>
                <w:u w:val="none"/>
                <w:lang w:val="en-US" w:eastAsia="zh-CN" w:bidi="ar-SA"/>
              </w:rPr>
            </w:pPr>
            <w:r>
              <w:rPr>
                <w:rFonts w:hint="eastAsia" w:ascii="仿宋" w:hAnsi="仿宋" w:eastAsia="仿宋" w:cs="仿宋"/>
                <w:b w:val="0"/>
                <w:bCs w:val="0"/>
                <w:i w:val="0"/>
                <w:iCs w:val="0"/>
                <w:color w:val="000000"/>
                <w:kern w:val="0"/>
                <w:sz w:val="20"/>
                <w:szCs w:val="20"/>
                <w:highlight w:val="none"/>
                <w:u w:val="none"/>
                <w:lang w:val="en-US" w:eastAsia="zh-CN" w:bidi="ar"/>
              </w:rPr>
              <w:t>参保扩面任务完成率</w:t>
            </w:r>
          </w:p>
        </w:tc>
        <w:tc>
          <w:tcPr>
            <w:tcW w:w="127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仿宋" w:hAnsi="仿宋" w:eastAsia="仿宋" w:cs="仿宋"/>
                <w:b w:val="0"/>
                <w:bCs w:val="0"/>
                <w:i w:val="0"/>
                <w:iCs w:val="0"/>
                <w:color w:val="000000"/>
                <w:kern w:val="2"/>
                <w:sz w:val="20"/>
                <w:szCs w:val="20"/>
                <w:highlight w:val="none"/>
                <w:u w:val="none"/>
                <w:lang w:val="en-US" w:eastAsia="zh-CN" w:bidi="ar-SA"/>
              </w:rPr>
            </w:pPr>
            <w:r>
              <w:rPr>
                <w:rFonts w:hint="eastAsia" w:ascii="仿宋" w:hAnsi="仿宋" w:eastAsia="仿宋" w:cs="仿宋"/>
                <w:b w:val="0"/>
                <w:bCs w:val="0"/>
                <w:i w:val="0"/>
                <w:iCs w:val="0"/>
                <w:color w:val="000000"/>
                <w:kern w:val="0"/>
                <w:sz w:val="20"/>
                <w:szCs w:val="20"/>
                <w:highlight w:val="none"/>
                <w:u w:val="none"/>
                <w:lang w:val="en-US" w:eastAsia="zh-CN" w:bidi="ar"/>
              </w:rPr>
              <w:t>=100%</w:t>
            </w:r>
          </w:p>
        </w:tc>
        <w:tc>
          <w:tcPr>
            <w:tcW w:w="211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仿宋" w:hAnsi="仿宋" w:eastAsia="仿宋" w:cs="仿宋"/>
                <w:b w:val="0"/>
                <w:bCs w:val="0"/>
                <w:i w:val="0"/>
                <w:iCs w:val="0"/>
                <w:color w:val="000000"/>
                <w:kern w:val="2"/>
                <w:sz w:val="20"/>
                <w:szCs w:val="20"/>
                <w:highlight w:val="none"/>
                <w:u w:val="none"/>
                <w:lang w:val="en-US" w:eastAsia="zh-CN" w:bidi="ar-SA"/>
              </w:rPr>
            </w:pPr>
            <w:r>
              <w:rPr>
                <w:rFonts w:hint="eastAsia" w:ascii="仿宋" w:hAnsi="仿宋" w:eastAsia="仿宋" w:cs="仿宋"/>
                <w:b w:val="0"/>
                <w:bCs w:val="0"/>
                <w:i w:val="0"/>
                <w:iCs w:val="0"/>
                <w:color w:val="000000"/>
                <w:kern w:val="0"/>
                <w:sz w:val="20"/>
                <w:szCs w:val="20"/>
                <w:highlight w:val="none"/>
                <w:u w:val="none"/>
                <w:lang w:val="en-US" w:eastAsia="zh-CN" w:bidi="ar"/>
              </w:rPr>
              <w:t>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仿宋" w:hAnsi="仿宋" w:eastAsia="仿宋" w:cs="仿宋"/>
                <w:b w:val="0"/>
                <w:bCs w:val="0"/>
                <w:i w:val="0"/>
                <w:iCs w:val="0"/>
                <w:color w:val="000000"/>
                <w:kern w:val="0"/>
                <w:sz w:val="20"/>
                <w:szCs w:val="20"/>
                <w:highlight w:val="none"/>
                <w:u w:val="none"/>
                <w:lang w:val="en-US" w:eastAsia="zh-CN" w:bidi="ar"/>
              </w:rPr>
            </w:pPr>
            <w:r>
              <w:rPr>
                <w:rFonts w:hint="eastAsia" w:ascii="仿宋" w:hAnsi="仿宋" w:eastAsia="仿宋" w:cs="仿宋"/>
                <w:b w:val="0"/>
                <w:bCs w:val="0"/>
                <w:i w:val="0"/>
                <w:iCs w:val="0"/>
                <w:color w:val="000000"/>
                <w:kern w:val="0"/>
                <w:sz w:val="20"/>
                <w:szCs w:val="20"/>
                <w:highlight w:val="none"/>
                <w:u w:val="none"/>
                <w:lang w:val="en-US" w:eastAsia="zh-CN" w:bidi="ar"/>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1122" w:type="dxa"/>
            <w:vMerge w:val="continue"/>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b w:val="0"/>
                <w:bCs w:val="0"/>
                <w:i w:val="0"/>
                <w:iCs w:val="0"/>
                <w:color w:val="000000"/>
                <w:kern w:val="0"/>
                <w:sz w:val="20"/>
                <w:szCs w:val="20"/>
                <w:highlight w:val="none"/>
                <w:u w:val="none"/>
                <w:lang w:val="en-US" w:eastAsia="zh-CN" w:bidi="ar"/>
              </w:rPr>
            </w:pPr>
          </w:p>
        </w:tc>
        <w:tc>
          <w:tcPr>
            <w:tcW w:w="136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仿宋" w:hAnsi="仿宋" w:eastAsia="仿宋" w:cs="仿宋"/>
                <w:b w:val="0"/>
                <w:bCs w:val="0"/>
                <w:i w:val="0"/>
                <w:iCs w:val="0"/>
                <w:color w:val="000000"/>
                <w:kern w:val="0"/>
                <w:sz w:val="20"/>
                <w:szCs w:val="20"/>
                <w:highlight w:val="none"/>
                <w:u w:val="none"/>
                <w:lang w:val="en-US" w:eastAsia="zh-CN" w:bidi="ar"/>
              </w:rPr>
            </w:pPr>
            <w:r>
              <w:rPr>
                <w:rFonts w:hint="eastAsia" w:ascii="仿宋" w:hAnsi="仿宋" w:eastAsia="仿宋" w:cs="仿宋"/>
                <w:b w:val="0"/>
                <w:bCs w:val="0"/>
                <w:i w:val="0"/>
                <w:iCs w:val="0"/>
                <w:color w:val="000000"/>
                <w:kern w:val="0"/>
                <w:sz w:val="20"/>
                <w:szCs w:val="20"/>
                <w:highlight w:val="none"/>
                <w:u w:val="none"/>
                <w:lang w:val="en-US" w:eastAsia="zh-CN" w:bidi="ar"/>
              </w:rPr>
              <w:t>领取社会保险待遇资格认证率</w:t>
            </w:r>
          </w:p>
        </w:tc>
        <w:tc>
          <w:tcPr>
            <w:tcW w:w="165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仿宋" w:hAnsi="仿宋" w:eastAsia="仿宋" w:cs="仿宋"/>
                <w:b w:val="0"/>
                <w:bCs w:val="0"/>
                <w:i w:val="0"/>
                <w:iCs w:val="0"/>
                <w:color w:val="000000"/>
                <w:kern w:val="2"/>
                <w:sz w:val="20"/>
                <w:szCs w:val="20"/>
                <w:highlight w:val="none"/>
                <w:u w:val="none"/>
                <w:lang w:val="en-US" w:eastAsia="zh-CN" w:bidi="ar-SA"/>
              </w:rPr>
            </w:pPr>
            <w:r>
              <w:rPr>
                <w:rFonts w:hint="eastAsia" w:ascii="仿宋" w:hAnsi="仿宋" w:eastAsia="仿宋" w:cs="仿宋"/>
                <w:b w:val="0"/>
                <w:bCs w:val="0"/>
                <w:i w:val="0"/>
                <w:iCs w:val="0"/>
                <w:color w:val="000000"/>
                <w:kern w:val="0"/>
                <w:sz w:val="20"/>
                <w:szCs w:val="20"/>
                <w:highlight w:val="none"/>
                <w:u w:val="none"/>
                <w:lang w:val="en-US" w:eastAsia="zh-CN" w:bidi="ar"/>
              </w:rPr>
              <w:t>领取社会保险待遇资格认证率</w:t>
            </w:r>
          </w:p>
        </w:tc>
        <w:tc>
          <w:tcPr>
            <w:tcW w:w="127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仿宋" w:hAnsi="仿宋" w:eastAsia="仿宋" w:cs="仿宋"/>
                <w:b w:val="0"/>
                <w:bCs w:val="0"/>
                <w:i w:val="0"/>
                <w:iCs w:val="0"/>
                <w:color w:val="000000"/>
                <w:kern w:val="2"/>
                <w:sz w:val="20"/>
                <w:szCs w:val="20"/>
                <w:highlight w:val="none"/>
                <w:u w:val="none"/>
                <w:lang w:val="en-US" w:eastAsia="zh-CN" w:bidi="ar-SA"/>
              </w:rPr>
            </w:pPr>
            <w:r>
              <w:rPr>
                <w:rFonts w:hint="eastAsia" w:ascii="仿宋" w:hAnsi="仿宋" w:eastAsia="仿宋" w:cs="仿宋"/>
                <w:b w:val="0"/>
                <w:bCs w:val="0"/>
                <w:i w:val="0"/>
                <w:iCs w:val="0"/>
                <w:color w:val="000000"/>
                <w:kern w:val="0"/>
                <w:sz w:val="20"/>
                <w:szCs w:val="20"/>
                <w:highlight w:val="none"/>
                <w:u w:val="none"/>
                <w:lang w:val="en-US" w:eastAsia="zh-CN" w:bidi="ar"/>
              </w:rPr>
              <w:t>=100%</w:t>
            </w:r>
          </w:p>
        </w:tc>
        <w:tc>
          <w:tcPr>
            <w:tcW w:w="211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仿宋" w:hAnsi="仿宋" w:eastAsia="仿宋" w:cs="仿宋"/>
                <w:b w:val="0"/>
                <w:bCs w:val="0"/>
                <w:i w:val="0"/>
                <w:iCs w:val="0"/>
                <w:color w:val="000000"/>
                <w:kern w:val="2"/>
                <w:sz w:val="20"/>
                <w:szCs w:val="20"/>
                <w:highlight w:val="none"/>
                <w:u w:val="none"/>
                <w:lang w:val="en-US" w:eastAsia="zh-CN" w:bidi="ar-SA"/>
              </w:rPr>
            </w:pPr>
            <w:r>
              <w:rPr>
                <w:rFonts w:hint="eastAsia" w:ascii="仿宋" w:hAnsi="仿宋" w:eastAsia="仿宋" w:cs="仿宋"/>
                <w:b w:val="0"/>
                <w:bCs w:val="0"/>
                <w:i w:val="0"/>
                <w:iCs w:val="0"/>
                <w:color w:val="000000"/>
                <w:kern w:val="0"/>
                <w:sz w:val="20"/>
                <w:szCs w:val="20"/>
                <w:highlight w:val="none"/>
                <w:u w:val="none"/>
                <w:lang w:val="en-US" w:eastAsia="zh-CN" w:bidi="ar"/>
              </w:rPr>
              <w:t>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仿宋" w:hAnsi="仿宋" w:eastAsia="仿宋" w:cs="仿宋"/>
                <w:b w:val="0"/>
                <w:bCs w:val="0"/>
                <w:i w:val="0"/>
                <w:iCs w:val="0"/>
                <w:color w:val="000000"/>
                <w:kern w:val="0"/>
                <w:sz w:val="20"/>
                <w:szCs w:val="20"/>
                <w:highlight w:val="none"/>
                <w:u w:val="none"/>
                <w:lang w:val="en-US" w:eastAsia="zh-CN" w:bidi="ar"/>
              </w:rPr>
            </w:pPr>
            <w:r>
              <w:rPr>
                <w:rFonts w:hint="eastAsia" w:ascii="仿宋" w:hAnsi="仿宋" w:eastAsia="仿宋" w:cs="仿宋"/>
                <w:b w:val="0"/>
                <w:bCs w:val="0"/>
                <w:i w:val="0"/>
                <w:iCs w:val="0"/>
                <w:color w:val="000000"/>
                <w:kern w:val="0"/>
                <w:sz w:val="20"/>
                <w:szCs w:val="20"/>
                <w:highlight w:val="none"/>
                <w:u w:val="none"/>
                <w:lang w:val="en-US" w:eastAsia="zh-CN" w:bidi="ar"/>
              </w:rPr>
              <w:t>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1122" w:type="dxa"/>
            <w:vMerge w:val="continue"/>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b w:val="0"/>
                <w:bCs w:val="0"/>
                <w:i w:val="0"/>
                <w:iCs w:val="0"/>
                <w:color w:val="000000"/>
                <w:kern w:val="0"/>
                <w:sz w:val="20"/>
                <w:szCs w:val="20"/>
                <w:highlight w:val="none"/>
                <w:u w:val="none"/>
                <w:lang w:val="en-US" w:eastAsia="zh-CN" w:bidi="ar"/>
              </w:rPr>
            </w:pPr>
          </w:p>
        </w:tc>
        <w:tc>
          <w:tcPr>
            <w:tcW w:w="136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仿宋" w:hAnsi="仿宋" w:eastAsia="仿宋" w:cs="仿宋"/>
                <w:b w:val="0"/>
                <w:bCs w:val="0"/>
                <w:i w:val="0"/>
                <w:iCs w:val="0"/>
                <w:color w:val="000000"/>
                <w:kern w:val="0"/>
                <w:sz w:val="20"/>
                <w:szCs w:val="20"/>
                <w:highlight w:val="none"/>
                <w:u w:val="none"/>
                <w:lang w:val="en-US" w:eastAsia="zh-CN" w:bidi="ar"/>
              </w:rPr>
            </w:pPr>
            <w:r>
              <w:rPr>
                <w:rFonts w:hint="eastAsia" w:ascii="仿宋" w:hAnsi="仿宋" w:eastAsia="仿宋" w:cs="仿宋"/>
                <w:b w:val="0"/>
                <w:bCs w:val="0"/>
                <w:i w:val="0"/>
                <w:iCs w:val="0"/>
                <w:color w:val="000000"/>
                <w:kern w:val="0"/>
                <w:sz w:val="20"/>
                <w:szCs w:val="20"/>
                <w:highlight w:val="none"/>
                <w:u w:val="none"/>
                <w:lang w:val="en-US" w:eastAsia="zh-CN" w:bidi="ar"/>
              </w:rPr>
              <w:t>“三项数据”核查率</w:t>
            </w:r>
          </w:p>
        </w:tc>
        <w:tc>
          <w:tcPr>
            <w:tcW w:w="165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仿宋" w:hAnsi="仿宋" w:eastAsia="仿宋" w:cs="仿宋"/>
                <w:b w:val="0"/>
                <w:bCs w:val="0"/>
                <w:i w:val="0"/>
                <w:iCs w:val="0"/>
                <w:color w:val="000000"/>
                <w:kern w:val="2"/>
                <w:sz w:val="20"/>
                <w:szCs w:val="20"/>
                <w:highlight w:val="none"/>
                <w:u w:val="none"/>
                <w:lang w:val="en-US" w:eastAsia="zh-CN" w:bidi="ar-SA"/>
              </w:rPr>
            </w:pPr>
            <w:r>
              <w:rPr>
                <w:rFonts w:hint="eastAsia" w:ascii="仿宋" w:hAnsi="仿宋" w:eastAsia="仿宋" w:cs="仿宋"/>
                <w:b w:val="0"/>
                <w:bCs w:val="0"/>
                <w:i w:val="0"/>
                <w:iCs w:val="0"/>
                <w:color w:val="000000"/>
                <w:kern w:val="0"/>
                <w:sz w:val="20"/>
                <w:szCs w:val="20"/>
                <w:highlight w:val="none"/>
                <w:u w:val="none"/>
                <w:lang w:val="en-US" w:eastAsia="zh-CN" w:bidi="ar"/>
              </w:rPr>
              <w:t>“三项数据”核查率</w:t>
            </w:r>
          </w:p>
        </w:tc>
        <w:tc>
          <w:tcPr>
            <w:tcW w:w="127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仿宋" w:hAnsi="仿宋" w:eastAsia="仿宋" w:cs="仿宋"/>
                <w:b w:val="0"/>
                <w:bCs w:val="0"/>
                <w:i w:val="0"/>
                <w:iCs w:val="0"/>
                <w:color w:val="000000"/>
                <w:kern w:val="2"/>
                <w:sz w:val="20"/>
                <w:szCs w:val="20"/>
                <w:highlight w:val="none"/>
                <w:u w:val="none"/>
                <w:lang w:val="en-US" w:eastAsia="zh-CN" w:bidi="ar-SA"/>
              </w:rPr>
            </w:pPr>
            <w:r>
              <w:rPr>
                <w:rFonts w:hint="eastAsia" w:ascii="仿宋" w:hAnsi="仿宋" w:eastAsia="仿宋" w:cs="仿宋"/>
                <w:b w:val="0"/>
                <w:bCs w:val="0"/>
                <w:i w:val="0"/>
                <w:iCs w:val="0"/>
                <w:color w:val="000000"/>
                <w:kern w:val="0"/>
                <w:sz w:val="20"/>
                <w:szCs w:val="20"/>
                <w:highlight w:val="none"/>
                <w:u w:val="none"/>
                <w:lang w:val="en-US" w:eastAsia="zh-CN" w:bidi="ar"/>
              </w:rPr>
              <w:t>=100%</w:t>
            </w:r>
          </w:p>
        </w:tc>
        <w:tc>
          <w:tcPr>
            <w:tcW w:w="211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仿宋" w:hAnsi="仿宋" w:eastAsia="仿宋" w:cs="仿宋"/>
                <w:b w:val="0"/>
                <w:bCs w:val="0"/>
                <w:i w:val="0"/>
                <w:iCs w:val="0"/>
                <w:color w:val="000000"/>
                <w:kern w:val="2"/>
                <w:sz w:val="20"/>
                <w:szCs w:val="20"/>
                <w:highlight w:val="none"/>
                <w:u w:val="none"/>
                <w:lang w:val="en-US" w:eastAsia="zh-CN" w:bidi="ar-SA"/>
              </w:rPr>
            </w:pPr>
            <w:r>
              <w:rPr>
                <w:rFonts w:hint="eastAsia" w:ascii="仿宋" w:hAnsi="仿宋" w:eastAsia="仿宋" w:cs="仿宋"/>
                <w:b w:val="0"/>
                <w:bCs w:val="0"/>
                <w:i w:val="0"/>
                <w:iCs w:val="0"/>
                <w:color w:val="000000"/>
                <w:kern w:val="0"/>
                <w:sz w:val="20"/>
                <w:szCs w:val="20"/>
                <w:highlight w:val="none"/>
                <w:u w:val="none"/>
                <w:lang w:val="en-US" w:eastAsia="zh-CN" w:bidi="ar"/>
              </w:rPr>
              <w:t>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仿宋" w:hAnsi="仿宋" w:eastAsia="仿宋" w:cs="仿宋"/>
                <w:b w:val="0"/>
                <w:bCs w:val="0"/>
                <w:i w:val="0"/>
                <w:iCs w:val="0"/>
                <w:color w:val="000000"/>
                <w:kern w:val="0"/>
                <w:sz w:val="20"/>
                <w:szCs w:val="20"/>
                <w:highlight w:val="none"/>
                <w:u w:val="none"/>
                <w:lang w:val="en-US" w:eastAsia="zh-CN" w:bidi="ar"/>
              </w:rPr>
            </w:pPr>
            <w:r>
              <w:rPr>
                <w:rFonts w:hint="eastAsia" w:ascii="仿宋" w:hAnsi="仿宋" w:eastAsia="仿宋" w:cs="仿宋"/>
                <w:b w:val="0"/>
                <w:bCs w:val="0"/>
                <w:i w:val="0"/>
                <w:iCs w:val="0"/>
                <w:color w:val="000000"/>
                <w:kern w:val="0"/>
                <w:sz w:val="20"/>
                <w:szCs w:val="20"/>
                <w:highlight w:val="none"/>
                <w:u w:val="none"/>
                <w:lang w:val="en-US" w:eastAsia="zh-CN" w:bidi="ar"/>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1122"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b w:val="0"/>
                <w:bCs w:val="0"/>
                <w:i w:val="0"/>
                <w:iCs w:val="0"/>
                <w:color w:val="000000"/>
                <w:kern w:val="0"/>
                <w:sz w:val="20"/>
                <w:szCs w:val="20"/>
                <w:highlight w:val="none"/>
                <w:u w:val="none"/>
                <w:lang w:val="en-US" w:eastAsia="zh-CN" w:bidi="ar"/>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b w:val="0"/>
                <w:bCs w:val="0"/>
                <w:i w:val="0"/>
                <w:iCs w:val="0"/>
                <w:color w:val="000000"/>
                <w:kern w:val="0"/>
                <w:sz w:val="20"/>
                <w:szCs w:val="20"/>
                <w:highlight w:val="none"/>
                <w:u w:val="none"/>
                <w:lang w:val="en-US" w:eastAsia="zh-CN" w:bidi="ar"/>
              </w:rPr>
            </w:pPr>
            <w:r>
              <w:rPr>
                <w:rFonts w:hint="eastAsia" w:ascii="仿宋" w:hAnsi="仿宋" w:eastAsia="仿宋" w:cs="仿宋"/>
                <w:b w:val="0"/>
                <w:bCs w:val="0"/>
                <w:i w:val="0"/>
                <w:iCs w:val="0"/>
                <w:color w:val="000000"/>
                <w:kern w:val="0"/>
                <w:sz w:val="20"/>
                <w:szCs w:val="20"/>
                <w:highlight w:val="none"/>
                <w:u w:val="none"/>
                <w:lang w:val="en-US" w:eastAsia="zh-CN" w:bidi="ar"/>
              </w:rPr>
              <w:t>宣传信息</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宣传信息</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sz w:val="20"/>
                <w:szCs w:val="20"/>
                <w:highlight w:val="none"/>
                <w:u w:val="none"/>
                <w:lang w:val="en-US" w:eastAsia="zh-CN"/>
              </w:rPr>
            </w:pPr>
            <w:r>
              <w:rPr>
                <w:rFonts w:hint="eastAsia" w:ascii="仿宋" w:hAnsi="仿宋" w:eastAsia="仿宋" w:cs="仿宋"/>
                <w:b w:val="0"/>
                <w:bCs w:val="0"/>
                <w:i w:val="0"/>
                <w:iCs w:val="0"/>
                <w:color w:val="000000"/>
                <w:kern w:val="0"/>
                <w:sz w:val="20"/>
                <w:szCs w:val="20"/>
                <w:highlight w:val="none"/>
                <w:u w:val="none"/>
                <w:lang w:val="en-US" w:eastAsia="zh-CN" w:bidi="ar"/>
              </w:rPr>
              <w:t>&gt;=200条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仿宋" w:hAnsi="仿宋" w:eastAsia="仿宋" w:cs="仿宋"/>
                <w:b w:val="0"/>
                <w:bCs w:val="0"/>
                <w:i w:val="0"/>
                <w:iCs w:val="0"/>
                <w:color w:val="000000"/>
                <w:kern w:val="0"/>
                <w:sz w:val="20"/>
                <w:szCs w:val="20"/>
                <w:highlight w:val="none"/>
                <w:u w:val="none"/>
                <w:lang w:val="en-US" w:eastAsia="zh-CN" w:bidi="ar"/>
              </w:rPr>
            </w:pPr>
            <w:r>
              <w:rPr>
                <w:rFonts w:hint="eastAsia" w:ascii="仿宋" w:hAnsi="仿宋" w:eastAsia="仿宋" w:cs="仿宋"/>
                <w:b w:val="0"/>
                <w:bCs w:val="0"/>
                <w:i w:val="0"/>
                <w:iCs w:val="0"/>
                <w:color w:val="000000"/>
                <w:kern w:val="0"/>
                <w:sz w:val="20"/>
                <w:szCs w:val="20"/>
                <w:highlight w:val="none"/>
                <w:u w:val="none"/>
                <w:lang w:val="en-US" w:eastAsia="zh-CN" w:bidi="ar"/>
              </w:rPr>
              <w:t>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24"/>
                <w:szCs w:val="24"/>
                <w:highlight w:val="none"/>
                <w:u w:val="none"/>
                <w:lang w:val="en-US" w:eastAsia="zh-CN"/>
              </w:rPr>
            </w:pPr>
            <w:r>
              <w:rPr>
                <w:rFonts w:hint="eastAsia" w:ascii="仿宋" w:hAnsi="仿宋" w:eastAsia="仿宋" w:cs="仿宋"/>
                <w:b w:val="0"/>
                <w:bCs w:val="0"/>
                <w:i w:val="0"/>
                <w:iCs w:val="0"/>
                <w:color w:val="000000"/>
                <w:kern w:val="0"/>
                <w:sz w:val="20"/>
                <w:szCs w:val="20"/>
                <w:highlight w:val="none"/>
                <w:u w:val="none"/>
                <w:lang w:val="en-US" w:eastAsia="zh-CN" w:bidi="ar"/>
              </w:rPr>
              <w:t>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1122" w:type="dxa"/>
            <w:tcBorders>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抖音直播活动</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抖音直播活动</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sz w:val="20"/>
                <w:szCs w:val="20"/>
                <w:highlight w:val="none"/>
                <w:u w:val="none"/>
                <w:lang w:val="en-US"/>
              </w:rPr>
            </w:pPr>
            <w:r>
              <w:rPr>
                <w:rFonts w:hint="eastAsia" w:ascii="仿宋" w:hAnsi="仿宋" w:eastAsia="仿宋" w:cs="仿宋"/>
                <w:b w:val="0"/>
                <w:bCs w:val="0"/>
                <w:i w:val="0"/>
                <w:iCs w:val="0"/>
                <w:color w:val="000000"/>
                <w:kern w:val="0"/>
                <w:sz w:val="20"/>
                <w:szCs w:val="20"/>
                <w:highlight w:val="none"/>
                <w:u w:val="none"/>
                <w:lang w:val="en-US" w:eastAsia="zh-CN" w:bidi="ar"/>
              </w:rPr>
              <w:t>&gt;=7条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b w:val="0"/>
                <w:bCs w:val="0"/>
                <w:i w:val="0"/>
                <w:iCs w:val="0"/>
                <w:color w:val="000000"/>
                <w:kern w:val="0"/>
                <w:sz w:val="20"/>
                <w:szCs w:val="20"/>
                <w:highlight w:val="none"/>
                <w:u w:val="none"/>
                <w:lang w:val="en-US" w:eastAsia="zh-CN" w:bidi="ar"/>
              </w:rPr>
            </w:pPr>
            <w:r>
              <w:rPr>
                <w:rFonts w:hint="eastAsia" w:ascii="仿宋" w:hAnsi="仿宋" w:eastAsia="仿宋" w:cs="仿宋"/>
                <w:b w:val="0"/>
                <w:bCs w:val="0"/>
                <w:i w:val="0"/>
                <w:iCs w:val="0"/>
                <w:color w:val="000000"/>
                <w:kern w:val="0"/>
                <w:sz w:val="20"/>
                <w:szCs w:val="20"/>
                <w:highlight w:val="none"/>
                <w:u w:val="none"/>
                <w:lang w:val="en-US" w:eastAsia="zh-CN" w:bidi="ar"/>
              </w:rPr>
              <w:t>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24"/>
                <w:szCs w:val="24"/>
                <w:highlight w:val="none"/>
                <w:u w:val="none"/>
                <w:lang w:val="en-US" w:eastAsia="zh-CN"/>
              </w:rPr>
            </w:pPr>
            <w:r>
              <w:rPr>
                <w:rFonts w:hint="eastAsia" w:ascii="仿宋" w:hAnsi="仿宋" w:eastAsia="仿宋" w:cs="仿宋"/>
                <w:b w:val="0"/>
                <w:bCs w:val="0"/>
                <w:i w:val="0"/>
                <w:iCs w:val="0"/>
                <w:color w:val="000000"/>
                <w:kern w:val="0"/>
                <w:sz w:val="20"/>
                <w:szCs w:val="20"/>
                <w:highlight w:val="none"/>
                <w:u w:val="none"/>
                <w:lang w:val="en-US" w:eastAsia="zh-CN" w:bidi="ar"/>
              </w:rPr>
              <w:t>20</w:t>
            </w:r>
          </w:p>
        </w:tc>
      </w:tr>
    </w:tbl>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tbl>
      <w:tblPr>
        <w:tblStyle w:val="9"/>
        <w:tblpPr w:leftFromText="180" w:rightFromText="180" w:vertAnchor="text" w:horzAnchor="page" w:tblpX="1103" w:tblpY="515"/>
        <w:tblOverlap w:val="never"/>
        <w:tblW w:w="933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822"/>
        <w:gridCol w:w="88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trPr>
        <w:tc>
          <w:tcPr>
            <w:tcW w:w="9339" w:type="dxa"/>
            <w:gridSpan w:val="9"/>
            <w:tcBorders>
              <w:top w:val="nil"/>
              <w:left w:val="nil"/>
              <w:bottom w:val="nil"/>
              <w:right w:val="nil"/>
            </w:tcBorders>
            <w:noWrap w:val="0"/>
            <w:vAlign w:val="center"/>
          </w:tcPr>
          <w:p>
            <w:pPr>
              <w:keepNext w:val="0"/>
              <w:keepLines w:val="0"/>
              <w:widowControl/>
              <w:suppressLineNumbers w:val="0"/>
              <w:jc w:val="both"/>
              <w:textAlignment w:val="center"/>
              <w:rPr>
                <w:rFonts w:hint="eastAsia" w:ascii="黑体" w:hAnsi="黑体" w:eastAsia="黑体" w:cs="黑体"/>
                <w:b/>
                <w:bCs w:val="0"/>
                <w:color w:val="auto"/>
                <w:kern w:val="0"/>
                <w:sz w:val="32"/>
                <w:szCs w:val="32"/>
                <w:highlight w:val="none"/>
                <w:lang w:val="en-US" w:eastAsia="zh-CN" w:bidi="ar"/>
              </w:rPr>
            </w:pPr>
          </w:p>
          <w:p>
            <w:pPr>
              <w:keepNext w:val="0"/>
              <w:keepLines w:val="0"/>
              <w:widowControl/>
              <w:suppressLineNumbers w:val="0"/>
              <w:jc w:val="center"/>
              <w:textAlignment w:val="center"/>
              <w:rPr>
                <w:rFonts w:hint="eastAsia" w:ascii="宋体" w:hAnsi="宋体" w:eastAsia="宋体" w:cs="宋体"/>
                <w:b/>
                <w:bCs/>
                <w:i w:val="0"/>
                <w:iCs w:val="0"/>
                <w:color w:val="auto"/>
                <w:sz w:val="32"/>
                <w:szCs w:val="32"/>
                <w:highlight w:val="none"/>
                <w:u w:val="none"/>
              </w:rPr>
            </w:pPr>
            <w:r>
              <w:rPr>
                <w:rFonts w:hint="eastAsia" w:ascii="黑体" w:hAnsi="黑体" w:eastAsia="黑体" w:cs="黑体"/>
                <w:b/>
                <w:bCs w:val="0"/>
                <w:color w:val="auto"/>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339" w:type="dxa"/>
            <w:gridSpan w:val="9"/>
            <w:tcBorders>
              <w:top w:val="nil"/>
              <w:left w:val="nil"/>
              <w:bottom w:val="nil"/>
              <w:right w:val="nil"/>
            </w:tcBorders>
            <w:noWrap w:val="0"/>
            <w:vAlign w:val="center"/>
          </w:tcPr>
          <w:p>
            <w:pPr>
              <w:jc w:val="center"/>
              <w:rPr>
                <w:rFonts w:hint="eastAsia" w:ascii="宋体" w:hAnsi="宋体" w:eastAsia="宋体" w:cs="宋体"/>
                <w:i w:val="0"/>
                <w:iCs w:val="0"/>
                <w:color w:val="auto"/>
                <w:sz w:val="24"/>
                <w:szCs w:val="24"/>
                <w:highlight w:val="none"/>
                <w:u w:val="none"/>
                <w:lang w:eastAsia="zh-Hans"/>
              </w:rPr>
            </w:pPr>
            <w:r>
              <w:rPr>
                <w:rFonts w:hint="eastAsia" w:ascii="宋体" w:hAnsi="宋体" w:eastAsia="宋体" w:cs="宋体"/>
                <w:color w:val="auto"/>
                <w:kern w:val="2"/>
                <w:sz w:val="22"/>
                <w:szCs w:val="22"/>
                <w:highlight w:val="none"/>
                <w:lang w:val="en-US" w:eastAsia="zh-Hans" w:bidi="ar-SA"/>
              </w:rPr>
              <w:t>（</w:t>
            </w:r>
            <w:r>
              <w:rPr>
                <w:rFonts w:hint="default" w:ascii="宋体" w:hAnsi="宋体" w:eastAsia="宋体" w:cs="宋体"/>
                <w:color w:val="auto"/>
                <w:kern w:val="2"/>
                <w:sz w:val="22"/>
                <w:szCs w:val="22"/>
                <w:highlight w:val="none"/>
                <w:lang w:eastAsia="zh-Hans" w:bidi="ar-SA"/>
              </w:rPr>
              <w:t>202</w:t>
            </w:r>
            <w:r>
              <w:rPr>
                <w:rFonts w:hint="eastAsia" w:ascii="宋体" w:hAnsi="宋体" w:cs="宋体"/>
                <w:color w:val="auto"/>
                <w:kern w:val="2"/>
                <w:sz w:val="22"/>
                <w:szCs w:val="22"/>
                <w:highlight w:val="none"/>
                <w:lang w:val="en-US" w:eastAsia="zh-CN" w:bidi="ar-SA"/>
              </w:rPr>
              <w:t>5</w:t>
            </w:r>
            <w:r>
              <w:rPr>
                <w:rFonts w:hint="eastAsia" w:ascii="宋体" w:hAnsi="宋体" w:eastAsia="宋体" w:cs="宋体"/>
                <w:color w:val="auto"/>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预算单位</w:t>
            </w:r>
          </w:p>
        </w:tc>
        <w:tc>
          <w:tcPr>
            <w:tcW w:w="7328" w:type="dxa"/>
            <w:gridSpan w:val="7"/>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auto"/>
                <w:sz w:val="18"/>
                <w:szCs w:val="18"/>
                <w:highlight w:val="none"/>
                <w:u w:val="none"/>
              </w:rPr>
            </w:pPr>
            <w:r>
              <w:rPr>
                <w:rFonts w:hint="eastAsia" w:ascii="宋体" w:hAnsi="宋体" w:cs="宋体"/>
                <w:i w:val="0"/>
                <w:iCs w:val="0"/>
                <w:color w:val="auto"/>
                <w:sz w:val="20"/>
                <w:szCs w:val="20"/>
                <w:highlight w:val="none"/>
                <w:u w:val="none"/>
                <w:lang w:val="en-US" w:eastAsia="zh-CN"/>
              </w:rPr>
              <w:t>呼图壁县社会保险中心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sz w:val="18"/>
                <w:szCs w:val="18"/>
                <w:highlight w:val="none"/>
                <w:u w:val="none"/>
              </w:rPr>
              <w:t>昌州财建〔2024〕160号—关于提前下达2025年4月-2026年3月1995年前退休（退职）人员生活补贴资金</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项目负责人</w:t>
            </w:r>
          </w:p>
        </w:tc>
        <w:tc>
          <w:tcPr>
            <w:tcW w:w="1707"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auto"/>
                <w:sz w:val="18"/>
                <w:szCs w:val="18"/>
                <w:highlight w:val="none"/>
                <w:u w:val="none"/>
                <w:lang w:eastAsia="zh-CN"/>
              </w:rPr>
            </w:pPr>
            <w:r>
              <w:rPr>
                <w:rFonts w:hint="eastAsia" w:ascii="宋体" w:hAnsi="宋体" w:cs="宋体"/>
                <w:i w:val="0"/>
                <w:iCs w:val="0"/>
                <w:color w:val="auto"/>
                <w:sz w:val="18"/>
                <w:szCs w:val="18"/>
                <w:highlight w:val="none"/>
                <w:u w:val="none"/>
                <w:lang w:eastAsia="zh-CN"/>
              </w:rPr>
              <w:t>沈晓路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auto"/>
                <w:sz w:val="18"/>
                <w:szCs w:val="18"/>
                <w:highlight w:val="none"/>
                <w:u w:val="none"/>
                <w:lang w:val="en-US" w:eastAsia="zh-CN"/>
              </w:rPr>
            </w:pPr>
            <w:r>
              <w:rPr>
                <w:rFonts w:hint="eastAsia" w:ascii="宋体" w:hAnsi="宋体" w:cs="宋体"/>
                <w:i w:val="0"/>
                <w:iCs w:val="0"/>
                <w:color w:val="auto"/>
                <w:sz w:val="18"/>
                <w:szCs w:val="18"/>
                <w:highlight w:val="none"/>
                <w:u w:val="none"/>
                <w:lang w:val="en-US" w:eastAsia="zh-CN"/>
              </w:rPr>
              <w:t>2.92</w:t>
            </w:r>
          </w:p>
        </w:tc>
        <w:tc>
          <w:tcPr>
            <w:tcW w:w="1455" w:type="dxa"/>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auto"/>
                <w:sz w:val="18"/>
                <w:szCs w:val="18"/>
                <w:highlight w:val="none"/>
                <w:u w:val="none"/>
                <w:lang w:val="en-US" w:eastAsia="zh-CN"/>
              </w:rPr>
            </w:pPr>
            <w:r>
              <w:rPr>
                <w:rFonts w:hint="eastAsia" w:ascii="宋体" w:hAnsi="宋体" w:cs="宋体"/>
                <w:i w:val="0"/>
                <w:iCs w:val="0"/>
                <w:color w:val="auto"/>
                <w:sz w:val="18"/>
                <w:szCs w:val="18"/>
                <w:highlight w:val="none"/>
                <w:u w:val="none"/>
                <w:lang w:val="en-US" w:eastAsia="zh-CN"/>
              </w:rPr>
              <w:t>2.92</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其他资金：</w:t>
            </w:r>
          </w:p>
        </w:tc>
        <w:tc>
          <w:tcPr>
            <w:tcW w:w="1707"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项目总体目标</w:t>
            </w:r>
          </w:p>
        </w:tc>
        <w:tc>
          <w:tcPr>
            <w:tcW w:w="7328" w:type="dxa"/>
            <w:gridSpan w:val="7"/>
            <w:tcBorders>
              <w:top w:val="single" w:color="000000" w:sz="4" w:space="0"/>
              <w:left w:val="nil"/>
              <w:bottom w:val="single" w:color="000000" w:sz="4" w:space="0"/>
              <w:right w:val="single" w:color="000000" w:sz="4" w:space="0"/>
            </w:tcBorders>
            <w:noWrap w:val="0"/>
            <w:vAlign w:val="top"/>
          </w:tcPr>
          <w:p>
            <w:pPr>
              <w:jc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sz w:val="18"/>
                <w:szCs w:val="18"/>
                <w:highlight w:val="none"/>
                <w:u w:val="none"/>
              </w:rPr>
              <w:t>主要用于自治区核定的1995年12月31日前企业退休（退职）通过实施该项目，提高其生活保障水平，减轻1993年以前退休人员经济负担，缓解社会矛盾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trPr>
        <w:tc>
          <w:tcPr>
            <w:tcW w:w="81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指标分值权重</w:t>
            </w:r>
          </w:p>
        </w:tc>
        <w:tc>
          <w:tcPr>
            <w:tcW w:w="8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指标赋分规则</w:t>
            </w:r>
          </w:p>
        </w:tc>
        <w:tc>
          <w:tcPr>
            <w:tcW w:w="88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产出指标</w:t>
            </w:r>
          </w:p>
        </w:tc>
        <w:tc>
          <w:tcPr>
            <w:tcW w:w="1200"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sz w:val="18"/>
                <w:szCs w:val="18"/>
                <w:highlight w:val="none"/>
                <w:u w:val="none"/>
              </w:rPr>
              <w:t>享受企业职工基本养老保险生活补助人次</w:t>
            </w:r>
          </w:p>
        </w:tc>
        <w:tc>
          <w:tcPr>
            <w:tcW w:w="86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eastAsia" w:ascii="宋体" w:hAnsi="宋体" w:eastAsia="宋体" w:cs="宋体"/>
                <w:i w:val="0"/>
                <w:iCs w:val="0"/>
                <w:color w:val="auto"/>
                <w:sz w:val="18"/>
                <w:szCs w:val="18"/>
                <w:highlight w:val="none"/>
                <w:u w:val="none"/>
                <w:lang w:eastAsia="zh-CN"/>
              </w:rPr>
            </w:pPr>
            <w:r>
              <w:rPr>
                <w:rFonts w:hint="eastAsia"/>
              </w:rPr>
              <w:t>≥</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auto"/>
                <w:sz w:val="18"/>
                <w:szCs w:val="18"/>
                <w:highlight w:val="none"/>
                <w:u w:val="none"/>
              </w:rPr>
            </w:pPr>
            <w:r>
              <w:rPr>
                <w:rFonts w:hint="eastAsia" w:ascii="宋体" w:hAnsi="宋体" w:cs="宋体"/>
                <w:i w:val="0"/>
                <w:iCs w:val="0"/>
                <w:color w:val="auto"/>
                <w:sz w:val="18"/>
                <w:szCs w:val="18"/>
                <w:highlight w:val="none"/>
                <w:u w:val="none"/>
                <w:lang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auto"/>
                <w:sz w:val="18"/>
                <w:szCs w:val="18"/>
                <w:highlight w:val="none"/>
                <w:u w:val="none"/>
                <w:lang w:val="en-US" w:eastAsia="zh-CN"/>
              </w:rPr>
            </w:pPr>
            <w:r>
              <w:rPr>
                <w:rFonts w:hint="eastAsia" w:ascii="宋体" w:hAnsi="宋体" w:cs="宋体"/>
                <w:i w:val="0"/>
                <w:iCs w:val="0"/>
                <w:color w:val="auto"/>
                <w:sz w:val="18"/>
                <w:szCs w:val="18"/>
                <w:highlight w:val="none"/>
                <w:u w:val="none"/>
                <w:lang w:val="en-US" w:eastAsia="zh-CN"/>
              </w:rPr>
              <w:t>=270人</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auto"/>
                <w:sz w:val="18"/>
                <w:szCs w:val="18"/>
                <w:highlight w:val="none"/>
                <w:u w:val="none"/>
                <w:lang w:val="en-US" w:eastAsia="zh-CN"/>
              </w:rPr>
            </w:pPr>
            <w:r>
              <w:rPr>
                <w:rFonts w:hint="eastAsia" w:ascii="宋体" w:hAnsi="宋体" w:cs="宋体"/>
                <w:i w:val="0"/>
                <w:iCs w:val="0"/>
                <w:color w:val="auto"/>
                <w:sz w:val="18"/>
                <w:szCs w:val="18"/>
                <w:highlight w:val="none"/>
                <w:u w:val="none"/>
                <w:lang w:val="en-US" w:eastAsia="zh-CN"/>
              </w:rPr>
              <w:t>12</w:t>
            </w:r>
          </w:p>
        </w:tc>
        <w:tc>
          <w:tcPr>
            <w:tcW w:w="82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sz w:val="18"/>
                <w:szCs w:val="18"/>
                <w:highlight w:val="none"/>
                <w:u w:val="none"/>
              </w:rPr>
              <w:t>按照完成比例赋分</w:t>
            </w:r>
          </w:p>
        </w:tc>
        <w:tc>
          <w:tcPr>
            <w:tcW w:w="88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18"/>
                <w:szCs w:val="18"/>
                <w:highlight w:val="none"/>
                <w:u w:val="none"/>
                <w:lang w:val="en-US" w:eastAsia="zh-CN" w:bidi="ar"/>
              </w:rPr>
            </w:pPr>
          </w:p>
        </w:tc>
        <w:tc>
          <w:tcPr>
            <w:tcW w:w="1200"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sz w:val="18"/>
                <w:szCs w:val="18"/>
                <w:highlight w:val="none"/>
                <w:u w:val="none"/>
              </w:rPr>
              <w:t>补助发放次数</w:t>
            </w:r>
          </w:p>
        </w:tc>
        <w:tc>
          <w:tcPr>
            <w:tcW w:w="86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eastAsia" w:ascii="宋体" w:hAnsi="宋体" w:cs="宋体"/>
                <w:i w:val="0"/>
                <w:iCs w:val="0"/>
                <w:color w:val="auto"/>
                <w:sz w:val="18"/>
                <w:szCs w:val="18"/>
                <w:highlight w:val="none"/>
                <w:u w:val="none"/>
                <w:lang w:eastAsia="zh-CN"/>
              </w:rPr>
            </w:pPr>
            <w:r>
              <w:rPr>
                <w:rFonts w:hint="eastAsia" w:ascii="宋体" w:hAnsi="宋体" w:cs="宋体"/>
                <w:i w:val="0"/>
                <w:iCs w:val="0"/>
                <w:color w:val="auto"/>
                <w:sz w:val="18"/>
                <w:szCs w:val="18"/>
                <w:highlight w:val="none"/>
                <w:u w:val="none"/>
                <w:lang w:eastAsia="zh-CN"/>
              </w:rPr>
              <w:t>≥</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i w:val="0"/>
                <w:iCs w:val="0"/>
                <w:color w:val="auto"/>
                <w:sz w:val="18"/>
                <w:szCs w:val="18"/>
                <w:highlight w:val="none"/>
                <w:u w:val="none"/>
                <w:lang w:eastAsia="zh-CN"/>
              </w:rPr>
            </w:pPr>
            <w:r>
              <w:rPr>
                <w:rFonts w:hint="eastAsia" w:ascii="宋体" w:hAnsi="宋体" w:cs="宋体"/>
                <w:i w:val="0"/>
                <w:iCs w:val="0"/>
                <w:color w:val="auto"/>
                <w:sz w:val="18"/>
                <w:szCs w:val="18"/>
                <w:highlight w:val="none"/>
                <w:u w:val="none"/>
                <w:lang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cs="宋体"/>
                <w:i w:val="0"/>
                <w:iCs w:val="0"/>
                <w:color w:val="auto"/>
                <w:sz w:val="18"/>
                <w:szCs w:val="18"/>
                <w:highlight w:val="none"/>
                <w:u w:val="none"/>
                <w:lang w:val="en-US" w:eastAsia="zh-CN"/>
              </w:rPr>
            </w:pPr>
            <w:r>
              <w:rPr>
                <w:rFonts w:hint="eastAsia" w:ascii="仿宋" w:hAnsi="仿宋" w:eastAsia="仿宋" w:cs="仿宋"/>
                <w:b w:val="0"/>
                <w:bCs w:val="0"/>
                <w:i w:val="0"/>
                <w:iCs w:val="0"/>
                <w:color w:val="auto"/>
                <w:kern w:val="0"/>
                <w:sz w:val="20"/>
                <w:szCs w:val="20"/>
                <w:highlight w:val="none"/>
                <w:u w:val="none"/>
                <w:lang w:val="en-US" w:eastAsia="zh-CN" w:bidi="ar"/>
              </w:rPr>
              <w:t>&gt;=12次</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cs="宋体"/>
                <w:i w:val="0"/>
                <w:iCs w:val="0"/>
                <w:color w:val="auto"/>
                <w:sz w:val="18"/>
                <w:szCs w:val="18"/>
                <w:highlight w:val="none"/>
                <w:u w:val="none"/>
                <w:lang w:val="en-US" w:eastAsia="zh-CN"/>
              </w:rPr>
            </w:pPr>
            <w:r>
              <w:rPr>
                <w:rFonts w:hint="eastAsia" w:ascii="宋体" w:hAnsi="宋体" w:cs="宋体"/>
                <w:i w:val="0"/>
                <w:iCs w:val="0"/>
                <w:color w:val="auto"/>
                <w:sz w:val="18"/>
                <w:szCs w:val="18"/>
                <w:highlight w:val="none"/>
                <w:u w:val="none"/>
                <w:lang w:val="en-US" w:eastAsia="zh-CN"/>
              </w:rPr>
              <w:t>11</w:t>
            </w:r>
          </w:p>
        </w:tc>
        <w:tc>
          <w:tcPr>
            <w:tcW w:w="82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sz w:val="18"/>
                <w:szCs w:val="18"/>
                <w:highlight w:val="none"/>
                <w:u w:val="none"/>
              </w:rPr>
              <w:t>按照完成比例赋分</w:t>
            </w:r>
          </w:p>
        </w:tc>
        <w:tc>
          <w:tcPr>
            <w:tcW w:w="88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auto"/>
                <w:sz w:val="18"/>
                <w:szCs w:val="18"/>
                <w:highlight w:val="none"/>
                <w:u w:val="none"/>
              </w:rPr>
            </w:pPr>
          </w:p>
        </w:tc>
        <w:tc>
          <w:tcPr>
            <w:tcW w:w="1200" w:type="dxa"/>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sz w:val="18"/>
                <w:szCs w:val="18"/>
                <w:highlight w:val="none"/>
                <w:u w:val="none"/>
              </w:rPr>
              <w:t>补助发放覆盖率</w:t>
            </w:r>
          </w:p>
        </w:tc>
        <w:tc>
          <w:tcPr>
            <w:tcW w:w="86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eastAsia" w:ascii="宋体" w:hAnsi="宋体" w:eastAsia="宋体" w:cs="宋体"/>
                <w:i w:val="0"/>
                <w:iCs w:val="0"/>
                <w:color w:val="auto"/>
                <w:sz w:val="18"/>
                <w:szCs w:val="18"/>
                <w:highlight w:val="none"/>
                <w:u w:val="none"/>
              </w:rPr>
            </w:pPr>
            <w:r>
              <w:rPr>
                <w:rFonts w:hint="eastAsia" w:ascii="宋体" w:hAnsi="宋体" w:cs="宋体"/>
                <w:i w:val="0"/>
                <w:iCs w:val="0"/>
                <w:color w:val="auto"/>
                <w:sz w:val="18"/>
                <w:szCs w:val="18"/>
                <w:highlight w:val="none"/>
                <w:u w:val="none"/>
                <w:lang w:eastAsia="zh-CN"/>
              </w:rPr>
              <w:t>=</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auto"/>
                <w:sz w:val="18"/>
                <w:szCs w:val="18"/>
                <w:highlight w:val="none"/>
                <w:u w:val="none"/>
              </w:rPr>
            </w:pPr>
            <w:r>
              <w:rPr>
                <w:rFonts w:hint="eastAsia" w:ascii="宋体" w:hAnsi="宋体" w:cs="宋体"/>
                <w:i w:val="0"/>
                <w:iCs w:val="0"/>
                <w:color w:val="auto"/>
                <w:sz w:val="18"/>
                <w:szCs w:val="18"/>
                <w:highlight w:val="none"/>
                <w:u w:val="none"/>
                <w:lang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auto"/>
                <w:sz w:val="18"/>
                <w:szCs w:val="18"/>
                <w:highlight w:val="none"/>
                <w:u w:val="none"/>
                <w:lang w:val="en-US"/>
              </w:rPr>
            </w:pPr>
            <w:r>
              <w:rPr>
                <w:rFonts w:hint="eastAsia" w:ascii="仿宋" w:hAnsi="仿宋" w:eastAsia="仿宋" w:cs="仿宋"/>
                <w:b w:val="0"/>
                <w:bCs w:val="0"/>
                <w:i w:val="0"/>
                <w:iCs w:val="0"/>
                <w:color w:val="auto"/>
                <w:kern w:val="0"/>
                <w:sz w:val="20"/>
                <w:szCs w:val="20"/>
                <w:highlight w:val="none"/>
                <w:u w:val="none"/>
                <w:lang w:val="en-US" w:eastAsia="zh-CN" w:bidi="ar"/>
              </w:rPr>
              <w:t>&gt;=100%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auto"/>
                <w:sz w:val="18"/>
                <w:szCs w:val="18"/>
                <w:highlight w:val="none"/>
                <w:u w:val="none"/>
                <w:lang w:val="en-US" w:eastAsia="zh-CN"/>
              </w:rPr>
            </w:pPr>
            <w:r>
              <w:rPr>
                <w:rFonts w:hint="eastAsia" w:ascii="宋体" w:hAnsi="宋体" w:cs="宋体"/>
                <w:i w:val="0"/>
                <w:iCs w:val="0"/>
                <w:color w:val="auto"/>
                <w:sz w:val="18"/>
                <w:szCs w:val="18"/>
                <w:highlight w:val="none"/>
                <w:u w:val="none"/>
                <w:lang w:val="en-US" w:eastAsia="zh-CN"/>
              </w:rPr>
              <w:t>9</w:t>
            </w:r>
          </w:p>
        </w:tc>
        <w:tc>
          <w:tcPr>
            <w:tcW w:w="82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sz w:val="18"/>
                <w:szCs w:val="18"/>
                <w:highlight w:val="none"/>
                <w:u w:val="none"/>
              </w:rPr>
              <w:t>按照完成比例赋分</w:t>
            </w:r>
          </w:p>
        </w:tc>
        <w:tc>
          <w:tcPr>
            <w:tcW w:w="88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auto"/>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时效指标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sz w:val="18"/>
                <w:szCs w:val="18"/>
                <w:highlight w:val="none"/>
                <w:u w:val="none"/>
              </w:rPr>
              <w:t>补助资金发放及时率</w:t>
            </w:r>
          </w:p>
        </w:tc>
        <w:tc>
          <w:tcPr>
            <w:tcW w:w="86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eastAsia" w:ascii="宋体" w:hAnsi="宋体" w:eastAsia="宋体" w:cs="宋体"/>
                <w:i w:val="0"/>
                <w:iCs w:val="0"/>
                <w:color w:val="auto"/>
                <w:sz w:val="18"/>
                <w:szCs w:val="18"/>
                <w:highlight w:val="none"/>
                <w:u w:val="none"/>
              </w:rPr>
            </w:pPr>
            <w:r>
              <w:rPr>
                <w:rFonts w:hint="eastAsia" w:ascii="宋体" w:hAnsi="宋体" w:cs="宋体"/>
                <w:i w:val="0"/>
                <w:iCs w:val="0"/>
                <w:color w:val="auto"/>
                <w:sz w:val="18"/>
                <w:szCs w:val="18"/>
                <w:highlight w:val="none"/>
                <w:u w:val="none"/>
                <w:lang w:eastAsia="zh-CN"/>
              </w:rPr>
              <w:t>=</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auto"/>
                <w:sz w:val="18"/>
                <w:szCs w:val="18"/>
                <w:highlight w:val="none"/>
                <w:u w:val="none"/>
              </w:rPr>
            </w:pPr>
            <w:r>
              <w:rPr>
                <w:rFonts w:hint="eastAsia" w:ascii="宋体" w:hAnsi="宋体" w:cs="宋体"/>
                <w:i w:val="0"/>
                <w:iCs w:val="0"/>
                <w:color w:val="auto"/>
                <w:sz w:val="18"/>
                <w:szCs w:val="18"/>
                <w:highlight w:val="none"/>
                <w:u w:val="none"/>
                <w:lang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auto"/>
                <w:sz w:val="18"/>
                <w:szCs w:val="18"/>
                <w:highlight w:val="none"/>
                <w:u w:val="none"/>
              </w:rPr>
            </w:pPr>
            <w:r>
              <w:rPr>
                <w:rFonts w:hint="eastAsia" w:ascii="仿宋" w:hAnsi="仿宋" w:eastAsia="仿宋" w:cs="仿宋"/>
                <w:b w:val="0"/>
                <w:bCs w:val="0"/>
                <w:i w:val="0"/>
                <w:iCs w:val="0"/>
                <w:color w:val="auto"/>
                <w:kern w:val="0"/>
                <w:sz w:val="20"/>
                <w:szCs w:val="20"/>
                <w:highlight w:val="none"/>
                <w:u w:val="none"/>
                <w:lang w:val="en-US" w:eastAsia="zh-CN" w:bidi="ar"/>
              </w:rPr>
              <w:t>&gt;=100%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auto"/>
                <w:sz w:val="18"/>
                <w:szCs w:val="18"/>
                <w:highlight w:val="none"/>
                <w:u w:val="none"/>
                <w:lang w:val="en-US" w:eastAsia="zh-CN"/>
              </w:rPr>
            </w:pPr>
            <w:r>
              <w:rPr>
                <w:rFonts w:hint="eastAsia" w:ascii="宋体" w:hAnsi="宋体" w:cs="宋体"/>
                <w:i w:val="0"/>
                <w:iCs w:val="0"/>
                <w:color w:val="auto"/>
                <w:sz w:val="18"/>
                <w:szCs w:val="18"/>
                <w:highlight w:val="none"/>
                <w:u w:val="none"/>
                <w:lang w:val="en-US" w:eastAsia="zh-CN"/>
              </w:rPr>
              <w:t>8</w:t>
            </w:r>
          </w:p>
        </w:tc>
        <w:tc>
          <w:tcPr>
            <w:tcW w:w="82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sz w:val="18"/>
                <w:szCs w:val="18"/>
                <w:highlight w:val="none"/>
                <w:u w:val="none"/>
              </w:rPr>
              <w:t>按照完成比例赋分</w:t>
            </w:r>
          </w:p>
        </w:tc>
        <w:tc>
          <w:tcPr>
            <w:tcW w:w="88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成本指标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sz w:val="18"/>
                <w:szCs w:val="18"/>
                <w:highlight w:val="none"/>
                <w:u w:val="none"/>
              </w:rPr>
              <w:t>企业职工人均补助标准</w:t>
            </w:r>
          </w:p>
        </w:tc>
        <w:tc>
          <w:tcPr>
            <w:tcW w:w="86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eastAsia" w:ascii="宋体" w:hAnsi="宋体" w:eastAsia="宋体" w:cs="宋体"/>
                <w:i w:val="0"/>
                <w:iCs w:val="0"/>
                <w:color w:val="auto"/>
                <w:sz w:val="18"/>
                <w:szCs w:val="18"/>
                <w:highlight w:val="none"/>
                <w:u w:val="none"/>
              </w:rPr>
            </w:pPr>
            <w:r>
              <w:rPr>
                <w:rFonts w:hint="eastAsia" w:ascii="宋体" w:hAnsi="宋体" w:cs="宋体"/>
                <w:i w:val="0"/>
                <w:iCs w:val="0"/>
                <w:color w:val="auto"/>
                <w:sz w:val="18"/>
                <w:szCs w:val="18"/>
                <w:highlight w:val="none"/>
                <w:u w:val="none"/>
                <w:lang w:eastAsia="zh-CN"/>
              </w:rPr>
              <w:t>=</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auto"/>
                <w:sz w:val="18"/>
                <w:szCs w:val="18"/>
                <w:highlight w:val="none"/>
                <w:u w:val="none"/>
              </w:rPr>
            </w:pPr>
            <w:r>
              <w:rPr>
                <w:rFonts w:hint="eastAsia" w:ascii="宋体" w:hAnsi="宋体" w:cs="宋体"/>
                <w:i w:val="0"/>
                <w:iCs w:val="0"/>
                <w:color w:val="auto"/>
                <w:sz w:val="18"/>
                <w:szCs w:val="18"/>
                <w:highlight w:val="none"/>
                <w:u w:val="none"/>
                <w:lang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auto"/>
                <w:sz w:val="18"/>
                <w:szCs w:val="18"/>
                <w:highlight w:val="none"/>
                <w:u w:val="none"/>
                <w:lang w:val="en-US" w:eastAsia="zh-CN"/>
              </w:rPr>
            </w:pPr>
            <w:r>
              <w:rPr>
                <w:rFonts w:hint="eastAsia" w:ascii="宋体" w:hAnsi="宋体" w:cs="宋体"/>
                <w:i w:val="0"/>
                <w:iCs w:val="0"/>
                <w:color w:val="auto"/>
                <w:sz w:val="18"/>
                <w:szCs w:val="18"/>
                <w:highlight w:val="none"/>
                <w:u w:val="none"/>
                <w:lang w:val="en-US" w:eastAsia="zh-CN"/>
              </w:rPr>
              <w:t>=120元/人/月</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auto"/>
                <w:sz w:val="18"/>
                <w:szCs w:val="18"/>
                <w:highlight w:val="none"/>
                <w:u w:val="none"/>
                <w:lang w:val="en-US" w:eastAsia="zh-CN"/>
              </w:rPr>
            </w:pPr>
            <w:r>
              <w:rPr>
                <w:rFonts w:hint="eastAsia" w:ascii="宋体" w:hAnsi="宋体" w:cs="宋体"/>
                <w:i w:val="0"/>
                <w:iCs w:val="0"/>
                <w:color w:val="auto"/>
                <w:sz w:val="18"/>
                <w:szCs w:val="18"/>
                <w:highlight w:val="none"/>
                <w:u w:val="none"/>
                <w:lang w:val="en-US" w:eastAsia="zh-CN"/>
              </w:rPr>
              <w:t>20</w:t>
            </w:r>
          </w:p>
        </w:tc>
        <w:tc>
          <w:tcPr>
            <w:tcW w:w="822"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sz w:val="18"/>
                <w:szCs w:val="18"/>
                <w:highlight w:val="none"/>
                <w:u w:val="none"/>
              </w:rPr>
              <w:t>按照完成比例赋分</w:t>
            </w:r>
          </w:p>
        </w:tc>
        <w:tc>
          <w:tcPr>
            <w:tcW w:w="88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tcBorders>
              <w:top w:val="single" w:color="000000" w:sz="4" w:space="0"/>
              <w:left w:val="single" w:color="000000" w:sz="4" w:space="0"/>
              <w:right w:val="single" w:color="000000" w:sz="4" w:space="0"/>
            </w:tcBorders>
            <w:noWrap w:val="0"/>
            <w:vAlign w:val="center"/>
          </w:tcPr>
          <w:p>
            <w:pPr>
              <w:jc w:val="center"/>
              <w:rPr>
                <w:rFonts w:hint="eastAsia" w:ascii="宋体" w:hAnsi="宋体" w:eastAsia="宋体" w:cs="宋体"/>
                <w:i w:val="0"/>
                <w:iCs w:val="0"/>
                <w:color w:val="auto"/>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auto"/>
                <w:sz w:val="18"/>
                <w:szCs w:val="18"/>
                <w:highlight w:val="none"/>
                <w:u w:val="none"/>
                <w:lang w:val="en-US" w:eastAsia="zh-CN"/>
              </w:rPr>
            </w:pPr>
            <w:r>
              <w:rPr>
                <w:rFonts w:hint="eastAsia" w:ascii="宋体" w:hAnsi="宋体" w:cs="宋体"/>
                <w:i w:val="0"/>
                <w:iCs w:val="0"/>
                <w:color w:val="auto"/>
                <w:sz w:val="18"/>
                <w:szCs w:val="18"/>
                <w:highlight w:val="none"/>
                <w:u w:val="none"/>
                <w:lang w:eastAsia="zh-CN"/>
              </w:rPr>
              <w:t>减轻</w:t>
            </w:r>
            <w:r>
              <w:rPr>
                <w:rFonts w:hint="eastAsia" w:ascii="宋体" w:hAnsi="宋体" w:cs="宋体"/>
                <w:i w:val="0"/>
                <w:iCs w:val="0"/>
                <w:color w:val="auto"/>
                <w:sz w:val="18"/>
                <w:szCs w:val="18"/>
                <w:highlight w:val="none"/>
                <w:u w:val="none"/>
                <w:lang w:val="en-US" w:eastAsia="zh-CN"/>
              </w:rPr>
              <w:t>1995年以前退休人员经济负担</w:t>
            </w:r>
          </w:p>
        </w:tc>
        <w:tc>
          <w:tcPr>
            <w:tcW w:w="86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eastAsia" w:ascii="宋体" w:hAnsi="宋体" w:eastAsia="宋体" w:cs="宋体"/>
                <w:i w:val="0"/>
                <w:iCs w:val="0"/>
                <w:color w:val="auto"/>
                <w:sz w:val="18"/>
                <w:szCs w:val="18"/>
                <w:highlight w:val="none"/>
                <w:u w:val="none"/>
                <w:lang w:eastAsia="zh-CN"/>
              </w:rPr>
            </w:pPr>
            <w:r>
              <w:rPr>
                <w:rFonts w:hint="eastAsia" w:ascii="宋体" w:hAnsi="宋体" w:cs="宋体"/>
                <w:i w:val="0"/>
                <w:iCs w:val="0"/>
                <w:color w:val="auto"/>
                <w:sz w:val="18"/>
                <w:szCs w:val="18"/>
                <w:highlight w:val="none"/>
                <w:u w:val="none"/>
                <w:lang w:eastAsia="zh-CN"/>
              </w:rPr>
              <w:t>文字描述</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auto"/>
                <w:sz w:val="18"/>
                <w:szCs w:val="18"/>
                <w:highlight w:val="none"/>
                <w:u w:val="none"/>
                <w:lang w:eastAsia="zh-CN"/>
              </w:rPr>
            </w:pPr>
            <w:r>
              <w:rPr>
                <w:rFonts w:hint="eastAsia" w:ascii="宋体" w:hAnsi="宋体" w:cs="宋体"/>
                <w:i w:val="0"/>
                <w:iCs w:val="0"/>
                <w:color w:val="auto"/>
                <w:sz w:val="18"/>
                <w:szCs w:val="18"/>
                <w:highlight w:val="none"/>
                <w:u w:val="none"/>
                <w:lang w:eastAsia="zh-CN"/>
              </w:rPr>
              <w:t>其他标准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auto"/>
                <w:sz w:val="18"/>
                <w:szCs w:val="18"/>
                <w:highlight w:val="none"/>
                <w:u w:val="none"/>
                <w:lang w:eastAsia="zh-CN"/>
              </w:rPr>
            </w:pPr>
            <w:r>
              <w:rPr>
                <w:rFonts w:hint="eastAsia" w:ascii="宋体" w:hAnsi="宋体" w:cs="宋体"/>
                <w:i w:val="0"/>
                <w:iCs w:val="0"/>
                <w:color w:val="auto"/>
                <w:sz w:val="18"/>
                <w:szCs w:val="18"/>
                <w:highlight w:val="none"/>
                <w:u w:val="none"/>
                <w:lang w:eastAsia="zh-CN"/>
              </w:rPr>
              <w:t>有效减轻</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auto"/>
                <w:sz w:val="18"/>
                <w:szCs w:val="18"/>
                <w:highlight w:val="none"/>
                <w:u w:val="none"/>
                <w:lang w:val="en-US" w:eastAsia="zh-CN"/>
              </w:rPr>
            </w:pPr>
            <w:r>
              <w:rPr>
                <w:rFonts w:hint="eastAsia" w:ascii="宋体" w:hAnsi="宋体" w:cs="宋体"/>
                <w:i w:val="0"/>
                <w:iCs w:val="0"/>
                <w:color w:val="auto"/>
                <w:sz w:val="18"/>
                <w:szCs w:val="18"/>
                <w:highlight w:val="none"/>
                <w:u w:val="none"/>
                <w:lang w:val="en-US" w:eastAsia="zh-CN"/>
              </w:rPr>
              <w:t>20</w:t>
            </w:r>
          </w:p>
        </w:tc>
        <w:tc>
          <w:tcPr>
            <w:tcW w:w="82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auto"/>
                <w:sz w:val="18"/>
                <w:szCs w:val="18"/>
                <w:highlight w:val="none"/>
                <w:u w:val="none"/>
                <w:lang w:eastAsia="zh-CN"/>
              </w:rPr>
            </w:pPr>
            <w:r>
              <w:rPr>
                <w:rFonts w:hint="eastAsia" w:ascii="宋体" w:hAnsi="宋体" w:cs="宋体"/>
                <w:i w:val="0"/>
                <w:iCs w:val="0"/>
                <w:color w:val="auto"/>
                <w:sz w:val="18"/>
                <w:szCs w:val="18"/>
                <w:highlight w:val="none"/>
                <w:u w:val="none"/>
                <w:lang w:eastAsia="zh-CN"/>
              </w:rPr>
              <w:t>按评判等级赋分</w:t>
            </w:r>
          </w:p>
        </w:tc>
        <w:tc>
          <w:tcPr>
            <w:tcW w:w="88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trPr>
        <w:tc>
          <w:tcPr>
            <w:tcW w:w="81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auto"/>
                <w:sz w:val="18"/>
                <w:szCs w:val="18"/>
                <w:highlight w:val="none"/>
                <w:u w:val="none"/>
                <w:lang w:eastAsia="zh-CN"/>
              </w:rPr>
            </w:pPr>
            <w:r>
              <w:rPr>
                <w:rFonts w:hint="eastAsia" w:ascii="宋体" w:hAnsi="宋体" w:cs="宋体"/>
                <w:i w:val="0"/>
                <w:iCs w:val="0"/>
                <w:color w:val="auto"/>
                <w:sz w:val="18"/>
                <w:szCs w:val="18"/>
                <w:highlight w:val="none"/>
                <w:u w:val="none"/>
                <w:lang w:eastAsia="zh-CN"/>
              </w:rPr>
              <w:t>退休人员满意度</w:t>
            </w:r>
          </w:p>
        </w:tc>
        <w:tc>
          <w:tcPr>
            <w:tcW w:w="86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eastAsia" w:ascii="宋体" w:hAnsi="宋体" w:eastAsia="宋体" w:cs="宋体"/>
                <w:i w:val="0"/>
                <w:iCs w:val="0"/>
                <w:color w:val="auto"/>
                <w:sz w:val="18"/>
                <w:szCs w:val="18"/>
                <w:highlight w:val="none"/>
                <w:u w:val="none"/>
                <w:lang w:eastAsia="zh-CN"/>
              </w:rPr>
            </w:pPr>
            <w:r>
              <w:rPr>
                <w:rFonts w:hint="eastAsia" w:ascii="宋体" w:hAnsi="宋体" w:cs="宋体"/>
                <w:i w:val="0"/>
                <w:iCs w:val="0"/>
                <w:color w:val="auto"/>
                <w:sz w:val="18"/>
                <w:szCs w:val="18"/>
                <w:highlight w:val="none"/>
                <w:u w:val="none"/>
                <w:lang w:eastAsia="zh-CN"/>
              </w:rPr>
              <w:t>文字描述</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auto"/>
                <w:sz w:val="18"/>
                <w:szCs w:val="18"/>
                <w:highlight w:val="none"/>
                <w:u w:val="none"/>
              </w:rPr>
            </w:pPr>
            <w:r>
              <w:rPr>
                <w:rFonts w:hint="eastAsia" w:ascii="宋体" w:hAnsi="宋体" w:cs="宋体"/>
                <w:i w:val="0"/>
                <w:iCs w:val="0"/>
                <w:color w:val="auto"/>
                <w:sz w:val="18"/>
                <w:szCs w:val="18"/>
                <w:highlight w:val="none"/>
                <w:u w:val="none"/>
                <w:lang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auto"/>
                <w:sz w:val="18"/>
                <w:szCs w:val="18"/>
                <w:highlight w:val="none"/>
                <w:u w:val="none"/>
              </w:rPr>
            </w:pPr>
            <w:r>
              <w:rPr>
                <w:rFonts w:hint="eastAsia" w:ascii="仿宋" w:hAnsi="仿宋" w:eastAsia="仿宋" w:cs="仿宋"/>
                <w:b w:val="0"/>
                <w:bCs w:val="0"/>
                <w:i w:val="0"/>
                <w:iCs w:val="0"/>
                <w:color w:val="auto"/>
                <w:kern w:val="0"/>
                <w:sz w:val="20"/>
                <w:szCs w:val="20"/>
                <w:highlight w:val="none"/>
                <w:u w:val="none"/>
                <w:lang w:val="en-US" w:eastAsia="zh-CN" w:bidi="ar"/>
              </w:rPr>
              <w:t>&gt;=90%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auto"/>
                <w:sz w:val="18"/>
                <w:szCs w:val="18"/>
                <w:highlight w:val="none"/>
                <w:u w:val="none"/>
                <w:lang w:val="en-US" w:eastAsia="zh-CN"/>
              </w:rPr>
            </w:pPr>
            <w:r>
              <w:rPr>
                <w:rFonts w:hint="eastAsia" w:ascii="宋体" w:hAnsi="宋体" w:cs="宋体"/>
                <w:i w:val="0"/>
                <w:iCs w:val="0"/>
                <w:color w:val="auto"/>
                <w:sz w:val="18"/>
                <w:szCs w:val="18"/>
                <w:highlight w:val="none"/>
                <w:u w:val="none"/>
                <w:lang w:val="en-US" w:eastAsia="zh-CN"/>
              </w:rPr>
              <w:t>10</w:t>
            </w:r>
          </w:p>
        </w:tc>
        <w:tc>
          <w:tcPr>
            <w:tcW w:w="82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auto"/>
                <w:sz w:val="18"/>
                <w:szCs w:val="18"/>
                <w:highlight w:val="none"/>
                <w:u w:val="none"/>
                <w:lang w:eastAsia="zh-CN"/>
              </w:rPr>
            </w:pPr>
            <w:r>
              <w:rPr>
                <w:rFonts w:hint="eastAsia" w:ascii="宋体" w:hAnsi="宋体" w:cs="宋体"/>
                <w:i w:val="0"/>
                <w:iCs w:val="0"/>
                <w:color w:val="auto"/>
                <w:sz w:val="18"/>
                <w:szCs w:val="18"/>
                <w:highlight w:val="none"/>
                <w:u w:val="none"/>
                <w:lang w:eastAsia="zh-CN"/>
              </w:rPr>
              <w:t>满意度赋分</w:t>
            </w:r>
          </w:p>
        </w:tc>
        <w:tc>
          <w:tcPr>
            <w:tcW w:w="88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sz w:val="18"/>
                <w:szCs w:val="18"/>
                <w:highlight w:val="none"/>
                <w:u w:val="none"/>
              </w:rPr>
              <w:t>工作资料</w:t>
            </w:r>
          </w:p>
        </w:tc>
      </w:tr>
    </w:tbl>
    <w:p>
      <w:pPr>
        <w:keepNext w:val="0"/>
        <w:keepLines w:val="0"/>
        <w:pageBreakBefore w:val="0"/>
        <w:widowControl w:val="0"/>
        <w:kinsoku/>
        <w:wordWrap/>
        <w:overflowPunct/>
        <w:topLinePunct w:val="0"/>
        <w:autoSpaceDE/>
        <w:autoSpaceDN/>
        <w:bidi w:val="0"/>
        <w:adjustRightInd/>
        <w:snapToGrid/>
        <w:spacing w:before="0" w:beforeLines="0" w:line="600" w:lineRule="exact"/>
        <w:jc w:val="both"/>
        <w:textAlignment w:val="auto"/>
        <w:outlineLvl w:val="9"/>
        <w:rPr>
          <w:rFonts w:hint="eastAsia" w:ascii="楷体_GB2312" w:hAnsi="宋体" w:eastAsia="楷体_GB2312" w:cs="宋体"/>
          <w:b/>
          <w:kern w:val="0"/>
          <w:sz w:val="32"/>
          <w:szCs w:val="32"/>
          <w:highlight w:val="none"/>
        </w:rPr>
      </w:pPr>
      <w:r>
        <w:rPr>
          <w:rFonts w:hint="eastAsia" w:ascii="楷体_GB2312" w:hAnsi="宋体" w:eastAsia="楷体_GB2312" w:cs="宋体"/>
          <w:b/>
          <w:kern w:val="0"/>
          <w:sz w:val="32"/>
          <w:szCs w:val="32"/>
          <w:highlight w:val="none"/>
        </w:rPr>
        <w:t>（五）其他需说明的事项</w:t>
      </w:r>
    </w:p>
    <w:p>
      <w:pPr>
        <w:keepNext w:val="0"/>
        <w:keepLines w:val="0"/>
        <w:pageBreakBefore w:val="0"/>
        <w:widowControl w:val="0"/>
        <w:kinsoku/>
        <w:wordWrap/>
        <w:overflowPunct/>
        <w:topLinePunct w:val="0"/>
        <w:autoSpaceDE/>
        <w:autoSpaceDN/>
        <w:bidi w:val="0"/>
        <w:adjustRightInd/>
        <w:snapToGrid/>
        <w:spacing w:before="0" w:beforeLines="0" w:line="600" w:lineRule="exact"/>
        <w:jc w:val="left"/>
        <w:textAlignment w:val="auto"/>
        <w:outlineLvl w:val="9"/>
        <w:rPr>
          <w:rFonts w:hint="default" w:ascii="黑体" w:hAnsi="黑体" w:eastAsia="黑体"/>
          <w:b/>
          <w:bCs/>
          <w:kern w:val="0"/>
          <w:sz w:val="32"/>
          <w:szCs w:val="32"/>
          <w:highlight w:val="none"/>
          <w:lang w:val="en-US"/>
        </w:rPr>
      </w:pPr>
      <w:r>
        <w:rPr>
          <w:rFonts w:hint="eastAsia" w:ascii="仿宋_GB2312" w:hAnsi="仿宋_GB2312" w:eastAsia="仿宋_GB2312" w:cs="仿宋_GB2312"/>
          <w:b w:val="0"/>
          <w:bCs w:val="0"/>
          <w:color w:val="auto"/>
          <w:kern w:val="0"/>
          <w:sz w:val="32"/>
          <w:szCs w:val="32"/>
          <w:highlight w:val="none"/>
          <w:lang w:val="en-US" w:eastAsia="zh-CN"/>
        </w:rPr>
        <w:t>本部门无其他需说明事项。</w:t>
      </w:r>
      <w:bookmarkStart w:id="1" w:name="_GoBack"/>
      <w:bookmarkEnd w:id="1"/>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b/>
          <w:bCs/>
          <w:kern w:val="0"/>
          <w:sz w:val="32"/>
          <w:szCs w:val="32"/>
          <w:highlight w:val="none"/>
        </w:rPr>
      </w:pPr>
      <w:r>
        <w:rPr>
          <w:rFonts w:hint="eastAsia" w:ascii="黑体" w:hAnsi="黑体" w:eastAsia="黑体"/>
          <w:b/>
          <w:bCs/>
          <w:kern w:val="0"/>
          <w:sz w:val="32"/>
          <w:szCs w:val="32"/>
          <w:highlight w:val="none"/>
        </w:rPr>
        <w:t>第四部分  名词解释</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黑体" w:hAnsi="黑体" w:eastAsia="黑体"/>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sz w:val="32"/>
          <w:szCs w:val="32"/>
          <w:highlight w:val="none"/>
        </w:rPr>
      </w:pPr>
      <w:r>
        <w:rPr>
          <w:rFonts w:hint="eastAsia" w:ascii="楷体_GB2312" w:hAnsi="楷体_GB2312" w:eastAsia="楷体_GB2312" w:cs="楷体_GB2312"/>
          <w:b/>
          <w:bCs/>
          <w:sz w:val="32"/>
          <w:szCs w:val="32"/>
          <w:highlight w:val="none"/>
        </w:rPr>
        <w:t>一、财政拨款：</w:t>
      </w:r>
      <w:r>
        <w:rPr>
          <w:rFonts w:hint="eastAsia" w:ascii="仿宋_GB2312" w:eastAsia="仿宋_GB2312"/>
          <w:sz w:val="32"/>
          <w:szCs w:val="32"/>
          <w:highlight w:val="none"/>
        </w:rPr>
        <w:t>指由一般公共预算、政府性基金预算、国有资本经营预算安排的财政拨款数。</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二、一般公共预算：</w:t>
      </w:r>
      <w:r>
        <w:rPr>
          <w:rFonts w:hint="eastAsia" w:ascii="仿宋_GB2312" w:eastAsia="仿宋_GB2312"/>
          <w:color w:val="auto"/>
          <w:spacing w:val="-6"/>
          <w:sz w:val="32"/>
          <w:szCs w:val="32"/>
          <w:highlight w:val="none"/>
        </w:rPr>
        <w:t>包括公共财政拨款（补助）资金、专项收入。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三、财政专户管理资金：</w:t>
      </w:r>
      <w:r>
        <w:rPr>
          <w:rFonts w:hint="eastAsia" w:ascii="仿宋_GB2312" w:eastAsia="仿宋_GB2312"/>
          <w:color w:val="auto"/>
          <w:sz w:val="32"/>
          <w:szCs w:val="32"/>
          <w:highlight w:val="none"/>
        </w:rPr>
        <w:t>包括专户管理行政事业性收费（主要是教育收费）、其他非税收入。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pacing w:val="-17"/>
          <w:sz w:val="32"/>
          <w:szCs w:val="32"/>
          <w:highlight w:val="none"/>
        </w:rPr>
      </w:pPr>
      <w:r>
        <w:rPr>
          <w:rFonts w:hint="eastAsia" w:ascii="楷体_GB2312" w:hAnsi="楷体_GB2312" w:eastAsia="楷体_GB2312" w:cs="楷体_GB2312"/>
          <w:b/>
          <w:bCs/>
          <w:color w:val="auto"/>
          <w:sz w:val="32"/>
          <w:szCs w:val="32"/>
          <w:highlight w:val="none"/>
        </w:rPr>
        <w:t>四、其他资金：</w:t>
      </w:r>
      <w:r>
        <w:rPr>
          <w:rFonts w:hint="eastAsia" w:ascii="仿宋_GB2312" w:eastAsia="仿宋_GB2312"/>
          <w:color w:val="auto"/>
          <w:spacing w:val="-17"/>
          <w:sz w:val="32"/>
          <w:szCs w:val="32"/>
          <w:highlight w:val="none"/>
        </w:rPr>
        <w:t>包括事业收入、事业经营收入、其他收入等。</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五、基本支出：</w:t>
      </w:r>
      <w:r>
        <w:rPr>
          <w:rFonts w:hint="eastAsia" w:ascii="仿宋_GB2312" w:eastAsia="仿宋_GB2312"/>
          <w:color w:val="auto"/>
          <w:sz w:val="32"/>
          <w:szCs w:val="32"/>
          <w:highlight w:val="none"/>
        </w:rPr>
        <w:t>包括人员经费、公用经费（定额）。其中，人员经费包括工资福利支出、对个人和家庭的补助。</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六、项目支出：</w:t>
      </w:r>
      <w:r>
        <w:rPr>
          <w:rFonts w:hint="eastAsia" w:ascii="仿宋_GB2312" w:eastAsia="仿宋_GB2312"/>
          <w:color w:val="auto"/>
          <w:sz w:val="32"/>
          <w:szCs w:val="32"/>
          <w:highlight w:val="none"/>
          <w:lang w:eastAsia="zh-CN"/>
        </w:rPr>
        <w:t>部门</w:t>
      </w:r>
      <w:r>
        <w:rPr>
          <w:rFonts w:hint="eastAsia" w:ascii="仿宋_GB2312" w:eastAsia="仿宋_GB2312"/>
          <w:sz w:val="32"/>
          <w:szCs w:val="32"/>
          <w:highlight w:val="none"/>
          <w:lang w:val="en-US" w:eastAsia="zh-CN"/>
        </w:rPr>
        <w:t>（单位）</w:t>
      </w:r>
      <w:r>
        <w:rPr>
          <w:rFonts w:hint="eastAsia" w:ascii="仿宋_GB2312" w:eastAsia="仿宋_GB2312"/>
          <w:color w:val="auto"/>
          <w:sz w:val="32"/>
          <w:szCs w:val="32"/>
          <w:highlight w:val="none"/>
        </w:rPr>
        <w:t>支出预算的组成部分，是</w:t>
      </w:r>
      <w:r>
        <w:rPr>
          <w:rFonts w:hint="eastAsia" w:ascii="仿宋_GB2312" w:eastAsia="仿宋_GB2312"/>
          <w:color w:val="auto"/>
          <w:sz w:val="32"/>
          <w:szCs w:val="32"/>
          <w:highlight w:val="none"/>
          <w:lang w:val="en-US" w:eastAsia="zh-Hans"/>
        </w:rPr>
        <w:t>各</w:t>
      </w:r>
      <w:r>
        <w:rPr>
          <w:rFonts w:hint="eastAsia" w:ascii="仿宋_GB2312" w:eastAsia="仿宋_GB2312"/>
          <w:color w:val="auto"/>
          <w:sz w:val="32"/>
          <w:szCs w:val="32"/>
          <w:highlight w:val="none"/>
          <w:lang w:eastAsia="zh-CN"/>
        </w:rPr>
        <w:t>部门</w:t>
      </w:r>
      <w:r>
        <w:rPr>
          <w:rFonts w:hint="eastAsia" w:ascii="仿宋_GB2312" w:eastAsia="仿宋_GB2312"/>
          <w:color w:val="auto"/>
          <w:sz w:val="32"/>
          <w:szCs w:val="32"/>
          <w:highlight w:val="none"/>
        </w:rPr>
        <w:t>为完成其特定的行政任务或事业发展目标，在基本支出预算之外编制的年度项目支出计划。</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eastAsia"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七、“三公”经费：</w:t>
      </w:r>
      <w:r>
        <w:rPr>
          <w:rFonts w:hint="eastAsia" w:ascii="仿宋_GB2312" w:eastAsia="仿宋_GB2312"/>
          <w:sz w:val="32"/>
          <w:szCs w:val="32"/>
          <w:highlight w:val="none"/>
        </w:rPr>
        <w:t>指</w:t>
      </w:r>
      <w:r>
        <w:rPr>
          <w:rFonts w:hint="eastAsia" w:ascii="仿宋_GB2312" w:eastAsia="仿宋_GB2312"/>
          <w:sz w:val="32"/>
          <w:szCs w:val="32"/>
          <w:highlight w:val="none"/>
          <w:lang w:val="en-US" w:eastAsia="zh-CN"/>
        </w:rPr>
        <w:t>部门（单位）</w:t>
      </w:r>
      <w:r>
        <w:rPr>
          <w:rFonts w:hint="eastAsia" w:ascii="仿宋_GB2312" w:eastAsia="仿宋_GB2312"/>
          <w:sz w:val="32"/>
          <w:szCs w:val="32"/>
          <w:highlight w:val="none"/>
        </w:rPr>
        <w:t>因公出国（境）费、公务用车购置及运行维护费和公务接待费</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其中</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因公出国（境）费反映</w:t>
      </w:r>
      <w:r>
        <w:rPr>
          <w:rFonts w:hint="eastAsia" w:ascii="仿宋_GB2312" w:eastAsia="仿宋_GB2312"/>
          <w:sz w:val="32"/>
          <w:szCs w:val="32"/>
          <w:highlight w:val="none"/>
          <w:lang w:val="en-US" w:eastAsia="zh-CN"/>
        </w:rPr>
        <w:t>机关和参公事业单位公务出国（境）的国际旅费、国外城市间交通费、住宿费、伙食费、培训费、公杂费等支出</w:t>
      </w:r>
      <w:r>
        <w:rPr>
          <w:rFonts w:hint="eastAsia" w:ascii="仿宋_GB2312" w:eastAsia="仿宋_GB2312"/>
          <w:sz w:val="32"/>
          <w:szCs w:val="32"/>
          <w:highlight w:val="none"/>
        </w:rPr>
        <w:t>；</w:t>
      </w:r>
      <w:r>
        <w:rPr>
          <w:rFonts w:hint="eastAsia" w:ascii="仿宋_GB2312" w:eastAsia="仿宋_GB2312"/>
          <w:sz w:val="32"/>
          <w:szCs w:val="32"/>
          <w:highlight w:val="none"/>
          <w:lang w:val="en-US" w:eastAsia="zh-CN"/>
        </w:rPr>
        <w:t>公务用车购置反映机关和参公事业单位公务用车购置支出（含车辆购置税、牌照费）；</w:t>
      </w:r>
      <w:r>
        <w:rPr>
          <w:rFonts w:hint="eastAsia" w:ascii="仿宋_GB2312" w:eastAsia="仿宋_GB2312"/>
          <w:sz w:val="32"/>
          <w:szCs w:val="32"/>
          <w:highlight w:val="none"/>
        </w:rPr>
        <w:t>公务用车运行维护费反映</w:t>
      </w:r>
      <w:r>
        <w:rPr>
          <w:rFonts w:hint="eastAsia" w:ascii="仿宋_GB2312" w:eastAsia="仿宋_GB2312"/>
          <w:sz w:val="32"/>
          <w:szCs w:val="32"/>
          <w:highlight w:val="none"/>
          <w:lang w:val="en-US" w:eastAsia="zh-CN"/>
        </w:rPr>
        <w:t>机关和参公事业单位按规定保留的公务用车燃料费、新能源汽车充电费、维修费、过桥过路费、保险费、安全奖励费用等支出</w:t>
      </w:r>
      <w:r>
        <w:rPr>
          <w:rFonts w:hint="eastAsia" w:ascii="仿宋_GB2312" w:eastAsia="仿宋_GB2312"/>
          <w:sz w:val="32"/>
          <w:szCs w:val="32"/>
          <w:highlight w:val="none"/>
        </w:rPr>
        <w:t>；公务接待费反映</w:t>
      </w:r>
      <w:r>
        <w:rPr>
          <w:rFonts w:hint="eastAsia" w:ascii="仿宋_GB2312" w:eastAsia="仿宋_GB2312"/>
          <w:sz w:val="32"/>
          <w:szCs w:val="32"/>
          <w:highlight w:val="none"/>
          <w:lang w:val="en-US" w:eastAsia="zh-CN"/>
        </w:rPr>
        <w:t>机关和参公事业单位</w:t>
      </w:r>
      <w:r>
        <w:rPr>
          <w:rFonts w:hint="eastAsia" w:ascii="仿宋_GB2312" w:eastAsia="仿宋_GB2312"/>
          <w:sz w:val="32"/>
          <w:szCs w:val="32"/>
          <w:highlight w:val="none"/>
        </w:rPr>
        <w:t>按规定开支的各类公务接待（含外宾接待）</w:t>
      </w:r>
      <w:r>
        <w:rPr>
          <w:rFonts w:hint="eastAsia" w:ascii="仿宋_GB2312" w:eastAsia="仿宋_GB2312"/>
          <w:sz w:val="32"/>
          <w:szCs w:val="32"/>
          <w:highlight w:val="none"/>
          <w:lang w:val="en-US" w:eastAsia="zh-CN"/>
        </w:rPr>
        <w:t>费用</w:t>
      </w:r>
      <w:r>
        <w:rPr>
          <w:rFonts w:hint="eastAsia" w:ascii="仿宋_GB2312" w:eastAsia="仿宋_GB2312"/>
          <w:sz w:val="32"/>
          <w:szCs w:val="32"/>
          <w:highlight w:val="none"/>
        </w:rPr>
        <w:t>。</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default" w:ascii="仿宋_GB2312" w:hAnsi="Times New Roman" w:eastAsia="仿宋_GB2312" w:cs="Times New Roman"/>
          <w:color w:val="auto"/>
          <w:spacing w:val="-11"/>
          <w:sz w:val="32"/>
          <w:szCs w:val="32"/>
          <w:highlight w:val="none"/>
          <w:lang w:val="en-US" w:eastAsia="zh-CN"/>
        </w:rPr>
      </w:pPr>
      <w:r>
        <w:rPr>
          <w:rFonts w:hint="eastAsia" w:ascii="楷体_GB2312" w:hAnsi="楷体_GB2312" w:eastAsia="楷体_GB2312" w:cs="楷体_GB2312"/>
          <w:b/>
          <w:bCs/>
          <w:color w:val="auto"/>
          <w:sz w:val="32"/>
          <w:szCs w:val="32"/>
          <w:highlight w:val="none"/>
        </w:rPr>
        <w:t>八、机关运行经费</w:t>
      </w:r>
      <w:r>
        <w:rPr>
          <w:rFonts w:hint="eastAsia" w:ascii="仿宋_GB2312" w:eastAsia="仿宋_GB2312"/>
          <w:color w:val="auto"/>
          <w:sz w:val="32"/>
          <w:szCs w:val="32"/>
          <w:highlight w:val="none"/>
        </w:rPr>
        <w:t>：指行政单位（含参照公务员法管理事业单位）的公用经费，包括办公及印刷费、邮电费、差旅费、会议费、福利费、日常维修费、专用材料及一般设备购置费、办公用房水电费、办公用房</w:t>
      </w:r>
      <w:r>
        <w:rPr>
          <w:rFonts w:hint="eastAsia" w:ascii="仿宋_GB2312" w:hAnsi="Times New Roman" w:eastAsia="仿宋_GB2312" w:cs="Times New Roman"/>
          <w:color w:val="auto"/>
          <w:spacing w:val="-11"/>
          <w:sz w:val="32"/>
          <w:szCs w:val="32"/>
          <w:highlight w:val="none"/>
        </w:rPr>
        <w:t>取暖费、办公用房物业管理费、公务用车运行维护费及其他费用。</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964" w:firstLineChars="300"/>
        <w:jc w:val="both"/>
        <w:textAlignment w:val="auto"/>
        <w:outlineLvl w:val="9"/>
        <w:rPr>
          <w:rFonts w:hint="eastAsia" w:ascii="仿宋_GB2312" w:eastAsia="仿宋_GB2312"/>
          <w:b/>
          <w:color w:val="FF0000"/>
          <w:sz w:val="32"/>
          <w:szCs w:val="32"/>
          <w:highlight w:val="none"/>
          <w:lang w:eastAsia="zh-Hans"/>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仿宋_GB2312" w:hAnsi="宋体" w:eastAsia="仿宋_GB2312" w:cs="宋体"/>
          <w:kern w:val="0"/>
          <w:sz w:val="32"/>
          <w:szCs w:val="32"/>
          <w:highlight w:val="none"/>
          <w:lang w:eastAsia="zh-CN"/>
        </w:rPr>
      </w:pP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eastAsia="zh-CN"/>
        </w:rPr>
        <w:t>呼图壁县社会保险中心</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val="en-US" w:eastAsia="zh-CN"/>
        </w:rPr>
        <w:t xml:space="preserve">              2025</w:t>
      </w:r>
      <w:r>
        <w:rPr>
          <w:rFonts w:ascii="仿宋_GB2312" w:hAnsi="宋体" w:eastAsia="仿宋_GB2312" w:cs="宋体"/>
          <w:kern w:val="0"/>
          <w:sz w:val="32"/>
          <w:szCs w:val="32"/>
          <w:highlight w:val="none"/>
        </w:rPr>
        <w:t>年</w:t>
      </w:r>
      <w:r>
        <w:rPr>
          <w:rFonts w:hint="eastAsia" w:ascii="仿宋_GB2312" w:hAnsi="宋体" w:eastAsia="仿宋_GB2312" w:cs="宋体"/>
          <w:kern w:val="0"/>
          <w:sz w:val="32"/>
          <w:szCs w:val="32"/>
          <w:highlight w:val="none"/>
          <w:lang w:val="en-US" w:eastAsia="zh-CN"/>
        </w:rPr>
        <w:t>2</w:t>
      </w:r>
      <w:r>
        <w:rPr>
          <w:rFonts w:ascii="仿宋_GB2312" w:hAnsi="宋体" w:eastAsia="仿宋_GB2312" w:cs="宋体"/>
          <w:kern w:val="0"/>
          <w:sz w:val="32"/>
          <w:szCs w:val="32"/>
          <w:highlight w:val="none"/>
        </w:rPr>
        <w:t>月</w:t>
      </w:r>
      <w:r>
        <w:rPr>
          <w:rFonts w:hint="eastAsia" w:ascii="仿宋_GB2312" w:hAnsi="宋体" w:eastAsia="仿宋_GB2312" w:cs="宋体"/>
          <w:kern w:val="0"/>
          <w:sz w:val="32"/>
          <w:szCs w:val="32"/>
          <w:highlight w:val="none"/>
          <w:lang w:val="en-US" w:eastAsia="zh-CN"/>
        </w:rPr>
        <w:t>12</w:t>
      </w:r>
      <w:r>
        <w:rPr>
          <w:rFonts w:ascii="仿宋_GB2312" w:hAnsi="宋体" w:eastAsia="仿宋_GB2312" w:cs="宋体"/>
          <w:kern w:val="0"/>
          <w:sz w:val="32"/>
          <w:szCs w:val="32"/>
          <w:highlight w:val="none"/>
        </w:rPr>
        <w:t>日</w:t>
      </w:r>
    </w:p>
    <w:p>
      <w:pPr>
        <w:rPr>
          <w:highlight w:val="none"/>
        </w:rPr>
      </w:pPr>
    </w:p>
    <w:p>
      <w:pPr>
        <w:rPr>
          <w:highlight w:val="none"/>
        </w:rPr>
      </w:pPr>
    </w:p>
    <w:p>
      <w:pPr>
        <w:rPr>
          <w:highlight w:val="none"/>
        </w:rPr>
      </w:pPr>
    </w:p>
    <w:sectPr>
      <w:pgSz w:w="11906" w:h="16838"/>
      <w:pgMar w:top="1440" w:right="1800" w:bottom="1440" w:left="1800" w:header="851" w:footer="992" w:gutter="0"/>
      <w:pgBorders>
        <w:top w:val="none" w:sz="0" w:space="0"/>
        <w:left w:val="none" w:sz="0" w:space="0"/>
        <w:bottom w:val="none" w:sz="0" w:space="0"/>
        <w:right w:val="none" w:sz="0" w:space="0"/>
      </w:pgBorders>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auto"/>
    <w:pitch w:val="default"/>
    <w:sig w:usb0="A00002BF" w:usb1="38CF7CFA" w:usb2="00082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rFonts w:ascii="宋体" w:hAnsi="宋体" w:eastAsia="宋体"/>
        <w:sz w:val="28"/>
        <w:szCs w:val="28"/>
      </w:rPr>
    </w:pPr>
  </w:p>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rFonts w:ascii="宋体" w:hAnsi="宋体" w:eastAsia="宋体"/>
        <w:sz w:val="28"/>
        <w:szCs w:val="28"/>
      </w:rPr>
    </w:pPr>
  </w:p>
  <w:p>
    <w:pPr>
      <w:pStyle w:val="4"/>
      <w:jc w:val="right"/>
      <w:rPr>
        <w:rFonts w:ascii="宋体" w:hAnsi="宋体" w:eastAsia="宋体"/>
        <w:sz w:val="28"/>
        <w:szCs w:val="28"/>
      </w:rPr>
    </w:pP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U3YWZmNmEwZDkxMGNiYjJmNmQzY2NjYWE2ZGZhYWUifQ=="/>
  </w:docVars>
  <w:rsids>
    <w:rsidRoot w:val="10587512"/>
    <w:rsid w:val="00E41A1F"/>
    <w:rsid w:val="013D6A23"/>
    <w:rsid w:val="017B2F92"/>
    <w:rsid w:val="017E6971"/>
    <w:rsid w:val="020E507E"/>
    <w:rsid w:val="02732F8E"/>
    <w:rsid w:val="02CB7F49"/>
    <w:rsid w:val="037800D1"/>
    <w:rsid w:val="037F3678"/>
    <w:rsid w:val="04243DB5"/>
    <w:rsid w:val="04267087"/>
    <w:rsid w:val="04267B2D"/>
    <w:rsid w:val="044C330C"/>
    <w:rsid w:val="05017C52"/>
    <w:rsid w:val="05294542"/>
    <w:rsid w:val="05364181"/>
    <w:rsid w:val="05397FD9"/>
    <w:rsid w:val="057A5F58"/>
    <w:rsid w:val="05CA273A"/>
    <w:rsid w:val="070E6657"/>
    <w:rsid w:val="080E3E4F"/>
    <w:rsid w:val="08170B34"/>
    <w:rsid w:val="084451C2"/>
    <w:rsid w:val="08450B28"/>
    <w:rsid w:val="08762705"/>
    <w:rsid w:val="088F5575"/>
    <w:rsid w:val="08B817AC"/>
    <w:rsid w:val="08E81855"/>
    <w:rsid w:val="09405381"/>
    <w:rsid w:val="09793868"/>
    <w:rsid w:val="099557CE"/>
    <w:rsid w:val="09E86792"/>
    <w:rsid w:val="0A4168EC"/>
    <w:rsid w:val="0AD672A7"/>
    <w:rsid w:val="0B247F12"/>
    <w:rsid w:val="0B7C3034"/>
    <w:rsid w:val="0B841FFD"/>
    <w:rsid w:val="0BD56A2F"/>
    <w:rsid w:val="0BDD2E70"/>
    <w:rsid w:val="0C0A3890"/>
    <w:rsid w:val="0C104C1F"/>
    <w:rsid w:val="0C9F2F32"/>
    <w:rsid w:val="0CD20198"/>
    <w:rsid w:val="0CEC568C"/>
    <w:rsid w:val="0D137FAD"/>
    <w:rsid w:val="0D3866F8"/>
    <w:rsid w:val="0D666A8A"/>
    <w:rsid w:val="0D6E5FD0"/>
    <w:rsid w:val="0DC1021C"/>
    <w:rsid w:val="0E320E7D"/>
    <w:rsid w:val="0E9208E7"/>
    <w:rsid w:val="10010346"/>
    <w:rsid w:val="10125B16"/>
    <w:rsid w:val="10587512"/>
    <w:rsid w:val="105D0E37"/>
    <w:rsid w:val="107101DF"/>
    <w:rsid w:val="10916BDA"/>
    <w:rsid w:val="10A54E06"/>
    <w:rsid w:val="11036B00"/>
    <w:rsid w:val="11301FEB"/>
    <w:rsid w:val="11A07A2F"/>
    <w:rsid w:val="11B6451D"/>
    <w:rsid w:val="121E62E8"/>
    <w:rsid w:val="1228681E"/>
    <w:rsid w:val="14282F26"/>
    <w:rsid w:val="14893297"/>
    <w:rsid w:val="14FA2BCD"/>
    <w:rsid w:val="16960D2B"/>
    <w:rsid w:val="1697741D"/>
    <w:rsid w:val="171506C3"/>
    <w:rsid w:val="192B55D9"/>
    <w:rsid w:val="19A215AC"/>
    <w:rsid w:val="1A132B78"/>
    <w:rsid w:val="1A1B4B0C"/>
    <w:rsid w:val="1A5730C6"/>
    <w:rsid w:val="1AC437A4"/>
    <w:rsid w:val="1AC54F79"/>
    <w:rsid w:val="1B153D26"/>
    <w:rsid w:val="1B47689D"/>
    <w:rsid w:val="1BEB54C3"/>
    <w:rsid w:val="1C3C6084"/>
    <w:rsid w:val="1C8C02F2"/>
    <w:rsid w:val="1D3E1AFE"/>
    <w:rsid w:val="1E404D21"/>
    <w:rsid w:val="1E6432D4"/>
    <w:rsid w:val="1E89232D"/>
    <w:rsid w:val="1EB61656"/>
    <w:rsid w:val="1F5164BE"/>
    <w:rsid w:val="1FE1490E"/>
    <w:rsid w:val="20407429"/>
    <w:rsid w:val="20CF3CE4"/>
    <w:rsid w:val="20DD55C0"/>
    <w:rsid w:val="216043B9"/>
    <w:rsid w:val="21A32989"/>
    <w:rsid w:val="21D42239"/>
    <w:rsid w:val="22922CB8"/>
    <w:rsid w:val="22DB78DD"/>
    <w:rsid w:val="237F295E"/>
    <w:rsid w:val="24044028"/>
    <w:rsid w:val="244D65B8"/>
    <w:rsid w:val="246B136E"/>
    <w:rsid w:val="248E16DA"/>
    <w:rsid w:val="2492221D"/>
    <w:rsid w:val="24B42D8E"/>
    <w:rsid w:val="250855AF"/>
    <w:rsid w:val="258B383C"/>
    <w:rsid w:val="258F3A11"/>
    <w:rsid w:val="2614285B"/>
    <w:rsid w:val="263B7010"/>
    <w:rsid w:val="26B4291F"/>
    <w:rsid w:val="26BD282A"/>
    <w:rsid w:val="26D35293"/>
    <w:rsid w:val="26E769FA"/>
    <w:rsid w:val="28526011"/>
    <w:rsid w:val="286D65BC"/>
    <w:rsid w:val="28A702D3"/>
    <w:rsid w:val="28D9041B"/>
    <w:rsid w:val="293B2E83"/>
    <w:rsid w:val="299254B2"/>
    <w:rsid w:val="2A834AE2"/>
    <w:rsid w:val="2AFC4894"/>
    <w:rsid w:val="2B3A05DE"/>
    <w:rsid w:val="2B6901C6"/>
    <w:rsid w:val="2D480265"/>
    <w:rsid w:val="2D977453"/>
    <w:rsid w:val="2E2943BA"/>
    <w:rsid w:val="2EF22236"/>
    <w:rsid w:val="2F1B2357"/>
    <w:rsid w:val="2FED29FE"/>
    <w:rsid w:val="300E1D4A"/>
    <w:rsid w:val="30B05F05"/>
    <w:rsid w:val="310821E5"/>
    <w:rsid w:val="310F3573"/>
    <w:rsid w:val="31236997"/>
    <w:rsid w:val="32D560F7"/>
    <w:rsid w:val="33A76F60"/>
    <w:rsid w:val="34016B4A"/>
    <w:rsid w:val="341E7629"/>
    <w:rsid w:val="34B2148B"/>
    <w:rsid w:val="3537605B"/>
    <w:rsid w:val="35F117C8"/>
    <w:rsid w:val="3761652B"/>
    <w:rsid w:val="38284F1B"/>
    <w:rsid w:val="38A777FF"/>
    <w:rsid w:val="38D85F7F"/>
    <w:rsid w:val="391546AF"/>
    <w:rsid w:val="39B0409D"/>
    <w:rsid w:val="3A222BF6"/>
    <w:rsid w:val="3B19142C"/>
    <w:rsid w:val="3B42380E"/>
    <w:rsid w:val="3B6225A0"/>
    <w:rsid w:val="3B69747A"/>
    <w:rsid w:val="3BE45FB7"/>
    <w:rsid w:val="3BF21AC7"/>
    <w:rsid w:val="3C013037"/>
    <w:rsid w:val="3CBB1465"/>
    <w:rsid w:val="3D33449D"/>
    <w:rsid w:val="3E871571"/>
    <w:rsid w:val="3F1C187E"/>
    <w:rsid w:val="3F2A4F0C"/>
    <w:rsid w:val="3FDF4D23"/>
    <w:rsid w:val="40683402"/>
    <w:rsid w:val="41083B3B"/>
    <w:rsid w:val="41270465"/>
    <w:rsid w:val="41CF0CF8"/>
    <w:rsid w:val="41DB2FFE"/>
    <w:rsid w:val="427C4F90"/>
    <w:rsid w:val="42F779C3"/>
    <w:rsid w:val="43502DA9"/>
    <w:rsid w:val="43C26223"/>
    <w:rsid w:val="43D8307E"/>
    <w:rsid w:val="44507CD3"/>
    <w:rsid w:val="44AF5181"/>
    <w:rsid w:val="452142B5"/>
    <w:rsid w:val="455A018C"/>
    <w:rsid w:val="45D02E5E"/>
    <w:rsid w:val="462F3F40"/>
    <w:rsid w:val="46B02CAB"/>
    <w:rsid w:val="46CE3131"/>
    <w:rsid w:val="47C574CF"/>
    <w:rsid w:val="48065BE5"/>
    <w:rsid w:val="493059DD"/>
    <w:rsid w:val="494F7907"/>
    <w:rsid w:val="49B31A06"/>
    <w:rsid w:val="4AC50E39"/>
    <w:rsid w:val="4ADF73DC"/>
    <w:rsid w:val="4B1B26BD"/>
    <w:rsid w:val="4B315A3D"/>
    <w:rsid w:val="4C0055E5"/>
    <w:rsid w:val="4C3677AE"/>
    <w:rsid w:val="4C706B3A"/>
    <w:rsid w:val="4DD03C6C"/>
    <w:rsid w:val="4F3B332E"/>
    <w:rsid w:val="4F73635C"/>
    <w:rsid w:val="51C12F0A"/>
    <w:rsid w:val="51C15CED"/>
    <w:rsid w:val="52285DEB"/>
    <w:rsid w:val="52AD62F0"/>
    <w:rsid w:val="52D15565"/>
    <w:rsid w:val="533E2559"/>
    <w:rsid w:val="53A94D0A"/>
    <w:rsid w:val="546308FE"/>
    <w:rsid w:val="558E2BA0"/>
    <w:rsid w:val="56777C5C"/>
    <w:rsid w:val="56FE59C9"/>
    <w:rsid w:val="570D735E"/>
    <w:rsid w:val="571B2674"/>
    <w:rsid w:val="57DC4C27"/>
    <w:rsid w:val="589917F1"/>
    <w:rsid w:val="59023D77"/>
    <w:rsid w:val="59376210"/>
    <w:rsid w:val="59701689"/>
    <w:rsid w:val="59B241EC"/>
    <w:rsid w:val="5A5E27F6"/>
    <w:rsid w:val="5A704801"/>
    <w:rsid w:val="5A8C5E4D"/>
    <w:rsid w:val="5AED2A9A"/>
    <w:rsid w:val="5B094FD9"/>
    <w:rsid w:val="5D4E16ED"/>
    <w:rsid w:val="5D9E1657"/>
    <w:rsid w:val="5E0F37F0"/>
    <w:rsid w:val="5E225DE5"/>
    <w:rsid w:val="5E257683"/>
    <w:rsid w:val="5E7802BC"/>
    <w:rsid w:val="5EE078B0"/>
    <w:rsid w:val="5F0D5523"/>
    <w:rsid w:val="5F2346ED"/>
    <w:rsid w:val="60C94505"/>
    <w:rsid w:val="61086613"/>
    <w:rsid w:val="61686204"/>
    <w:rsid w:val="62917095"/>
    <w:rsid w:val="630E06E5"/>
    <w:rsid w:val="63AA747A"/>
    <w:rsid w:val="6408782B"/>
    <w:rsid w:val="64CA0254"/>
    <w:rsid w:val="65322CBF"/>
    <w:rsid w:val="65B35574"/>
    <w:rsid w:val="65C12220"/>
    <w:rsid w:val="65C658ED"/>
    <w:rsid w:val="68CC52CB"/>
    <w:rsid w:val="68DE4FFE"/>
    <w:rsid w:val="691B0000"/>
    <w:rsid w:val="693F7A64"/>
    <w:rsid w:val="694B58D7"/>
    <w:rsid w:val="69CE4E15"/>
    <w:rsid w:val="6A9652B7"/>
    <w:rsid w:val="6B3E7E06"/>
    <w:rsid w:val="6B7F3246"/>
    <w:rsid w:val="6B8E748A"/>
    <w:rsid w:val="6BF904A6"/>
    <w:rsid w:val="6C1B6A73"/>
    <w:rsid w:val="6C46598E"/>
    <w:rsid w:val="6C5C6277"/>
    <w:rsid w:val="6CB5251A"/>
    <w:rsid w:val="6CBC68EE"/>
    <w:rsid w:val="6CD429A0"/>
    <w:rsid w:val="6D2D6D47"/>
    <w:rsid w:val="6EF07839"/>
    <w:rsid w:val="6EF756D9"/>
    <w:rsid w:val="6F2F3467"/>
    <w:rsid w:val="6F63000B"/>
    <w:rsid w:val="6FCF0C72"/>
    <w:rsid w:val="702F7B61"/>
    <w:rsid w:val="704D36DA"/>
    <w:rsid w:val="714314F3"/>
    <w:rsid w:val="71500A63"/>
    <w:rsid w:val="717C1858"/>
    <w:rsid w:val="72626174"/>
    <w:rsid w:val="72B56DCF"/>
    <w:rsid w:val="72E964BC"/>
    <w:rsid w:val="72F66693"/>
    <w:rsid w:val="730E4C0F"/>
    <w:rsid w:val="731B0F4F"/>
    <w:rsid w:val="735C7C42"/>
    <w:rsid w:val="74D07EF1"/>
    <w:rsid w:val="75B570E6"/>
    <w:rsid w:val="75BF3AC1"/>
    <w:rsid w:val="75EB3220"/>
    <w:rsid w:val="7706409E"/>
    <w:rsid w:val="77591CD1"/>
    <w:rsid w:val="7797777E"/>
    <w:rsid w:val="77E62643"/>
    <w:rsid w:val="780A1873"/>
    <w:rsid w:val="787D11B8"/>
    <w:rsid w:val="78A771BA"/>
    <w:rsid w:val="78AC6820"/>
    <w:rsid w:val="78FB75AD"/>
    <w:rsid w:val="792C5912"/>
    <w:rsid w:val="7C865A18"/>
    <w:rsid w:val="7CB8427E"/>
    <w:rsid w:val="7CBA4FE2"/>
    <w:rsid w:val="7CDF223B"/>
    <w:rsid w:val="7D06612B"/>
    <w:rsid w:val="7E811627"/>
    <w:rsid w:val="7E880152"/>
    <w:rsid w:val="7E8B30DA"/>
    <w:rsid w:val="7EB44AB8"/>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ody Text Indent"/>
    <w:basedOn w:val="1"/>
    <w:qFormat/>
    <w:uiPriority w:val="0"/>
    <w:pPr>
      <w:spacing w:after="120"/>
      <w:ind w:left="420" w:leftChars="200"/>
    </w:pPr>
  </w:style>
  <w:style w:type="paragraph" w:styleId="4">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footnote text"/>
    <w:basedOn w:val="1"/>
    <w:qFormat/>
    <w:uiPriority w:val="0"/>
    <w:pPr>
      <w:snapToGrid w:val="0"/>
      <w:jc w:val="left"/>
    </w:pPr>
    <w:rPr>
      <w:sz w:val="18"/>
    </w:rPr>
  </w:style>
  <w:style w:type="paragraph" w:styleId="7">
    <w:name w:val="Normal (Web)"/>
    <w:basedOn w:val="1"/>
    <w:qFormat/>
    <w:uiPriority w:val="0"/>
    <w:pPr>
      <w:spacing w:before="100" w:beforeAutospacing="1" w:after="100" w:afterAutospacing="1"/>
      <w:ind w:left="0" w:right="0"/>
      <w:jc w:val="left"/>
    </w:pPr>
    <w:rPr>
      <w:kern w:val="0"/>
      <w:sz w:val="24"/>
      <w:lang w:val="en-US" w:eastAsia="zh-CN" w:bidi="ar"/>
    </w:rPr>
  </w:style>
  <w:style w:type="paragraph" w:styleId="8">
    <w:name w:val="Body Text First Indent 2"/>
    <w:basedOn w:val="3"/>
    <w:qFormat/>
    <w:uiPriority w:val="0"/>
    <w:pPr>
      <w:ind w:firstLine="420" w:firstLineChars="200"/>
    </w:pPr>
    <w:rPr>
      <w:rFonts w:ascii="Calibri" w:hAnsi="Calibri"/>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2">
    <w:name w:val="font11"/>
    <w:basedOn w:val="11"/>
    <w:qFormat/>
    <w:uiPriority w:val="0"/>
    <w:rPr>
      <w:rFonts w:hint="eastAsia" w:ascii="宋体" w:hAnsi="宋体" w:eastAsia="宋体" w:cs="宋体"/>
      <w:color w:val="000000"/>
      <w:sz w:val="24"/>
      <w:szCs w:val="24"/>
      <w:u w:val="none"/>
    </w:rPr>
  </w:style>
  <w:style w:type="character" w:customStyle="1" w:styleId="13">
    <w:name w:val="font51"/>
    <w:basedOn w:val="11"/>
    <w:qFormat/>
    <w:uiPriority w:val="0"/>
    <w:rPr>
      <w:rFonts w:hint="default" w:ascii="Times New Roman" w:hAnsi="Times New Roman" w:cs="Times New Roman"/>
      <w:color w:val="000000"/>
      <w:sz w:val="24"/>
      <w:szCs w:val="24"/>
      <w:u w:val="none"/>
    </w:rPr>
  </w:style>
  <w:style w:type="paragraph" w:customStyle="1" w:styleId="14">
    <w:name w:val="Char"/>
    <w:basedOn w:val="1"/>
    <w:qFormat/>
    <w:uiPriority w:val="0"/>
    <w:pPr>
      <w:widowControl/>
      <w:spacing w:after="160" w:line="240" w:lineRule="exact"/>
      <w:jc w:val="left"/>
    </w:pPr>
    <w:rPr>
      <w:szCs w:val="20"/>
    </w:rPr>
  </w:style>
  <w:style w:type="paragraph" w:customStyle="1" w:styleId="15">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31</Pages>
  <Words>2010</Words>
  <Characters>2195</Characters>
  <Lines>0</Lines>
  <Paragraphs>0</Paragraphs>
  <TotalTime>2</TotalTime>
  <ScaleCrop>false</ScaleCrop>
  <LinksUpToDate>false</LinksUpToDate>
  <CharactersWithSpaces>2406</CharactersWithSpaces>
  <Application>WPS Office_12.8.2.15286_F1E327BC-269C-435d-A152-05C5408002CA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2024-01-09T13:20:00Z</dcterms:created>
  <dc:creator>审核人</dc:creator>
  <cp:lastModifiedBy>htbczj</cp:lastModifiedBy>
  <dcterms:modified xsi:type="dcterms:W3CDTF">2025-06-03T05:24:48Z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2052-12.8.2.15286</vt:lpwstr>
  </property>
  <property fmtid="{D5CDD505-2E9C-101B-9397-08002B2CF9AE}" pid="3" name="ICV">
    <vt:lpwstr>AA337C379FEA4C2C8A1378C54048CB5C</vt:lpwstr>
  </property>
  <property fmtid="{D5CDD505-2E9C-101B-9397-08002B2CF9AE}" pid="4" name="KSOTemplateDocerSaveRecord">
    <vt:lpwstr>eyJoZGlkIjoiMDljYzUzMWQ4OWI0YzBkYjYzMDRhZTY5ZjZkYmFmYTgiLCJ1c2VySWQiOiI1ODMzMjMyMTIifQ==</vt:lpwstr>
  </property>
</Properties>
</file>