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仿宋" w:hAnsi="仿宋" w:eastAsia="仿宋" w:cs="仿宋"/>
          <w:color w:val="auto"/>
          <w:kern w:val="0"/>
          <w:sz w:val="44"/>
          <w:szCs w:val="44"/>
          <w:highlight w:val="none"/>
        </w:rPr>
      </w:pPr>
      <w:bookmarkStart w:id="1" w:name="_GoBack"/>
      <w:bookmarkEnd w:id="1"/>
    </w:p>
    <w:p>
      <w:pPr>
        <w:pStyle w:val="2"/>
        <w:rPr>
          <w:rFonts w:hint="eastAsia" w:ascii="仿宋" w:hAnsi="仿宋" w:eastAsia="仿宋" w:cs="仿宋"/>
        </w:rPr>
      </w:pPr>
    </w:p>
    <w:p>
      <w:pPr>
        <w:widowControl/>
        <w:spacing w:before="100" w:beforeAutospacing="1" w:after="100" w:afterAutospacing="1"/>
        <w:jc w:val="center"/>
        <w:outlineLvl w:val="1"/>
        <w:rPr>
          <w:rFonts w:hint="eastAsia" w:ascii="仿宋" w:hAnsi="仿宋" w:eastAsia="仿宋" w:cs="仿宋"/>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r>
        <w:rPr>
          <w:rFonts w:hint="eastAsia" w:ascii="方正小标宋_GBK" w:hAnsi="宋体" w:eastAsia="方正小标宋_GBK" w:cs="Times New Roman"/>
          <w:color w:val="auto"/>
          <w:kern w:val="0"/>
          <w:sz w:val="44"/>
          <w:szCs w:val="44"/>
          <w:highlight w:val="none"/>
          <w:lang w:eastAsia="zh-CN"/>
        </w:rPr>
        <w:t>呼图壁县石梯子哈萨克族乡卫生院</w:t>
      </w: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eastAsia="zh-CN"/>
        </w:rPr>
      </w:pPr>
      <w:r>
        <w:rPr>
          <w:rFonts w:hint="eastAsia" w:ascii="方正小标宋_GBK" w:hAnsi="宋体" w:eastAsia="方正小标宋_GBK" w:cs="Times New Roman"/>
          <w:color w:val="auto"/>
          <w:kern w:val="0"/>
          <w:sz w:val="44"/>
          <w:szCs w:val="44"/>
          <w:highlight w:val="none"/>
          <w:lang w:val="en-US" w:eastAsia="zh-CN"/>
        </w:rPr>
        <w:t>2025年部门</w:t>
      </w:r>
      <w:r>
        <w:rPr>
          <w:rFonts w:hint="eastAsia" w:ascii="方正小标宋_GBK" w:hAnsi="宋体" w:eastAsia="方正小标宋_GBK" w:cs="Times New Roman"/>
          <w:color w:val="auto"/>
          <w:kern w:val="0"/>
          <w:sz w:val="44"/>
          <w:szCs w:val="44"/>
          <w:highlight w:val="none"/>
          <w:lang w:eastAsia="zh-CN"/>
        </w:rPr>
        <w:t>预算公开</w:t>
      </w:r>
    </w:p>
    <w:p>
      <w:pPr>
        <w:widowControl/>
        <w:spacing w:line="440" w:lineRule="exact"/>
        <w:jc w:val="both"/>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pPr>
    </w:p>
    <w:p>
      <w:pPr>
        <w:widowControl/>
        <w:spacing w:line="440" w:lineRule="exact"/>
        <w:jc w:val="both"/>
        <w:outlineLvl w:val="1"/>
        <w:rPr>
          <w:rFonts w:hint="eastAsia" w:ascii="仿宋" w:hAnsi="仿宋" w:eastAsia="仿宋" w:cs="仿宋"/>
          <w:color w:val="auto"/>
          <w:kern w:val="0"/>
          <w:sz w:val="36"/>
          <w:szCs w:val="32"/>
          <w:highlight w:val="none"/>
        </w:rPr>
      </w:pPr>
    </w:p>
    <w:p>
      <w:pPr>
        <w:widowControl/>
        <w:spacing w:line="440" w:lineRule="exact"/>
        <w:jc w:val="both"/>
        <w:outlineLvl w:val="1"/>
        <w:rPr>
          <w:rFonts w:hint="eastAsia" w:ascii="仿宋" w:hAnsi="仿宋" w:eastAsia="仿宋" w:cs="仿宋"/>
          <w:color w:val="auto"/>
          <w:kern w:val="0"/>
          <w:sz w:val="36"/>
          <w:szCs w:val="32"/>
          <w:highlight w:val="none"/>
        </w:rPr>
      </w:pPr>
    </w:p>
    <w:p>
      <w:pPr>
        <w:widowControl/>
        <w:spacing w:line="440" w:lineRule="exact"/>
        <w:jc w:val="center"/>
        <w:outlineLvl w:val="1"/>
        <w:rPr>
          <w:rFonts w:hint="eastAsia" w:ascii="仿宋" w:hAnsi="仿宋" w:eastAsia="仿宋" w:cs="仿宋"/>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CN"/>
        </w:rPr>
        <w:t>第一部分  2025年呼图壁县石梯子哈萨克族乡卫生院部门概况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CN"/>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lang w:eastAsia="zh-CN"/>
        </w:rPr>
        <w:t>年部门预算公开表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二、部门收入总体情况表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三、部门支出总体情况表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lang w:eastAsia="zh-CN"/>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lang w:eastAsia="zh-CN"/>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lang w:eastAsia="zh-CN"/>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eastAsia="zh-CN"/>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lang w:eastAsia="zh-CN"/>
        </w:rPr>
        <w:t>年部门预算情况说明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 w:hAnsi="仿宋" w:eastAsia="仿宋" w:cs="仿宋"/>
          <w:color w:val="auto"/>
          <w:kern w:val="0"/>
          <w:sz w:val="32"/>
          <w:szCs w:val="32"/>
          <w:highlight w:val="none"/>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rPr>
        <w:sectPr>
          <w:footerReference r:id="rId4" w:type="default"/>
          <w:pgSz w:w="11906" w:h="16838"/>
          <w:pgMar w:top="1383" w:right="1418" w:bottom="1383"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rPr>
      </w:pPr>
      <w:r>
        <w:rPr>
          <w:rFonts w:hint="eastAsia" w:ascii="黑体" w:hAnsi="黑体" w:eastAsia="黑体" w:cs="Times New Roman"/>
          <w:color w:val="auto"/>
          <w:kern w:val="0"/>
          <w:sz w:val="32"/>
          <w:szCs w:val="32"/>
          <w:highlight w:val="none"/>
        </w:rPr>
        <w:t xml:space="preserve">第一部分   </w:t>
      </w:r>
      <w:r>
        <w:rPr>
          <w:rFonts w:hint="eastAsia" w:ascii="黑体" w:hAnsi="黑体" w:eastAsia="黑体" w:cs="Times New Roman"/>
          <w:color w:val="auto"/>
          <w:kern w:val="0"/>
          <w:sz w:val="32"/>
          <w:szCs w:val="32"/>
          <w:highlight w:val="none"/>
          <w:lang w:val="en-US" w:eastAsia="zh-CN"/>
        </w:rPr>
        <w:t>2025年呼图壁县石梯子哈萨克族乡卫生院</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rPr>
      </w:pPr>
      <w:r>
        <w:rPr>
          <w:rFonts w:hint="eastAsia" w:ascii="黑体" w:hAnsi="黑体" w:eastAsia="黑体" w:cs="Times New Roman"/>
          <w:color w:val="auto"/>
          <w:kern w:val="0"/>
          <w:sz w:val="32"/>
          <w:szCs w:val="32"/>
          <w:highlight w:val="none"/>
          <w:lang w:eastAsia="zh-CN"/>
        </w:rPr>
        <w:t>部门</w:t>
      </w:r>
      <w:r>
        <w:rPr>
          <w:rFonts w:hint="eastAsia" w:ascii="黑体" w:hAnsi="黑体" w:eastAsia="黑体" w:cs="Times New Roman"/>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 w:hAnsi="仿宋" w:eastAsia="仿宋" w:cs="仿宋"/>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rPr>
      </w:pPr>
      <w:r>
        <w:rPr>
          <w:rFonts w:hint="eastAsia" w:ascii="仿宋" w:hAnsi="仿宋" w:eastAsia="仿宋" w:cs="仿宋"/>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eastAsia="zh-CN"/>
        </w:rPr>
        <w:t>呼图壁县石梯子哈萨克族乡卫生院</w:t>
      </w:r>
      <w:r>
        <w:rPr>
          <w:rFonts w:hint="eastAsia" w:ascii="仿宋_GB2312" w:hAnsi="黑体" w:eastAsia="仿宋_GB2312" w:cs="宋体"/>
          <w:bCs/>
          <w:color w:val="auto"/>
          <w:kern w:val="0"/>
          <w:sz w:val="32"/>
          <w:szCs w:val="32"/>
          <w:highlight w:val="none"/>
        </w:rPr>
        <w:t>负责</w:t>
      </w:r>
      <w:r>
        <w:rPr>
          <w:rFonts w:hint="eastAsia" w:ascii="仿宋_GB2312" w:hAnsi="黑体" w:eastAsia="仿宋_GB2312" w:cs="宋体"/>
          <w:bCs/>
          <w:color w:val="auto"/>
          <w:kern w:val="0"/>
          <w:sz w:val="32"/>
          <w:szCs w:val="32"/>
          <w:highlight w:val="none"/>
          <w:lang w:eastAsia="zh-CN"/>
        </w:rPr>
        <w:t>石梯子乡</w:t>
      </w:r>
      <w:r>
        <w:rPr>
          <w:rFonts w:hint="eastAsia" w:ascii="仿宋_GB2312" w:hAnsi="黑体" w:eastAsia="仿宋_GB2312" w:cs="宋体"/>
          <w:bCs/>
          <w:color w:val="auto"/>
          <w:kern w:val="0"/>
          <w:sz w:val="32"/>
          <w:szCs w:val="32"/>
          <w:highlight w:val="none"/>
        </w:rPr>
        <w:t>各项医疗卫生工作，组织领导群众卫生运动，培养卫生技术人员</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并对村卫生室进行指导工作。是农村医疗网点的重要工作，担负着医疗防疫、保健的重要任务，是直接解决农村看病难、看病贵的重要一关。是属于执行</w:t>
      </w:r>
      <w:r>
        <w:rPr>
          <w:rFonts w:hint="eastAsia" w:ascii="仿宋_GB2312" w:hAnsi="黑体" w:eastAsia="仿宋_GB2312" w:cs="宋体"/>
          <w:bCs/>
          <w:color w:val="auto"/>
          <w:kern w:val="0"/>
          <w:sz w:val="32"/>
          <w:szCs w:val="32"/>
          <w:highlight w:val="none"/>
          <w:lang w:eastAsia="zh-CN"/>
        </w:rPr>
        <w:t>基层医疗卫生机构</w:t>
      </w:r>
      <w:r>
        <w:rPr>
          <w:rFonts w:hint="eastAsia" w:ascii="仿宋_GB2312" w:hAnsi="黑体" w:eastAsia="仿宋_GB2312" w:cs="宋体"/>
          <w:bCs/>
          <w:color w:val="auto"/>
          <w:kern w:val="0"/>
          <w:sz w:val="32"/>
          <w:szCs w:val="32"/>
          <w:highlight w:val="none"/>
        </w:rPr>
        <w:t xml:space="preserve">会计制度的一级预算单位。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呼图壁县石梯子哈萨克族乡卫生院</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16</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内科、外科、妇科、儿科、中医科、西医综合门诊、传染病科、发热门诊、公共卫生科、康复室、功能科、护理科、收费室、药房、财务室、办公室</w:t>
      </w:r>
      <w:r>
        <w:rPr>
          <w:rFonts w:hint="eastAsia" w:ascii="仿宋_GB2312" w:hAnsi="黑体" w:eastAsia="仿宋_GB2312" w:cs="宋体"/>
          <w:bCs/>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呼图壁县石梯子哈萨克族乡卫生院</w:t>
      </w:r>
      <w:r>
        <w:rPr>
          <w:rFonts w:hint="eastAsia" w:ascii="仿宋_GB2312" w:hAnsi="黑体" w:eastAsia="仿宋_GB2312" w:cs="宋体"/>
          <w:bCs/>
          <w:color w:val="auto"/>
          <w:kern w:val="0"/>
          <w:sz w:val="32"/>
          <w:szCs w:val="32"/>
          <w:highlight w:val="none"/>
        </w:rPr>
        <w:t>编制数</w:t>
      </w:r>
      <w:r>
        <w:rPr>
          <w:rFonts w:hint="eastAsia" w:ascii="仿宋_GB2312" w:hAnsi="黑体" w:eastAsia="仿宋_GB2312" w:cs="宋体"/>
          <w:bCs/>
          <w:color w:val="auto"/>
          <w:kern w:val="0"/>
          <w:sz w:val="32"/>
          <w:szCs w:val="32"/>
          <w:highlight w:val="none"/>
          <w:lang w:val="en-US" w:eastAsia="zh-CN"/>
        </w:rPr>
        <w:t>20</w:t>
      </w:r>
      <w:r>
        <w:rPr>
          <w:rFonts w:hint="eastAsia" w:ascii="仿宋_GB2312" w:hAnsi="黑体" w:eastAsia="仿宋_GB2312" w:cs="宋体"/>
          <w:bCs/>
          <w:color w:val="auto"/>
          <w:kern w:val="0"/>
          <w:sz w:val="32"/>
          <w:szCs w:val="32"/>
          <w:highlight w:val="none"/>
        </w:rPr>
        <w:t>，实有人数</w:t>
      </w:r>
      <w:r>
        <w:rPr>
          <w:rFonts w:hint="eastAsia" w:ascii="仿宋_GB2312" w:hAnsi="黑体" w:eastAsia="仿宋_GB2312" w:cs="宋体"/>
          <w:bCs/>
          <w:color w:val="auto"/>
          <w:kern w:val="0"/>
          <w:sz w:val="32"/>
          <w:szCs w:val="32"/>
          <w:highlight w:val="none"/>
          <w:lang w:val="en-US" w:eastAsia="zh-CN"/>
        </w:rPr>
        <w:t>29</w:t>
      </w:r>
      <w:r>
        <w:rPr>
          <w:rFonts w:hint="eastAsia" w:ascii="仿宋_GB2312" w:hAnsi="黑体" w:eastAsia="仿宋_GB2312" w:cs="宋体"/>
          <w:bCs/>
          <w:color w:val="auto"/>
          <w:kern w:val="0"/>
          <w:sz w:val="32"/>
          <w:szCs w:val="32"/>
          <w:highlight w:val="none"/>
        </w:rPr>
        <w:t>人，其中：在职</w:t>
      </w:r>
      <w:r>
        <w:rPr>
          <w:rFonts w:hint="eastAsia" w:ascii="仿宋_GB2312" w:hAnsi="黑体" w:eastAsia="仿宋_GB2312" w:cs="宋体"/>
          <w:bCs/>
          <w:color w:val="auto"/>
          <w:kern w:val="0"/>
          <w:sz w:val="32"/>
          <w:szCs w:val="32"/>
          <w:highlight w:val="none"/>
          <w:lang w:val="en-US" w:eastAsia="zh-CN"/>
        </w:rPr>
        <w:t>19</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val="en-US" w:eastAsia="zh-CN"/>
        </w:rPr>
        <w:t>减少1</w:t>
      </w:r>
      <w:r>
        <w:rPr>
          <w:rFonts w:hint="eastAsia" w:ascii="仿宋_GB2312" w:hAnsi="黑体" w:eastAsia="仿宋_GB2312" w:cs="宋体"/>
          <w:bCs/>
          <w:color w:val="auto"/>
          <w:kern w:val="0"/>
          <w:sz w:val="32"/>
          <w:szCs w:val="32"/>
          <w:highlight w:val="none"/>
        </w:rPr>
        <w:t>人；退休</w:t>
      </w:r>
      <w:r>
        <w:rPr>
          <w:rFonts w:hint="eastAsia" w:ascii="仿宋_GB2312" w:hAnsi="黑体" w:eastAsia="仿宋_GB2312" w:cs="宋体"/>
          <w:bCs/>
          <w:color w:val="auto"/>
          <w:kern w:val="0"/>
          <w:sz w:val="32"/>
          <w:szCs w:val="32"/>
          <w:highlight w:val="none"/>
          <w:lang w:val="en-US" w:eastAsia="zh-CN"/>
        </w:rPr>
        <w:t>10</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人；离休</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人，增加</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 w:hAnsi="仿宋" w:eastAsia="仿宋" w:cs="仿宋"/>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 w:hAnsi="仿宋" w:eastAsia="仿宋" w:cs="仿宋"/>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Times New Roman"/>
          <w:color w:val="auto"/>
          <w:kern w:val="0"/>
          <w:sz w:val="32"/>
          <w:szCs w:val="32"/>
          <w:highlight w:val="none"/>
        </w:rPr>
      </w:pPr>
      <w:r>
        <w:rPr>
          <w:rFonts w:hint="eastAsia" w:ascii="黑体" w:hAnsi="黑体" w:eastAsia="黑体" w:cs="Times New Roman"/>
          <w:color w:val="auto"/>
          <w:kern w:val="0"/>
          <w:sz w:val="32"/>
          <w:szCs w:val="32"/>
          <w:highlight w:val="none"/>
        </w:rPr>
        <w:t xml:space="preserve">第二部分  </w:t>
      </w:r>
      <w:r>
        <w:rPr>
          <w:rFonts w:hint="eastAsia" w:ascii="黑体" w:hAnsi="黑体" w:eastAsia="黑体" w:cs="Times New Roman"/>
          <w:color w:val="auto"/>
          <w:kern w:val="0"/>
          <w:sz w:val="32"/>
          <w:szCs w:val="32"/>
          <w:highlight w:val="none"/>
          <w:lang w:val="en-US" w:eastAsia="zh-CN"/>
        </w:rPr>
        <w:t>2025</w:t>
      </w:r>
      <w:r>
        <w:rPr>
          <w:rFonts w:hint="eastAsia" w:ascii="黑体" w:hAnsi="黑体" w:eastAsia="黑体" w:cs="Times New Roman"/>
          <w:color w:val="auto"/>
          <w:kern w:val="0"/>
          <w:sz w:val="32"/>
          <w:szCs w:val="32"/>
          <w:highlight w:val="none"/>
        </w:rPr>
        <w:t>年</w:t>
      </w:r>
      <w:r>
        <w:rPr>
          <w:rFonts w:hint="eastAsia" w:ascii="黑体" w:hAnsi="黑体" w:eastAsia="黑体" w:cs="Times New Roman"/>
          <w:color w:val="auto"/>
          <w:kern w:val="0"/>
          <w:sz w:val="32"/>
          <w:szCs w:val="32"/>
          <w:highlight w:val="none"/>
          <w:lang w:eastAsia="zh-CN"/>
        </w:rPr>
        <w:t>部门</w:t>
      </w:r>
      <w:r>
        <w:rPr>
          <w:rFonts w:hint="eastAsia" w:ascii="黑体" w:hAnsi="黑体" w:eastAsia="黑体" w:cs="Times New Roman"/>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cs="Times New Roman"/>
          <w:b/>
          <w:color w:val="auto"/>
          <w:kern w:val="0"/>
          <w:sz w:val="32"/>
          <w:szCs w:val="32"/>
          <w:highlight w:val="none"/>
          <w:lang w:eastAsia="zh-CN"/>
        </w:rPr>
      </w:pPr>
      <w:r>
        <w:rPr>
          <w:rFonts w:hint="eastAsia" w:ascii="仿宋_GB2312" w:hAnsi="宋体" w:eastAsia="仿宋_GB2312" w:cs="Times New Roman"/>
          <w:b/>
          <w:color w:val="auto"/>
          <w:kern w:val="0"/>
          <w:sz w:val="32"/>
          <w:szCs w:val="32"/>
          <w:highlight w:val="none"/>
          <w:lang w:eastAsia="zh-CN"/>
        </w:rPr>
        <w:t>部门收支总体情况表</w:t>
      </w:r>
    </w:p>
    <w:p>
      <w:pPr>
        <w:widowControl/>
        <w:spacing w:line="280" w:lineRule="exact"/>
        <w:jc w:val="center"/>
        <w:outlineLvl w:val="1"/>
        <w:rPr>
          <w:rFonts w:hint="eastAsia" w:ascii="仿宋" w:hAnsi="仿宋" w:eastAsia="仿宋" w:cs="仿宋"/>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7"/>
        <w:tblW w:w="8662" w:type="dxa"/>
        <w:jc w:val="center"/>
        <w:tblLayout w:type="autofit"/>
        <w:tblCellMar>
          <w:top w:w="0" w:type="dxa"/>
          <w:left w:w="108" w:type="dxa"/>
          <w:bottom w:w="0" w:type="dxa"/>
          <w:right w:w="108" w:type="dxa"/>
        </w:tblCellMar>
      </w:tblPr>
      <w:tblGrid>
        <w:gridCol w:w="3165"/>
        <w:gridCol w:w="1424"/>
        <w:gridCol w:w="2700"/>
        <w:gridCol w:w="1373"/>
      </w:tblGrid>
      <w:tr>
        <w:tblPrEx>
          <w:tblCellMar>
            <w:top w:w="0" w:type="dxa"/>
            <w:left w:w="108" w:type="dxa"/>
            <w:bottom w:w="0" w:type="dxa"/>
            <w:right w:w="108" w:type="dxa"/>
          </w:tblCellMar>
        </w:tblPrEx>
        <w:trPr>
          <w:cantSplit/>
          <w:trHeight w:val="360" w:hRule="atLeast"/>
          <w:jc w:val="center"/>
        </w:trPr>
        <w:tc>
          <w:tcPr>
            <w:tcW w:w="4589"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收     入</w:t>
            </w:r>
          </w:p>
        </w:tc>
        <w:tc>
          <w:tcPr>
            <w:tcW w:w="4073"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支     出</w:t>
            </w: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7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3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 w:hAnsi="仿宋" w:eastAsia="仿宋" w:cs="仿宋"/>
                <w:b/>
                <w:bCs/>
                <w:color w:val="auto"/>
                <w:kern w:val="0"/>
                <w:sz w:val="18"/>
                <w:szCs w:val="18"/>
                <w:highlight w:val="none"/>
                <w:shd w:val="clear" w:color="auto" w:fill="auto"/>
                <w:lang w:val="en-US" w:eastAsia="zh-CN"/>
              </w:rPr>
            </w:pPr>
            <w:r>
              <w:rPr>
                <w:rFonts w:hint="eastAsia" w:ascii="仿宋" w:hAnsi="仿宋" w:eastAsia="仿宋" w:cs="仿宋"/>
                <w:b/>
                <w:bCs/>
                <w:color w:val="auto"/>
                <w:kern w:val="0"/>
                <w:sz w:val="18"/>
                <w:szCs w:val="18"/>
                <w:highlight w:val="none"/>
                <w:shd w:val="clear" w:color="auto" w:fill="auto"/>
                <w:lang w:val="en-US" w:eastAsia="zh-CN"/>
              </w:rPr>
              <w:t>627.01</w:t>
            </w: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201 一般公共服务支出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1.一般公共预算拨款</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317.01</w:t>
            </w: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202 外交支出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317.01</w:t>
            </w: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203 国防支出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75"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204 公共安全支出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lang w:eastAsia="zh-CN"/>
              </w:rPr>
            </w:pPr>
            <w:r>
              <w:rPr>
                <w:rFonts w:hint="eastAsia" w:ascii="仿宋" w:hAnsi="仿宋" w:eastAsia="仿宋" w:cs="仿宋"/>
                <w:b/>
                <w:bCs/>
                <w:color w:val="auto"/>
                <w:kern w:val="0"/>
                <w:sz w:val="18"/>
                <w:szCs w:val="18"/>
                <w:highlight w:val="none"/>
                <w:shd w:val="clear" w:color="auto" w:fill="auto"/>
              </w:rPr>
              <w:t>2.</w:t>
            </w:r>
            <w:r>
              <w:rPr>
                <w:rFonts w:hint="eastAsia" w:ascii="仿宋" w:hAnsi="仿宋" w:eastAsia="仿宋" w:cs="仿宋"/>
                <w:b/>
                <w:bCs/>
                <w:color w:val="auto"/>
                <w:kern w:val="0"/>
                <w:sz w:val="18"/>
                <w:szCs w:val="18"/>
                <w:highlight w:val="none"/>
                <w:shd w:val="clear" w:color="auto" w:fill="auto"/>
                <w:lang w:val="en-US" w:eastAsia="zh-CN"/>
              </w:rPr>
              <w:t>政府性</w:t>
            </w:r>
            <w:r>
              <w:rPr>
                <w:rFonts w:hint="eastAsia" w:ascii="仿宋" w:hAnsi="仿宋" w:eastAsia="仿宋" w:cs="仿宋"/>
                <w:b/>
                <w:bCs/>
                <w:color w:val="auto"/>
                <w:kern w:val="0"/>
                <w:sz w:val="18"/>
                <w:szCs w:val="18"/>
                <w:highlight w:val="none"/>
                <w:shd w:val="clear" w:color="auto" w:fill="auto"/>
              </w:rPr>
              <w:t>基金预算拨款</w:t>
            </w:r>
            <w:r>
              <w:rPr>
                <w:rFonts w:hint="eastAsia" w:ascii="仿宋" w:hAnsi="仿宋" w:eastAsia="仿宋" w:cs="仿宋"/>
                <w:b/>
                <w:bCs/>
                <w:color w:val="auto"/>
                <w:kern w:val="0"/>
                <w:sz w:val="18"/>
                <w:szCs w:val="18"/>
                <w:highlight w:val="none"/>
                <w:shd w:val="clear" w:color="auto" w:fill="auto"/>
                <w:lang w:eastAsia="zh-CN"/>
              </w:rPr>
              <w:tab/>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205 教育支出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206 科学技术支出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207 文化旅游体育与传媒支出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3.国有资本经营预算拨款</w:t>
            </w:r>
          </w:p>
        </w:tc>
        <w:tc>
          <w:tcPr>
            <w:tcW w:w="142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208 社会保障和就业支出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35.24</w:t>
            </w:r>
          </w:p>
        </w:tc>
      </w:tr>
      <w:tr>
        <w:tblPrEx>
          <w:tblCellMar>
            <w:top w:w="0" w:type="dxa"/>
            <w:left w:w="108" w:type="dxa"/>
            <w:bottom w:w="0" w:type="dxa"/>
            <w:right w:w="108" w:type="dxa"/>
          </w:tblCellMar>
        </w:tblPrEx>
        <w:trPr>
          <w:cantSplit/>
          <w:trHeight w:val="315"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209 社会保险基金支出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297"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210</w:t>
            </w:r>
            <w:r>
              <w:rPr>
                <w:rFonts w:hint="eastAsia" w:ascii="仿宋" w:hAnsi="仿宋" w:eastAsia="仿宋" w:cs="仿宋"/>
                <w:color w:val="auto"/>
                <w:kern w:val="0"/>
                <w:sz w:val="18"/>
                <w:szCs w:val="18"/>
                <w:highlight w:val="none"/>
                <w:shd w:val="clear" w:color="auto" w:fill="auto"/>
                <w:lang w:val="en-US" w:eastAsia="zh-CN"/>
              </w:rPr>
              <w:t xml:space="preserve"> </w:t>
            </w:r>
            <w:r>
              <w:rPr>
                <w:rFonts w:hint="eastAsia" w:ascii="仿宋" w:hAnsi="仿宋" w:eastAsia="仿宋" w:cs="仿宋"/>
                <w:color w:val="auto"/>
                <w:kern w:val="0"/>
                <w:sz w:val="18"/>
                <w:szCs w:val="18"/>
                <w:highlight w:val="none"/>
                <w:shd w:val="clear" w:color="auto" w:fill="auto"/>
              </w:rPr>
              <w:t>卫生健康支出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567.52</w:t>
            </w: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4.财政专户核拨</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211 节能环保支出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5.单位资金</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lang w:val="en-US" w:eastAsia="zh-CN"/>
              </w:rPr>
            </w:pPr>
            <w:r>
              <w:rPr>
                <w:rFonts w:hint="eastAsia" w:ascii="仿宋" w:hAnsi="仿宋" w:eastAsia="仿宋" w:cs="仿宋"/>
                <w:b/>
                <w:bCs/>
                <w:color w:val="auto"/>
                <w:kern w:val="0"/>
                <w:sz w:val="18"/>
                <w:szCs w:val="18"/>
                <w:highlight w:val="none"/>
                <w:shd w:val="clear" w:color="auto" w:fill="auto"/>
                <w:lang w:val="en-US" w:eastAsia="zh-CN"/>
              </w:rPr>
              <w:t>310.00</w:t>
            </w: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212 城乡社区支出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lang w:val="en-US" w:eastAsia="zh-CN"/>
              </w:rPr>
            </w:pPr>
            <w:r>
              <w:rPr>
                <w:rFonts w:hint="eastAsia" w:ascii="仿宋" w:hAnsi="仿宋" w:eastAsia="仿宋" w:cs="仿宋"/>
                <w:color w:val="auto"/>
                <w:kern w:val="0"/>
                <w:sz w:val="18"/>
                <w:szCs w:val="18"/>
                <w:highlight w:val="none"/>
                <w:shd w:val="clear" w:color="auto" w:fill="auto"/>
                <w:lang w:val="en-US" w:eastAsia="zh-CN"/>
              </w:rPr>
              <w:t>310.00</w:t>
            </w: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213 农林水支出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214 交通运输支出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215 资源勘探</w:t>
            </w:r>
            <w:r>
              <w:rPr>
                <w:rFonts w:hint="eastAsia" w:ascii="仿宋" w:hAnsi="仿宋" w:eastAsia="仿宋" w:cs="仿宋"/>
                <w:color w:val="auto"/>
                <w:kern w:val="0"/>
                <w:sz w:val="18"/>
                <w:szCs w:val="18"/>
                <w:highlight w:val="none"/>
                <w:shd w:val="clear" w:color="auto" w:fill="auto"/>
                <w:lang w:val="en-US" w:eastAsia="zh-Hans"/>
              </w:rPr>
              <w:t>工业</w:t>
            </w:r>
            <w:r>
              <w:rPr>
                <w:rFonts w:hint="eastAsia" w:ascii="仿宋" w:hAnsi="仿宋" w:eastAsia="仿宋" w:cs="仿宋"/>
                <w:color w:val="auto"/>
                <w:kern w:val="0"/>
                <w:sz w:val="18"/>
                <w:szCs w:val="18"/>
                <w:highlight w:val="none"/>
                <w:shd w:val="clear" w:color="auto" w:fill="auto"/>
              </w:rPr>
              <w:t>信息等支出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280"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216 商业服务业等支出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217 金融支出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219 援助其他地区支出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1.财政拨款结转</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220 自然资源海洋气象等支出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221 住房保障支出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24.25</w:t>
            </w: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222 粮油物资储备支出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223 国有资本经营预算支出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2.非财政拨款结余</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224</w:t>
            </w:r>
            <w:r>
              <w:rPr>
                <w:rFonts w:hint="eastAsia" w:ascii="仿宋" w:hAnsi="仿宋" w:eastAsia="仿宋" w:cs="仿宋"/>
                <w:color w:val="auto"/>
                <w:kern w:val="0"/>
                <w:sz w:val="18"/>
                <w:szCs w:val="18"/>
                <w:highlight w:val="none"/>
                <w:shd w:val="clear" w:color="auto" w:fill="auto"/>
                <w:lang w:val="en-US" w:eastAsia="zh-CN"/>
              </w:rPr>
              <w:t xml:space="preserve"> </w:t>
            </w:r>
            <w:r>
              <w:rPr>
                <w:rFonts w:hint="eastAsia" w:ascii="仿宋" w:hAnsi="仿宋" w:eastAsia="仿宋" w:cs="仿宋"/>
                <w:color w:val="auto"/>
                <w:kern w:val="0"/>
                <w:sz w:val="18"/>
                <w:szCs w:val="18"/>
                <w:highlight w:val="none"/>
                <w:shd w:val="clear" w:color="auto" w:fill="auto"/>
              </w:rPr>
              <w:t>灾害防治及应急管理支出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227 预备费</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229 其他支出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296"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230</w:t>
            </w:r>
            <w:r>
              <w:rPr>
                <w:rFonts w:hint="eastAsia" w:ascii="仿宋" w:hAnsi="仿宋" w:eastAsia="仿宋" w:cs="仿宋"/>
                <w:color w:val="auto"/>
                <w:kern w:val="0"/>
                <w:sz w:val="18"/>
                <w:szCs w:val="18"/>
                <w:highlight w:val="none"/>
                <w:shd w:val="clear" w:color="auto" w:fill="auto"/>
                <w:lang w:val="en-US" w:eastAsia="zh-CN"/>
              </w:rPr>
              <w:t xml:space="preserve"> </w:t>
            </w:r>
            <w:r>
              <w:rPr>
                <w:rFonts w:hint="eastAsia" w:ascii="仿宋" w:hAnsi="仿宋" w:eastAsia="仿宋" w:cs="仿宋"/>
                <w:color w:val="auto"/>
                <w:kern w:val="0"/>
                <w:sz w:val="18"/>
                <w:szCs w:val="18"/>
                <w:highlight w:val="none"/>
                <w:shd w:val="clear" w:color="auto" w:fill="auto"/>
              </w:rPr>
              <w:t>转移性支出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231 债务还本支出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232 债务付息支出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42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270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233 债务发行费用支出</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r>
      <w:tr>
        <w:tblPrEx>
          <w:tblCellMar>
            <w:top w:w="0" w:type="dxa"/>
            <w:left w:w="108" w:type="dxa"/>
            <w:bottom w:w="0" w:type="dxa"/>
            <w:right w:w="108" w:type="dxa"/>
          </w:tblCellMar>
        </w:tblPrEx>
        <w:trPr>
          <w:cantSplit/>
          <w:trHeight w:val="365" w:hRule="atLeas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42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627.01</w:t>
            </w:r>
          </w:p>
        </w:tc>
        <w:tc>
          <w:tcPr>
            <w:tcW w:w="2700"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37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627.01</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7"/>
        <w:tblW w:w="14358" w:type="dxa"/>
        <w:jc w:val="center"/>
        <w:tblLayout w:type="fixed"/>
        <w:tblCellMar>
          <w:top w:w="0" w:type="dxa"/>
          <w:left w:w="108" w:type="dxa"/>
          <w:bottom w:w="0" w:type="dxa"/>
          <w:right w:w="108" w:type="dxa"/>
        </w:tblCellMar>
      </w:tblPr>
      <w:tblGrid>
        <w:gridCol w:w="555"/>
        <w:gridCol w:w="504"/>
        <w:gridCol w:w="450"/>
        <w:gridCol w:w="2266"/>
        <w:gridCol w:w="1080"/>
        <w:gridCol w:w="1005"/>
        <w:gridCol w:w="960"/>
        <w:gridCol w:w="975"/>
        <w:gridCol w:w="720"/>
        <w:gridCol w:w="953"/>
        <w:gridCol w:w="781"/>
        <w:gridCol w:w="966"/>
        <w:gridCol w:w="720"/>
        <w:gridCol w:w="1020"/>
        <w:gridCol w:w="735"/>
        <w:gridCol w:w="668"/>
      </w:tblGrid>
      <w:tr>
        <w:tblPrEx>
          <w:tblCellMar>
            <w:top w:w="0" w:type="dxa"/>
            <w:left w:w="108" w:type="dxa"/>
            <w:bottom w:w="0" w:type="dxa"/>
            <w:right w:w="108" w:type="dxa"/>
          </w:tblCellMar>
        </w:tblPrEx>
        <w:trPr>
          <w:trHeight w:val="388" w:hRule="atLeast"/>
          <w:jc w:val="center"/>
        </w:trPr>
        <w:tc>
          <w:tcPr>
            <w:tcW w:w="150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功能分类</w:t>
            </w:r>
            <w:r>
              <w:rPr>
                <w:rFonts w:hint="eastAsia" w:ascii="仿宋" w:hAnsi="仿宋" w:eastAsia="仿宋" w:cs="仿宋"/>
                <w:b/>
                <w:bCs/>
                <w:color w:val="auto"/>
                <w:sz w:val="20"/>
                <w:szCs w:val="20"/>
                <w:highlight w:val="none"/>
              </w:rPr>
              <w:br w:type="textWrapping"/>
            </w:r>
            <w:r>
              <w:rPr>
                <w:rFonts w:hint="eastAsia" w:ascii="仿宋" w:hAnsi="仿宋" w:eastAsia="仿宋" w:cs="仿宋"/>
                <w:b/>
                <w:bCs/>
                <w:color w:val="auto"/>
                <w:sz w:val="20"/>
                <w:szCs w:val="20"/>
                <w:highlight w:val="none"/>
              </w:rPr>
              <w:t>科目编码</w:t>
            </w:r>
          </w:p>
        </w:tc>
        <w:tc>
          <w:tcPr>
            <w:tcW w:w="2266"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功能分类科目名称</w:t>
            </w:r>
          </w:p>
        </w:tc>
        <w:tc>
          <w:tcPr>
            <w:tcW w:w="1080"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总  计</w:t>
            </w:r>
          </w:p>
        </w:tc>
        <w:tc>
          <w:tcPr>
            <w:tcW w:w="6360" w:type="dxa"/>
            <w:gridSpan w:val="7"/>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  政  拨  款  (  补  助  )</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财政专户（教育收费）</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单位资金</w:t>
            </w:r>
          </w:p>
        </w:tc>
        <w:tc>
          <w:tcPr>
            <w:tcW w:w="735"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财政拨款结转</w:t>
            </w:r>
          </w:p>
        </w:tc>
        <w:tc>
          <w:tcPr>
            <w:tcW w:w="668" w:type="dxa"/>
            <w:vMerge w:val="restart"/>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非财政拨款结转结余</w:t>
            </w:r>
          </w:p>
        </w:tc>
      </w:tr>
      <w:tr>
        <w:tblPrEx>
          <w:tblCellMar>
            <w:top w:w="0" w:type="dxa"/>
            <w:left w:w="108" w:type="dxa"/>
            <w:bottom w:w="0" w:type="dxa"/>
            <w:right w:w="108" w:type="dxa"/>
          </w:tblCellMar>
        </w:tblPrEx>
        <w:trPr>
          <w:trHeight w:val="90" w:hRule="atLeast"/>
          <w:jc w:val="center"/>
        </w:trPr>
        <w:tc>
          <w:tcPr>
            <w:tcW w:w="555" w:type="dxa"/>
            <w:tcBorders>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auto"/>
                <w:sz w:val="20"/>
                <w:szCs w:val="20"/>
                <w:highlight w:val="none"/>
                <w:lang w:val="en-US" w:eastAsia="zh-Hans"/>
              </w:rPr>
            </w:pPr>
            <w:r>
              <w:rPr>
                <w:rFonts w:hint="eastAsia" w:ascii="仿宋" w:hAnsi="仿宋" w:eastAsia="仿宋" w:cs="仿宋"/>
                <w:b/>
                <w:bCs/>
                <w:color w:val="auto"/>
                <w:sz w:val="20"/>
                <w:szCs w:val="20"/>
                <w:highlight w:val="none"/>
                <w:lang w:val="en-US" w:eastAsia="zh-Hans"/>
              </w:rPr>
              <w:t>类</w:t>
            </w:r>
          </w:p>
        </w:tc>
        <w:tc>
          <w:tcPr>
            <w:tcW w:w="504" w:type="dxa"/>
            <w:tcBorders>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20"/>
                <w:szCs w:val="20"/>
                <w:highlight w:val="none"/>
                <w:lang w:val="en-US" w:eastAsia="zh-Hans"/>
              </w:rPr>
            </w:pPr>
            <w:r>
              <w:rPr>
                <w:rFonts w:hint="eastAsia" w:ascii="仿宋" w:hAnsi="仿宋" w:eastAsia="仿宋" w:cs="仿宋"/>
                <w:b/>
                <w:bCs/>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20"/>
                <w:szCs w:val="20"/>
                <w:highlight w:val="none"/>
                <w:lang w:val="en-US" w:eastAsia="zh-Hans"/>
              </w:rPr>
            </w:pPr>
            <w:r>
              <w:rPr>
                <w:rFonts w:hint="eastAsia" w:ascii="仿宋" w:hAnsi="仿宋" w:eastAsia="仿宋" w:cs="仿宋"/>
                <w:b/>
                <w:bCs/>
                <w:color w:val="auto"/>
                <w:sz w:val="20"/>
                <w:szCs w:val="20"/>
                <w:highlight w:val="none"/>
                <w:lang w:val="en-US" w:eastAsia="zh-Hans"/>
              </w:rPr>
              <w:t>项</w:t>
            </w:r>
          </w:p>
        </w:tc>
        <w:tc>
          <w:tcPr>
            <w:tcW w:w="2266"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c>
          <w:tcPr>
            <w:tcW w:w="1080"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财政拨款(补助)小计</w:t>
            </w:r>
          </w:p>
        </w:tc>
        <w:tc>
          <w:tcPr>
            <w:tcW w:w="960"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一般公共预算</w:t>
            </w:r>
          </w:p>
        </w:tc>
        <w:tc>
          <w:tcPr>
            <w:tcW w:w="975"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上级一般公共预算安排的转移支付</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政府性基金预算</w:t>
            </w:r>
          </w:p>
        </w:tc>
        <w:tc>
          <w:tcPr>
            <w:tcW w:w="953"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上级政府性基金安排的转移支付</w:t>
            </w:r>
          </w:p>
        </w:tc>
        <w:tc>
          <w:tcPr>
            <w:tcW w:w="781"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国有资本经营预算</w:t>
            </w:r>
          </w:p>
        </w:tc>
        <w:tc>
          <w:tcPr>
            <w:tcW w:w="966" w:type="dxa"/>
            <w:tcBorders>
              <w:top w:val="single" w:color="auto" w:sz="4" w:space="0"/>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上级国有资本经营预算安排的转移支付</w:t>
            </w:r>
          </w:p>
        </w:tc>
        <w:tc>
          <w:tcPr>
            <w:tcW w:w="720"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c>
          <w:tcPr>
            <w:tcW w:w="735"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c>
          <w:tcPr>
            <w:tcW w:w="668" w:type="dxa"/>
            <w:vMerge w:val="continue"/>
            <w:tcBorders>
              <w:left w:val="single" w:color="auto" w:sz="4" w:space="0"/>
              <w:bottom w:val="single" w:color="000000" w:sz="4" w:space="0"/>
              <w:right w:val="single" w:color="auto" w:sz="4" w:space="0"/>
            </w:tcBorders>
            <w:noWrap w:val="0"/>
            <w:vAlign w:val="center"/>
          </w:tcPr>
          <w:p>
            <w:pPr>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208</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社会保障和就业支出</w:t>
            </w:r>
          </w:p>
        </w:tc>
        <w:tc>
          <w:tcPr>
            <w:tcW w:w="108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35.24</w:t>
            </w:r>
          </w:p>
        </w:tc>
        <w:tc>
          <w:tcPr>
            <w:tcW w:w="100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35.24</w:t>
            </w:r>
          </w:p>
        </w:tc>
        <w:tc>
          <w:tcPr>
            <w:tcW w:w="9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35.24</w:t>
            </w:r>
          </w:p>
        </w:tc>
        <w:tc>
          <w:tcPr>
            <w:tcW w:w="97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208</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05</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ind w:firstLine="201" w:firstLineChars="100"/>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社会保障和就业支出</w:t>
            </w:r>
          </w:p>
        </w:tc>
        <w:tc>
          <w:tcPr>
            <w:tcW w:w="108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35.24</w:t>
            </w:r>
          </w:p>
        </w:tc>
        <w:tc>
          <w:tcPr>
            <w:tcW w:w="100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35.24</w:t>
            </w:r>
          </w:p>
        </w:tc>
        <w:tc>
          <w:tcPr>
            <w:tcW w:w="9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35.24</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208</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05</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02</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事业单位离退休</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6.22</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6.22</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6.22</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208</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05</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05</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Hans"/>
              </w:rPr>
              <w:t>机关事业单位基本养老保险缴费支出</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29.02</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29.02</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29.02</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卫生健康支出</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567.52</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257.52</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257.52</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310.00</w:t>
            </w: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03</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ind w:firstLine="201" w:firstLineChars="100"/>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基层医疗卫生机构</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545.58</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235.58</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235.58</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310.00</w:t>
            </w: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03</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02</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Hans"/>
              </w:rPr>
              <w:t>乡镇卫生院</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545.58</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235.58</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235.58</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310.00</w:t>
            </w: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11</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ind w:firstLine="201" w:firstLineChars="100"/>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行政事业单位医疗</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21.94</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21.94</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21.94</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11</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02</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事业</w:t>
            </w:r>
            <w:r>
              <w:rPr>
                <w:rFonts w:hint="eastAsia" w:ascii="仿宋" w:hAnsi="仿宋" w:eastAsia="仿宋" w:cs="仿宋"/>
                <w:b w:val="0"/>
                <w:bCs/>
                <w:color w:val="auto"/>
                <w:sz w:val="20"/>
                <w:szCs w:val="20"/>
                <w:highlight w:val="none"/>
                <w:lang w:val="en-US" w:eastAsia="zh-Hans"/>
              </w:rPr>
              <w:t>单位医疗</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14.51</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14.51</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CN"/>
              </w:rPr>
              <w:t>14.51</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11</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03</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Hans"/>
              </w:rPr>
              <w:t>公务员医疗补助</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7.25</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7.25</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7.25</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210</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11</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99</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lef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其他行政事业单位医疗支出</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0.18</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0.18</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0.18</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221</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住房保障支出</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221</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02</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p>
        </w:tc>
        <w:tc>
          <w:tcPr>
            <w:tcW w:w="2266" w:type="dxa"/>
            <w:tcBorders>
              <w:top w:val="nil"/>
              <w:left w:val="nil"/>
              <w:bottom w:val="single" w:color="auto" w:sz="4" w:space="0"/>
              <w:right w:val="single" w:color="auto" w:sz="4" w:space="0"/>
            </w:tcBorders>
            <w:shd w:val="clear" w:color="auto" w:fill="auto"/>
            <w:noWrap w:val="0"/>
            <w:vAlign w:val="center"/>
          </w:tcPr>
          <w:p>
            <w:pPr>
              <w:ind w:firstLine="201" w:firstLineChars="100"/>
              <w:jc w:val="both"/>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Hans"/>
              </w:rPr>
              <w:t>住房改革支出</w:t>
            </w:r>
          </w:p>
        </w:tc>
        <w:tc>
          <w:tcPr>
            <w:tcW w:w="108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1005"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96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24.25</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221</w:t>
            </w:r>
          </w:p>
        </w:tc>
        <w:tc>
          <w:tcPr>
            <w:tcW w:w="504"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02</w:t>
            </w:r>
          </w:p>
        </w:tc>
        <w:tc>
          <w:tcPr>
            <w:tcW w:w="45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01</w:t>
            </w:r>
          </w:p>
        </w:tc>
        <w:tc>
          <w:tcPr>
            <w:tcW w:w="2266" w:type="dxa"/>
            <w:tcBorders>
              <w:top w:val="nil"/>
              <w:left w:val="nil"/>
              <w:bottom w:val="single" w:color="auto" w:sz="4" w:space="0"/>
              <w:right w:val="single" w:color="auto" w:sz="4" w:space="0"/>
            </w:tcBorders>
            <w:shd w:val="clear" w:color="auto" w:fill="auto"/>
            <w:noWrap w:val="0"/>
            <w:vAlign w:val="center"/>
          </w:tcPr>
          <w:p>
            <w:pPr>
              <w:ind w:firstLine="400" w:firstLineChars="200"/>
              <w:jc w:val="both"/>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Hans"/>
              </w:rPr>
              <w:t>住房公积金</w:t>
            </w:r>
          </w:p>
        </w:tc>
        <w:tc>
          <w:tcPr>
            <w:tcW w:w="108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24.25</w:t>
            </w:r>
          </w:p>
        </w:tc>
        <w:tc>
          <w:tcPr>
            <w:tcW w:w="1005"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24.25</w:t>
            </w:r>
          </w:p>
        </w:tc>
        <w:tc>
          <w:tcPr>
            <w:tcW w:w="96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val="0"/>
                <w:bCs/>
                <w:color w:val="auto"/>
                <w:sz w:val="20"/>
                <w:szCs w:val="20"/>
                <w:highlight w:val="none"/>
                <w:lang w:val="en-US" w:eastAsia="zh-CN"/>
              </w:rPr>
            </w:pPr>
            <w:r>
              <w:rPr>
                <w:rFonts w:hint="eastAsia" w:ascii="仿宋" w:hAnsi="仿宋" w:eastAsia="仿宋" w:cs="仿宋"/>
                <w:b w:val="0"/>
                <w:bCs/>
                <w:color w:val="auto"/>
                <w:sz w:val="20"/>
                <w:szCs w:val="20"/>
                <w:highlight w:val="none"/>
                <w:lang w:val="en-US" w:eastAsia="zh-CN"/>
              </w:rPr>
              <w:t>24.25</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r>
              <w:rPr>
                <w:rFonts w:hint="eastAsia" w:ascii="仿宋" w:hAnsi="仿宋" w:eastAsia="仿宋" w:cs="仿宋"/>
                <w:b w:val="0"/>
                <w:bCs/>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val="0"/>
                <w:bCs/>
                <w:color w:val="auto"/>
                <w:sz w:val="20"/>
                <w:szCs w:val="20"/>
                <w:highlight w:val="none"/>
                <w:lang w:val="en-US" w:eastAsia="zh-Hans"/>
              </w:rPr>
            </w:pPr>
          </w:p>
        </w:tc>
      </w:tr>
      <w:tr>
        <w:tblPrEx>
          <w:tblCellMar>
            <w:top w:w="0" w:type="dxa"/>
            <w:left w:w="108" w:type="dxa"/>
            <w:bottom w:w="0" w:type="dxa"/>
            <w:right w:w="108" w:type="dxa"/>
          </w:tblCellMar>
        </w:tblPrEx>
        <w:trPr>
          <w:trHeight w:val="312" w:hRule="atLeast"/>
          <w:jc w:val="center"/>
        </w:trPr>
        <w:tc>
          <w:tcPr>
            <w:tcW w:w="55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50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45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22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合  计　</w:t>
            </w:r>
          </w:p>
        </w:tc>
        <w:tc>
          <w:tcPr>
            <w:tcW w:w="108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627.01</w:t>
            </w:r>
          </w:p>
        </w:tc>
        <w:tc>
          <w:tcPr>
            <w:tcW w:w="100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317.01</w:t>
            </w:r>
          </w:p>
        </w:tc>
        <w:tc>
          <w:tcPr>
            <w:tcW w:w="96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CN"/>
              </w:rPr>
              <w:t>317.01</w:t>
            </w:r>
          </w:p>
        </w:tc>
        <w:tc>
          <w:tcPr>
            <w:tcW w:w="975"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53"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8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96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　</w:t>
            </w: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102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310.00</w:t>
            </w:r>
          </w:p>
        </w:tc>
        <w:tc>
          <w:tcPr>
            <w:tcW w:w="7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c>
          <w:tcPr>
            <w:tcW w:w="668"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Hans"/>
              </w:rPr>
            </w:pP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cs="Times New Roman"/>
          <w:b/>
          <w:color w:val="auto"/>
          <w:kern w:val="0"/>
          <w:sz w:val="32"/>
          <w:szCs w:val="32"/>
          <w:highlight w:val="none"/>
        </w:rPr>
      </w:pPr>
      <w:r>
        <w:rPr>
          <w:rFonts w:hint="eastAsia" w:ascii="仿宋_GB2312" w:hAnsi="宋体" w:eastAsia="仿宋_GB2312" w:cs="Times New Roman"/>
          <w:b/>
          <w:color w:val="auto"/>
          <w:kern w:val="0"/>
          <w:sz w:val="32"/>
          <w:szCs w:val="32"/>
          <w:highlight w:val="none"/>
          <w:lang w:eastAsia="zh-CN"/>
        </w:rPr>
        <w:t>部门</w:t>
      </w:r>
      <w:r>
        <w:rPr>
          <w:rFonts w:hint="eastAsia" w:ascii="仿宋_GB2312" w:hAnsi="宋体" w:eastAsia="仿宋_GB2312" w:cs="Times New Roman"/>
          <w:b/>
          <w:color w:val="auto"/>
          <w:kern w:val="0"/>
          <w:sz w:val="32"/>
          <w:szCs w:val="32"/>
          <w:highlight w:val="none"/>
        </w:rPr>
        <w:t>支出总体情况表</w:t>
      </w:r>
    </w:p>
    <w:p>
      <w:pPr>
        <w:pStyle w:val="2"/>
        <w:rPr>
          <w:rFonts w:hint="eastAsia"/>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单位：万元</w:t>
      </w: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tbl>
      <w:tblPr>
        <w:tblStyle w:val="7"/>
        <w:tblpPr w:leftFromText="180" w:rightFromText="180" w:vertAnchor="text" w:horzAnchor="page" w:tblpX="1391" w:tblpY="152"/>
        <w:tblOverlap w:val="never"/>
        <w:tblW w:w="9420" w:type="dxa"/>
        <w:jc w:val="center"/>
        <w:tblLayout w:type="autofit"/>
        <w:tblCellMar>
          <w:top w:w="0" w:type="dxa"/>
          <w:left w:w="108" w:type="dxa"/>
          <w:bottom w:w="0" w:type="dxa"/>
          <w:right w:w="108" w:type="dxa"/>
        </w:tblCellMar>
      </w:tblPr>
      <w:tblGrid>
        <w:gridCol w:w="519"/>
        <w:gridCol w:w="418"/>
        <w:gridCol w:w="417"/>
        <w:gridCol w:w="2552"/>
        <w:gridCol w:w="1821"/>
        <w:gridCol w:w="1822"/>
        <w:gridCol w:w="1871"/>
      </w:tblGrid>
      <w:tr>
        <w:tblPrEx>
          <w:tblCellMar>
            <w:top w:w="0" w:type="dxa"/>
            <w:left w:w="108" w:type="dxa"/>
            <w:bottom w:w="0" w:type="dxa"/>
            <w:right w:w="108" w:type="dxa"/>
          </w:tblCellMar>
        </w:tblPrEx>
        <w:trPr>
          <w:trHeight w:val="328" w:hRule="atLeast"/>
          <w:jc w:val="center"/>
        </w:trPr>
        <w:tc>
          <w:tcPr>
            <w:tcW w:w="3906"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科</w:t>
            </w:r>
            <w:r>
              <w:rPr>
                <w:rFonts w:hint="eastAsia" w:ascii="仿宋_GB2312" w:hAnsi="仿宋_GB2312" w:eastAsia="仿宋_GB2312" w:cs="仿宋_GB2312"/>
                <w:b/>
                <w:bCs/>
                <w:color w:val="auto"/>
                <w:kern w:val="0"/>
                <w:sz w:val="20"/>
                <w:szCs w:val="20"/>
                <w:highlight w:val="none"/>
              </w:rPr>
              <w:t xml:space="preserve">    目</w:t>
            </w:r>
          </w:p>
        </w:tc>
        <w:tc>
          <w:tcPr>
            <w:tcW w:w="5514"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支出预算</w:t>
            </w:r>
          </w:p>
        </w:tc>
      </w:tr>
      <w:tr>
        <w:tblPrEx>
          <w:tblCellMar>
            <w:top w:w="0" w:type="dxa"/>
            <w:left w:w="108" w:type="dxa"/>
            <w:bottom w:w="0" w:type="dxa"/>
            <w:right w:w="108" w:type="dxa"/>
          </w:tblCellMar>
        </w:tblPrEx>
        <w:trPr>
          <w:trHeight w:val="480" w:hRule="atLeast"/>
          <w:jc w:val="center"/>
        </w:trPr>
        <w:tc>
          <w:tcPr>
            <w:tcW w:w="135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w:t>
            </w:r>
            <w:r>
              <w:rPr>
                <w:rFonts w:hint="eastAsia" w:ascii="仿宋_GB2312" w:hAnsi="仿宋_GB2312" w:eastAsia="仿宋_GB2312" w:cs="仿宋_GB2312"/>
                <w:b/>
                <w:bCs/>
                <w:color w:val="auto"/>
                <w:kern w:val="0"/>
                <w:sz w:val="20"/>
                <w:szCs w:val="20"/>
                <w:highlight w:val="none"/>
              </w:rPr>
              <w:br w:type="textWrapping"/>
            </w:r>
            <w:r>
              <w:rPr>
                <w:rFonts w:hint="eastAsia" w:ascii="仿宋_GB2312" w:hAnsi="仿宋_GB2312" w:eastAsia="仿宋_GB2312" w:cs="仿宋_GB2312"/>
                <w:b/>
                <w:bCs/>
                <w:color w:val="auto"/>
                <w:kern w:val="0"/>
                <w:sz w:val="20"/>
                <w:szCs w:val="20"/>
                <w:highlight w:val="none"/>
              </w:rPr>
              <w:t>科目编码</w:t>
            </w:r>
          </w:p>
        </w:tc>
        <w:tc>
          <w:tcPr>
            <w:tcW w:w="25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2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both"/>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社会保障和就业支出</w:t>
            </w:r>
          </w:p>
        </w:tc>
        <w:tc>
          <w:tcPr>
            <w:tcW w:w="1821"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35.24</w:t>
            </w:r>
          </w:p>
        </w:tc>
        <w:tc>
          <w:tcPr>
            <w:tcW w:w="1822"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35.24</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tblPrEx>
          <w:tblCellMar>
            <w:top w:w="0" w:type="dxa"/>
            <w:left w:w="108" w:type="dxa"/>
            <w:bottom w:w="0" w:type="dxa"/>
            <w:right w:w="108" w:type="dxa"/>
          </w:tblCellMar>
        </w:tblPrEx>
        <w:trPr>
          <w:trHeight w:val="358"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208　</w:t>
            </w:r>
          </w:p>
        </w:tc>
        <w:tc>
          <w:tcPr>
            <w:tcW w:w="41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ab/>
            </w:r>
            <w:r>
              <w:rPr>
                <w:rFonts w:hint="eastAsia" w:ascii="仿宋" w:hAnsi="仿宋" w:eastAsia="仿宋" w:cs="仿宋"/>
                <w:b/>
                <w:color w:val="auto"/>
                <w:sz w:val="20"/>
                <w:szCs w:val="20"/>
                <w:highlight w:val="none"/>
                <w:lang w:val="en-US" w:eastAsia="zh-CN"/>
              </w:rPr>
              <w:t>05</w:t>
            </w:r>
            <w:r>
              <w:rPr>
                <w:rFonts w:hint="eastAsia" w:ascii="仿宋" w:hAnsi="仿宋" w:eastAsia="仿宋" w:cs="仿宋"/>
                <w:b/>
                <w:color w:val="auto"/>
                <w:sz w:val="20"/>
                <w:szCs w:val="20"/>
                <w:highlight w:val="none"/>
                <w:lang w:val="en-US" w:eastAsia="zh-CN"/>
              </w:rPr>
              <w:tab/>
            </w:r>
            <w:r>
              <w:rPr>
                <w:rFonts w:hint="eastAsia" w:ascii="仿宋" w:hAnsi="仿宋" w:eastAsia="仿宋" w:cs="仿宋"/>
                <w:b/>
                <w:color w:val="auto"/>
                <w:sz w:val="20"/>
                <w:szCs w:val="20"/>
                <w:highlight w:val="none"/>
                <w:lang w:val="en-US" w:eastAsia="zh-CN"/>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　</w:t>
            </w:r>
          </w:p>
        </w:tc>
        <w:tc>
          <w:tcPr>
            <w:tcW w:w="2552" w:type="dxa"/>
            <w:tcBorders>
              <w:top w:val="nil"/>
              <w:left w:val="nil"/>
              <w:bottom w:val="single" w:color="auto" w:sz="4" w:space="0"/>
              <w:right w:val="single" w:color="auto" w:sz="4" w:space="0"/>
            </w:tcBorders>
            <w:shd w:val="clear" w:color="auto" w:fill="auto"/>
            <w:noWrap w:val="0"/>
            <w:vAlign w:val="center"/>
          </w:tcPr>
          <w:p>
            <w:pPr>
              <w:ind w:firstLine="201" w:firstLineChars="100"/>
              <w:jc w:val="both"/>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社会保障和就业支出</w:t>
            </w:r>
          </w:p>
        </w:tc>
        <w:tc>
          <w:tcPr>
            <w:tcW w:w="1821"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35.24</w:t>
            </w:r>
          </w:p>
        </w:tc>
        <w:tc>
          <w:tcPr>
            <w:tcW w:w="1822"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35.24</w:t>
            </w:r>
          </w:p>
        </w:tc>
        <w:tc>
          <w:tcPr>
            <w:tcW w:w="187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208</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eastAsia="zh-CN"/>
              </w:rPr>
              <w:t>事业单位离退休</w:t>
            </w:r>
          </w:p>
        </w:tc>
        <w:tc>
          <w:tcPr>
            <w:tcW w:w="182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r>
              <w:rPr>
                <w:rFonts w:hint="eastAsia" w:ascii="仿宋" w:hAnsi="仿宋" w:eastAsia="仿宋" w:cs="仿宋"/>
                <w:b w:val="0"/>
                <w:bCs w:val="0"/>
                <w:color w:val="auto"/>
                <w:kern w:val="0"/>
                <w:sz w:val="20"/>
                <w:szCs w:val="20"/>
                <w:highlight w:val="none"/>
              </w:rPr>
              <w:t>　</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r>
              <w:rPr>
                <w:rFonts w:hint="eastAsia" w:ascii="仿宋" w:hAnsi="仿宋" w:eastAsia="仿宋" w:cs="仿宋"/>
                <w:b w:val="0"/>
                <w:bCs w:val="0"/>
                <w:color w:val="auto"/>
                <w:kern w:val="0"/>
                <w:sz w:val="20"/>
                <w:szCs w:val="20"/>
                <w:highlight w:val="none"/>
              </w:rPr>
              <w:t>　</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208</w:t>
            </w:r>
            <w:r>
              <w:rPr>
                <w:rFonts w:hint="eastAsia" w:ascii="仿宋" w:hAnsi="仿宋" w:eastAsia="仿宋" w:cs="仿宋"/>
                <w:b w:val="0"/>
                <w:bCs w:val="0"/>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r>
              <w:rPr>
                <w:rFonts w:hint="eastAsia" w:ascii="仿宋" w:hAnsi="仿宋" w:eastAsia="仿宋" w:cs="仿宋"/>
                <w:b w:val="0"/>
                <w:bCs w:val="0"/>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r>
              <w:rPr>
                <w:rFonts w:hint="eastAsia" w:ascii="仿宋" w:hAnsi="仿宋" w:eastAsia="仿宋" w:cs="仿宋"/>
                <w:b w:val="0"/>
                <w:bCs w:val="0"/>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机关事业单位基本养老保险缴费支出</w:t>
            </w:r>
          </w:p>
        </w:tc>
        <w:tc>
          <w:tcPr>
            <w:tcW w:w="1821"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r>
              <w:rPr>
                <w:rFonts w:hint="eastAsia" w:ascii="仿宋" w:hAnsi="仿宋" w:eastAsia="仿宋" w:cs="仿宋"/>
                <w:b w:val="0"/>
                <w:bCs w:val="0"/>
                <w:color w:val="auto"/>
                <w:kern w:val="0"/>
                <w:sz w:val="20"/>
                <w:szCs w:val="20"/>
                <w:highlight w:val="none"/>
              </w:rPr>
              <w:t>　</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r>
              <w:rPr>
                <w:rFonts w:hint="eastAsia" w:ascii="仿宋" w:hAnsi="仿宋" w:eastAsia="仿宋" w:cs="仿宋"/>
                <w:b w:val="0"/>
                <w:bCs w:val="0"/>
                <w:color w:val="auto"/>
                <w:kern w:val="0"/>
                <w:sz w:val="20"/>
                <w:szCs w:val="20"/>
                <w:highlight w:val="none"/>
              </w:rPr>
              <w:t>　</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卫生健康支出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567.52</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552.52</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15.00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03</w:t>
            </w: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基层医疗卫生机构</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545.58</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530.58</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15.00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r>
              <w:rPr>
                <w:rFonts w:hint="eastAsia" w:ascii="仿宋" w:hAnsi="仿宋" w:eastAsia="仿宋" w:cs="仿宋"/>
                <w:b w:val="0"/>
                <w:bCs w:val="0"/>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w:t>
            </w:r>
            <w:r>
              <w:rPr>
                <w:rFonts w:hint="eastAsia" w:ascii="仿宋" w:hAnsi="仿宋" w:eastAsia="仿宋" w:cs="仿宋"/>
                <w:b w:val="0"/>
                <w:bCs w:val="0"/>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r>
              <w:rPr>
                <w:rFonts w:hint="eastAsia" w:ascii="仿宋" w:hAnsi="仿宋" w:eastAsia="仿宋" w:cs="仿宋"/>
                <w:b w:val="0"/>
                <w:bCs w:val="0"/>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乡镇卫生院</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　545.58</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530.58　</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15.00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行政事业单位医疗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　</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　　</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eastAsia="zh-CN"/>
              </w:rPr>
              <w:t>事业</w:t>
            </w:r>
            <w:r>
              <w:rPr>
                <w:rFonts w:hint="eastAsia" w:ascii="仿宋" w:hAnsi="仿宋" w:eastAsia="仿宋" w:cs="仿宋"/>
                <w:b w:val="0"/>
                <w:bCs w:val="0"/>
                <w:color w:val="auto"/>
                <w:kern w:val="0"/>
                <w:sz w:val="20"/>
                <w:szCs w:val="20"/>
                <w:highlight w:val="none"/>
              </w:rPr>
              <w:t>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公务员医疗补助</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99</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eastAsia="zh-CN"/>
              </w:rPr>
              <w:t>其他行政事业单位医疗支出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0.18</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0.18</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221</w:t>
            </w: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住房保障支出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221</w:t>
            </w: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02</w:t>
            </w: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住房改革支出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221</w:t>
            </w:r>
          </w:p>
        </w:tc>
        <w:tc>
          <w:tcPr>
            <w:tcW w:w="41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住房公积金</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82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4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627.01</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612.01　</w:t>
            </w:r>
          </w:p>
        </w:tc>
        <w:tc>
          <w:tcPr>
            <w:tcW w:w="18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15.00</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cs="Times New Roman"/>
          <w:b/>
          <w:color w:val="auto"/>
          <w:kern w:val="0"/>
          <w:sz w:val="32"/>
          <w:szCs w:val="32"/>
          <w:highlight w:val="none"/>
        </w:rPr>
      </w:pPr>
      <w:r>
        <w:rPr>
          <w:rFonts w:hint="eastAsia" w:ascii="仿宋_GB2312" w:hAnsi="宋体" w:eastAsia="仿宋_GB2312" w:cs="Times New Roman"/>
          <w:b/>
          <w:color w:val="auto"/>
          <w:kern w:val="0"/>
          <w:sz w:val="32"/>
          <w:szCs w:val="32"/>
          <w:highlight w:val="none"/>
        </w:rPr>
        <w:t>财政拨款收支预算总体情况表</w:t>
      </w:r>
    </w:p>
    <w:p>
      <w:pPr>
        <w:pStyle w:val="2"/>
        <w:rPr>
          <w:rFonts w:hint="eastAsia"/>
        </w:rPr>
      </w:pPr>
    </w:p>
    <w:p>
      <w:pPr>
        <w:widowControl/>
        <w:spacing w:line="240" w:lineRule="auto"/>
        <w:jc w:val="left"/>
        <w:outlineLvl w:val="1"/>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 xml:space="preserve">编制部门：呼图壁县石梯子哈萨克族乡卫生院 </w:t>
      </w:r>
      <w:r>
        <w:rPr>
          <w:rFonts w:hint="eastAsia" w:ascii="仿宋" w:hAnsi="仿宋" w:eastAsia="仿宋" w:cs="仿宋"/>
          <w:color w:val="auto"/>
          <w:kern w:val="0"/>
          <w:sz w:val="24"/>
          <w:szCs w:val="24"/>
          <w:highlight w:val="none"/>
        </w:rPr>
        <w:t xml:space="preserve">                       单位：万元</w:t>
      </w:r>
    </w:p>
    <w:tbl>
      <w:tblPr>
        <w:tblStyle w:val="7"/>
        <w:tblW w:w="9449" w:type="dxa"/>
        <w:jc w:val="center"/>
        <w:tblLayout w:type="autofit"/>
        <w:tblCellMar>
          <w:top w:w="0" w:type="dxa"/>
          <w:left w:w="108" w:type="dxa"/>
          <w:bottom w:w="0" w:type="dxa"/>
          <w:right w:w="108" w:type="dxa"/>
        </w:tblCellMar>
      </w:tblPr>
      <w:tblGrid>
        <w:gridCol w:w="1936"/>
        <w:gridCol w:w="914"/>
        <w:gridCol w:w="2580"/>
        <w:gridCol w:w="976"/>
        <w:gridCol w:w="887"/>
        <w:gridCol w:w="1022"/>
        <w:gridCol w:w="1134"/>
      </w:tblGrid>
      <w:tr>
        <w:tblPrEx>
          <w:tblCellMar>
            <w:top w:w="0" w:type="dxa"/>
            <w:left w:w="108" w:type="dxa"/>
            <w:bottom w:w="0" w:type="dxa"/>
            <w:right w:w="108" w:type="dxa"/>
          </w:tblCellMar>
        </w:tblPrEx>
        <w:trPr>
          <w:trHeight w:val="285" w:hRule="atLeast"/>
          <w:jc w:val="center"/>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财政拨款支出</w:t>
            </w:r>
          </w:p>
        </w:tc>
      </w:tr>
      <w:tr>
        <w:tblPrEx>
          <w:tblCellMar>
            <w:top w:w="0" w:type="dxa"/>
            <w:left w:w="108" w:type="dxa"/>
            <w:bottom w:w="0" w:type="dxa"/>
            <w:right w:w="108" w:type="dxa"/>
          </w:tblCellMar>
        </w:tblPrEx>
        <w:trPr>
          <w:trHeight w:val="500" w:hRule="atLeast"/>
          <w:jc w:val="center"/>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  能  分  类</w:t>
            </w:r>
          </w:p>
        </w:tc>
        <w:tc>
          <w:tcPr>
            <w:tcW w:w="9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8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一般公共预算</w:t>
            </w:r>
          </w:p>
        </w:tc>
        <w:tc>
          <w:tcPr>
            <w:tcW w:w="10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Hans"/>
              </w:rPr>
              <w:t>一、</w:t>
            </w:r>
            <w:r>
              <w:rPr>
                <w:rFonts w:hint="eastAsia" w:ascii="仿宋" w:hAnsi="仿宋" w:eastAsia="仿宋" w:cs="仿宋"/>
                <w:b/>
                <w:bCs/>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317.01</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201 一般公共服务支出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317.01</w:t>
            </w: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202 外交支出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203 国防支出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204 公共安全支出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297"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205 教育支出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206 科学技术支出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207 文化旅游体育与传媒支出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208 社会保障和就业支出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35.24</w:t>
            </w: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35.24</w:t>
            </w: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209 社会保险基金支出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210</w:t>
            </w:r>
            <w:r>
              <w:rPr>
                <w:rFonts w:hint="eastAsia" w:ascii="仿宋" w:hAnsi="仿宋" w:eastAsia="仿宋" w:cs="仿宋"/>
                <w:b w:val="0"/>
                <w:bCs w:val="0"/>
                <w:color w:val="auto"/>
                <w:kern w:val="0"/>
                <w:sz w:val="20"/>
                <w:szCs w:val="20"/>
                <w:highlight w:val="none"/>
                <w:lang w:val="en-US" w:eastAsia="zh-CN"/>
              </w:rPr>
              <w:t xml:space="preserve"> </w:t>
            </w:r>
            <w:r>
              <w:rPr>
                <w:rFonts w:hint="eastAsia" w:ascii="仿宋" w:hAnsi="仿宋" w:eastAsia="仿宋" w:cs="仿宋"/>
                <w:b w:val="0"/>
                <w:bCs w:val="0"/>
                <w:color w:val="auto"/>
                <w:kern w:val="0"/>
                <w:sz w:val="20"/>
                <w:szCs w:val="20"/>
                <w:highlight w:val="none"/>
              </w:rPr>
              <w:t>卫生健康支出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257.52</w:t>
            </w: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257.52</w:t>
            </w: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211 节能环保支出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212 城乡社区支出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213 农林水支出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214 交通运输支出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215 资源勘探</w:t>
            </w:r>
            <w:r>
              <w:rPr>
                <w:rFonts w:hint="eastAsia" w:ascii="仿宋" w:hAnsi="仿宋" w:eastAsia="仿宋" w:cs="仿宋"/>
                <w:b w:val="0"/>
                <w:bCs w:val="0"/>
                <w:color w:val="auto"/>
                <w:kern w:val="0"/>
                <w:sz w:val="20"/>
                <w:szCs w:val="20"/>
                <w:highlight w:val="none"/>
                <w:lang w:val="en-US" w:eastAsia="zh-Hans"/>
              </w:rPr>
              <w:t>工业</w:t>
            </w:r>
            <w:r>
              <w:rPr>
                <w:rFonts w:hint="eastAsia" w:ascii="仿宋" w:hAnsi="仿宋" w:eastAsia="仿宋" w:cs="仿宋"/>
                <w:b w:val="0"/>
                <w:bCs w:val="0"/>
                <w:color w:val="auto"/>
                <w:kern w:val="0"/>
                <w:sz w:val="20"/>
                <w:szCs w:val="20"/>
                <w:highlight w:val="none"/>
              </w:rPr>
              <w:t>信息等支出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216 商业服务业等支出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217 金融支出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219 援助其他地区支出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220 自然资源海洋气象等支出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221 住房保障支出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24.25</w:t>
            </w: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lang w:val="en-US" w:eastAsia="zh-CN"/>
              </w:rPr>
              <w:t>24.25</w:t>
            </w: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222 粮油物资储备支出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223 国有资本经营预算支出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224</w:t>
            </w:r>
            <w:r>
              <w:rPr>
                <w:rFonts w:hint="eastAsia" w:ascii="仿宋" w:hAnsi="仿宋" w:eastAsia="仿宋" w:cs="仿宋"/>
                <w:b w:val="0"/>
                <w:bCs w:val="0"/>
                <w:color w:val="auto"/>
                <w:kern w:val="0"/>
                <w:sz w:val="20"/>
                <w:szCs w:val="20"/>
                <w:highlight w:val="none"/>
                <w:lang w:val="en-US" w:eastAsia="zh-CN"/>
              </w:rPr>
              <w:t xml:space="preserve"> </w:t>
            </w:r>
            <w:r>
              <w:rPr>
                <w:rFonts w:hint="eastAsia" w:ascii="仿宋" w:hAnsi="仿宋" w:eastAsia="仿宋" w:cs="仿宋"/>
                <w:b w:val="0"/>
                <w:bCs w:val="0"/>
                <w:color w:val="auto"/>
                <w:kern w:val="0"/>
                <w:sz w:val="20"/>
                <w:szCs w:val="20"/>
                <w:highlight w:val="none"/>
              </w:rPr>
              <w:t>灾害防治及应急管理支出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227 预备费</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229 其他支出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230</w:t>
            </w:r>
            <w:r>
              <w:rPr>
                <w:rFonts w:hint="eastAsia" w:ascii="仿宋" w:hAnsi="仿宋" w:eastAsia="仿宋" w:cs="仿宋"/>
                <w:b w:val="0"/>
                <w:bCs w:val="0"/>
                <w:color w:val="auto"/>
                <w:kern w:val="0"/>
                <w:sz w:val="20"/>
                <w:szCs w:val="20"/>
                <w:highlight w:val="none"/>
                <w:lang w:val="en-US" w:eastAsia="zh-CN"/>
              </w:rPr>
              <w:t xml:space="preserve"> </w:t>
            </w:r>
            <w:r>
              <w:rPr>
                <w:rFonts w:hint="eastAsia" w:ascii="仿宋" w:hAnsi="仿宋" w:eastAsia="仿宋" w:cs="仿宋"/>
                <w:b w:val="0"/>
                <w:bCs w:val="0"/>
                <w:color w:val="auto"/>
                <w:kern w:val="0"/>
                <w:sz w:val="20"/>
                <w:szCs w:val="20"/>
                <w:highlight w:val="none"/>
              </w:rPr>
              <w:t>转移性支出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231 债务还本支出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232 债务付息支出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233 债务发行费用支出</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c>
          <w:tcPr>
            <w:tcW w:w="10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317.01</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9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317.01</w:t>
            </w:r>
            <w:r>
              <w:rPr>
                <w:rFonts w:hint="eastAsia" w:ascii="仿宋" w:hAnsi="仿宋" w:eastAsia="仿宋" w:cs="仿宋"/>
                <w:b/>
                <w:bCs/>
                <w:color w:val="auto"/>
                <w:kern w:val="0"/>
                <w:sz w:val="20"/>
                <w:szCs w:val="20"/>
                <w:highlight w:val="none"/>
              </w:rPr>
              <w:t>　</w:t>
            </w:r>
          </w:p>
        </w:tc>
        <w:tc>
          <w:tcPr>
            <w:tcW w:w="88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317.01</w:t>
            </w:r>
            <w:r>
              <w:rPr>
                <w:rFonts w:hint="eastAsia" w:ascii="仿宋" w:hAnsi="仿宋" w:eastAsia="仿宋" w:cs="仿宋"/>
                <w:b/>
                <w:bCs/>
                <w:color w:val="auto"/>
                <w:kern w:val="0"/>
                <w:sz w:val="20"/>
                <w:szCs w:val="20"/>
                <w:highlight w:val="none"/>
              </w:rPr>
              <w:t>　</w:t>
            </w:r>
          </w:p>
        </w:tc>
        <w:tc>
          <w:tcPr>
            <w:tcW w:w="2156"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w:t>
            </w:r>
          </w:p>
        </w:tc>
      </w:tr>
    </w:tbl>
    <w:p>
      <w:pPr>
        <w:keepNext w:val="0"/>
        <w:keepLines w:val="0"/>
        <w:widowControl/>
        <w:suppressLineNumbers w:val="0"/>
        <w:jc w:val="left"/>
        <w:textAlignment w:val="bottom"/>
        <w:rPr>
          <w:rFonts w:hint="eastAsia" w:ascii="仿宋" w:hAnsi="仿宋" w:eastAsia="仿宋" w:cs="仿宋"/>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i w:val="0"/>
          <w:color w:val="auto"/>
          <w:kern w:val="0"/>
          <w:sz w:val="20"/>
          <w:szCs w:val="20"/>
          <w:highlight w:val="none"/>
          <w:u w:val="none"/>
          <w:lang w:val="en-US" w:eastAsia="zh-CN" w:bidi="ar"/>
        </w:rPr>
        <w:t>表5</w:t>
      </w:r>
    </w:p>
    <w:tbl>
      <w:tblPr>
        <w:tblStyle w:val="7"/>
        <w:tblW w:w="9214" w:type="dxa"/>
        <w:jc w:val="center"/>
        <w:tblLayout w:type="autofit"/>
        <w:tblCellMar>
          <w:top w:w="0" w:type="dxa"/>
          <w:left w:w="108" w:type="dxa"/>
          <w:bottom w:w="0" w:type="dxa"/>
          <w:right w:w="108" w:type="dxa"/>
        </w:tblCellMar>
      </w:tblPr>
      <w:tblGrid>
        <w:gridCol w:w="519"/>
        <w:gridCol w:w="498"/>
        <w:gridCol w:w="502"/>
        <w:gridCol w:w="3387"/>
        <w:gridCol w:w="236"/>
        <w:gridCol w:w="1222"/>
        <w:gridCol w:w="11"/>
        <w:gridCol w:w="1571"/>
        <w:gridCol w:w="1268"/>
      </w:tblGrid>
      <w:tr>
        <w:tblPrEx>
          <w:tblCellMar>
            <w:top w:w="0" w:type="dxa"/>
            <w:left w:w="108" w:type="dxa"/>
            <w:bottom w:w="0" w:type="dxa"/>
            <w:right w:w="108" w:type="dxa"/>
          </w:tblCellMar>
        </w:tblPrEx>
        <w:trPr>
          <w:trHeight w:val="450" w:hRule="atLeast"/>
          <w:jc w:val="center"/>
        </w:trPr>
        <w:tc>
          <w:tcPr>
            <w:tcW w:w="9214" w:type="dxa"/>
            <w:gridSpan w:val="9"/>
            <w:tcBorders>
              <w:top w:val="nil"/>
              <w:left w:val="nil"/>
              <w:bottom w:val="nil"/>
              <w:right w:val="nil"/>
            </w:tcBorders>
            <w:noWrap w:val="0"/>
            <w:vAlign w:val="center"/>
          </w:tcPr>
          <w:p>
            <w:pPr>
              <w:widowControl/>
              <w:jc w:val="center"/>
              <w:rPr>
                <w:rFonts w:hint="eastAsia" w:ascii="仿宋" w:hAnsi="仿宋" w:eastAsia="仿宋" w:cs="仿宋"/>
                <w:b w:val="0"/>
                <w:bCs w:val="0"/>
                <w:color w:val="auto"/>
                <w:kern w:val="0"/>
                <w:sz w:val="32"/>
                <w:szCs w:val="32"/>
                <w:highlight w:val="none"/>
              </w:rPr>
            </w:pPr>
            <w:r>
              <w:rPr>
                <w:rFonts w:hint="eastAsia" w:ascii="仿宋_GB2312" w:hAnsi="宋体" w:eastAsia="仿宋_GB2312" w:cs="Times New Roman"/>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401" w:hRule="atLeast"/>
          <w:jc w:val="center"/>
        </w:trPr>
        <w:tc>
          <w:tcPr>
            <w:tcW w:w="4906" w:type="dxa"/>
            <w:gridSpan w:val="4"/>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p>
        </w:tc>
        <w:tc>
          <w:tcPr>
            <w:tcW w:w="236" w:type="dxa"/>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p>
        </w:tc>
        <w:tc>
          <w:tcPr>
            <w:tcW w:w="1233"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839" w:type="dxa"/>
            <w:gridSpan w:val="2"/>
            <w:tcBorders>
              <w:top w:val="nil"/>
              <w:left w:val="nil"/>
              <w:bottom w:val="nil"/>
              <w:right w:val="nil"/>
            </w:tcBorders>
            <w:noWrap w:val="0"/>
            <w:vAlign w:val="center"/>
          </w:tcPr>
          <w:p>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4906"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val="en-US" w:eastAsia="zh-CN"/>
              </w:rPr>
              <w:t>科</w:t>
            </w:r>
            <w:r>
              <w:rPr>
                <w:rFonts w:hint="eastAsia" w:ascii="仿宋" w:hAnsi="仿宋" w:eastAsia="仿宋" w:cs="仿宋"/>
                <w:b/>
                <w:color w:val="auto"/>
                <w:kern w:val="0"/>
                <w:sz w:val="20"/>
                <w:szCs w:val="20"/>
                <w:highlight w:val="none"/>
                <w:lang w:eastAsia="zh-CN"/>
              </w:rPr>
              <w:t xml:space="preserve">  目</w:t>
            </w:r>
          </w:p>
        </w:tc>
        <w:tc>
          <w:tcPr>
            <w:tcW w:w="430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一般公共预算支出</w:t>
            </w:r>
          </w:p>
        </w:tc>
      </w:tr>
      <w:tr>
        <w:tblPrEx>
          <w:tblCellMar>
            <w:top w:w="0" w:type="dxa"/>
            <w:left w:w="108" w:type="dxa"/>
            <w:bottom w:w="0" w:type="dxa"/>
            <w:right w:w="108" w:type="dxa"/>
          </w:tblCellMar>
        </w:tblPrEx>
        <w:trPr>
          <w:trHeight w:val="465" w:hRule="atLeast"/>
          <w:jc w:val="center"/>
        </w:trPr>
        <w:tc>
          <w:tcPr>
            <w:tcW w:w="15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功能分类</w:t>
            </w:r>
            <w:r>
              <w:rPr>
                <w:rFonts w:hint="eastAsia" w:ascii="仿宋" w:hAnsi="仿宋" w:eastAsia="仿宋" w:cs="仿宋"/>
                <w:b/>
                <w:color w:val="auto"/>
                <w:kern w:val="0"/>
                <w:sz w:val="20"/>
                <w:szCs w:val="20"/>
                <w:highlight w:val="none"/>
                <w:lang w:eastAsia="zh-CN"/>
              </w:rPr>
              <w:br w:type="textWrapping"/>
            </w:r>
            <w:r>
              <w:rPr>
                <w:rFonts w:hint="eastAsia" w:ascii="仿宋" w:hAnsi="仿宋" w:eastAsia="仿宋" w:cs="仿宋"/>
                <w:b/>
                <w:color w:val="auto"/>
                <w:kern w:val="0"/>
                <w:sz w:val="20"/>
                <w:szCs w:val="20"/>
                <w:highlight w:val="none"/>
                <w:lang w:eastAsia="zh-CN"/>
              </w:rPr>
              <w:t>科目编码</w:t>
            </w:r>
          </w:p>
        </w:tc>
        <w:tc>
          <w:tcPr>
            <w:tcW w:w="338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功能分类科目名称</w:t>
            </w:r>
          </w:p>
        </w:tc>
        <w:tc>
          <w:tcPr>
            <w:tcW w:w="145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合  计</w:t>
            </w:r>
          </w:p>
        </w:tc>
        <w:tc>
          <w:tcPr>
            <w:tcW w:w="158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基本支出</w:t>
            </w:r>
          </w:p>
        </w:tc>
        <w:tc>
          <w:tcPr>
            <w:tcW w:w="126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项目支出</w:t>
            </w:r>
          </w:p>
        </w:tc>
      </w:tr>
      <w:tr>
        <w:tblPrEx>
          <w:tblCellMar>
            <w:top w:w="0" w:type="dxa"/>
            <w:left w:w="108" w:type="dxa"/>
            <w:bottom w:w="0" w:type="dxa"/>
            <w:right w:w="108" w:type="dxa"/>
          </w:tblCellMar>
        </w:tblPrEx>
        <w:trPr>
          <w:trHeight w:val="30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类</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款</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项</w:t>
            </w:r>
          </w:p>
        </w:tc>
        <w:tc>
          <w:tcPr>
            <w:tcW w:w="3387"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p>
        </w:tc>
        <w:tc>
          <w:tcPr>
            <w:tcW w:w="145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p>
        </w:tc>
        <w:tc>
          <w:tcPr>
            <w:tcW w:w="158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p>
        </w:tc>
        <w:tc>
          <w:tcPr>
            <w:tcW w:w="126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r>
              <w:rPr>
                <w:rFonts w:hint="eastAsia" w:ascii="仿宋" w:hAnsi="仿宋" w:eastAsia="仿宋" w:cs="仿宋"/>
                <w:b/>
                <w:bCs/>
                <w:color w:val="auto"/>
                <w:kern w:val="0"/>
                <w:sz w:val="20"/>
                <w:szCs w:val="20"/>
                <w:highlight w:val="none"/>
                <w:lang w:eastAsia="zh-CN"/>
              </w:rPr>
              <w:t>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社会保障和就业支出</w:t>
            </w:r>
          </w:p>
        </w:tc>
        <w:tc>
          <w:tcPr>
            <w:tcW w:w="1458" w:type="dxa"/>
            <w:gridSpan w:val="2"/>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35.24</w:t>
            </w:r>
          </w:p>
        </w:tc>
        <w:tc>
          <w:tcPr>
            <w:tcW w:w="1582" w:type="dxa"/>
            <w:gridSpan w:val="2"/>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35.24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eastAsia="zh-CN"/>
              </w:rPr>
            </w:pPr>
          </w:p>
        </w:tc>
      </w:tr>
      <w:tr>
        <w:tblPrEx>
          <w:tblCellMar>
            <w:top w:w="0" w:type="dxa"/>
            <w:left w:w="108" w:type="dxa"/>
            <w:bottom w:w="0" w:type="dxa"/>
            <w:right w:w="108" w:type="dxa"/>
          </w:tblCellMar>
        </w:tblPrEx>
        <w:trPr>
          <w:cantSplit/>
          <w:trHeight w:val="57"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208</w:t>
            </w:r>
            <w:r>
              <w:rPr>
                <w:rFonts w:hint="eastAsia" w:ascii="仿宋" w:hAnsi="仿宋" w:eastAsia="仿宋" w:cs="仿宋"/>
                <w:b/>
                <w:bCs/>
                <w:color w:val="auto"/>
                <w:kern w:val="0"/>
                <w:sz w:val="20"/>
                <w:szCs w:val="20"/>
                <w:highlight w:val="none"/>
              </w:rPr>
              <w:t>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eastAsia="zh-CN"/>
              </w:rPr>
              <w:tab/>
            </w:r>
            <w:r>
              <w:rPr>
                <w:rFonts w:hint="eastAsia" w:ascii="仿宋" w:hAnsi="仿宋" w:eastAsia="仿宋" w:cs="仿宋"/>
                <w:b/>
                <w:bCs/>
                <w:color w:val="auto"/>
                <w:kern w:val="0"/>
                <w:sz w:val="20"/>
                <w:szCs w:val="20"/>
                <w:highlight w:val="none"/>
                <w:lang w:val="en-US" w:eastAsia="zh-CN"/>
              </w:rPr>
              <w:t>05</w:t>
            </w:r>
            <w:r>
              <w:rPr>
                <w:rFonts w:hint="eastAsia" w:ascii="仿宋" w:hAnsi="仿宋" w:eastAsia="仿宋" w:cs="仿宋"/>
                <w:b/>
                <w:bCs/>
                <w:color w:val="auto"/>
                <w:kern w:val="0"/>
                <w:sz w:val="20"/>
                <w:szCs w:val="20"/>
                <w:highlight w:val="none"/>
                <w:lang w:eastAsia="zh-CN"/>
              </w:rPr>
              <w:tab/>
            </w:r>
            <w:r>
              <w:rPr>
                <w:rFonts w:hint="eastAsia" w:ascii="仿宋" w:hAnsi="仿宋" w:eastAsia="仿宋" w:cs="仿宋"/>
                <w:b/>
                <w:bCs/>
                <w:color w:val="auto"/>
                <w:kern w:val="0"/>
                <w:sz w:val="20"/>
                <w:szCs w:val="20"/>
                <w:highlight w:val="none"/>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社会保障和就业支出</w:t>
            </w:r>
          </w:p>
        </w:tc>
        <w:tc>
          <w:tcPr>
            <w:tcW w:w="1458" w:type="dxa"/>
            <w:gridSpan w:val="2"/>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35.24</w:t>
            </w:r>
          </w:p>
        </w:tc>
        <w:tc>
          <w:tcPr>
            <w:tcW w:w="1582" w:type="dxa"/>
            <w:gridSpan w:val="2"/>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rPr>
              <w:t>35.24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208</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eastAsia="zh-CN"/>
              </w:rPr>
              <w:t>事业单位离退休</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208</w:t>
            </w:r>
            <w:r>
              <w:rPr>
                <w:rFonts w:hint="eastAsia" w:ascii="仿宋" w:hAnsi="仿宋" w:eastAsia="仿宋" w:cs="仿宋"/>
                <w:b w:val="0"/>
                <w:bCs w:val="0"/>
                <w:color w:val="auto"/>
                <w:kern w:val="0"/>
                <w:sz w:val="20"/>
                <w:szCs w:val="20"/>
                <w:highlight w:val="none"/>
              </w:rPr>
              <w:t>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r>
              <w:rPr>
                <w:rFonts w:hint="eastAsia" w:ascii="仿宋" w:hAnsi="仿宋" w:eastAsia="仿宋" w:cs="仿宋"/>
                <w:b w:val="0"/>
                <w:bCs w:val="0"/>
                <w:color w:val="auto"/>
                <w:kern w:val="0"/>
                <w:sz w:val="20"/>
                <w:szCs w:val="20"/>
                <w:highlight w:val="none"/>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r>
              <w:rPr>
                <w:rFonts w:hint="eastAsia" w:ascii="仿宋" w:hAnsi="仿宋" w:eastAsia="仿宋" w:cs="仿宋"/>
                <w:b w:val="0"/>
                <w:bCs w:val="0"/>
                <w:color w:val="auto"/>
                <w:kern w:val="0"/>
                <w:sz w:val="20"/>
                <w:szCs w:val="20"/>
                <w:highlight w:val="none"/>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rPr>
              <w:t>机关事业单位基本养老保险缴费支出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卫生健康支出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257.52</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257.52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03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基层医疗卫生机构</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235.58</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235.58</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乡镇卫生院</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235.58</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235.58</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行政事业单位医疗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事业单位医疗</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公务员医疗补助</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210</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99</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其他行政事业单位医疗支出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0.18</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0.18</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221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住房保障支出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221　</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02　</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1" w:firstLineChars="10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住房改革支出</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24.25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221</w:t>
            </w:r>
          </w:p>
        </w:tc>
        <w:tc>
          <w:tcPr>
            <w:tcW w:w="49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w:t>
            </w:r>
          </w:p>
        </w:tc>
        <w:tc>
          <w:tcPr>
            <w:tcW w:w="3387"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400" w:firstLineChars="2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住房公积金</w:t>
            </w:r>
          </w:p>
        </w:tc>
        <w:tc>
          <w:tcPr>
            <w:tcW w:w="1458"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582"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jc w:val="center"/>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338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458" w:type="dxa"/>
            <w:gridSpan w:val="2"/>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317.01</w:t>
            </w:r>
          </w:p>
        </w:tc>
        <w:tc>
          <w:tcPr>
            <w:tcW w:w="1582" w:type="dxa"/>
            <w:gridSpan w:val="2"/>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317.01</w:t>
            </w:r>
          </w:p>
        </w:tc>
        <w:tc>
          <w:tcPr>
            <w:tcW w:w="1268" w:type="dxa"/>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color w:val="auto"/>
                <w:kern w:val="0"/>
                <w:sz w:val="20"/>
                <w:szCs w:val="20"/>
                <w:highlight w:val="none"/>
              </w:rPr>
            </w:pPr>
          </w:p>
        </w:tc>
      </w:tr>
    </w:tbl>
    <w:p>
      <w:pPr>
        <w:keepNext w:val="0"/>
        <w:keepLines w:val="0"/>
        <w:widowControl/>
        <w:suppressLineNumbers w:val="0"/>
        <w:jc w:val="left"/>
        <w:textAlignment w:val="bottom"/>
        <w:rPr>
          <w:rFonts w:hint="eastAsia" w:ascii="仿宋" w:hAnsi="仿宋" w:eastAsia="仿宋" w:cs="仿宋"/>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r>
        <w:rPr>
          <w:rFonts w:hint="eastAsia" w:ascii="仿宋" w:hAnsi="仿宋" w:eastAsia="仿宋" w:cs="仿宋"/>
          <w:i w:val="0"/>
          <w:color w:val="auto"/>
          <w:kern w:val="0"/>
          <w:sz w:val="20"/>
          <w:szCs w:val="20"/>
          <w:highlight w:val="none"/>
          <w:u w:val="none"/>
          <w:lang w:val="en-US" w:eastAsia="zh-CN" w:bidi="ar"/>
        </w:rPr>
        <w:t>表6</w:t>
      </w:r>
    </w:p>
    <w:tbl>
      <w:tblPr>
        <w:tblStyle w:val="7"/>
        <w:tblW w:w="9328" w:type="dxa"/>
        <w:jc w:val="center"/>
        <w:tblLayout w:type="autofit"/>
        <w:tblCellMar>
          <w:top w:w="0" w:type="dxa"/>
          <w:left w:w="108" w:type="dxa"/>
          <w:bottom w:w="0" w:type="dxa"/>
          <w:right w:w="108" w:type="dxa"/>
        </w:tblCellMar>
      </w:tblPr>
      <w:tblGrid>
        <w:gridCol w:w="757"/>
        <w:gridCol w:w="626"/>
        <w:gridCol w:w="3073"/>
        <w:gridCol w:w="783"/>
        <w:gridCol w:w="994"/>
        <w:gridCol w:w="682"/>
        <w:gridCol w:w="879"/>
        <w:gridCol w:w="1534"/>
      </w:tblGrid>
      <w:tr>
        <w:tblPrEx>
          <w:tblCellMar>
            <w:top w:w="0" w:type="dxa"/>
            <w:left w:w="108" w:type="dxa"/>
            <w:bottom w:w="0" w:type="dxa"/>
            <w:right w:w="108" w:type="dxa"/>
          </w:tblCellMar>
        </w:tblPrEx>
        <w:trPr>
          <w:trHeight w:val="375" w:hRule="atLeast"/>
          <w:jc w:val="center"/>
        </w:trPr>
        <w:tc>
          <w:tcPr>
            <w:tcW w:w="9328" w:type="dxa"/>
            <w:gridSpan w:val="8"/>
            <w:tcBorders>
              <w:top w:val="nil"/>
              <w:left w:val="nil"/>
              <w:bottom w:val="nil"/>
              <w:right w:val="nil"/>
            </w:tcBorders>
            <w:noWrap w:val="0"/>
            <w:vAlign w:val="center"/>
          </w:tcPr>
          <w:p>
            <w:pPr>
              <w:widowControl/>
              <w:jc w:val="center"/>
              <w:rPr>
                <w:rFonts w:hint="eastAsia" w:ascii="仿宋" w:hAnsi="仿宋" w:eastAsia="仿宋" w:cs="仿宋"/>
                <w:b w:val="0"/>
                <w:bCs w:val="0"/>
                <w:color w:val="auto"/>
                <w:kern w:val="0"/>
                <w:sz w:val="32"/>
                <w:szCs w:val="32"/>
                <w:highlight w:val="none"/>
              </w:rPr>
            </w:pPr>
            <w:r>
              <w:rPr>
                <w:rFonts w:hint="eastAsia" w:ascii="仿宋_GB2312" w:hAnsi="宋体" w:eastAsia="仿宋_GB2312" w:cs="Times New Roman"/>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5239" w:type="dxa"/>
            <w:gridSpan w:val="4"/>
            <w:tcBorders>
              <w:top w:val="nil"/>
              <w:left w:val="nil"/>
              <w:bottom w:val="nil"/>
              <w:right w:val="nil"/>
            </w:tcBorders>
            <w:noWrap w:val="0"/>
            <w:vAlign w:val="center"/>
          </w:tcPr>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p>
        </w:tc>
        <w:tc>
          <w:tcPr>
            <w:tcW w:w="1676"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13" w:type="dxa"/>
            <w:gridSpan w:val="2"/>
            <w:tcBorders>
              <w:top w:val="nil"/>
              <w:left w:val="nil"/>
              <w:bottom w:val="nil"/>
              <w:right w:val="nil"/>
            </w:tcBorders>
            <w:noWrap w:val="0"/>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trHeight w:val="374" w:hRule="atLeast"/>
          <w:jc w:val="center"/>
        </w:trPr>
        <w:tc>
          <w:tcPr>
            <w:tcW w:w="4456"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 xml:space="preserve">科  </w:t>
            </w:r>
            <w:r>
              <w:rPr>
                <w:rFonts w:hint="eastAsia" w:ascii="仿宋" w:hAnsi="仿宋" w:eastAsia="仿宋" w:cs="仿宋"/>
                <w:b/>
                <w:bCs/>
                <w:color w:val="auto"/>
                <w:kern w:val="0"/>
                <w:sz w:val="20"/>
                <w:szCs w:val="20"/>
                <w:highlight w:val="none"/>
              </w:rPr>
              <w:t>目</w:t>
            </w:r>
          </w:p>
        </w:tc>
        <w:tc>
          <w:tcPr>
            <w:tcW w:w="487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83" w:type="dxa"/>
            <w:gridSpan w:val="2"/>
            <w:tcBorders>
              <w:top w:val="single" w:color="auto" w:sz="4" w:space="0"/>
              <w:left w:val="single" w:color="auto" w:sz="4" w:space="0"/>
              <w:bottom w:val="single" w:color="auto" w:sz="4" w:space="0"/>
              <w:right w:val="nil"/>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w:t>
            </w:r>
            <w:r>
              <w:rPr>
                <w:rFonts w:hint="eastAsia" w:ascii="仿宋" w:hAnsi="仿宋" w:eastAsia="仿宋" w:cs="仿宋"/>
                <w:b/>
                <w:bCs/>
                <w:color w:val="auto"/>
                <w:kern w:val="0"/>
                <w:sz w:val="20"/>
                <w:szCs w:val="20"/>
                <w:highlight w:val="none"/>
              </w:rPr>
              <w:br w:type="textWrapping"/>
            </w:r>
            <w:r>
              <w:rPr>
                <w:rFonts w:hint="eastAsia" w:ascii="仿宋" w:hAnsi="仿宋" w:eastAsia="仿宋" w:cs="仿宋"/>
                <w:b/>
                <w:bCs/>
                <w:color w:val="auto"/>
                <w:kern w:val="0"/>
                <w:sz w:val="20"/>
                <w:szCs w:val="20"/>
                <w:highlight w:val="none"/>
              </w:rPr>
              <w:t>科目编码</w:t>
            </w:r>
          </w:p>
        </w:tc>
        <w:tc>
          <w:tcPr>
            <w:tcW w:w="307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经济分类科目名称</w:t>
            </w:r>
          </w:p>
        </w:tc>
        <w:tc>
          <w:tcPr>
            <w:tcW w:w="177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56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人员经费</w:t>
            </w:r>
          </w:p>
        </w:tc>
        <w:tc>
          <w:tcPr>
            <w:tcW w:w="153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62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3073"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77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56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53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xml:space="preserve"> 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307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eastAsia="zh-CN"/>
              </w:rPr>
            </w:pPr>
            <w:r>
              <w:rPr>
                <w:rFonts w:hint="eastAsia" w:ascii="仿宋" w:hAnsi="仿宋" w:eastAsia="仿宋" w:cs="仿宋"/>
                <w:b/>
                <w:bCs/>
                <w:color w:val="auto"/>
                <w:kern w:val="0"/>
                <w:sz w:val="20"/>
                <w:szCs w:val="20"/>
                <w:highlight w:val="none"/>
                <w:lang w:eastAsia="zh-CN"/>
              </w:rPr>
              <w:t>工资福利支出</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298.73</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298.73</w:t>
            </w:r>
          </w:p>
        </w:tc>
        <w:tc>
          <w:tcPr>
            <w:tcW w:w="15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both"/>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01</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基本工资</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68.76</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68.76</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津贴补贴</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28.63</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28.63</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03</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奖金</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58.85</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58.85</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07</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绩效工资</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45.86</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45.86</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08</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机关事业单位基本养老保险缴费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29.02</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10</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职工基本医疗保险缴费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14.51</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11</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公务员医疗补助缴费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7.25</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12</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其他社会保障缴费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1.81</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1.81</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13</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住房公积金</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24.25</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301</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99</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其他工资福利支出</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19.8</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19.8</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xml:space="preserve"> 302</w:t>
            </w:r>
          </w:p>
        </w:tc>
        <w:tc>
          <w:tcPr>
            <w:tcW w:w="6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307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商品和服务支出</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11.23</w:t>
            </w:r>
          </w:p>
        </w:tc>
        <w:tc>
          <w:tcPr>
            <w:tcW w:w="156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p>
        </w:tc>
        <w:tc>
          <w:tcPr>
            <w:tcW w:w="1534"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11.23</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302</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06</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电费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7.12</w:t>
            </w:r>
          </w:p>
        </w:tc>
        <w:tc>
          <w:tcPr>
            <w:tcW w:w="1561"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c>
          <w:tcPr>
            <w:tcW w:w="1534"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7.12</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302</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08</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取暖费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0.60</w:t>
            </w:r>
          </w:p>
        </w:tc>
        <w:tc>
          <w:tcPr>
            <w:tcW w:w="1561"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c>
          <w:tcPr>
            <w:tcW w:w="1534"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0.60</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302</w:t>
            </w:r>
          </w:p>
        </w:tc>
        <w:tc>
          <w:tcPr>
            <w:tcW w:w="626"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28</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工会经费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3.51</w:t>
            </w:r>
          </w:p>
        </w:tc>
        <w:tc>
          <w:tcPr>
            <w:tcW w:w="1561"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c>
          <w:tcPr>
            <w:tcW w:w="1534" w:type="dxa"/>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3.51</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 xml:space="preserve"> 303</w:t>
            </w:r>
          </w:p>
        </w:tc>
        <w:tc>
          <w:tcPr>
            <w:tcW w:w="6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307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对个人和家庭的补助</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7.04</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7.04</w:t>
            </w:r>
          </w:p>
        </w:tc>
        <w:tc>
          <w:tcPr>
            <w:tcW w:w="15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626"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退休费</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6.22</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626"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05</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生活补助</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0.61</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0.61</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303</w:t>
            </w:r>
          </w:p>
        </w:tc>
        <w:tc>
          <w:tcPr>
            <w:tcW w:w="626"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center"/>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09</w:t>
            </w:r>
          </w:p>
        </w:tc>
        <w:tc>
          <w:tcPr>
            <w:tcW w:w="3073"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lef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奖励金</w:t>
            </w:r>
          </w:p>
        </w:tc>
        <w:tc>
          <w:tcPr>
            <w:tcW w:w="1777" w:type="dxa"/>
            <w:gridSpan w:val="2"/>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0.21</w:t>
            </w:r>
          </w:p>
        </w:tc>
        <w:tc>
          <w:tcPr>
            <w:tcW w:w="156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r>
              <w:rPr>
                <w:rFonts w:hint="eastAsia" w:ascii="仿宋" w:hAnsi="仿宋" w:eastAsia="仿宋" w:cs="仿宋"/>
                <w:b w:val="0"/>
                <w:bCs w:val="0"/>
                <w:color w:val="auto"/>
                <w:kern w:val="0"/>
                <w:sz w:val="20"/>
                <w:szCs w:val="20"/>
                <w:highlight w:val="none"/>
                <w:lang w:val="en-US" w:eastAsia="zh-CN"/>
              </w:rPr>
              <w:t>0.21</w:t>
            </w:r>
          </w:p>
        </w:tc>
        <w:tc>
          <w:tcPr>
            <w:tcW w:w="1534" w:type="dxa"/>
            <w:tcBorders>
              <w:top w:val="nil"/>
              <w:left w:val="nil"/>
              <w:bottom w:val="single" w:color="auto" w:sz="4" w:space="0"/>
              <w:right w:val="single" w:color="auto" w:sz="4" w:space="0"/>
            </w:tcBorders>
            <w:noWrap w:val="0"/>
            <w:vAlign w:val="center"/>
          </w:tcPr>
          <w:p>
            <w:pPr>
              <w:widowControl/>
              <w:spacing w:line="280" w:lineRule="exact"/>
              <w:ind w:firstLine="200" w:firstLineChars="100"/>
              <w:jc w:val="right"/>
              <w:rPr>
                <w:rFonts w:hint="eastAsia" w:ascii="仿宋" w:hAnsi="仿宋" w:eastAsia="仿宋" w:cs="仿宋"/>
                <w:b w:val="0"/>
                <w:bCs w:val="0"/>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62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30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77" w:type="dxa"/>
            <w:gridSpan w:val="2"/>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317.01</w:t>
            </w:r>
          </w:p>
        </w:tc>
        <w:tc>
          <w:tcPr>
            <w:tcW w:w="1561" w:type="dxa"/>
            <w:gridSpan w:val="2"/>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305.78</w:t>
            </w:r>
          </w:p>
        </w:tc>
        <w:tc>
          <w:tcPr>
            <w:tcW w:w="1534" w:type="dxa"/>
            <w:tcBorders>
              <w:top w:val="nil"/>
              <w:left w:val="nil"/>
              <w:bottom w:val="single" w:color="auto" w:sz="4" w:space="0"/>
              <w:right w:val="single" w:color="auto" w:sz="4" w:space="0"/>
            </w:tcBorders>
            <w:noWrap w:val="0"/>
            <w:vAlign w:val="center"/>
          </w:tcPr>
          <w:p>
            <w:pPr>
              <w:widowControl/>
              <w:jc w:val="righ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11.23</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195" w:type="dxa"/>
        <w:jc w:val="center"/>
        <w:tblLayout w:type="autofit"/>
        <w:tblCellMar>
          <w:top w:w="0" w:type="dxa"/>
          <w:left w:w="108" w:type="dxa"/>
          <w:bottom w:w="0" w:type="dxa"/>
          <w:right w:w="108" w:type="dxa"/>
        </w:tblCellMar>
      </w:tblPr>
      <w:tblGrid>
        <w:gridCol w:w="22"/>
        <w:gridCol w:w="395"/>
        <w:gridCol w:w="417"/>
        <w:gridCol w:w="417"/>
        <w:gridCol w:w="1515"/>
        <w:gridCol w:w="1692"/>
        <w:gridCol w:w="1052"/>
        <w:gridCol w:w="807"/>
        <w:gridCol w:w="773"/>
        <w:gridCol w:w="919"/>
        <w:gridCol w:w="919"/>
        <w:gridCol w:w="585"/>
        <w:gridCol w:w="306"/>
        <w:gridCol w:w="604"/>
        <w:gridCol w:w="890"/>
        <w:gridCol w:w="605"/>
        <w:gridCol w:w="605"/>
        <w:gridCol w:w="574"/>
        <w:gridCol w:w="98"/>
      </w:tblGrid>
      <w:tr>
        <w:tblPrEx>
          <w:tblCellMar>
            <w:top w:w="0" w:type="dxa"/>
            <w:left w:w="108" w:type="dxa"/>
            <w:bottom w:w="0" w:type="dxa"/>
            <w:right w:w="108" w:type="dxa"/>
          </w:tblCellMar>
        </w:tblPrEx>
        <w:trPr>
          <w:gridBefore w:val="1"/>
          <w:gridAfter w:val="1"/>
          <w:wBefore w:w="21" w:type="dxa"/>
          <w:wAfter w:w="97" w:type="dxa"/>
          <w:trHeight w:val="403" w:hRule="atLeast"/>
          <w:jc w:val="center"/>
        </w:trPr>
        <w:tc>
          <w:tcPr>
            <w:tcW w:w="13077" w:type="dxa"/>
            <w:gridSpan w:val="17"/>
            <w:tcBorders>
              <w:top w:val="nil"/>
              <w:left w:val="nil"/>
              <w:bottom w:val="nil"/>
              <w:right w:val="nil"/>
            </w:tcBorders>
            <w:noWrap w:val="0"/>
            <w:vAlign w:val="center"/>
          </w:tcPr>
          <w:p>
            <w:pPr>
              <w:widowControl/>
              <w:jc w:val="center"/>
              <w:rPr>
                <w:rFonts w:hint="eastAsia" w:ascii="仿宋" w:hAnsi="仿宋" w:eastAsia="仿宋" w:cs="仿宋"/>
                <w:b w:val="0"/>
                <w:bCs w:val="0"/>
                <w:color w:val="auto"/>
                <w:kern w:val="0"/>
                <w:sz w:val="32"/>
                <w:szCs w:val="32"/>
                <w:highlight w:val="none"/>
              </w:rPr>
            </w:pPr>
            <w:r>
              <w:rPr>
                <w:rFonts w:hint="eastAsia" w:ascii="仿宋_GB2312" w:hAnsi="宋体" w:eastAsia="仿宋_GB2312" w:cs="Times New Roman"/>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21" w:type="dxa"/>
          <w:wAfter w:w="97" w:type="dxa"/>
          <w:trHeight w:val="393" w:hRule="atLeast"/>
          <w:jc w:val="center"/>
        </w:trPr>
        <w:tc>
          <w:tcPr>
            <w:tcW w:w="7061" w:type="dxa"/>
            <w:gridSpan w:val="8"/>
            <w:tcBorders>
              <w:top w:val="nil"/>
              <w:left w:val="nil"/>
              <w:bottom w:val="nil"/>
              <w:right w:val="nil"/>
            </w:tcBorders>
            <w:noWrap w:val="0"/>
            <w:vAlign w:val="center"/>
          </w:tcPr>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p>
        </w:tc>
        <w:tc>
          <w:tcPr>
            <w:tcW w:w="2427" w:type="dxa"/>
            <w:gridSpan w:val="3"/>
            <w:tcBorders>
              <w:top w:val="nil"/>
              <w:left w:val="nil"/>
              <w:bottom w:val="nil"/>
              <w:right w:val="nil"/>
            </w:tcBorders>
            <w:noWrap w:val="0"/>
            <w:vAlign w:val="center"/>
          </w:tcPr>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589" w:type="dxa"/>
            <w:gridSpan w:val="6"/>
            <w:tcBorders>
              <w:top w:val="nil"/>
              <w:left w:val="nil"/>
              <w:bottom w:val="nil"/>
              <w:right w:val="nil"/>
            </w:tcBorders>
            <w:noWrap w:val="0"/>
            <w:vAlign w:val="center"/>
          </w:tcPr>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32" w:type="dxa"/>
            <w:gridSpan w:val="4"/>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科 目 编 码</w:t>
            </w:r>
          </w:p>
        </w:tc>
        <w:tc>
          <w:tcPr>
            <w:tcW w:w="1518"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rPr>
              <w:t>科目</w:t>
            </w:r>
            <w:r>
              <w:rPr>
                <w:rFonts w:hint="eastAsia" w:ascii="仿宋" w:hAnsi="仿宋" w:eastAsia="仿宋" w:cs="仿宋"/>
                <w:b/>
                <w:color w:val="auto"/>
                <w:kern w:val="0"/>
                <w:sz w:val="20"/>
                <w:szCs w:val="20"/>
                <w:highlight w:val="none"/>
                <w:lang w:eastAsia="zh-CN"/>
              </w:rPr>
              <w:t>名称</w:t>
            </w:r>
          </w:p>
        </w:tc>
        <w:tc>
          <w:tcPr>
            <w:tcW w:w="1696"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项目名称</w:t>
            </w:r>
          </w:p>
        </w:tc>
        <w:tc>
          <w:tcPr>
            <w:tcW w:w="1054"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项目支出合计</w:t>
            </w:r>
          </w:p>
        </w:tc>
        <w:tc>
          <w:tcPr>
            <w:tcW w:w="808"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工资福利支出</w:t>
            </w:r>
          </w:p>
        </w:tc>
        <w:tc>
          <w:tcPr>
            <w:tcW w:w="774"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商品和服务支出</w:t>
            </w:r>
          </w:p>
        </w:tc>
        <w:tc>
          <w:tcPr>
            <w:tcW w:w="921"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对个人和家庭的补助</w:t>
            </w:r>
          </w:p>
        </w:tc>
        <w:tc>
          <w:tcPr>
            <w:tcW w:w="921"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债务利息及费用支出</w:t>
            </w:r>
          </w:p>
        </w:tc>
        <w:tc>
          <w:tcPr>
            <w:tcW w:w="891" w:type="dxa"/>
            <w:gridSpan w:val="2"/>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资本性支出（基本建设）</w:t>
            </w:r>
          </w:p>
        </w:tc>
        <w:tc>
          <w:tcPr>
            <w:tcW w:w="605"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w:t>
            </w:r>
          </w:p>
        </w:tc>
        <w:tc>
          <w:tcPr>
            <w:tcW w:w="891"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对企业补助（基本建设）</w:t>
            </w:r>
          </w:p>
        </w:tc>
        <w:tc>
          <w:tcPr>
            <w:tcW w:w="606"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w:t>
            </w:r>
          </w:p>
        </w:tc>
        <w:tc>
          <w:tcPr>
            <w:tcW w:w="606" w:type="dxa"/>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对社会保障基金补助</w:t>
            </w:r>
          </w:p>
        </w:tc>
        <w:tc>
          <w:tcPr>
            <w:tcW w:w="672" w:type="dxa"/>
            <w:gridSpan w:val="2"/>
            <w:vMerge w:val="restart"/>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410" w:type="dxa"/>
            <w:gridSpan w:val="2"/>
            <w:tcBorders>
              <w:bottom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类</w:t>
            </w:r>
          </w:p>
        </w:tc>
        <w:tc>
          <w:tcPr>
            <w:tcW w:w="410" w:type="dxa"/>
            <w:tcBorders>
              <w:bottom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款</w:t>
            </w:r>
          </w:p>
        </w:tc>
        <w:tc>
          <w:tcPr>
            <w:tcW w:w="412" w:type="dxa"/>
            <w:tcBorders>
              <w:bottom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w:t>
            </w:r>
          </w:p>
        </w:tc>
        <w:tc>
          <w:tcPr>
            <w:tcW w:w="1518" w:type="dxa"/>
            <w:vMerge w:val="continue"/>
            <w:tcBorders>
              <w:bottom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rPr>
            </w:pPr>
          </w:p>
        </w:tc>
        <w:tc>
          <w:tcPr>
            <w:tcW w:w="1696"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1054"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808"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774"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921"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921"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891" w:type="dxa"/>
            <w:gridSpan w:val="2"/>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605"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891"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606"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606" w:type="dxa"/>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c>
          <w:tcPr>
            <w:tcW w:w="672" w:type="dxa"/>
            <w:gridSpan w:val="2"/>
            <w:vMerge w:val="continue"/>
            <w:tcBorders>
              <w:bottom w:val="single" w:color="auto" w:sz="4" w:space="0"/>
            </w:tcBorders>
            <w:noWrap w:val="0"/>
            <w:vAlign w:val="top"/>
          </w:tcPr>
          <w:p>
            <w:pPr>
              <w:widowControl/>
              <w:jc w:val="center"/>
              <w:outlineLvl w:val="1"/>
              <w:rPr>
                <w:rFonts w:hint="eastAsia" w:ascii="仿宋" w:hAnsi="仿宋" w:eastAsia="仿宋" w:cs="仿宋"/>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lang w:eastAsia="zh-Hans"/>
              </w:rPr>
            </w:pP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05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10"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0"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412"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51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1696" w:type="dxa"/>
            <w:noWrap w:val="0"/>
            <w:vAlign w:val="center"/>
          </w:tcPr>
          <w:p>
            <w:pPr>
              <w:widowControl/>
              <w:jc w:val="center"/>
              <w:outlineLvl w:val="1"/>
              <w:rPr>
                <w:rFonts w:hint="eastAsia" w:ascii="仿宋" w:hAnsi="仿宋" w:eastAsia="仿宋" w:cs="仿宋"/>
                <w:color w:val="auto"/>
                <w:kern w:val="0"/>
                <w:sz w:val="32"/>
                <w:szCs w:val="32"/>
                <w:highlight w:val="none"/>
              </w:rPr>
            </w:pPr>
            <w:r>
              <w:rPr>
                <w:rFonts w:hint="eastAsia" w:ascii="仿宋" w:hAnsi="仿宋" w:eastAsia="仿宋" w:cs="仿宋"/>
                <w:b/>
                <w:bCs/>
                <w:color w:val="auto"/>
                <w:kern w:val="0"/>
                <w:sz w:val="20"/>
                <w:szCs w:val="20"/>
                <w:highlight w:val="none"/>
              </w:rPr>
              <w:t>合 计</w:t>
            </w:r>
          </w:p>
        </w:tc>
        <w:tc>
          <w:tcPr>
            <w:tcW w:w="1054" w:type="dxa"/>
            <w:noWrap w:val="0"/>
            <w:vAlign w:val="center"/>
          </w:tcPr>
          <w:p>
            <w:pPr>
              <w:widowControl/>
              <w:jc w:val="center"/>
              <w:outlineLvl w:val="1"/>
              <w:rPr>
                <w:rFonts w:hint="eastAsia" w:ascii="仿宋" w:hAnsi="仿宋" w:eastAsia="仿宋" w:cs="仿宋"/>
                <w:color w:val="auto"/>
                <w:kern w:val="0"/>
                <w:szCs w:val="21"/>
                <w:highlight w:val="none"/>
              </w:rPr>
            </w:pPr>
          </w:p>
        </w:tc>
        <w:tc>
          <w:tcPr>
            <w:tcW w:w="808"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774"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92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5"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891"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06" w:type="dxa"/>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c>
          <w:tcPr>
            <w:tcW w:w="672" w:type="dxa"/>
            <w:gridSpan w:val="2"/>
            <w:noWrap w:val="0"/>
            <w:vAlign w:val="top"/>
          </w:tcPr>
          <w:p>
            <w:pPr>
              <w:widowControl/>
              <w:jc w:val="left"/>
              <w:outlineLvl w:val="1"/>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w:t>
            </w:r>
          </w:p>
        </w:tc>
      </w:tr>
    </w:tbl>
    <w:p>
      <w:pPr>
        <w:widowControl/>
        <w:outlineLvl w:val="1"/>
        <w:rPr>
          <w:rFonts w:hint="eastAsia" w:ascii="仿宋_GB2312" w:hAnsi="宋体" w:eastAsia="仿宋_GB2312" w:cs="Times New Roman"/>
          <w:b/>
          <w:color w:val="auto"/>
          <w:kern w:val="0"/>
          <w:sz w:val="28"/>
          <w:szCs w:val="32"/>
          <w:highlight w:val="none"/>
          <w:lang w:val="en-US" w:eastAsia="zh-CN"/>
        </w:rPr>
      </w:pPr>
      <w:r>
        <w:rPr>
          <w:rFonts w:hint="eastAsia" w:ascii="仿宋_GB2312" w:hAnsi="宋体" w:eastAsia="仿宋_GB2312" w:cs="Times New Roman"/>
          <w:b/>
          <w:color w:val="auto"/>
          <w:kern w:val="0"/>
          <w:sz w:val="28"/>
          <w:szCs w:val="32"/>
          <w:highlight w:val="none"/>
          <w:lang w:eastAsia="zh-CN"/>
        </w:rPr>
        <w:t>呼图壁县石梯子哈萨克族乡卫生院</w:t>
      </w:r>
      <w:r>
        <w:rPr>
          <w:rFonts w:hint="eastAsia" w:ascii="仿宋_GB2312" w:hAnsi="宋体" w:eastAsia="仿宋_GB2312" w:cs="Times New Roman"/>
          <w:b/>
          <w:color w:val="auto"/>
          <w:kern w:val="0"/>
          <w:sz w:val="28"/>
          <w:szCs w:val="32"/>
          <w:highlight w:val="none"/>
          <w:lang w:val="en-US" w:eastAsia="zh-CN"/>
        </w:rPr>
        <w:t>2025年</w:t>
      </w:r>
      <w:r>
        <w:rPr>
          <w:rFonts w:hint="eastAsia" w:ascii="仿宋_GB2312" w:hAnsi="宋体" w:eastAsia="仿宋_GB2312" w:cs="Times New Roman"/>
          <w:b/>
          <w:color w:val="auto"/>
          <w:kern w:val="0"/>
          <w:sz w:val="28"/>
          <w:szCs w:val="32"/>
          <w:highlight w:val="none"/>
          <w:lang w:eastAsia="zh-CN"/>
        </w:rPr>
        <w:t>没有使用一般公共预算</w:t>
      </w:r>
      <w:r>
        <w:rPr>
          <w:rFonts w:hint="eastAsia" w:ascii="仿宋_GB2312" w:hAnsi="宋体" w:eastAsia="仿宋_GB2312" w:cs="Times New Roman"/>
          <w:b/>
          <w:color w:val="auto"/>
          <w:kern w:val="0"/>
          <w:sz w:val="28"/>
          <w:szCs w:val="32"/>
          <w:highlight w:val="none"/>
          <w:lang w:val="en-US" w:eastAsia="zh-CN"/>
        </w:rPr>
        <w:t>安排</w:t>
      </w:r>
      <w:r>
        <w:rPr>
          <w:rFonts w:hint="eastAsia" w:ascii="仿宋_GB2312" w:hAnsi="宋体" w:eastAsia="仿宋_GB2312" w:cs="Times New Roman"/>
          <w:b/>
          <w:color w:val="auto"/>
          <w:kern w:val="0"/>
          <w:sz w:val="28"/>
          <w:szCs w:val="32"/>
          <w:highlight w:val="none"/>
          <w:lang w:eastAsia="zh-CN"/>
        </w:rPr>
        <w:t>项目支出</w:t>
      </w:r>
      <w:r>
        <w:rPr>
          <w:rFonts w:hint="eastAsia" w:ascii="仿宋_GB2312" w:hAnsi="宋体" w:eastAsia="仿宋_GB2312" w:cs="Times New Roman"/>
          <w:b/>
          <w:color w:val="auto"/>
          <w:kern w:val="0"/>
          <w:sz w:val="28"/>
          <w:szCs w:val="32"/>
          <w:highlight w:val="none"/>
          <w:lang w:val="en-US" w:eastAsia="zh-CN"/>
        </w:rPr>
        <w:t>,</w:t>
      </w:r>
      <w:r>
        <w:rPr>
          <w:rFonts w:hint="eastAsia" w:ascii="仿宋_GB2312" w:hAnsi="宋体" w:eastAsia="仿宋_GB2312" w:cs="Times New Roman"/>
          <w:b/>
          <w:color w:val="auto"/>
          <w:kern w:val="0"/>
          <w:sz w:val="28"/>
          <w:szCs w:val="32"/>
          <w:highlight w:val="none"/>
          <w:lang w:eastAsia="zh-CN"/>
        </w:rPr>
        <w:t>一般公共预算项目</w:t>
      </w:r>
      <w:r>
        <w:rPr>
          <w:rFonts w:hint="eastAsia" w:ascii="仿宋_GB2312" w:hAnsi="宋体" w:eastAsia="仿宋_GB2312" w:cs="Times New Roman"/>
          <w:b/>
          <w:color w:val="auto"/>
          <w:kern w:val="0"/>
          <w:sz w:val="28"/>
          <w:szCs w:val="32"/>
          <w:highlight w:val="none"/>
          <w:lang w:val="en-US" w:eastAsia="zh-CN"/>
        </w:rPr>
        <w:t>支出情况表为空表</w:t>
      </w:r>
      <w:r>
        <w:rPr>
          <w:rFonts w:hint="eastAsia" w:ascii="仿宋_GB2312" w:hAnsi="宋体" w:eastAsia="仿宋_GB2312" w:cs="Times New Roman"/>
          <w:b/>
          <w:color w:val="auto"/>
          <w:kern w:val="0"/>
          <w:sz w:val="28"/>
          <w:szCs w:val="32"/>
          <w:highlight w:val="none"/>
          <w:lang w:eastAsia="zh-CN"/>
        </w:rPr>
        <w:t>。</w:t>
      </w: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widowControl/>
        <w:outlineLvl w:val="1"/>
        <w:rPr>
          <w:rFonts w:hint="eastAsia" w:ascii="仿宋" w:hAnsi="仿宋" w:eastAsia="仿宋" w:cs="仿宋"/>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表8</w:t>
      </w:r>
    </w:p>
    <w:p>
      <w:pPr>
        <w:widowControl/>
        <w:jc w:val="center"/>
        <w:rPr>
          <w:rFonts w:hint="eastAsia" w:ascii="仿宋_GB2312" w:hAnsi="宋体" w:eastAsia="仿宋_GB2312" w:cs="Times New Roman"/>
          <w:b/>
          <w:color w:val="auto"/>
          <w:kern w:val="0"/>
          <w:sz w:val="32"/>
          <w:szCs w:val="32"/>
          <w:highlight w:val="none"/>
          <w:lang w:val="en-US" w:eastAsia="zh-CN"/>
        </w:rPr>
      </w:pPr>
      <w:r>
        <w:rPr>
          <w:rFonts w:hint="eastAsia" w:ascii="仿宋_GB2312" w:hAnsi="宋体" w:eastAsia="仿宋_GB2312" w:cs="Times New Roman"/>
          <w:b/>
          <w:color w:val="auto"/>
          <w:kern w:val="0"/>
          <w:sz w:val="32"/>
          <w:szCs w:val="32"/>
          <w:highlight w:val="none"/>
          <w:lang w:val="en-US" w:eastAsia="zh-CN"/>
        </w:rPr>
        <w:t>政府性基金预算支出情况表</w:t>
      </w:r>
    </w:p>
    <w:p>
      <w:pPr>
        <w:pStyle w:val="2"/>
        <w:rPr>
          <w:rFonts w:hint="eastAsia" w:ascii="仿宋" w:hAnsi="仿宋" w:eastAsia="仿宋" w:cs="仿宋"/>
          <w:lang w:val="en-US" w:eastAsia="zh-CN"/>
        </w:rPr>
      </w:pP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科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政府性基金预算支出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功能分类科目编码</w:t>
            </w:r>
          </w:p>
        </w:tc>
        <w:tc>
          <w:tcPr>
            <w:tcW w:w="2357"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功能分类科目名称</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1374"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合 计</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基本支出</w:t>
            </w:r>
          </w:p>
        </w:tc>
        <w:tc>
          <w:tcPr>
            <w:tcW w:w="1398"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项目支出</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类</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款</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055" w:type="dxa"/>
            <w:tcBorders>
              <w:top w:val="single" w:color="auto" w:sz="4" w:space="0"/>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人员经费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47"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24"/>
                <w:highlight w:val="none"/>
              </w:rPr>
            </w:pPr>
            <w:r>
              <w:rPr>
                <w:rFonts w:hint="eastAsia" w:ascii="仿宋" w:hAnsi="仿宋" w:eastAsia="仿宋" w:cs="仿宋"/>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bl>
    <w:p>
      <w:pPr>
        <w:widowControl/>
        <w:outlineLvl w:val="1"/>
        <w:rPr>
          <w:rFonts w:hint="eastAsia" w:ascii="仿宋" w:hAnsi="仿宋" w:eastAsia="仿宋" w:cs="仿宋"/>
          <w:b/>
          <w:color w:val="auto"/>
          <w:kern w:val="0"/>
          <w:sz w:val="28"/>
          <w:szCs w:val="28"/>
          <w:highlight w:val="none"/>
          <w:lang w:eastAsia="zh-CN"/>
        </w:rPr>
      </w:pPr>
      <w:r>
        <w:rPr>
          <w:rFonts w:hint="eastAsia" w:ascii="仿宋_GB2312" w:hAnsi="宋体" w:eastAsia="仿宋_GB2312" w:cs="Times New Roman"/>
          <w:b/>
          <w:color w:val="auto"/>
          <w:kern w:val="0"/>
          <w:sz w:val="28"/>
          <w:szCs w:val="32"/>
          <w:highlight w:val="none"/>
          <w:lang w:eastAsia="zh-CN"/>
        </w:rPr>
        <w:t>呼图壁县石梯子哈萨克族乡卫生院</w:t>
      </w:r>
      <w:r>
        <w:rPr>
          <w:rFonts w:hint="eastAsia" w:ascii="仿宋_GB2312" w:hAnsi="宋体" w:eastAsia="仿宋_GB2312" w:cs="Times New Roman"/>
          <w:b/>
          <w:color w:val="auto"/>
          <w:kern w:val="0"/>
          <w:sz w:val="28"/>
          <w:szCs w:val="32"/>
          <w:highlight w:val="none"/>
          <w:lang w:val="en-US" w:eastAsia="zh-CN"/>
        </w:rPr>
        <w:t>2025年</w:t>
      </w:r>
      <w:r>
        <w:rPr>
          <w:rFonts w:hint="eastAsia" w:ascii="仿宋_GB2312" w:hAnsi="宋体" w:eastAsia="仿宋_GB2312" w:cs="Times New Roman"/>
          <w:b/>
          <w:color w:val="auto"/>
          <w:kern w:val="0"/>
          <w:sz w:val="28"/>
          <w:szCs w:val="32"/>
          <w:highlight w:val="none"/>
          <w:lang w:eastAsia="zh-CN"/>
        </w:rPr>
        <w:t>没有使用</w:t>
      </w:r>
      <w:r>
        <w:rPr>
          <w:rFonts w:hint="eastAsia" w:ascii="仿宋_GB2312" w:hAnsi="宋体" w:eastAsia="仿宋_GB2312" w:cs="Times New Roman"/>
          <w:b/>
          <w:color w:val="auto"/>
          <w:kern w:val="0"/>
          <w:sz w:val="28"/>
          <w:szCs w:val="32"/>
          <w:highlight w:val="none"/>
          <w:lang w:val="en-US" w:eastAsia="zh-CN"/>
        </w:rPr>
        <w:t>政府性基金预算拨款安排的支出，政府性基金预算支出情况表为空表</w:t>
      </w:r>
      <w:r>
        <w:rPr>
          <w:rFonts w:hint="eastAsia" w:ascii="仿宋_GB2312" w:hAnsi="宋体" w:eastAsia="仿宋_GB2312" w:cs="Times New Roman"/>
          <w:b/>
          <w:color w:val="auto"/>
          <w:kern w:val="0"/>
          <w:sz w:val="28"/>
          <w:szCs w:val="32"/>
          <w:highlight w:val="none"/>
          <w:lang w:eastAsia="zh-CN"/>
        </w:rPr>
        <w:t>。</w:t>
      </w:r>
    </w:p>
    <w:p>
      <w:pPr>
        <w:widowControl/>
        <w:spacing w:line="280" w:lineRule="exact"/>
        <w:outlineLvl w:val="1"/>
        <w:rPr>
          <w:rFonts w:hint="eastAsia" w:ascii="仿宋" w:hAnsi="仿宋" w:eastAsia="仿宋" w:cs="仿宋"/>
          <w:b/>
          <w:kern w:val="0"/>
          <w:sz w:val="28"/>
          <w:szCs w:val="32"/>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表9</w:t>
      </w:r>
    </w:p>
    <w:p>
      <w:pPr>
        <w:widowControl/>
        <w:jc w:val="center"/>
        <w:rPr>
          <w:rFonts w:hint="eastAsia" w:ascii="仿宋_GB2312" w:hAnsi="宋体" w:eastAsia="仿宋_GB2312" w:cs="Times New Roman"/>
          <w:b/>
          <w:color w:val="auto"/>
          <w:kern w:val="0"/>
          <w:sz w:val="32"/>
          <w:szCs w:val="32"/>
          <w:highlight w:val="none"/>
          <w:lang w:val="en-US" w:eastAsia="zh-CN"/>
        </w:rPr>
      </w:pPr>
      <w:r>
        <w:rPr>
          <w:rFonts w:hint="eastAsia" w:ascii="仿宋_GB2312" w:hAnsi="宋体" w:eastAsia="仿宋_GB2312" w:cs="Times New Roman"/>
          <w:b/>
          <w:color w:val="auto"/>
          <w:kern w:val="0"/>
          <w:sz w:val="32"/>
          <w:szCs w:val="32"/>
          <w:highlight w:val="none"/>
          <w:lang w:val="en-US" w:eastAsia="zh-CN"/>
        </w:rPr>
        <w:t>国有资本经营预算支出情况表</w:t>
      </w:r>
    </w:p>
    <w:p>
      <w:pPr>
        <w:pStyle w:val="2"/>
        <w:rPr>
          <w:rFonts w:hint="eastAsia"/>
        </w:rPr>
      </w:pP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科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国有资本经营预算支出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功能分类科目编码</w:t>
            </w:r>
          </w:p>
        </w:tc>
        <w:tc>
          <w:tcPr>
            <w:tcW w:w="2357"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功能分类科目名称</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1374"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合 计</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基本支出</w:t>
            </w:r>
          </w:p>
        </w:tc>
        <w:tc>
          <w:tcPr>
            <w:tcW w:w="1398" w:type="dxa"/>
            <w:vMerge w:val="restart"/>
            <w:tcBorders>
              <w:top w:val="nil"/>
              <w:left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项目支出</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类</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款</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w:t>
            </w:r>
          </w:p>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055" w:type="dxa"/>
            <w:tcBorders>
              <w:top w:val="single" w:color="auto" w:sz="4" w:space="0"/>
              <w:left w:val="nil"/>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人员经费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color w:val="auto"/>
                <w:kern w:val="0"/>
                <w:sz w:val="24"/>
                <w:highlight w:val="none"/>
              </w:rPr>
            </w:pPr>
            <w:r>
              <w:rPr>
                <w:rFonts w:hint="eastAsia" w:ascii="仿宋" w:hAnsi="仿宋" w:eastAsia="仿宋" w:cs="仿宋"/>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tc>
      </w:tr>
    </w:tbl>
    <w:p>
      <w:pPr>
        <w:widowControl/>
        <w:outlineLvl w:val="1"/>
        <w:rPr>
          <w:rFonts w:hint="eastAsia" w:ascii="仿宋_GB2312" w:hAnsi="宋体" w:eastAsia="仿宋_GB2312" w:cs="Times New Roman"/>
          <w:b/>
          <w:color w:val="auto"/>
          <w:kern w:val="0"/>
          <w:sz w:val="28"/>
          <w:szCs w:val="32"/>
          <w:highlight w:val="none"/>
          <w:lang w:eastAsia="zh-CN"/>
        </w:rPr>
      </w:pPr>
      <w:r>
        <w:rPr>
          <w:rFonts w:hint="eastAsia" w:ascii="仿宋_GB2312" w:hAnsi="宋体" w:eastAsia="仿宋_GB2312" w:cs="Times New Roman"/>
          <w:b/>
          <w:color w:val="auto"/>
          <w:kern w:val="0"/>
          <w:sz w:val="28"/>
          <w:szCs w:val="32"/>
          <w:highlight w:val="none"/>
          <w:lang w:eastAsia="zh-CN"/>
        </w:rPr>
        <w:t>呼图壁县石梯子哈萨克族乡卫生院</w:t>
      </w:r>
      <w:r>
        <w:rPr>
          <w:rFonts w:hint="eastAsia" w:ascii="仿宋_GB2312" w:hAnsi="宋体" w:eastAsia="仿宋_GB2312" w:cs="Times New Roman"/>
          <w:b/>
          <w:color w:val="auto"/>
          <w:kern w:val="0"/>
          <w:sz w:val="28"/>
          <w:szCs w:val="32"/>
          <w:highlight w:val="none"/>
          <w:lang w:val="en-US" w:eastAsia="zh-CN"/>
        </w:rPr>
        <w:t>2025年</w:t>
      </w:r>
      <w:r>
        <w:rPr>
          <w:rFonts w:hint="eastAsia" w:ascii="仿宋_GB2312" w:hAnsi="宋体" w:eastAsia="仿宋_GB2312" w:cs="Times New Roman"/>
          <w:b/>
          <w:color w:val="auto"/>
          <w:kern w:val="0"/>
          <w:sz w:val="28"/>
          <w:szCs w:val="32"/>
          <w:highlight w:val="none"/>
          <w:lang w:eastAsia="zh-CN"/>
        </w:rPr>
        <w:t>没有使用</w:t>
      </w:r>
      <w:r>
        <w:rPr>
          <w:rFonts w:hint="eastAsia" w:ascii="仿宋_GB2312" w:hAnsi="宋体" w:eastAsia="仿宋_GB2312" w:cs="Times New Roman"/>
          <w:b/>
          <w:color w:val="auto"/>
          <w:kern w:val="0"/>
          <w:sz w:val="28"/>
          <w:szCs w:val="32"/>
          <w:highlight w:val="none"/>
          <w:lang w:val="en-US" w:eastAsia="zh-CN"/>
        </w:rPr>
        <w:t>国有资本经营预算拨款安排的支出，国有资本经营预算支出情况表为空表。</w:t>
      </w: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表10</w:t>
      </w:r>
    </w:p>
    <w:p>
      <w:pPr>
        <w:widowControl/>
        <w:jc w:val="center"/>
        <w:rPr>
          <w:rFonts w:hint="eastAsia" w:ascii="仿宋_GB2312" w:hAnsi="宋体" w:eastAsia="仿宋_GB2312" w:cs="Times New Roman"/>
          <w:b/>
          <w:color w:val="auto"/>
          <w:kern w:val="0"/>
          <w:sz w:val="32"/>
          <w:szCs w:val="32"/>
          <w:highlight w:val="none"/>
          <w:lang w:val="en-US" w:eastAsia="zh-Hans"/>
        </w:rPr>
      </w:pPr>
      <w:r>
        <w:rPr>
          <w:rFonts w:hint="eastAsia" w:ascii="仿宋_GB2312" w:hAnsi="宋体" w:eastAsia="仿宋_GB2312" w:cs="Times New Roman"/>
          <w:b/>
          <w:color w:val="auto"/>
          <w:kern w:val="0"/>
          <w:sz w:val="32"/>
          <w:szCs w:val="32"/>
          <w:highlight w:val="none"/>
          <w:lang w:val="en-US" w:eastAsia="zh-Hans"/>
        </w:rPr>
        <w:t>财政拨款“三公”经费支出情况表</w:t>
      </w:r>
    </w:p>
    <w:p>
      <w:pPr>
        <w:pStyle w:val="2"/>
        <w:rPr>
          <w:rFonts w:hint="eastAsia" w:ascii="仿宋" w:hAnsi="仿宋" w:eastAsia="仿宋" w:cs="仿宋"/>
          <w:lang w:val="en-US" w:eastAsia="zh-Hans"/>
        </w:rPr>
      </w:pPr>
    </w:p>
    <w:p>
      <w:pPr>
        <w:widowControl/>
        <w:jc w:val="both"/>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2"/>
        <w:gridCol w:w="1160"/>
        <w:gridCol w:w="1458"/>
        <w:gridCol w:w="1308"/>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“三公”经费支出内容</w:t>
            </w:r>
          </w:p>
        </w:tc>
        <w:tc>
          <w:tcPr>
            <w:tcW w:w="1160"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Hans"/>
              </w:rPr>
            </w:pPr>
            <w:r>
              <w:rPr>
                <w:rFonts w:hint="eastAsia" w:ascii="仿宋" w:hAnsi="仿宋" w:eastAsia="仿宋" w:cs="仿宋"/>
                <w:b/>
                <w:color w:val="auto"/>
                <w:kern w:val="0"/>
                <w:sz w:val="20"/>
                <w:szCs w:val="20"/>
                <w:highlight w:val="none"/>
                <w:lang w:val="en-US" w:eastAsia="zh-Hans"/>
              </w:rPr>
              <w:t>合计</w:t>
            </w:r>
          </w:p>
        </w:tc>
        <w:tc>
          <w:tcPr>
            <w:tcW w:w="4306" w:type="dxa"/>
            <w:gridSpan w:val="3"/>
            <w:noWrap w:val="0"/>
            <w:vAlign w:val="center"/>
          </w:tcPr>
          <w:p>
            <w:pPr>
              <w:widowControl/>
              <w:jc w:val="center"/>
              <w:outlineLvl w:val="1"/>
              <w:rPr>
                <w:rFonts w:hint="eastAsia" w:ascii="仿宋" w:hAnsi="仿宋" w:eastAsia="仿宋" w:cs="仿宋"/>
                <w:b/>
                <w:color w:val="auto"/>
                <w:kern w:val="0"/>
                <w:sz w:val="20"/>
                <w:szCs w:val="20"/>
                <w:highlight w:val="none"/>
                <w:lang w:val="en-US" w:eastAsia="zh-Hans"/>
              </w:rPr>
            </w:pPr>
            <w:r>
              <w:rPr>
                <w:rFonts w:hint="eastAsia" w:ascii="仿宋" w:hAnsi="仿宋" w:eastAsia="仿宋" w:cs="仿宋"/>
                <w:b/>
                <w:color w:val="auto"/>
                <w:kern w:val="0"/>
                <w:sz w:val="20"/>
                <w:szCs w:val="20"/>
                <w:highlight w:val="no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vMerge w:val="continue"/>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160" w:type="dxa"/>
            <w:vMerge w:val="continue"/>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Hans"/>
              </w:rPr>
            </w:pPr>
            <w:r>
              <w:rPr>
                <w:rFonts w:hint="eastAsia" w:ascii="仿宋" w:hAnsi="仿宋" w:eastAsia="仿宋" w:cs="仿宋"/>
                <w:b/>
                <w:color w:val="auto"/>
                <w:kern w:val="0"/>
                <w:sz w:val="20"/>
                <w:szCs w:val="20"/>
                <w:highlight w:val="none"/>
                <w:lang w:val="en-US" w:eastAsia="zh-Hans"/>
              </w:rPr>
              <w:t>一般公共预算</w:t>
            </w:r>
          </w:p>
        </w:tc>
        <w:tc>
          <w:tcPr>
            <w:tcW w:w="1308"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政府性基金</w:t>
            </w:r>
          </w:p>
        </w:tc>
        <w:tc>
          <w:tcPr>
            <w:tcW w:w="1540"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合计</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因公出国（境）费</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公务接待费</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公务用车购置及运行费（小计）</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其中：公务用车购置费</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12"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公务用车运行费</w:t>
            </w:r>
          </w:p>
        </w:tc>
        <w:tc>
          <w:tcPr>
            <w:tcW w:w="116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45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308"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c>
          <w:tcPr>
            <w:tcW w:w="1540" w:type="dxa"/>
            <w:noWrap w:val="0"/>
            <w:vAlign w:val="top"/>
          </w:tcPr>
          <w:p>
            <w:pPr>
              <w:widowControl/>
              <w:jc w:val="center"/>
              <w:outlineLvl w:val="1"/>
              <w:rPr>
                <w:rFonts w:hint="eastAsia" w:ascii="仿宋" w:hAnsi="仿宋" w:eastAsia="仿宋" w:cs="仿宋"/>
                <w:b/>
                <w:color w:val="auto"/>
                <w:kern w:val="0"/>
                <w:sz w:val="20"/>
                <w:szCs w:val="20"/>
                <w:highlight w:val="none"/>
                <w:lang w:val="en-US" w:eastAsia="zh-CN"/>
              </w:rPr>
            </w:pPr>
          </w:p>
        </w:tc>
      </w:tr>
    </w:tbl>
    <w:p>
      <w:pPr>
        <w:widowControl/>
        <w:outlineLvl w:val="1"/>
        <w:rPr>
          <w:rFonts w:hint="eastAsia" w:ascii="仿宋_GB2312" w:hAnsi="宋体" w:eastAsia="仿宋_GB2312" w:cs="Times New Roman"/>
          <w:b/>
          <w:color w:val="auto"/>
          <w:kern w:val="0"/>
          <w:sz w:val="28"/>
          <w:szCs w:val="32"/>
          <w:highlight w:val="none"/>
          <w:lang w:eastAsia="zh-CN"/>
        </w:rPr>
      </w:pPr>
      <w:r>
        <w:rPr>
          <w:rFonts w:hint="eastAsia" w:ascii="仿宋_GB2312" w:hAnsi="宋体" w:eastAsia="仿宋_GB2312" w:cs="Times New Roman"/>
          <w:b/>
          <w:color w:val="auto"/>
          <w:kern w:val="0"/>
          <w:sz w:val="28"/>
          <w:szCs w:val="32"/>
          <w:highlight w:val="none"/>
          <w:lang w:eastAsia="zh-CN"/>
        </w:rPr>
        <w:t>呼图壁县石梯子哈萨克族乡卫生院</w:t>
      </w:r>
      <w:r>
        <w:rPr>
          <w:rFonts w:hint="eastAsia" w:ascii="仿宋_GB2312" w:hAnsi="宋体" w:eastAsia="仿宋_GB2312" w:cs="Times New Roman"/>
          <w:b/>
          <w:color w:val="auto"/>
          <w:kern w:val="0"/>
          <w:sz w:val="28"/>
          <w:szCs w:val="32"/>
          <w:highlight w:val="none"/>
          <w:lang w:val="en-US" w:eastAsia="zh-CN"/>
        </w:rPr>
        <w:t>2025年</w:t>
      </w:r>
      <w:r>
        <w:rPr>
          <w:rFonts w:hint="eastAsia" w:ascii="仿宋_GB2312" w:hAnsi="宋体" w:eastAsia="仿宋_GB2312" w:cs="Times New Roman"/>
          <w:b/>
          <w:color w:val="auto"/>
          <w:kern w:val="0"/>
          <w:sz w:val="28"/>
          <w:szCs w:val="32"/>
          <w:highlight w:val="none"/>
          <w:lang w:eastAsia="zh-CN"/>
        </w:rPr>
        <w:t>没有使用</w:t>
      </w:r>
      <w:r>
        <w:rPr>
          <w:rFonts w:hint="eastAsia" w:ascii="仿宋_GB2312" w:hAnsi="宋体" w:eastAsia="仿宋_GB2312" w:cs="Times New Roman"/>
          <w:b/>
          <w:color w:val="auto"/>
          <w:kern w:val="0"/>
          <w:sz w:val="28"/>
          <w:szCs w:val="32"/>
          <w:highlight w:val="none"/>
          <w:lang w:val="en-US" w:eastAsia="zh-CN"/>
        </w:rPr>
        <w:t>财政拨款安排</w:t>
      </w:r>
      <w:r>
        <w:rPr>
          <w:rFonts w:hint="eastAsia" w:ascii="仿宋_GB2312" w:hAnsi="宋体" w:eastAsia="仿宋_GB2312" w:cs="Times New Roman"/>
          <w:b/>
          <w:color w:val="auto"/>
          <w:kern w:val="0"/>
          <w:sz w:val="28"/>
          <w:szCs w:val="32"/>
          <w:highlight w:val="none"/>
          <w:lang w:eastAsia="zh-CN"/>
        </w:rPr>
        <w:t>“三公”经费</w:t>
      </w:r>
      <w:r>
        <w:rPr>
          <w:rFonts w:hint="eastAsia" w:ascii="仿宋_GB2312" w:hAnsi="宋体" w:eastAsia="仿宋_GB2312" w:cs="Times New Roman"/>
          <w:b/>
          <w:color w:val="auto"/>
          <w:kern w:val="0"/>
          <w:sz w:val="28"/>
          <w:szCs w:val="32"/>
          <w:highlight w:val="none"/>
          <w:lang w:val="en-US" w:eastAsia="zh-CN"/>
        </w:rPr>
        <w:t>支出，财政拨款</w:t>
      </w:r>
      <w:r>
        <w:rPr>
          <w:rFonts w:hint="eastAsia" w:ascii="仿宋_GB2312" w:hAnsi="宋体" w:eastAsia="仿宋_GB2312" w:cs="Times New Roman"/>
          <w:b/>
          <w:color w:val="auto"/>
          <w:kern w:val="0"/>
          <w:sz w:val="28"/>
          <w:szCs w:val="32"/>
          <w:highlight w:val="none"/>
          <w:lang w:eastAsia="zh-CN"/>
        </w:rPr>
        <w:t>“三公”经费</w:t>
      </w:r>
      <w:r>
        <w:rPr>
          <w:rFonts w:hint="eastAsia" w:ascii="仿宋_GB2312" w:hAnsi="宋体" w:eastAsia="仿宋_GB2312" w:cs="Times New Roman"/>
          <w:b/>
          <w:color w:val="auto"/>
          <w:kern w:val="0"/>
          <w:sz w:val="28"/>
          <w:szCs w:val="32"/>
          <w:highlight w:val="none"/>
          <w:lang w:val="en-US" w:eastAsia="zh-CN"/>
        </w:rPr>
        <w:t>支出情况表为空表。</w:t>
      </w: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ind w:left="640"/>
        <w:jc w:val="center"/>
        <w:rPr>
          <w:rFonts w:hint="eastAsia" w:ascii="仿宋" w:hAnsi="仿宋" w:eastAsia="仿宋" w:cs="仿宋"/>
          <w:bCs/>
          <w:color w:val="auto"/>
          <w:kern w:val="0"/>
          <w:sz w:val="28"/>
          <w:szCs w:val="28"/>
          <w:highlight w:val="none"/>
        </w:rPr>
      </w:pPr>
    </w:p>
    <w:p>
      <w:pPr>
        <w:spacing w:line="600" w:lineRule="exact"/>
        <w:jc w:val="both"/>
        <w:rPr>
          <w:rFonts w:hint="eastAsia" w:ascii="仿宋" w:hAnsi="仿宋" w:eastAsia="仿宋" w:cs="仿宋"/>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cs="Times New Roman"/>
          <w:b/>
          <w:color w:val="auto"/>
          <w:kern w:val="0"/>
          <w:sz w:val="32"/>
          <w:szCs w:val="32"/>
          <w:highlight w:val="none"/>
          <w:lang w:val="en-US" w:eastAsia="zh-Hans"/>
        </w:rPr>
      </w:pPr>
      <w:r>
        <w:rPr>
          <w:rFonts w:hint="eastAsia" w:ascii="仿宋_GB2312" w:hAnsi="宋体" w:eastAsia="仿宋_GB2312" w:cs="Times New Roman"/>
          <w:b/>
          <w:color w:val="auto"/>
          <w:kern w:val="0"/>
          <w:sz w:val="32"/>
          <w:szCs w:val="32"/>
          <w:highlight w:val="none"/>
          <w:lang w:val="en-US" w:eastAsia="zh-Hans"/>
        </w:rPr>
        <w:t>上年结转</w:t>
      </w:r>
      <w:r>
        <w:rPr>
          <w:rFonts w:hint="eastAsia" w:ascii="仿宋_GB2312" w:hAnsi="宋体" w:eastAsia="仿宋_GB2312" w:cs="Times New Roman"/>
          <w:b/>
          <w:color w:val="auto"/>
          <w:kern w:val="0"/>
          <w:sz w:val="32"/>
          <w:szCs w:val="32"/>
          <w:highlight w:val="none"/>
          <w:lang w:val="en-US" w:eastAsia="zh-CN"/>
        </w:rPr>
        <w:t>结余</w:t>
      </w:r>
      <w:r>
        <w:rPr>
          <w:rFonts w:hint="eastAsia" w:ascii="仿宋_GB2312" w:hAnsi="宋体" w:eastAsia="仿宋_GB2312" w:cs="Times New Roman"/>
          <w:b/>
          <w:color w:val="auto"/>
          <w:kern w:val="0"/>
          <w:sz w:val="32"/>
          <w:szCs w:val="32"/>
          <w:highlight w:val="none"/>
          <w:lang w:val="en-US" w:eastAsia="zh-Hans"/>
        </w:rPr>
        <w:t>情况明细表</w:t>
      </w:r>
    </w:p>
    <w:p>
      <w:pPr>
        <w:pStyle w:val="2"/>
        <w:rPr>
          <w:rFonts w:hint="eastAsia" w:ascii="仿宋" w:hAnsi="仿宋" w:eastAsia="仿宋" w:cs="仿宋"/>
          <w:lang w:val="en-US" w:eastAsia="zh-Hans"/>
        </w:rPr>
      </w:pPr>
    </w:p>
    <w:p>
      <w:pPr>
        <w:widowControl/>
        <w:jc w:val="both"/>
        <w:rPr>
          <w:rFonts w:hint="eastAsia" w:ascii="仿宋" w:hAnsi="仿宋" w:eastAsia="仿宋" w:cs="仿宋"/>
          <w:color w:val="auto"/>
          <w:kern w:val="0"/>
          <w:sz w:val="24"/>
          <w:highlight w:val="none"/>
          <w:lang w:val="en-US" w:eastAsia="zh-Hans"/>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呼图壁县石梯子哈萨克族乡卫生院</w:t>
      </w:r>
      <w:r>
        <w:rPr>
          <w:rFonts w:hint="eastAsia" w:ascii="仿宋" w:hAnsi="仿宋" w:eastAsia="仿宋" w:cs="仿宋"/>
          <w:color w:val="auto"/>
          <w:kern w:val="0"/>
          <w:sz w:val="24"/>
          <w:highlight w:val="none"/>
        </w:rPr>
        <w:t xml:space="preserve">                      单位：万元</w:t>
      </w:r>
    </w:p>
    <w:tbl>
      <w:tblPr>
        <w:tblStyle w:val="8"/>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905"/>
        <w:gridCol w:w="905"/>
        <w:gridCol w:w="905"/>
        <w:gridCol w:w="906"/>
        <w:gridCol w:w="909"/>
        <w:gridCol w:w="905"/>
        <w:gridCol w:w="905"/>
        <w:gridCol w:w="906"/>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464"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项目</w:t>
            </w:r>
          </w:p>
        </w:tc>
        <w:tc>
          <w:tcPr>
            <w:tcW w:w="905"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合计</w:t>
            </w:r>
          </w:p>
        </w:tc>
        <w:tc>
          <w:tcPr>
            <w:tcW w:w="3625" w:type="dxa"/>
            <w:gridSpan w:val="4"/>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财政拨款</w:t>
            </w:r>
          </w:p>
        </w:tc>
        <w:tc>
          <w:tcPr>
            <w:tcW w:w="3625" w:type="dxa"/>
            <w:gridSpan w:val="4"/>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464"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小计</w:t>
            </w:r>
          </w:p>
        </w:tc>
        <w:tc>
          <w:tcPr>
            <w:tcW w:w="1811" w:type="dxa"/>
            <w:gridSpan w:val="2"/>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基本支出</w:t>
            </w:r>
          </w:p>
        </w:tc>
        <w:tc>
          <w:tcPr>
            <w:tcW w:w="909"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项目支出</w:t>
            </w:r>
          </w:p>
        </w:tc>
        <w:tc>
          <w:tcPr>
            <w:tcW w:w="905"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小计</w:t>
            </w:r>
          </w:p>
        </w:tc>
        <w:tc>
          <w:tcPr>
            <w:tcW w:w="1811" w:type="dxa"/>
            <w:gridSpan w:val="2"/>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基本支出</w:t>
            </w:r>
          </w:p>
        </w:tc>
        <w:tc>
          <w:tcPr>
            <w:tcW w:w="909" w:type="dxa"/>
            <w:vMerge w:val="restart"/>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64"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人员经费</w:t>
            </w:r>
          </w:p>
        </w:tc>
        <w:tc>
          <w:tcPr>
            <w:tcW w:w="906"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公用经费</w:t>
            </w:r>
          </w:p>
        </w:tc>
        <w:tc>
          <w:tcPr>
            <w:tcW w:w="909"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人员经费</w:t>
            </w:r>
          </w:p>
        </w:tc>
        <w:tc>
          <w:tcPr>
            <w:tcW w:w="906"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t>公用经费</w:t>
            </w:r>
          </w:p>
        </w:tc>
        <w:tc>
          <w:tcPr>
            <w:tcW w:w="909" w:type="dxa"/>
            <w:vMerge w:val="continue"/>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64"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6"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9"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5"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6"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c>
          <w:tcPr>
            <w:tcW w:w="909" w:type="dxa"/>
            <w:noWrap w:val="0"/>
            <w:vAlign w:val="center"/>
          </w:tcPr>
          <w:p>
            <w:pPr>
              <w:widowControl/>
              <w:jc w:val="center"/>
              <w:outlineLvl w:val="1"/>
              <w:rPr>
                <w:rFonts w:hint="eastAsia" w:ascii="仿宋" w:hAnsi="仿宋" w:eastAsia="仿宋" w:cs="仿宋"/>
                <w:b/>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464"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6"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6"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64"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6"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6"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64"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
                <w:bCs/>
                <w:color w:val="auto"/>
                <w:kern w:val="0"/>
                <w:sz w:val="20"/>
                <w:szCs w:val="20"/>
                <w:highlight w:val="none"/>
                <w:lang w:val="en-US" w:eastAsia="zh-CN"/>
              </w:rPr>
              <w:t>总计</w:t>
            </w: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6" w:type="dxa"/>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5"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6"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c>
          <w:tcPr>
            <w:tcW w:w="909" w:type="dxa"/>
            <w:noWrap w:val="0"/>
            <w:vAlign w:val="center"/>
          </w:tcPr>
          <w:p>
            <w:pPr>
              <w:spacing w:line="600" w:lineRule="exact"/>
              <w:jc w:val="center"/>
              <w:rPr>
                <w:rFonts w:hint="eastAsia" w:ascii="仿宋" w:hAnsi="仿宋" w:eastAsia="仿宋" w:cs="仿宋"/>
                <w:bCs/>
                <w:color w:val="auto"/>
                <w:kern w:val="0"/>
                <w:sz w:val="28"/>
                <w:szCs w:val="28"/>
                <w:highlight w:val="none"/>
              </w:rPr>
            </w:pPr>
          </w:p>
        </w:tc>
      </w:tr>
    </w:tbl>
    <w:p>
      <w:pPr>
        <w:widowControl/>
        <w:outlineLvl w:val="1"/>
        <w:rPr>
          <w:rFonts w:hint="eastAsia" w:ascii="仿宋_GB2312" w:hAnsi="宋体" w:eastAsia="仿宋_GB2312" w:cs="Times New Roman"/>
          <w:b/>
          <w:color w:val="auto"/>
          <w:kern w:val="0"/>
          <w:sz w:val="28"/>
          <w:szCs w:val="32"/>
          <w:highlight w:val="none"/>
          <w:lang w:val="en-US" w:eastAsia="zh-CN"/>
        </w:rPr>
      </w:pPr>
      <w:r>
        <w:rPr>
          <w:rFonts w:hint="eastAsia" w:ascii="仿宋_GB2312" w:hAnsi="宋体" w:eastAsia="仿宋_GB2312" w:cs="Times New Roman"/>
          <w:b/>
          <w:color w:val="auto"/>
          <w:kern w:val="0"/>
          <w:sz w:val="28"/>
          <w:szCs w:val="32"/>
          <w:highlight w:val="none"/>
          <w:lang w:eastAsia="zh-CN"/>
        </w:rPr>
        <w:t>呼图壁县石梯子哈萨克族乡卫生院</w:t>
      </w:r>
      <w:r>
        <w:rPr>
          <w:rFonts w:hint="eastAsia" w:ascii="仿宋_GB2312" w:hAnsi="宋体" w:eastAsia="仿宋_GB2312" w:cs="Times New Roman"/>
          <w:b/>
          <w:color w:val="auto"/>
          <w:kern w:val="0"/>
          <w:sz w:val="28"/>
          <w:szCs w:val="32"/>
          <w:highlight w:val="none"/>
          <w:lang w:val="en-US" w:eastAsia="zh-CN"/>
        </w:rPr>
        <w:t>2025年没有</w:t>
      </w:r>
      <w:r>
        <w:rPr>
          <w:rFonts w:hint="eastAsia" w:ascii="仿宋_GB2312" w:hAnsi="宋体" w:eastAsia="仿宋_GB2312" w:cs="Times New Roman"/>
          <w:b/>
          <w:color w:val="auto"/>
          <w:kern w:val="0"/>
          <w:sz w:val="28"/>
          <w:szCs w:val="32"/>
          <w:highlight w:val="none"/>
          <w:lang w:val="en-US" w:eastAsia="zh-Hans"/>
        </w:rPr>
        <w:t>上年结转</w:t>
      </w:r>
      <w:r>
        <w:rPr>
          <w:rFonts w:hint="eastAsia" w:ascii="仿宋_GB2312" w:hAnsi="宋体" w:eastAsia="仿宋_GB2312" w:cs="Times New Roman"/>
          <w:b/>
          <w:color w:val="auto"/>
          <w:kern w:val="0"/>
          <w:sz w:val="28"/>
          <w:szCs w:val="32"/>
          <w:highlight w:val="none"/>
          <w:lang w:val="en-US" w:eastAsia="zh-CN"/>
        </w:rPr>
        <w:t>结余预算安排的支出，</w:t>
      </w:r>
      <w:r>
        <w:rPr>
          <w:rFonts w:hint="eastAsia" w:ascii="仿宋_GB2312" w:hAnsi="宋体" w:eastAsia="仿宋_GB2312" w:cs="Times New Roman"/>
          <w:b/>
          <w:color w:val="auto"/>
          <w:kern w:val="0"/>
          <w:sz w:val="28"/>
          <w:szCs w:val="32"/>
          <w:highlight w:val="none"/>
          <w:lang w:val="en-US" w:eastAsia="zh-Hans"/>
        </w:rPr>
        <w:t>上年结转</w:t>
      </w:r>
      <w:r>
        <w:rPr>
          <w:rFonts w:hint="eastAsia" w:ascii="仿宋_GB2312" w:hAnsi="宋体" w:eastAsia="仿宋_GB2312" w:cs="Times New Roman"/>
          <w:b/>
          <w:color w:val="auto"/>
          <w:kern w:val="0"/>
          <w:sz w:val="28"/>
          <w:szCs w:val="32"/>
          <w:highlight w:val="none"/>
          <w:lang w:val="en-US" w:eastAsia="zh-CN"/>
        </w:rPr>
        <w:t>结余情况明细表为空表。</w:t>
      </w:r>
    </w:p>
    <w:p>
      <w:pPr>
        <w:widowControl/>
        <w:spacing w:line="280" w:lineRule="exact"/>
        <w:jc w:val="left"/>
        <w:outlineLvl w:val="1"/>
        <w:rPr>
          <w:rFonts w:hint="eastAsia" w:ascii="仿宋" w:hAnsi="仿宋" w:eastAsia="仿宋" w:cs="仿宋"/>
          <w:color w:val="FF0000"/>
          <w:kern w:val="0"/>
          <w:sz w:val="32"/>
          <w:szCs w:val="32"/>
          <w:highlight w:val="none"/>
        </w:rPr>
      </w:pPr>
    </w:p>
    <w:p>
      <w:pPr>
        <w:widowControl/>
        <w:spacing w:line="280" w:lineRule="exact"/>
        <w:jc w:val="left"/>
        <w:outlineLvl w:val="1"/>
        <w:rPr>
          <w:rFonts w:hint="eastAsia" w:ascii="仿宋" w:hAnsi="仿宋" w:eastAsia="仿宋" w:cs="仿宋"/>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ind w:firstLine="1600" w:firstLineChars="500"/>
        <w:jc w:val="left"/>
        <w:textAlignment w:val="bottom"/>
        <w:rPr>
          <w:rFonts w:hint="eastAsia" w:ascii="黑体" w:hAnsi="黑体" w:eastAsia="黑体" w:cs="Times New Roman"/>
          <w:color w:val="auto"/>
          <w:kern w:val="0"/>
          <w:sz w:val="32"/>
          <w:szCs w:val="32"/>
          <w:highlight w:val="none"/>
        </w:rPr>
      </w:pPr>
      <w:r>
        <w:rPr>
          <w:rFonts w:hint="eastAsia" w:ascii="黑体" w:hAnsi="黑体" w:eastAsia="黑体" w:cs="Times New Roman"/>
          <w:color w:val="auto"/>
          <w:kern w:val="0"/>
          <w:sz w:val="32"/>
          <w:szCs w:val="32"/>
          <w:highlight w:val="none"/>
        </w:rPr>
        <w:t xml:space="preserve">第三部分  </w:t>
      </w:r>
      <w:r>
        <w:rPr>
          <w:rFonts w:hint="eastAsia" w:ascii="黑体" w:hAnsi="黑体" w:eastAsia="黑体" w:cs="Times New Roman"/>
          <w:color w:val="auto"/>
          <w:kern w:val="0"/>
          <w:sz w:val="32"/>
          <w:szCs w:val="32"/>
          <w:highlight w:val="none"/>
          <w:lang w:val="en-US" w:eastAsia="zh-CN"/>
        </w:rPr>
        <w:t>2025</w:t>
      </w:r>
      <w:r>
        <w:rPr>
          <w:rFonts w:hint="eastAsia" w:ascii="黑体" w:hAnsi="黑体" w:eastAsia="黑体" w:cs="Times New Roman"/>
          <w:color w:val="auto"/>
          <w:kern w:val="0"/>
          <w:sz w:val="32"/>
          <w:szCs w:val="32"/>
          <w:highlight w:val="none"/>
        </w:rPr>
        <w:t>年</w:t>
      </w:r>
      <w:r>
        <w:rPr>
          <w:rFonts w:hint="eastAsia" w:ascii="黑体" w:hAnsi="黑体" w:eastAsia="黑体" w:cs="Times New Roman"/>
          <w:color w:val="auto"/>
          <w:kern w:val="0"/>
          <w:sz w:val="32"/>
          <w:szCs w:val="32"/>
          <w:highlight w:val="none"/>
          <w:lang w:eastAsia="zh-CN"/>
        </w:rPr>
        <w:t>部门</w:t>
      </w:r>
      <w:r>
        <w:rPr>
          <w:rFonts w:hint="eastAsia" w:ascii="黑体" w:hAnsi="黑体" w:eastAsia="黑体" w:cs="Times New Roman"/>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 w:hAnsi="仿宋" w:eastAsia="仿宋" w:cs="仿宋"/>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一、</w:t>
      </w:r>
      <w:r>
        <w:rPr>
          <w:rFonts w:hint="eastAsia" w:ascii="楷体_GB2312" w:hAnsi="楷体_GB2312" w:eastAsia="楷体_GB2312" w:cs="楷体_GB2312"/>
          <w:b/>
          <w:bCs w:val="0"/>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呼图壁县石梯子哈萨克族乡卫生院2025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呼图壁县石梯子哈萨克族乡卫生院2025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627.01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green"/>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color w:val="auto"/>
          <w:kern w:val="0"/>
          <w:sz w:val="32"/>
          <w:szCs w:val="32"/>
          <w:highlight w:val="none"/>
          <w:lang w:val="en-US" w:eastAsia="zh-CN"/>
        </w:rPr>
        <w:t>社会保障和就业</w:t>
      </w:r>
      <w:r>
        <w:rPr>
          <w:rFonts w:hint="eastAsia" w:ascii="仿宋_GB2312" w:hAnsi="宋体" w:eastAsia="仿宋_GB2312" w:cs="宋体"/>
          <w:color w:val="auto"/>
          <w:kern w:val="0"/>
          <w:sz w:val="32"/>
          <w:szCs w:val="32"/>
          <w:highlight w:val="none"/>
        </w:rPr>
        <w:t>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二、关于呼图壁县石梯子哈萨克族乡卫生院2025年收入预算情况说明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CN"/>
        </w:rPr>
        <w:t>呼图壁县石梯子哈萨克族乡卫生院</w:t>
      </w:r>
      <w:r>
        <w:rPr>
          <w:rFonts w:hint="eastAsia" w:ascii="仿宋_GB2312" w:hAnsi="宋体" w:eastAsia="仿宋_GB2312" w:cs="宋体"/>
          <w:color w:val="auto"/>
          <w:kern w:val="0"/>
          <w:sz w:val="32"/>
          <w:szCs w:val="32"/>
          <w:highlight w:val="none"/>
          <w:lang w:eastAsia="zh-CN"/>
        </w:rPr>
        <w:t>收入预算</w:t>
      </w:r>
      <w:r>
        <w:rPr>
          <w:rFonts w:hint="eastAsia" w:ascii="仿宋_GB2312" w:hAnsi="宋体" w:eastAsia="仿宋_GB2312" w:cs="宋体"/>
          <w:color w:val="auto"/>
          <w:kern w:val="0"/>
          <w:sz w:val="32"/>
          <w:szCs w:val="32"/>
          <w:highlight w:val="none"/>
          <w:lang w:val="en-US" w:eastAsia="zh-CN"/>
        </w:rPr>
        <w:t>627.01</w:t>
      </w:r>
      <w:r>
        <w:rPr>
          <w:rFonts w:hint="eastAsia" w:ascii="仿宋_GB2312" w:hAnsi="宋体" w:eastAsia="仿宋_GB2312" w:cs="宋体"/>
          <w:color w:val="auto"/>
          <w:kern w:val="0"/>
          <w:sz w:val="32"/>
          <w:szCs w:val="32"/>
          <w:highlight w:val="none"/>
          <w:lang w:eastAsia="zh-CN"/>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一般公共预算</w:t>
      </w:r>
      <w:r>
        <w:rPr>
          <w:rFonts w:hint="eastAsia" w:ascii="仿宋_GB2312" w:hAnsi="宋体" w:eastAsia="仿宋_GB2312" w:cs="宋体"/>
          <w:color w:val="auto"/>
          <w:kern w:val="0"/>
          <w:sz w:val="32"/>
          <w:szCs w:val="32"/>
          <w:highlight w:val="none"/>
          <w:lang w:val="en-US" w:eastAsia="zh-CN"/>
        </w:rPr>
        <w:t>317.01</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50.56</w:t>
      </w:r>
      <w:r>
        <w:rPr>
          <w:rFonts w:hint="eastAsia" w:ascii="仿宋_GB2312" w:hAnsi="宋体" w:eastAsia="仿宋_GB2312" w:cs="宋体"/>
          <w:color w:val="auto"/>
          <w:kern w:val="0"/>
          <w:sz w:val="32"/>
          <w:szCs w:val="32"/>
          <w:highlight w:val="none"/>
          <w:lang w:eastAsia="zh-CN"/>
        </w:rPr>
        <w:t xml:space="preserve"> %，比上年预算减少</w:t>
      </w:r>
      <w:r>
        <w:rPr>
          <w:rFonts w:hint="eastAsia" w:ascii="仿宋_GB2312" w:hAnsi="宋体" w:eastAsia="仿宋_GB2312" w:cs="宋体"/>
          <w:color w:val="auto"/>
          <w:kern w:val="0"/>
          <w:sz w:val="32"/>
          <w:szCs w:val="32"/>
          <w:highlight w:val="none"/>
          <w:lang w:val="en-US" w:eastAsia="zh-CN"/>
        </w:rPr>
        <w:t>5.47</w:t>
      </w:r>
      <w:r>
        <w:rPr>
          <w:rFonts w:hint="eastAsia" w:ascii="仿宋_GB2312" w:hAnsi="宋体" w:eastAsia="仿宋_GB2312" w:cs="宋体"/>
          <w:color w:val="auto"/>
          <w:kern w:val="0"/>
          <w:sz w:val="32"/>
          <w:szCs w:val="32"/>
          <w:highlight w:val="none"/>
          <w:lang w:eastAsia="zh-CN"/>
        </w:rPr>
        <w:t>万元，下降</w:t>
      </w:r>
      <w:r>
        <w:rPr>
          <w:rFonts w:hint="eastAsia" w:ascii="仿宋_GB2312" w:hAnsi="宋体" w:eastAsia="仿宋_GB2312" w:cs="宋体"/>
          <w:color w:val="auto"/>
          <w:kern w:val="0"/>
          <w:sz w:val="32"/>
          <w:szCs w:val="32"/>
          <w:highlight w:val="none"/>
          <w:lang w:val="en-US" w:eastAsia="zh-CN"/>
        </w:rPr>
        <w:t>1.70 %，</w:t>
      </w:r>
      <w:r>
        <w:rPr>
          <w:rFonts w:hint="eastAsia" w:ascii="仿宋_GB2312" w:hAnsi="宋体" w:eastAsia="仿宋_GB2312" w:cs="宋体"/>
          <w:color w:val="auto"/>
          <w:kern w:val="0"/>
          <w:sz w:val="32"/>
          <w:szCs w:val="32"/>
          <w:highlight w:val="none"/>
          <w:lang w:eastAsia="zh-CN"/>
        </w:rPr>
        <w:t>主要原因是：本年度减少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lang w:eastAsia="zh-CN"/>
        </w:rPr>
        <w:t xml:space="preserve">，人员工资、社保、公积金减少。    </w:t>
      </w:r>
    </w:p>
    <w:p>
      <w:pPr>
        <w:spacing w:line="560" w:lineRule="exact"/>
        <w:ind w:firstLine="640" w:firstLineChars="20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Hans"/>
        </w:rPr>
        <w:t>上级</w:t>
      </w:r>
      <w:r>
        <w:rPr>
          <w:rFonts w:hint="eastAsia" w:ascii="仿宋" w:hAnsi="仿宋" w:eastAsia="仿宋" w:cs="仿宋"/>
          <w:kern w:val="0"/>
          <w:sz w:val="32"/>
          <w:szCs w:val="32"/>
          <w:highlight w:val="none"/>
          <w:lang w:val="en-US" w:eastAsia="zh-CN"/>
        </w:rPr>
        <w:t>一般公共预算</w:t>
      </w:r>
      <w:r>
        <w:rPr>
          <w:rFonts w:hint="eastAsia" w:ascii="仿宋" w:hAnsi="仿宋" w:eastAsia="仿宋" w:cs="仿宋"/>
          <w:kern w:val="0"/>
          <w:sz w:val="32"/>
          <w:szCs w:val="32"/>
          <w:highlight w:val="none"/>
          <w:lang w:val="en-US" w:eastAsia="zh-Hans"/>
        </w:rPr>
        <w:t>安排的转移支付资金</w:t>
      </w:r>
      <w:r>
        <w:rPr>
          <w:rFonts w:hint="eastAsia" w:ascii="仿宋" w:hAnsi="仿宋" w:eastAsia="仿宋" w:cs="仿宋"/>
          <w:kern w:val="0"/>
          <w:sz w:val="32"/>
          <w:szCs w:val="32"/>
          <w:highlight w:val="none"/>
          <w:lang w:val="en-US" w:eastAsia="zh-CN"/>
        </w:rPr>
        <w:t>未安排。</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政府性基金预算未安排。</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国有资本经营预算未安排。</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310</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49.44</w:t>
      </w:r>
      <w:r>
        <w:rPr>
          <w:rFonts w:hint="eastAsia" w:ascii="仿宋_GB2312" w:hAnsi="宋体" w:eastAsia="仿宋_GB2312" w:cs="宋体"/>
          <w:color w:val="auto"/>
          <w:kern w:val="0"/>
          <w:sz w:val="32"/>
          <w:szCs w:val="32"/>
          <w:highlight w:val="none"/>
          <w:lang w:eastAsia="zh-CN"/>
        </w:rPr>
        <w:t>%，比上年预算减少</w:t>
      </w:r>
      <w:r>
        <w:rPr>
          <w:rFonts w:hint="eastAsia" w:ascii="仿宋_GB2312" w:hAnsi="宋体" w:eastAsia="仿宋_GB2312" w:cs="宋体"/>
          <w:color w:val="auto"/>
          <w:kern w:val="0"/>
          <w:sz w:val="32"/>
          <w:szCs w:val="32"/>
          <w:highlight w:val="none"/>
          <w:lang w:val="en-US" w:eastAsia="zh-CN"/>
        </w:rPr>
        <w:t>59.10</w:t>
      </w:r>
      <w:r>
        <w:rPr>
          <w:rFonts w:hint="eastAsia" w:ascii="仿宋_GB2312" w:hAnsi="宋体" w:eastAsia="仿宋_GB2312" w:cs="宋体"/>
          <w:color w:val="auto"/>
          <w:kern w:val="0"/>
          <w:sz w:val="32"/>
          <w:szCs w:val="32"/>
          <w:highlight w:val="none"/>
          <w:lang w:eastAsia="zh-CN"/>
        </w:rPr>
        <w:t>万元，下降</w:t>
      </w:r>
      <w:r>
        <w:rPr>
          <w:rFonts w:hint="eastAsia" w:ascii="仿宋_GB2312" w:hAnsi="宋体" w:eastAsia="仿宋_GB2312" w:cs="宋体"/>
          <w:color w:val="auto"/>
          <w:kern w:val="0"/>
          <w:sz w:val="32"/>
          <w:szCs w:val="32"/>
          <w:highlight w:val="none"/>
          <w:lang w:val="en-US" w:eastAsia="zh-CN"/>
        </w:rPr>
        <w:t>16.01%，</w:t>
      </w:r>
      <w:r>
        <w:rPr>
          <w:rFonts w:hint="eastAsia" w:ascii="仿宋_GB2312" w:hAnsi="宋体" w:eastAsia="仿宋_GB2312" w:cs="宋体"/>
          <w:color w:val="auto"/>
          <w:kern w:val="0"/>
          <w:sz w:val="32"/>
          <w:szCs w:val="32"/>
          <w:highlight w:val="none"/>
          <w:lang w:eastAsia="zh-CN"/>
        </w:rPr>
        <w:t>主要原因是：本年度减少</w:t>
      </w:r>
      <w:r>
        <w:rPr>
          <w:rFonts w:hint="eastAsia" w:ascii="仿宋_GB2312" w:hAnsi="宋体" w:eastAsia="仿宋_GB2312" w:cs="宋体"/>
          <w:color w:val="auto"/>
          <w:kern w:val="0"/>
          <w:sz w:val="32"/>
          <w:szCs w:val="32"/>
          <w:highlight w:val="none"/>
          <w:lang w:val="en-US" w:eastAsia="zh-CN"/>
        </w:rPr>
        <w:t>聘用人员4人，人员工资、社保减少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呼图壁县石梯子哈萨克族乡卫生院</w:t>
      </w:r>
      <w:r>
        <w:rPr>
          <w:rFonts w:hint="eastAsia" w:ascii="楷体_GB2312" w:hAnsi="楷体_GB2312" w:eastAsia="楷体_GB2312" w:cs="楷体_GB2312"/>
          <w:b/>
          <w:bCs/>
          <w:color w:val="auto"/>
          <w:kern w:val="0"/>
          <w:sz w:val="32"/>
          <w:szCs w:val="32"/>
          <w:highlight w:val="none"/>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呼图壁县石梯子哈萨克族乡卫生院</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 xml:space="preserve">年支出预算    </w:t>
      </w:r>
      <w:r>
        <w:rPr>
          <w:rFonts w:hint="eastAsia" w:ascii="仿宋_GB2312" w:hAnsi="宋体" w:eastAsia="仿宋_GB2312" w:cs="宋体"/>
          <w:color w:val="auto"/>
          <w:kern w:val="0"/>
          <w:sz w:val="32"/>
          <w:szCs w:val="32"/>
          <w:highlight w:val="none"/>
          <w:lang w:val="en-US" w:eastAsia="zh-CN"/>
        </w:rPr>
        <w:t>627.01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612.01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97.61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79.57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：本年度减少在职在编人员</w:t>
      </w:r>
      <w:r>
        <w:rPr>
          <w:rFonts w:hint="eastAsia" w:ascii="仿宋_GB2312" w:hAnsi="宋体" w:eastAsia="仿宋_GB2312" w:cs="宋体"/>
          <w:color w:val="auto"/>
          <w:kern w:val="0"/>
          <w:sz w:val="32"/>
          <w:szCs w:val="32"/>
          <w:highlight w:val="none"/>
          <w:lang w:val="en-US" w:eastAsia="zh-CN"/>
        </w:rPr>
        <w:t>1人，聘用人员4人</w:t>
      </w:r>
      <w:r>
        <w:rPr>
          <w:rFonts w:hint="eastAsia" w:ascii="仿宋_GB2312" w:hAnsi="宋体" w:eastAsia="仿宋_GB2312" w:cs="宋体"/>
          <w:color w:val="auto"/>
          <w:kern w:val="0"/>
          <w:sz w:val="32"/>
          <w:szCs w:val="32"/>
          <w:highlight w:val="none"/>
          <w:lang w:eastAsia="zh-CN"/>
        </w:rPr>
        <w:t>，人员工资、社保、公积金减少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2400.00%，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：本年度新增医疗收入项目预算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 w:hAnsi="仿宋" w:eastAsia="仿宋" w:cs="仿宋"/>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仿宋" w:hAnsi="仿宋" w:eastAsia="仿宋" w:cs="仿宋"/>
          <w:b/>
          <w:bCs/>
          <w:color w:val="auto"/>
          <w:kern w:val="0"/>
          <w:sz w:val="32"/>
          <w:szCs w:val="32"/>
          <w:highlight w:val="none"/>
        </w:rPr>
        <w:t>关</w:t>
      </w:r>
      <w:r>
        <w:rPr>
          <w:rFonts w:hint="eastAsia" w:ascii="楷体_GB2312" w:hAnsi="楷体_GB2312" w:eastAsia="楷体_GB2312" w:cs="楷体_GB2312"/>
          <w:b/>
          <w:bCs/>
          <w:color w:val="auto"/>
          <w:kern w:val="0"/>
          <w:sz w:val="32"/>
          <w:szCs w:val="32"/>
          <w:highlight w:val="none"/>
          <w:lang w:eastAsia="zh-CN"/>
        </w:rPr>
        <w:t>于呼图壁县石梯子哈萨克族乡卫生院202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317.01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317.01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社会保障和就业</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35.24万元，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val="en-US" w:eastAsia="zh-CN"/>
        </w:rPr>
        <w:t>发放人员养老保险；</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257.52万元，主要用于基本公共卫生服务、全民健康体检服务等</w:t>
      </w:r>
      <w:r>
        <w:rPr>
          <w:rFonts w:hint="eastAsia" w:ascii="仿宋" w:hAnsi="仿宋" w:eastAsia="仿宋" w:cs="仿宋"/>
          <w:kern w:val="0"/>
          <w:sz w:val="32"/>
          <w:szCs w:val="32"/>
          <w:highlight w:val="none"/>
          <w:lang w:val="en-US" w:eastAsia="zh-CN"/>
        </w:rPr>
        <w:t>相关经费支出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24.25万元，主要用于人员住房公积金缴纳</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五、关于</w:t>
      </w:r>
      <w:r>
        <w:rPr>
          <w:rFonts w:hint="eastAsia" w:ascii="楷体_GB2312" w:hAnsi="楷体_GB2312" w:eastAsia="楷体_GB2312" w:cs="楷体_GB2312"/>
          <w:b/>
          <w:bCs/>
          <w:color w:val="auto"/>
          <w:spacing w:val="-6"/>
          <w:kern w:val="0"/>
          <w:sz w:val="32"/>
          <w:szCs w:val="32"/>
          <w:highlight w:val="none"/>
          <w:lang w:eastAsia="zh-CN"/>
        </w:rPr>
        <w:t>呼图壁县石梯子哈萨克族乡卫生院</w:t>
      </w:r>
      <w:r>
        <w:rPr>
          <w:rFonts w:hint="eastAsia" w:ascii="楷体_GB2312" w:hAnsi="楷体_GB2312" w:eastAsia="楷体_GB2312" w:cs="楷体_GB2312"/>
          <w:b/>
          <w:bCs/>
          <w:color w:val="auto"/>
          <w:spacing w:val="-6"/>
          <w:kern w:val="0"/>
          <w:sz w:val="32"/>
          <w:szCs w:val="32"/>
          <w:highlight w:val="none"/>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317.01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317.01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5.47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1.70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人，人</w:t>
      </w:r>
      <w:r>
        <w:rPr>
          <w:rFonts w:hint="eastAsia" w:ascii="仿宋_GB2312" w:hAnsi="仿宋_GB2312" w:eastAsia="仿宋_GB2312" w:cs="仿宋_GB2312"/>
          <w:color w:val="auto"/>
          <w:kern w:val="0"/>
          <w:sz w:val="32"/>
          <w:szCs w:val="32"/>
          <w:highlight w:val="none"/>
          <w:lang w:val="en-US" w:eastAsia="zh-CN"/>
        </w:rPr>
        <w:t>员</w:t>
      </w:r>
      <w:r>
        <w:rPr>
          <w:rFonts w:hint="eastAsia" w:ascii="仿宋_GB2312" w:hAnsi="仿宋_GB2312" w:eastAsia="仿宋_GB2312" w:cs="仿宋_GB2312"/>
          <w:color w:val="auto"/>
          <w:kern w:val="0"/>
          <w:sz w:val="32"/>
          <w:szCs w:val="32"/>
          <w:highlight w:val="none"/>
          <w:lang w:eastAsia="zh-CN"/>
        </w:rPr>
        <w:t>工资、社保、公积金减少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2024年及2025年均未安排项目预算。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社会保障和就业</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35.24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11.12</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卫生健康支出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257.52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81.23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kern w:val="0"/>
          <w:sz w:val="32"/>
          <w:szCs w:val="32"/>
          <w:lang w:val="en-US" w:eastAsia="zh-CN"/>
        </w:rPr>
      </w:pPr>
      <w:r>
        <w:rPr>
          <w:rFonts w:hint="eastAsia" w:ascii="仿宋_GB2312" w:hAnsi="仿宋_GB2312" w:eastAsia="仿宋_GB2312" w:cs="仿宋_GB2312"/>
          <w:color w:val="auto"/>
          <w:sz w:val="32"/>
          <w:szCs w:val="32"/>
          <w:highlight w:val="none"/>
          <w:lang w:val="en-US" w:eastAsia="zh-CN"/>
        </w:rPr>
        <w:t>3.住房保障支出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24.25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7.65</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事业单位离退休（项）：2025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6.22万元，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0.84万元，下降11.90%，主要原因是本年度退休人员医疗未安排预算。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（款）机关事业单位基本养老保险缴费支出（项）: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29.02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0.30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1.02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本年度减少在职在编人员1人，社保缴</w:t>
      </w:r>
      <w:r>
        <w:rPr>
          <w:rFonts w:hint="eastAsia" w:ascii="仿宋_GB2312" w:hAnsi="仿宋_GB2312" w:eastAsia="仿宋_GB2312" w:cs="仿宋_GB2312"/>
          <w:color w:val="auto"/>
          <w:kern w:val="0"/>
          <w:sz w:val="32"/>
          <w:szCs w:val="32"/>
          <w:highlight w:val="none"/>
        </w:rPr>
        <w:t>费</w:t>
      </w:r>
      <w:r>
        <w:rPr>
          <w:rFonts w:hint="eastAsia" w:ascii="仿宋_GB2312" w:hAnsi="仿宋_GB2312" w:eastAsia="仿宋_GB2312" w:cs="仿宋_GB2312"/>
          <w:color w:val="auto"/>
          <w:kern w:val="0"/>
          <w:sz w:val="32"/>
          <w:szCs w:val="32"/>
          <w:highlight w:val="none"/>
          <w:lang w:val="en-US" w:eastAsia="zh-CN"/>
        </w:rPr>
        <w:t>基数</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基层医疗卫生机构</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乡镇卫生院</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235.58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2.93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本年度减少在职在编人员1人，</w:t>
      </w:r>
      <w:r>
        <w:rPr>
          <w:rFonts w:hint="eastAsia" w:ascii="仿宋_GB2312" w:hAnsi="仿宋_GB2312" w:eastAsia="仿宋_GB2312" w:cs="仿宋_GB2312"/>
          <w:color w:val="auto"/>
          <w:kern w:val="0"/>
          <w:sz w:val="32"/>
          <w:szCs w:val="32"/>
          <w:highlight w:val="none"/>
          <w:lang w:eastAsia="zh-CN"/>
        </w:rPr>
        <w:t>人员工资、社保减少。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4.卫生健康支出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14.51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1.02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本年度减少在职在编人员1人，社保缴费基数</w:t>
      </w:r>
      <w:r>
        <w:rPr>
          <w:rFonts w:hint="eastAsia" w:ascii="仿宋_GB2312" w:hAnsi="仿宋_GB2312" w:eastAsia="仿宋_GB2312" w:cs="仿宋_GB2312"/>
          <w:color w:val="auto"/>
          <w:kern w:val="0"/>
          <w:sz w:val="32"/>
          <w:szCs w:val="32"/>
          <w:highlight w:val="none"/>
          <w:lang w:eastAsia="zh-CN"/>
        </w:rPr>
        <w:t>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7.25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3.22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79.90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本年度公务员医疗费率增加</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0.18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50.00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本年度事业单位医疗费率增加</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7.住房保障支出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24.25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0.36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1.46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本年度人员减少1人，住房公积金缴费基数</w:t>
      </w:r>
      <w:r>
        <w:rPr>
          <w:rFonts w:hint="eastAsia" w:ascii="仿宋_GB2312" w:hAnsi="仿宋_GB2312" w:eastAsia="仿宋_GB2312" w:cs="仿宋_GB2312"/>
          <w:color w:val="auto"/>
          <w:kern w:val="0"/>
          <w:sz w:val="32"/>
          <w:szCs w:val="32"/>
          <w:highlight w:val="none"/>
          <w:lang w:eastAsia="zh-CN"/>
        </w:rPr>
        <w:t>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六、关于</w:t>
      </w:r>
      <w:r>
        <w:rPr>
          <w:rFonts w:hint="eastAsia" w:ascii="楷体_GB2312" w:hAnsi="楷体_GB2312" w:eastAsia="楷体_GB2312" w:cs="楷体_GB2312"/>
          <w:b/>
          <w:bCs/>
          <w:color w:val="auto"/>
          <w:spacing w:val="-6"/>
          <w:kern w:val="0"/>
          <w:sz w:val="32"/>
          <w:szCs w:val="32"/>
          <w:highlight w:val="none"/>
          <w:lang w:eastAsia="zh-CN"/>
        </w:rPr>
        <w:t>呼图壁县石梯子哈萨克族乡卫生院</w:t>
      </w:r>
      <w:r>
        <w:rPr>
          <w:rFonts w:hint="eastAsia" w:ascii="楷体_GB2312" w:hAnsi="楷体_GB2312" w:eastAsia="楷体_GB2312" w:cs="楷体_GB2312"/>
          <w:b/>
          <w:bCs/>
          <w:color w:val="auto"/>
          <w:spacing w:val="-6"/>
          <w:kern w:val="0"/>
          <w:sz w:val="32"/>
          <w:szCs w:val="32"/>
          <w:highlight w:val="none"/>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呼图壁县石梯子哈萨克族乡卫生院</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年一般公共预算基本支出</w:t>
      </w:r>
      <w:r>
        <w:rPr>
          <w:rFonts w:hint="eastAsia" w:ascii="仿宋_GB2312" w:hAnsi="宋体" w:eastAsia="仿宋_GB2312" w:cs="宋体"/>
          <w:color w:val="auto"/>
          <w:kern w:val="0"/>
          <w:sz w:val="32"/>
          <w:szCs w:val="32"/>
          <w:highlight w:val="none"/>
          <w:lang w:val="en-US" w:eastAsia="zh-CN"/>
        </w:rPr>
        <w:t>317.01</w:t>
      </w:r>
      <w:r>
        <w:rPr>
          <w:rFonts w:hint="eastAsia" w:ascii="仿宋_GB2312" w:hAnsi="宋体" w:eastAsia="仿宋_GB2312" w:cs="宋体"/>
          <w:color w:val="auto"/>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305.78</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11.23</w:t>
      </w:r>
      <w:r>
        <w:rPr>
          <w:rFonts w:hint="eastAsia" w:ascii="仿宋_GB2312" w:hAnsi="宋体" w:eastAsia="仿宋_GB2312" w:cs="宋体"/>
          <w:color w:val="auto"/>
          <w:kern w:val="0"/>
          <w:sz w:val="32"/>
          <w:szCs w:val="32"/>
          <w:highlight w:val="none"/>
        </w:rPr>
        <w:t>万元，主要包括：电费、取暖费、工会经费。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七、关于</w:t>
      </w:r>
      <w:r>
        <w:rPr>
          <w:rFonts w:hint="eastAsia" w:ascii="楷体_GB2312" w:hAnsi="楷体_GB2312" w:eastAsia="楷体_GB2312" w:cs="楷体_GB2312"/>
          <w:b/>
          <w:bCs/>
          <w:color w:val="auto"/>
          <w:spacing w:val="-6"/>
          <w:kern w:val="0"/>
          <w:sz w:val="32"/>
          <w:szCs w:val="32"/>
          <w:highlight w:val="none"/>
          <w:lang w:eastAsia="zh-CN"/>
        </w:rPr>
        <w:t>呼图壁县石梯子哈萨克族乡卫生院</w:t>
      </w:r>
      <w:r>
        <w:rPr>
          <w:rFonts w:hint="eastAsia" w:ascii="楷体_GB2312" w:hAnsi="楷体_GB2312" w:eastAsia="楷体_GB2312" w:cs="楷体_GB2312"/>
          <w:b/>
          <w:bCs/>
          <w:color w:val="auto"/>
          <w:spacing w:val="-6"/>
          <w:kern w:val="0"/>
          <w:sz w:val="32"/>
          <w:szCs w:val="32"/>
          <w:highlight w:val="none"/>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年没有使用一般公共预算</w:t>
      </w:r>
      <w:r>
        <w:rPr>
          <w:rFonts w:hint="eastAsia" w:ascii="仿宋_GB2312" w:hAnsi="仿宋_GB2312" w:eastAsia="仿宋_GB2312" w:cs="仿宋_GB2312"/>
          <w:color w:val="auto"/>
          <w:kern w:val="0"/>
          <w:sz w:val="32"/>
          <w:szCs w:val="32"/>
          <w:highlight w:val="none"/>
          <w:lang w:val="en-US" w:eastAsia="zh-CN"/>
        </w:rPr>
        <w:t>安排</w:t>
      </w:r>
      <w:r>
        <w:rPr>
          <w:rFonts w:hint="eastAsia" w:ascii="仿宋_GB2312" w:hAnsi="仿宋_GB2312" w:eastAsia="仿宋_GB2312" w:cs="仿宋_GB2312"/>
          <w:color w:val="auto"/>
          <w:kern w:val="0"/>
          <w:sz w:val="32"/>
          <w:szCs w:val="32"/>
          <w:highlight w:val="none"/>
        </w:rPr>
        <w:t>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lang w:val="en-US" w:eastAsia="zh-Hans"/>
        </w:rPr>
        <w:t>八</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呼图壁县石梯子哈萨克族乡卫生院</w:t>
      </w:r>
      <w:r>
        <w:rPr>
          <w:rFonts w:hint="eastAsia" w:ascii="楷体_GB2312" w:hAnsi="楷体_GB2312" w:eastAsia="楷体_GB2312" w:cs="楷体_GB2312"/>
          <w:b/>
          <w:bCs/>
          <w:color w:val="auto"/>
          <w:spacing w:val="-6"/>
          <w:kern w:val="0"/>
          <w:sz w:val="32"/>
          <w:szCs w:val="32"/>
          <w:highlight w:val="none"/>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呼图壁县石梯子哈萨克族乡卫生院202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val="en-US" w:eastAsia="zh-Hans"/>
        </w:rPr>
      </w:pPr>
      <w:r>
        <w:rPr>
          <w:rFonts w:hint="eastAsia" w:ascii="楷体_GB2312" w:hAnsi="楷体_GB2312" w:eastAsia="楷体_GB2312" w:cs="楷体_GB2312"/>
          <w:b/>
          <w:bCs/>
          <w:color w:val="auto"/>
          <w:spacing w:val="-6"/>
          <w:kern w:val="0"/>
          <w:sz w:val="32"/>
          <w:szCs w:val="32"/>
          <w:highlight w:val="none"/>
          <w:lang w:val="en-US" w:eastAsia="zh-Hans"/>
        </w:rPr>
        <w:t>九、关于</w:t>
      </w:r>
      <w:r>
        <w:rPr>
          <w:rFonts w:hint="eastAsia" w:ascii="楷体_GB2312" w:hAnsi="楷体_GB2312" w:eastAsia="楷体_GB2312" w:cs="楷体_GB2312"/>
          <w:b/>
          <w:bCs/>
          <w:color w:val="auto"/>
          <w:spacing w:val="-6"/>
          <w:kern w:val="0"/>
          <w:sz w:val="32"/>
          <w:szCs w:val="32"/>
          <w:highlight w:val="none"/>
          <w:lang w:val="en-US" w:eastAsia="zh-CN"/>
        </w:rPr>
        <w:t>呼图壁县石梯子哈萨克族乡卫生院</w:t>
      </w:r>
      <w:r>
        <w:rPr>
          <w:rFonts w:hint="eastAsia" w:ascii="楷体_GB2312" w:hAnsi="楷体_GB2312" w:eastAsia="楷体_GB2312" w:cs="楷体_GB2312"/>
          <w:b/>
          <w:bCs/>
          <w:color w:val="auto"/>
          <w:spacing w:val="-6"/>
          <w:kern w:val="0"/>
          <w:sz w:val="32"/>
          <w:szCs w:val="32"/>
          <w:highlight w:val="none"/>
          <w:lang w:val="en-US" w:eastAsia="zh-Hans"/>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val="en-US" w:eastAsia="zh-Hans"/>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呼图壁县石梯子哈萨克族乡卫生院202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val="en-US" w:eastAsia="zh-Hans"/>
        </w:rPr>
      </w:pPr>
      <w:r>
        <w:rPr>
          <w:rFonts w:hint="eastAsia" w:ascii="楷体_GB2312" w:hAnsi="楷体_GB2312" w:eastAsia="楷体_GB2312" w:cs="楷体_GB2312"/>
          <w:b/>
          <w:bCs/>
          <w:color w:val="auto"/>
          <w:spacing w:val="-6"/>
          <w:kern w:val="0"/>
          <w:sz w:val="32"/>
          <w:szCs w:val="32"/>
          <w:highlight w:val="none"/>
          <w:lang w:val="en-US" w:eastAsia="zh-Hans"/>
        </w:rPr>
        <w:t>十、关于</w:t>
      </w:r>
      <w:r>
        <w:rPr>
          <w:rFonts w:hint="eastAsia" w:ascii="楷体_GB2312" w:hAnsi="楷体_GB2312" w:eastAsia="楷体_GB2312" w:cs="楷体_GB2312"/>
          <w:b/>
          <w:bCs/>
          <w:color w:val="auto"/>
          <w:spacing w:val="-6"/>
          <w:kern w:val="0"/>
          <w:sz w:val="32"/>
          <w:szCs w:val="32"/>
          <w:highlight w:val="none"/>
          <w:lang w:val="en-US" w:eastAsia="zh-CN"/>
        </w:rPr>
        <w:t>呼图壁县石梯子哈萨克族乡卫生院</w:t>
      </w:r>
      <w:r>
        <w:rPr>
          <w:rFonts w:hint="eastAsia" w:ascii="楷体_GB2312" w:hAnsi="楷体_GB2312" w:eastAsia="楷体_GB2312" w:cs="楷体_GB2312"/>
          <w:b/>
          <w:bCs/>
          <w:color w:val="auto"/>
          <w:spacing w:val="-6"/>
          <w:kern w:val="0"/>
          <w:sz w:val="32"/>
          <w:szCs w:val="32"/>
          <w:highlight w:val="none"/>
          <w:lang w:val="en-US" w:eastAsia="zh-Hans"/>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val="en-US" w:eastAsia="zh-Hans"/>
        </w:rPr>
        <w:t>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Hans"/>
        </w:rPr>
        <w:t>呼图壁县石梯子哈萨克族乡卫生院2025年财政拨款</w:t>
      </w:r>
      <w:r>
        <w:rPr>
          <w:rFonts w:hint="eastAsia" w:ascii="仿宋_GB2312" w:hAnsi="仿宋_GB2312" w:eastAsia="仿宋_GB2312" w:cs="仿宋_GB2312"/>
          <w:color w:val="auto"/>
          <w:kern w:val="0"/>
          <w:sz w:val="32"/>
          <w:szCs w:val="32"/>
          <w:highlight w:val="none"/>
          <w:lang w:eastAsia="zh-CN"/>
        </w:rPr>
        <w:t>“三公”经费数为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万元，其中：因公出国（境）费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万元，公务用车购置费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万元，公务用车运行费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 xml:space="preserve">万元，公务接待费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val="en-US" w:eastAsia="zh-Hans"/>
        </w:rPr>
      </w:pPr>
      <w:r>
        <w:rPr>
          <w:rFonts w:hint="eastAsia" w:ascii="楷体_GB2312" w:hAnsi="楷体_GB2312" w:eastAsia="楷体_GB2312" w:cs="楷体_GB2312"/>
          <w:b/>
          <w:bCs/>
          <w:color w:val="auto"/>
          <w:spacing w:val="-6"/>
          <w:kern w:val="0"/>
          <w:sz w:val="32"/>
          <w:szCs w:val="32"/>
          <w:highlight w:val="none"/>
          <w:lang w:val="en-US" w:eastAsia="zh-Hans"/>
        </w:rPr>
        <w:t>十</w:t>
      </w:r>
      <w:r>
        <w:rPr>
          <w:rFonts w:hint="eastAsia" w:ascii="楷体_GB2312" w:hAnsi="楷体_GB2312" w:eastAsia="楷体_GB2312" w:cs="楷体_GB2312"/>
          <w:b/>
          <w:bCs/>
          <w:color w:val="auto"/>
          <w:spacing w:val="-6"/>
          <w:kern w:val="0"/>
          <w:sz w:val="32"/>
          <w:szCs w:val="32"/>
          <w:highlight w:val="none"/>
          <w:lang w:val="en-US" w:eastAsia="zh-CN"/>
        </w:rPr>
        <w:t>一</w:t>
      </w:r>
      <w:r>
        <w:rPr>
          <w:rFonts w:hint="eastAsia" w:ascii="楷体_GB2312" w:hAnsi="楷体_GB2312" w:eastAsia="楷体_GB2312" w:cs="楷体_GB2312"/>
          <w:b/>
          <w:bCs/>
          <w:color w:val="auto"/>
          <w:spacing w:val="-6"/>
          <w:kern w:val="0"/>
          <w:sz w:val="32"/>
          <w:szCs w:val="32"/>
          <w:highlight w:val="none"/>
          <w:lang w:val="en-US" w:eastAsia="zh-Hans"/>
        </w:rPr>
        <w:t>、关于</w:t>
      </w:r>
      <w:r>
        <w:rPr>
          <w:rFonts w:hint="eastAsia" w:ascii="楷体_GB2312" w:hAnsi="楷体_GB2312" w:eastAsia="楷体_GB2312" w:cs="楷体_GB2312"/>
          <w:b/>
          <w:bCs/>
          <w:color w:val="auto"/>
          <w:spacing w:val="-6"/>
          <w:kern w:val="0"/>
          <w:sz w:val="32"/>
          <w:szCs w:val="32"/>
          <w:highlight w:val="none"/>
          <w:lang w:val="en-US" w:eastAsia="zh-CN"/>
        </w:rPr>
        <w:t>呼图壁县石梯子哈萨克族乡卫生院</w:t>
      </w:r>
      <w:r>
        <w:rPr>
          <w:rFonts w:hint="eastAsia" w:ascii="楷体_GB2312" w:hAnsi="楷体_GB2312" w:eastAsia="楷体_GB2312" w:cs="楷体_GB2312"/>
          <w:b/>
          <w:bCs/>
          <w:color w:val="auto"/>
          <w:spacing w:val="-6"/>
          <w:kern w:val="0"/>
          <w:sz w:val="32"/>
          <w:szCs w:val="32"/>
          <w:highlight w:val="none"/>
          <w:lang w:val="en-US" w:eastAsia="zh-Hans"/>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val="en-US" w:eastAsia="zh-Hans"/>
        </w:rPr>
        <w:t>年</w:t>
      </w:r>
      <w:r>
        <w:rPr>
          <w:rFonts w:hint="eastAsia" w:ascii="楷体_GB2312" w:hAnsi="楷体_GB2312" w:eastAsia="楷体_GB2312" w:cs="楷体_GB2312"/>
          <w:b/>
          <w:bCs/>
          <w:color w:val="auto"/>
          <w:spacing w:val="-6"/>
          <w:kern w:val="0"/>
          <w:sz w:val="32"/>
          <w:szCs w:val="32"/>
          <w:highlight w:val="none"/>
          <w:lang w:val="en-US" w:eastAsia="zh-CN"/>
        </w:rPr>
        <w:t>上年结转结余</w:t>
      </w:r>
      <w:r>
        <w:rPr>
          <w:rFonts w:hint="eastAsia" w:ascii="楷体_GB2312" w:hAnsi="楷体_GB2312" w:eastAsia="楷体_GB2312" w:cs="楷体_GB2312"/>
          <w:b/>
          <w:bCs/>
          <w:color w:val="auto"/>
          <w:spacing w:val="-6"/>
          <w:kern w:val="0"/>
          <w:sz w:val="32"/>
          <w:szCs w:val="32"/>
          <w:highlight w:val="none"/>
          <w:lang w:val="en-US" w:eastAsia="zh-Hans"/>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呼图壁县石梯子哈萨克族乡卫生院2025年没有上年结转结余</w:t>
      </w:r>
      <w:r>
        <w:rPr>
          <w:rFonts w:hint="eastAsia" w:ascii="仿宋_GB2312" w:hAnsi="仿宋_GB2312" w:eastAsia="仿宋_GB2312" w:cs="仿宋_GB2312"/>
          <w:color w:val="auto"/>
          <w:kern w:val="0"/>
          <w:sz w:val="32"/>
          <w:szCs w:val="32"/>
          <w:highlight w:val="none"/>
          <w:lang w:val="en-US" w:eastAsia="zh-Hans"/>
        </w:rPr>
        <w:t>预算的支出，</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lang w:val="en-US" w:eastAsia="zh-Hans"/>
        </w:rPr>
        <w:t>情况</w:t>
      </w:r>
      <w:r>
        <w:rPr>
          <w:rFonts w:hint="eastAsia" w:ascii="仿宋_GB2312" w:hAnsi="仿宋_GB2312" w:eastAsia="仿宋_GB2312" w:cs="仿宋_GB2312"/>
          <w:color w:val="auto"/>
          <w:kern w:val="0"/>
          <w:sz w:val="32"/>
          <w:szCs w:val="32"/>
          <w:highlight w:val="none"/>
          <w:lang w:val="en-US" w:eastAsia="zh-CN"/>
        </w:rPr>
        <w:t>明细</w:t>
      </w:r>
      <w:r>
        <w:rPr>
          <w:rFonts w:hint="eastAsia" w:ascii="仿宋_GB2312" w:hAnsi="仿宋_GB2312" w:eastAsia="仿宋_GB2312" w:cs="仿宋_GB2312"/>
          <w:color w:val="auto"/>
          <w:kern w:val="0"/>
          <w:sz w:val="32"/>
          <w:szCs w:val="32"/>
          <w:highlight w:val="none"/>
          <w:lang w:val="en-US" w:eastAsia="zh-Hans"/>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val="en-US" w:eastAsia="zh-Hans"/>
        </w:rPr>
      </w:pPr>
      <w:r>
        <w:rPr>
          <w:rFonts w:hint="eastAsia" w:ascii="楷体_GB2312" w:hAnsi="楷体_GB2312" w:eastAsia="楷体_GB2312" w:cs="楷体_GB2312"/>
          <w:b/>
          <w:bCs/>
          <w:color w:val="auto"/>
          <w:spacing w:val="-6"/>
          <w:kern w:val="0"/>
          <w:sz w:val="32"/>
          <w:szCs w:val="32"/>
          <w:highlight w:val="none"/>
          <w:lang w:val="en-US" w:eastAsia="zh-Hans"/>
        </w:rPr>
        <w:t>十</w:t>
      </w:r>
      <w:r>
        <w:rPr>
          <w:rFonts w:hint="eastAsia" w:ascii="楷体_GB2312" w:hAnsi="楷体_GB2312" w:eastAsia="楷体_GB2312" w:cs="楷体_GB2312"/>
          <w:b/>
          <w:bCs/>
          <w:color w:val="auto"/>
          <w:spacing w:val="-6"/>
          <w:kern w:val="0"/>
          <w:sz w:val="32"/>
          <w:szCs w:val="32"/>
          <w:highlight w:val="none"/>
          <w:lang w:val="en-US" w:eastAsia="zh-CN"/>
        </w:rPr>
        <w:t>二</w:t>
      </w:r>
      <w:r>
        <w:rPr>
          <w:rFonts w:hint="eastAsia" w:ascii="楷体_GB2312" w:hAnsi="楷体_GB2312" w:eastAsia="楷体_GB2312" w:cs="楷体_GB2312"/>
          <w:b/>
          <w:bCs/>
          <w:color w:val="auto"/>
          <w:spacing w:val="-6"/>
          <w:kern w:val="0"/>
          <w:sz w:val="32"/>
          <w:szCs w:val="32"/>
          <w:highlight w:val="none"/>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呼图壁县石梯子哈萨克族乡卫生院</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11.23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2.63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30.58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本年度增加采暖费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年，呼图壁县石梯子哈萨克族乡卫生院政府采购预算</w:t>
      </w:r>
      <w:r>
        <w:rPr>
          <w:rFonts w:hint="eastAsia" w:ascii="仿宋_GB2312" w:hAnsi="仿宋_GB2312" w:eastAsia="仿宋_GB2312" w:cs="仿宋_GB2312"/>
          <w:color w:val="auto"/>
          <w:kern w:val="0"/>
          <w:sz w:val="32"/>
          <w:szCs w:val="32"/>
          <w:highlight w:val="none"/>
          <w:lang w:val="en-US" w:eastAsia="zh-CN"/>
        </w:rPr>
        <w:t>57.90</w:t>
      </w:r>
      <w:r>
        <w:rPr>
          <w:rFonts w:hint="eastAsia" w:ascii="仿宋_GB2312" w:hAnsi="仿宋_GB2312" w:eastAsia="仿宋_GB2312" w:cs="仿宋_GB2312"/>
          <w:color w:val="auto"/>
          <w:kern w:val="0"/>
          <w:sz w:val="32"/>
          <w:szCs w:val="32"/>
          <w:highlight w:val="none"/>
          <w:lang w:eastAsia="zh-CN"/>
        </w:rPr>
        <w:t>万元，其中：政府采购货物预算</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lang w:eastAsia="zh-CN"/>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万元，政府采购服务预算</w:t>
      </w:r>
      <w:r>
        <w:rPr>
          <w:rFonts w:hint="eastAsia" w:ascii="仿宋_GB2312" w:hAnsi="仿宋_GB2312" w:eastAsia="仿宋_GB2312" w:cs="仿宋_GB2312"/>
          <w:color w:val="auto"/>
          <w:kern w:val="0"/>
          <w:sz w:val="32"/>
          <w:szCs w:val="32"/>
          <w:highlight w:val="none"/>
          <w:lang w:val="en-US" w:eastAsia="zh-CN"/>
        </w:rPr>
        <w:t>32.90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年，呼图壁县石梯子哈萨克族乡卫生院面向中小企业预留政府采购项目预算金额</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lang w:eastAsia="zh-CN"/>
        </w:rPr>
        <w:t>企业预留政府采购项目预算金额</w:t>
      </w:r>
      <w:r>
        <w:rPr>
          <w:rFonts w:hint="eastAsia" w:ascii="仿宋_GB2312" w:hAnsi="仿宋_GB2312" w:eastAsia="仿宋_GB2312" w:cs="仿宋_GB2312"/>
          <w:color w:val="auto"/>
          <w:kern w:val="0"/>
          <w:sz w:val="32"/>
          <w:szCs w:val="32"/>
          <w:highlight w:val="none"/>
          <w:lang w:val="en-US" w:eastAsia="zh-CN"/>
        </w:rPr>
        <w:t>30.50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eastAsia="zh-CN"/>
        </w:rPr>
        <w:t>年底，呼图壁县石梯子哈萨克族乡卫生院占用使用国有资产总体情况为：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1.房屋</w:t>
      </w:r>
      <w:r>
        <w:rPr>
          <w:rFonts w:hint="eastAsia" w:ascii="仿宋_GB2312" w:hAnsi="仿宋_GB2312" w:eastAsia="仿宋_GB2312" w:cs="仿宋_GB2312"/>
          <w:color w:val="auto"/>
          <w:kern w:val="0"/>
          <w:sz w:val="32"/>
          <w:szCs w:val="32"/>
          <w:highlight w:val="none"/>
          <w:lang w:val="en-US" w:eastAsia="zh-CN"/>
        </w:rPr>
        <w:t>2577.23平方米，价值293.67万元。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22.31</w:t>
      </w:r>
      <w:r>
        <w:rPr>
          <w:rFonts w:hint="eastAsia" w:ascii="仿宋_GB2312" w:hAnsi="仿宋_GB2312" w:eastAsia="仿宋_GB2312" w:cs="仿宋_GB2312"/>
          <w:color w:val="auto"/>
          <w:kern w:val="0"/>
          <w:sz w:val="32"/>
          <w:szCs w:val="32"/>
          <w:highlight w:val="none"/>
          <w:lang w:eastAsia="zh-CN"/>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辆，价值</w:t>
      </w:r>
      <w:r>
        <w:rPr>
          <w:rFonts w:hint="eastAsia" w:ascii="仿宋_GB2312" w:hAnsi="仿宋_GB2312" w:eastAsia="仿宋_GB2312" w:cs="仿宋_GB2312"/>
          <w:color w:val="auto"/>
          <w:kern w:val="0"/>
          <w:sz w:val="32"/>
          <w:szCs w:val="32"/>
          <w:highlight w:val="none"/>
          <w:lang w:val="en-US" w:eastAsia="zh-CN"/>
        </w:rPr>
        <w:t>22.31</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3.办公家具价值</w:t>
      </w:r>
      <w:r>
        <w:rPr>
          <w:rFonts w:hint="eastAsia" w:ascii="仿宋_GB2312" w:hAnsi="仿宋_GB2312" w:eastAsia="仿宋_GB2312" w:cs="仿宋_GB2312"/>
          <w:color w:val="auto"/>
          <w:kern w:val="0"/>
          <w:sz w:val="32"/>
          <w:szCs w:val="32"/>
          <w:highlight w:val="none"/>
          <w:lang w:val="en-US" w:eastAsia="zh-CN"/>
        </w:rPr>
        <w:t>15.75</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4.其他资产价值</w:t>
      </w:r>
      <w:r>
        <w:rPr>
          <w:rFonts w:hint="eastAsia" w:ascii="仿宋_GB2312" w:hAnsi="仿宋_GB2312" w:eastAsia="仿宋_GB2312" w:cs="仿宋_GB2312"/>
          <w:color w:val="auto"/>
          <w:kern w:val="0"/>
          <w:sz w:val="32"/>
          <w:szCs w:val="32"/>
          <w:highlight w:val="none"/>
          <w:lang w:val="en-US" w:eastAsia="zh-CN"/>
        </w:rPr>
        <w:t>301.91</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kern w:val="0"/>
          <w:sz w:val="32"/>
          <w:szCs w:val="32"/>
          <w:highlight w:val="none"/>
          <w:lang w:val="en-US" w:eastAsia="zh-CN"/>
        </w:rPr>
        <w:t>2025</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预算未安排购置车辆经费，安排购置50万元以上大型设备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台，单位价值100万元以上大型设备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0" w:name="OLE_LINK1"/>
      <w:r>
        <w:rPr>
          <w:rFonts w:hint="eastAsia" w:ascii="仿宋_GB2312" w:hAnsi="仿宋_GB2312" w:eastAsia="仿宋_GB2312" w:cs="仿宋_GB2312"/>
          <w:color w:val="auto"/>
          <w:kern w:val="0"/>
          <w:sz w:val="32"/>
          <w:szCs w:val="32"/>
          <w:highlight w:val="none"/>
          <w:lang w:val="en-US" w:eastAsia="zh-CN"/>
        </w:rPr>
        <w:t>2025年，本部门预算绩效管理整体预算绩效目标1个，涉及预算金额627.01万元；当年预算安排项目共1个，其中: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项目涉及预算金额0万元；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涉及预算金额15万元。具体情况见下表：</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 xml:space="preserve"> </w:t>
      </w:r>
      <w:bookmarkEnd w:id="0"/>
    </w:p>
    <w:tbl>
      <w:tblPr>
        <w:tblStyle w:val="7"/>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5"/>
        <w:gridCol w:w="1302"/>
        <w:gridCol w:w="2099"/>
        <w:gridCol w:w="1395"/>
        <w:gridCol w:w="602"/>
        <w:gridCol w:w="2098"/>
        <w:gridCol w:w="8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jc w:val="center"/>
        </w:trPr>
        <w:tc>
          <w:tcPr>
            <w:tcW w:w="948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 w:hAnsi="仿宋" w:eastAsia="仿宋" w:cs="仿宋"/>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948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 w:hAnsi="仿宋" w:eastAsia="仿宋" w:cs="仿宋"/>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单位名称（盖章）</w:t>
            </w:r>
          </w:p>
        </w:tc>
        <w:tc>
          <w:tcPr>
            <w:tcW w:w="703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呼图壁县石梯子哈萨克族乡卫生院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单位联系人</w:t>
            </w: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刘琳涵</w:t>
            </w:r>
          </w:p>
        </w:tc>
        <w:tc>
          <w:tcPr>
            <w:tcW w:w="19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联系电话：</w:t>
            </w:r>
          </w:p>
        </w:tc>
        <w:tc>
          <w:tcPr>
            <w:tcW w:w="2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18699455031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4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br w:type="textWrapping"/>
            </w:r>
          </w:p>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年度绩效目标</w:t>
            </w:r>
          </w:p>
        </w:tc>
        <w:tc>
          <w:tcPr>
            <w:tcW w:w="703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负责石梯子乡卫生院医疗卫生工作，组织领导群众卫生运动，培养卫生技术人员，并对村卫生室进行指导工作，对乡镇居民进行全面健康体检和慢病随访。较好的提供基本医疗服务，全面的开展农村常见病、多发病以及诊断明确的慢性非传染性疾病的诊疗、护理，加强培训、加强围绕重点人群统一规范服务模式，全力推行基本公共卫生服务“五进”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年度预算（万元）</w:t>
            </w:r>
          </w:p>
        </w:tc>
        <w:tc>
          <w:tcPr>
            <w:tcW w:w="34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资金来源</w:t>
            </w:r>
          </w:p>
        </w:tc>
        <w:tc>
          <w:tcPr>
            <w:tcW w:w="35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209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财政资金（万元）</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上级安排</w:t>
            </w:r>
          </w:p>
        </w:tc>
        <w:tc>
          <w:tcPr>
            <w:tcW w:w="35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209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本级安排</w:t>
            </w:r>
          </w:p>
        </w:tc>
        <w:tc>
          <w:tcPr>
            <w:tcW w:w="35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317.01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44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其他资金（万元）</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w:t>
            </w:r>
          </w:p>
        </w:tc>
        <w:tc>
          <w:tcPr>
            <w:tcW w:w="353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1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一级指标</w:t>
            </w:r>
          </w:p>
        </w:tc>
        <w:tc>
          <w:tcPr>
            <w:tcW w:w="13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二级指标</w:t>
            </w: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三级指标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指标值</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指标设定依据</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14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履职效能</w:t>
            </w:r>
          </w:p>
        </w:tc>
        <w:tc>
          <w:tcPr>
            <w:tcW w:w="130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数量指标</w:t>
            </w: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全民健康体检人数</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＞=4096人</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2025年呼图壁县石梯子哈萨克民族乡卫生院工作计划</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0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乡村医生培训次数</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＞=4次</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2025年呼图壁县石梯子哈萨克民族乡卫生院工作计划</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0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基本公共卫生服务项目项目</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＞=14项</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关于印发2020年自治区基本公共卫生服务项目经费参考标准的通知-新卫基层卫生发【2020】2号</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质量指标</w:t>
            </w: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慢病随访覆盖率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＞=85%</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2025年呼图壁县石梯子哈萨克民族乡卫生院工作计划</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14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时效指标</w:t>
            </w:r>
          </w:p>
        </w:tc>
        <w:tc>
          <w:tcPr>
            <w:tcW w:w="20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开展培训及时率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＞=90%</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2025年呼图壁县石梯子哈萨克民族乡卫生院工作计划</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w:t>
            </w:r>
          </w:p>
        </w:tc>
      </w:tr>
    </w:tbl>
    <w:p>
      <w:pPr>
        <w:pStyle w:val="2"/>
        <w:rPr>
          <w:rFonts w:hint="eastAsia" w:ascii="仿宋" w:hAnsi="仿宋" w:eastAsia="仿宋" w:cs="仿宋"/>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2"/>
        <w:rPr>
          <w:rFonts w:hint="eastAsia" w:ascii="仿宋" w:hAnsi="仿宋" w:eastAsia="仿宋" w:cs="仿宋"/>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本部门非财政拨款项目1个，涉及金额15万元，主要用于弥补日常公用经费，不公开绩效目标表。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仿宋" w:hAnsi="仿宋" w:eastAsia="仿宋" w:cs="仿宋"/>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仿宋" w:hAnsi="仿宋" w:eastAsia="仿宋" w:cs="仿宋"/>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s="Times New Roman"/>
          <w:kern w:val="0"/>
          <w:sz w:val="32"/>
          <w:szCs w:val="32"/>
          <w:highlight w:val="none"/>
        </w:rPr>
      </w:pPr>
      <w:r>
        <w:rPr>
          <w:rFonts w:hint="eastAsia" w:ascii="黑体" w:hAnsi="黑体" w:eastAsia="黑体" w:cs="Times New Roman"/>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hAnsi="Times New Roman" w:eastAsia="仿宋_GB2312" w:cs="Times New Roman"/>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hAnsi="Times New Roman" w:eastAsia="仿宋_GB2312" w:cs="Times New Roman"/>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 w:hAnsi="仿宋" w:eastAsia="仿宋" w:cs="仿宋"/>
          <w:color w:val="auto"/>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hAnsi="Times New Roman" w:eastAsia="仿宋_GB2312" w:cs="Times New Roman"/>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hAnsi="Times New Roman" w:eastAsia="仿宋_GB2312" w:cs="Times New Roman"/>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lang w:eastAsia="zh-CN"/>
        </w:rPr>
      </w:pPr>
      <w:r>
        <w:rPr>
          <w:rFonts w:hint="eastAsia" w:ascii="楷体_GB2312" w:hAnsi="楷体_GB2312" w:eastAsia="楷体_GB2312" w:cs="楷体_GB2312"/>
          <w:b/>
          <w:bCs/>
          <w:sz w:val="32"/>
          <w:szCs w:val="32"/>
          <w:highlight w:val="none"/>
        </w:rPr>
        <w:t>五、基本支出：</w:t>
      </w:r>
      <w:r>
        <w:rPr>
          <w:rFonts w:hint="eastAsia" w:ascii="仿宋_GB2312" w:hAnsi="Times New Roman" w:eastAsia="仿宋_GB2312" w:cs="Times New Roman"/>
          <w:sz w:val="32"/>
          <w:szCs w:val="32"/>
          <w:highlight w:val="none"/>
          <w:lang w:eastAsia="zh-CN"/>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hAnsi="Times New Roman" w:eastAsia="仿宋_GB2312" w:cs="Times New Roman"/>
          <w:sz w:val="32"/>
          <w:szCs w:val="32"/>
          <w:highlight w:val="none"/>
          <w:lang w:eastAsia="zh-CN"/>
        </w:rPr>
        <w:t>部门</w:t>
      </w:r>
      <w:r>
        <w:rPr>
          <w:rFonts w:hint="eastAsia" w:ascii="仿宋_GB2312" w:hAnsi="Times New Roman" w:eastAsia="仿宋_GB2312" w:cs="Times New Roman"/>
          <w:sz w:val="32"/>
          <w:szCs w:val="32"/>
          <w:highlight w:val="none"/>
          <w:lang w:val="en-US" w:eastAsia="zh-CN"/>
        </w:rPr>
        <w:t>（单位）</w:t>
      </w:r>
      <w:r>
        <w:rPr>
          <w:rFonts w:hint="eastAsia" w:ascii="仿宋_GB2312" w:hAnsi="Times New Roman" w:eastAsia="仿宋_GB2312" w:cs="Times New Roman"/>
          <w:sz w:val="32"/>
          <w:szCs w:val="32"/>
          <w:highlight w:val="none"/>
        </w:rPr>
        <w:t>支出预算的组成部分，是</w:t>
      </w:r>
      <w:r>
        <w:rPr>
          <w:rFonts w:hint="eastAsia" w:ascii="仿宋_GB2312" w:hAnsi="Times New Roman" w:eastAsia="仿宋_GB2312" w:cs="Times New Roman"/>
          <w:sz w:val="32"/>
          <w:szCs w:val="32"/>
          <w:highlight w:val="none"/>
          <w:lang w:val="en-US" w:eastAsia="zh-Hans"/>
        </w:rPr>
        <w:t>各</w:t>
      </w:r>
      <w:r>
        <w:rPr>
          <w:rFonts w:hint="eastAsia" w:ascii="仿宋_GB2312" w:hAnsi="Times New Roman" w:eastAsia="仿宋_GB2312" w:cs="Times New Roman"/>
          <w:sz w:val="32"/>
          <w:szCs w:val="32"/>
          <w:highlight w:val="none"/>
          <w:lang w:eastAsia="zh-CN"/>
        </w:rPr>
        <w:t>部门</w:t>
      </w:r>
      <w:r>
        <w:rPr>
          <w:rFonts w:hint="eastAsia" w:ascii="仿宋_GB2312" w:hAnsi="Times New Roman" w:eastAsia="仿宋_GB2312" w:cs="Times New Roman"/>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hAnsi="Times New Roman" w:eastAsia="仿宋_GB2312" w:cs="Times New Roman"/>
          <w:sz w:val="32"/>
          <w:szCs w:val="32"/>
          <w:highlight w:val="none"/>
        </w:rPr>
        <w:t>指</w:t>
      </w:r>
      <w:r>
        <w:rPr>
          <w:rFonts w:hint="eastAsia" w:ascii="仿宋_GB2312" w:hAnsi="Times New Roman" w:eastAsia="仿宋_GB2312" w:cs="Times New Roman"/>
          <w:sz w:val="32"/>
          <w:szCs w:val="32"/>
          <w:highlight w:val="none"/>
          <w:lang w:val="en-US" w:eastAsia="zh-CN"/>
        </w:rPr>
        <w:t>部门（单位）</w:t>
      </w:r>
      <w:r>
        <w:rPr>
          <w:rFonts w:hint="eastAsia" w:ascii="仿宋_GB2312" w:hAnsi="Times New Roman" w:eastAsia="仿宋_GB2312" w:cs="Times New Roman"/>
          <w:sz w:val="32"/>
          <w:szCs w:val="32"/>
          <w:highlight w:val="none"/>
        </w:rPr>
        <w:t>因公出国（境）费、公务用车购置及运行维护费和公务接待费</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其中</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因公出国（境）费反映</w:t>
      </w:r>
      <w:r>
        <w:rPr>
          <w:rFonts w:hint="eastAsia" w:ascii="仿宋_GB2312" w:hAnsi="Times New Roman" w:eastAsia="仿宋_GB2312" w:cs="Times New Roman"/>
          <w:sz w:val="32"/>
          <w:szCs w:val="32"/>
          <w:highlight w:val="none"/>
          <w:lang w:val="en-US" w:eastAsia="zh-CN"/>
        </w:rPr>
        <w:t>机关和参公事业单位公务出国（境）的国际旅费、国外城市间交通费、住宿费、伙食费、培训费、公杂费等支出</w:t>
      </w:r>
      <w:r>
        <w:rPr>
          <w:rFonts w:hint="eastAsia" w:ascii="仿宋_GB2312" w:hAnsi="Times New Roman" w:eastAsia="仿宋_GB2312" w:cs="Times New Roman"/>
          <w:sz w:val="32"/>
          <w:szCs w:val="32"/>
          <w:highlight w:val="none"/>
        </w:rPr>
        <w:t>；</w:t>
      </w:r>
      <w:r>
        <w:rPr>
          <w:rFonts w:hint="eastAsia" w:ascii="仿宋_GB2312" w:hAnsi="Times New Roman" w:eastAsia="仿宋_GB2312" w:cs="Times New Roman"/>
          <w:sz w:val="32"/>
          <w:szCs w:val="32"/>
          <w:highlight w:val="none"/>
          <w:lang w:val="en-US" w:eastAsia="zh-CN"/>
        </w:rPr>
        <w:t>公务用车购置反映机关和参公事业单位公务用车购置支出（含车辆购置税、牌照费）；</w:t>
      </w:r>
      <w:r>
        <w:rPr>
          <w:rFonts w:hint="eastAsia" w:ascii="仿宋_GB2312" w:hAnsi="Times New Roman" w:eastAsia="仿宋_GB2312" w:cs="Times New Roman"/>
          <w:sz w:val="32"/>
          <w:szCs w:val="32"/>
          <w:highlight w:val="none"/>
        </w:rPr>
        <w:t>公务用车运行维护费反映</w:t>
      </w:r>
      <w:r>
        <w:rPr>
          <w:rFonts w:hint="eastAsia" w:ascii="仿宋_GB2312" w:hAnsi="Times New Roman" w:eastAsia="仿宋_GB2312" w:cs="Times New Roman"/>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hAnsi="Times New Roman" w:eastAsia="仿宋_GB2312" w:cs="Times New Roman"/>
          <w:sz w:val="32"/>
          <w:szCs w:val="32"/>
          <w:highlight w:val="none"/>
        </w:rPr>
        <w:t>；公务接待费反映</w:t>
      </w:r>
      <w:r>
        <w:rPr>
          <w:rFonts w:hint="eastAsia" w:ascii="仿宋_GB2312" w:hAnsi="Times New Roman" w:eastAsia="仿宋_GB2312" w:cs="Times New Roman"/>
          <w:sz w:val="32"/>
          <w:szCs w:val="32"/>
          <w:highlight w:val="none"/>
          <w:lang w:val="en-US" w:eastAsia="zh-CN"/>
        </w:rPr>
        <w:t>机关和参公事业单位</w:t>
      </w:r>
      <w:r>
        <w:rPr>
          <w:rFonts w:hint="eastAsia" w:ascii="仿宋_GB2312" w:hAnsi="Times New Roman" w:eastAsia="仿宋_GB2312" w:cs="Times New Roman"/>
          <w:sz w:val="32"/>
          <w:szCs w:val="32"/>
          <w:highlight w:val="none"/>
        </w:rPr>
        <w:t>按规定开支的各类公务接待（含外宾接待）</w:t>
      </w:r>
      <w:r>
        <w:rPr>
          <w:rFonts w:hint="eastAsia" w:ascii="仿宋_GB2312" w:hAnsi="Times New Roman" w:eastAsia="仿宋_GB2312" w:cs="Times New Roman"/>
          <w:sz w:val="32"/>
          <w:szCs w:val="32"/>
          <w:highlight w:val="none"/>
          <w:lang w:val="en-US" w:eastAsia="zh-CN"/>
        </w:rPr>
        <w:t>费用</w:t>
      </w:r>
      <w:r>
        <w:rPr>
          <w:rFonts w:hint="eastAsia" w:ascii="仿宋_GB2312"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sz w:val="32"/>
          <w:szCs w:val="32"/>
          <w:highlight w:val="none"/>
          <w:lang w:val="en-US" w:eastAsia="zh-CN"/>
        </w:rPr>
      </w:pPr>
      <w:r>
        <w:rPr>
          <w:rFonts w:hint="eastAsia" w:ascii="楷体_GB2312" w:hAnsi="楷体_GB2312" w:eastAsia="楷体_GB2312" w:cs="楷体_GB2312"/>
          <w:b/>
          <w:bCs/>
          <w:sz w:val="32"/>
          <w:szCs w:val="32"/>
          <w:highlight w:val="none"/>
        </w:rPr>
        <w:t>八、机关运行经费：</w:t>
      </w:r>
      <w:r>
        <w:rPr>
          <w:rFonts w:hint="eastAsia" w:ascii="仿宋_GB2312" w:hAnsi="Times New Roman" w:eastAsia="仿宋_GB2312" w:cs="Times New Roman"/>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 w:hAnsi="仿宋" w:eastAsia="仿宋" w:cs="仿宋"/>
          <w:kern w:val="0"/>
          <w:sz w:val="32"/>
          <w:szCs w:val="32"/>
          <w:highlight w:val="none"/>
        </w:rPr>
        <w:t xml:space="preserve">           </w:t>
      </w:r>
      <w:r>
        <w:rPr>
          <w:rFonts w:hint="eastAsia" w:ascii="仿宋" w:hAnsi="仿宋" w:eastAsia="仿宋" w:cs="仿宋"/>
          <w:b w:val="0"/>
          <w:bCs w:val="0"/>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呼图壁县石梯子哈萨克族乡卫生院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 xml:space="preserve">                         </w:t>
      </w:r>
      <w:r>
        <w:rPr>
          <w:rFonts w:hint="eastAsia" w:ascii="仿宋_GB2312" w:hAnsi="宋体" w:eastAsia="仿宋_GB2312" w:cs="宋体"/>
          <w:kern w:val="0"/>
          <w:sz w:val="32"/>
          <w:szCs w:val="32"/>
          <w:highlight w:val="none"/>
          <w:lang w:val="en-US" w:eastAsia="zh-CN"/>
        </w:rPr>
        <w:t>2025</w:t>
      </w:r>
      <w:r>
        <w:rPr>
          <w:rFonts w:hint="eastAsia" w:ascii="仿宋_GB2312" w:hAnsi="宋体" w:eastAsia="仿宋_GB2312" w:cs="宋体"/>
          <w:kern w:val="0"/>
          <w:sz w:val="32"/>
          <w:szCs w:val="32"/>
          <w:highlight w:val="none"/>
          <w:lang w:eastAsia="zh-CN"/>
        </w:rPr>
        <w:t xml:space="preserve"> 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lang w:eastAsia="zh-CN"/>
        </w:rPr>
        <w:t>月</w:t>
      </w:r>
      <w:r>
        <w:rPr>
          <w:rFonts w:hint="eastAsia" w:ascii="仿宋_GB2312" w:hAnsi="宋体" w:eastAsia="仿宋_GB2312" w:cs="宋体"/>
          <w:kern w:val="0"/>
          <w:sz w:val="32"/>
          <w:szCs w:val="32"/>
          <w:highlight w:val="none"/>
          <w:lang w:val="en-US" w:eastAsia="zh-CN"/>
        </w:rPr>
        <w:t>12</w:t>
      </w:r>
      <w:r>
        <w:rPr>
          <w:rFonts w:hint="eastAsia" w:ascii="仿宋_GB2312" w:hAnsi="宋体" w:eastAsia="仿宋_GB2312" w:cs="宋体"/>
          <w:kern w:val="0"/>
          <w:sz w:val="32"/>
          <w:szCs w:val="32"/>
          <w:highlight w:val="none"/>
          <w:lang w:eastAsia="zh-CN"/>
        </w:rPr>
        <w:t>日</w:t>
      </w:r>
    </w:p>
    <w:p>
      <w:pPr>
        <w:rPr>
          <w:rFonts w:hint="eastAsia" w:ascii="仿宋" w:hAnsi="仿宋" w:eastAsia="仿宋" w:cs="仿宋"/>
          <w:highlight w:val="none"/>
        </w:rPr>
      </w:pPr>
    </w:p>
    <w:p>
      <w:pPr>
        <w:rPr>
          <w:rFonts w:hint="eastAsia" w:ascii="仿宋" w:hAnsi="仿宋" w:eastAsia="仿宋" w:cs="仿宋"/>
          <w:highlight w:val="none"/>
        </w:rPr>
      </w:pPr>
    </w:p>
    <w:sectPr>
      <w:pgSz w:w="11906" w:h="16838"/>
      <w:pgMar w:top="1383"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N2MzOWFkMDZkZmRkN2YzY2ZiOGZiZTMyODNhNTEifQ=="/>
  </w:docVars>
  <w:rsids>
    <w:rsidRoot w:val="10587512"/>
    <w:rsid w:val="00E41A1F"/>
    <w:rsid w:val="010D7A5D"/>
    <w:rsid w:val="01536131"/>
    <w:rsid w:val="017B2F92"/>
    <w:rsid w:val="020E507E"/>
    <w:rsid w:val="02732F8E"/>
    <w:rsid w:val="02A205F5"/>
    <w:rsid w:val="02CB7F49"/>
    <w:rsid w:val="032F04D8"/>
    <w:rsid w:val="037800D1"/>
    <w:rsid w:val="037E6D6A"/>
    <w:rsid w:val="03DB240E"/>
    <w:rsid w:val="03E2554B"/>
    <w:rsid w:val="04267087"/>
    <w:rsid w:val="04267B2D"/>
    <w:rsid w:val="044C330C"/>
    <w:rsid w:val="04545D1C"/>
    <w:rsid w:val="04C9670A"/>
    <w:rsid w:val="05304EB2"/>
    <w:rsid w:val="05397FD9"/>
    <w:rsid w:val="057A5F58"/>
    <w:rsid w:val="05A86320"/>
    <w:rsid w:val="05BC559D"/>
    <w:rsid w:val="05CA273A"/>
    <w:rsid w:val="06116039"/>
    <w:rsid w:val="06776966"/>
    <w:rsid w:val="070E6657"/>
    <w:rsid w:val="07A1396F"/>
    <w:rsid w:val="07E37AE3"/>
    <w:rsid w:val="080E3E4F"/>
    <w:rsid w:val="08381BDD"/>
    <w:rsid w:val="084451C2"/>
    <w:rsid w:val="08450B28"/>
    <w:rsid w:val="08762705"/>
    <w:rsid w:val="088F5575"/>
    <w:rsid w:val="08CE609D"/>
    <w:rsid w:val="08E81855"/>
    <w:rsid w:val="091B27E2"/>
    <w:rsid w:val="092D370C"/>
    <w:rsid w:val="092E2FE0"/>
    <w:rsid w:val="09CA0F5B"/>
    <w:rsid w:val="0A4168EC"/>
    <w:rsid w:val="0A751CE8"/>
    <w:rsid w:val="0A962EA3"/>
    <w:rsid w:val="0AD672A7"/>
    <w:rsid w:val="0AD81455"/>
    <w:rsid w:val="0B1A7CC0"/>
    <w:rsid w:val="0B247F12"/>
    <w:rsid w:val="0B4E34C6"/>
    <w:rsid w:val="0B7C3034"/>
    <w:rsid w:val="0B841FFD"/>
    <w:rsid w:val="0BD56A2F"/>
    <w:rsid w:val="0C0A3890"/>
    <w:rsid w:val="0C7358DA"/>
    <w:rsid w:val="0CD20198"/>
    <w:rsid w:val="0CEC568C"/>
    <w:rsid w:val="0D2A3F0A"/>
    <w:rsid w:val="0D6E5FD0"/>
    <w:rsid w:val="0DFF47ED"/>
    <w:rsid w:val="0E0C7BC1"/>
    <w:rsid w:val="0E160724"/>
    <w:rsid w:val="0E320E7D"/>
    <w:rsid w:val="0E5C414B"/>
    <w:rsid w:val="0E703081"/>
    <w:rsid w:val="0E9208E7"/>
    <w:rsid w:val="0F0942D3"/>
    <w:rsid w:val="0F2F6775"/>
    <w:rsid w:val="0F7B0D6D"/>
    <w:rsid w:val="0FD541B5"/>
    <w:rsid w:val="0FD91EF8"/>
    <w:rsid w:val="0FEA33CD"/>
    <w:rsid w:val="100823C5"/>
    <w:rsid w:val="10173421"/>
    <w:rsid w:val="102F72B4"/>
    <w:rsid w:val="10341570"/>
    <w:rsid w:val="10587512"/>
    <w:rsid w:val="105D0E37"/>
    <w:rsid w:val="107E3486"/>
    <w:rsid w:val="10916BDA"/>
    <w:rsid w:val="11036B00"/>
    <w:rsid w:val="110C1E59"/>
    <w:rsid w:val="11301FEB"/>
    <w:rsid w:val="11381764"/>
    <w:rsid w:val="116424A7"/>
    <w:rsid w:val="11B6451D"/>
    <w:rsid w:val="11CC3396"/>
    <w:rsid w:val="121E62E8"/>
    <w:rsid w:val="126873B3"/>
    <w:rsid w:val="12FD1ACA"/>
    <w:rsid w:val="13343571"/>
    <w:rsid w:val="133E6515"/>
    <w:rsid w:val="136E6DFB"/>
    <w:rsid w:val="14470E31"/>
    <w:rsid w:val="14F036ED"/>
    <w:rsid w:val="154020D1"/>
    <w:rsid w:val="15437E13"/>
    <w:rsid w:val="16872B83"/>
    <w:rsid w:val="1697741D"/>
    <w:rsid w:val="16B9038D"/>
    <w:rsid w:val="16D231FD"/>
    <w:rsid w:val="16F22940"/>
    <w:rsid w:val="18226406"/>
    <w:rsid w:val="18636D79"/>
    <w:rsid w:val="18D25736"/>
    <w:rsid w:val="18EE62E8"/>
    <w:rsid w:val="19762565"/>
    <w:rsid w:val="19A215AC"/>
    <w:rsid w:val="1A132B78"/>
    <w:rsid w:val="1A255D39"/>
    <w:rsid w:val="1A900E41"/>
    <w:rsid w:val="1ABF618E"/>
    <w:rsid w:val="1AC437A4"/>
    <w:rsid w:val="1AF170D8"/>
    <w:rsid w:val="1B153D26"/>
    <w:rsid w:val="1BEB54C3"/>
    <w:rsid w:val="1C172EF0"/>
    <w:rsid w:val="1C3C6084"/>
    <w:rsid w:val="1C746BBA"/>
    <w:rsid w:val="1C8C02F2"/>
    <w:rsid w:val="1CBF2475"/>
    <w:rsid w:val="1CF063DF"/>
    <w:rsid w:val="1CF57C45"/>
    <w:rsid w:val="1D3E1AFE"/>
    <w:rsid w:val="1D9060FA"/>
    <w:rsid w:val="1DD43CFE"/>
    <w:rsid w:val="1DF428DD"/>
    <w:rsid w:val="1E6432D4"/>
    <w:rsid w:val="1E89232D"/>
    <w:rsid w:val="1E960FB4"/>
    <w:rsid w:val="1EB61656"/>
    <w:rsid w:val="1EBF050A"/>
    <w:rsid w:val="1F811C64"/>
    <w:rsid w:val="1FC41FA8"/>
    <w:rsid w:val="1FC85AE5"/>
    <w:rsid w:val="1FD53D5E"/>
    <w:rsid w:val="1FDC50EC"/>
    <w:rsid w:val="20407429"/>
    <w:rsid w:val="20523600"/>
    <w:rsid w:val="20CC6F0F"/>
    <w:rsid w:val="20CF3CE4"/>
    <w:rsid w:val="20DD55C0"/>
    <w:rsid w:val="21570ECE"/>
    <w:rsid w:val="21902632"/>
    <w:rsid w:val="219D08AB"/>
    <w:rsid w:val="21C70799"/>
    <w:rsid w:val="21DA62E0"/>
    <w:rsid w:val="21E62252"/>
    <w:rsid w:val="2210107D"/>
    <w:rsid w:val="221B63A0"/>
    <w:rsid w:val="222A213F"/>
    <w:rsid w:val="228D0920"/>
    <w:rsid w:val="22922CB8"/>
    <w:rsid w:val="229E48DB"/>
    <w:rsid w:val="22DB78DD"/>
    <w:rsid w:val="234C0C7F"/>
    <w:rsid w:val="2367773E"/>
    <w:rsid w:val="237101D1"/>
    <w:rsid w:val="23F07681"/>
    <w:rsid w:val="244D65B8"/>
    <w:rsid w:val="245F12E5"/>
    <w:rsid w:val="247E3B4F"/>
    <w:rsid w:val="2492221D"/>
    <w:rsid w:val="24A51F50"/>
    <w:rsid w:val="24B42D8E"/>
    <w:rsid w:val="250855AF"/>
    <w:rsid w:val="258B383C"/>
    <w:rsid w:val="25D00281"/>
    <w:rsid w:val="26316AFB"/>
    <w:rsid w:val="263B7010"/>
    <w:rsid w:val="26B4291F"/>
    <w:rsid w:val="26BD282A"/>
    <w:rsid w:val="26CF7759"/>
    <w:rsid w:val="26E769FA"/>
    <w:rsid w:val="27374FE9"/>
    <w:rsid w:val="275639D6"/>
    <w:rsid w:val="27FA6A57"/>
    <w:rsid w:val="281F201A"/>
    <w:rsid w:val="285035CF"/>
    <w:rsid w:val="286D65BC"/>
    <w:rsid w:val="28D9041B"/>
    <w:rsid w:val="293B2E83"/>
    <w:rsid w:val="299A6A35"/>
    <w:rsid w:val="29AA03E4"/>
    <w:rsid w:val="2A1262DA"/>
    <w:rsid w:val="2AFC4894"/>
    <w:rsid w:val="2B193CEA"/>
    <w:rsid w:val="2B3A05DE"/>
    <w:rsid w:val="2B6901C6"/>
    <w:rsid w:val="2BEE5AF4"/>
    <w:rsid w:val="2C351E0C"/>
    <w:rsid w:val="2C462D13"/>
    <w:rsid w:val="2CFF066C"/>
    <w:rsid w:val="2D471872"/>
    <w:rsid w:val="2D480265"/>
    <w:rsid w:val="2D4B16D2"/>
    <w:rsid w:val="2D977453"/>
    <w:rsid w:val="2DCB2250"/>
    <w:rsid w:val="2DF45CF7"/>
    <w:rsid w:val="2E023C01"/>
    <w:rsid w:val="2E2943BA"/>
    <w:rsid w:val="2E3B56D4"/>
    <w:rsid w:val="2E552C39"/>
    <w:rsid w:val="2E644C2A"/>
    <w:rsid w:val="2EC03AEE"/>
    <w:rsid w:val="2EF22236"/>
    <w:rsid w:val="2F3B3AB3"/>
    <w:rsid w:val="2F5619A1"/>
    <w:rsid w:val="2FED29FE"/>
    <w:rsid w:val="2FF034A9"/>
    <w:rsid w:val="300E1D4A"/>
    <w:rsid w:val="30304946"/>
    <w:rsid w:val="30B05F05"/>
    <w:rsid w:val="30E3277E"/>
    <w:rsid w:val="310F3573"/>
    <w:rsid w:val="31197231"/>
    <w:rsid w:val="312B5ED3"/>
    <w:rsid w:val="31374878"/>
    <w:rsid w:val="32454D73"/>
    <w:rsid w:val="32567731"/>
    <w:rsid w:val="32B37F2E"/>
    <w:rsid w:val="32D560F7"/>
    <w:rsid w:val="337126D2"/>
    <w:rsid w:val="33A76F60"/>
    <w:rsid w:val="33D04B10"/>
    <w:rsid w:val="33EA3656"/>
    <w:rsid w:val="33F627C9"/>
    <w:rsid w:val="33FD6212"/>
    <w:rsid w:val="341E7629"/>
    <w:rsid w:val="342866FA"/>
    <w:rsid w:val="34A418FC"/>
    <w:rsid w:val="34AC10D9"/>
    <w:rsid w:val="34C2082C"/>
    <w:rsid w:val="34F07218"/>
    <w:rsid w:val="34F36D08"/>
    <w:rsid w:val="35F117C8"/>
    <w:rsid w:val="36714388"/>
    <w:rsid w:val="370C5E5F"/>
    <w:rsid w:val="37A83DDA"/>
    <w:rsid w:val="37B95EC4"/>
    <w:rsid w:val="37EA7EAA"/>
    <w:rsid w:val="38284F1B"/>
    <w:rsid w:val="38BB18EB"/>
    <w:rsid w:val="38E54BBA"/>
    <w:rsid w:val="38FD0155"/>
    <w:rsid w:val="396F26D5"/>
    <w:rsid w:val="397A1A62"/>
    <w:rsid w:val="39B0409D"/>
    <w:rsid w:val="3A086DB2"/>
    <w:rsid w:val="3A96260F"/>
    <w:rsid w:val="3AC058DE"/>
    <w:rsid w:val="3BAC7C11"/>
    <w:rsid w:val="3BCC7CAE"/>
    <w:rsid w:val="3BE45FB7"/>
    <w:rsid w:val="3BF21AC7"/>
    <w:rsid w:val="3C013037"/>
    <w:rsid w:val="3C4542ED"/>
    <w:rsid w:val="3C8534DB"/>
    <w:rsid w:val="3C8F5568"/>
    <w:rsid w:val="3CB274A9"/>
    <w:rsid w:val="3D622C7D"/>
    <w:rsid w:val="3E0B2056"/>
    <w:rsid w:val="3F226382"/>
    <w:rsid w:val="3FDF4D23"/>
    <w:rsid w:val="407A02DD"/>
    <w:rsid w:val="40A02F12"/>
    <w:rsid w:val="40A67141"/>
    <w:rsid w:val="40F2256A"/>
    <w:rsid w:val="41083B3B"/>
    <w:rsid w:val="41270465"/>
    <w:rsid w:val="417B7450"/>
    <w:rsid w:val="41A33B98"/>
    <w:rsid w:val="41DB2FFE"/>
    <w:rsid w:val="426D552C"/>
    <w:rsid w:val="42870C99"/>
    <w:rsid w:val="42F779C3"/>
    <w:rsid w:val="430B110A"/>
    <w:rsid w:val="433230F1"/>
    <w:rsid w:val="43502DA9"/>
    <w:rsid w:val="43771ECC"/>
    <w:rsid w:val="439D67BD"/>
    <w:rsid w:val="43C26223"/>
    <w:rsid w:val="43D8307E"/>
    <w:rsid w:val="43FB7594"/>
    <w:rsid w:val="44177434"/>
    <w:rsid w:val="44507CD3"/>
    <w:rsid w:val="449D27EC"/>
    <w:rsid w:val="44AF5181"/>
    <w:rsid w:val="44CF7A97"/>
    <w:rsid w:val="44E1092B"/>
    <w:rsid w:val="45232CF2"/>
    <w:rsid w:val="45383EA0"/>
    <w:rsid w:val="454D5FC1"/>
    <w:rsid w:val="455A018C"/>
    <w:rsid w:val="46B02CAB"/>
    <w:rsid w:val="46CE3131"/>
    <w:rsid w:val="46DF70EC"/>
    <w:rsid w:val="475C24EB"/>
    <w:rsid w:val="47A404A7"/>
    <w:rsid w:val="47F15B06"/>
    <w:rsid w:val="48180B08"/>
    <w:rsid w:val="489A776F"/>
    <w:rsid w:val="48CE7418"/>
    <w:rsid w:val="493059DD"/>
    <w:rsid w:val="494F7907"/>
    <w:rsid w:val="49675177"/>
    <w:rsid w:val="49AF4E76"/>
    <w:rsid w:val="4A817F9B"/>
    <w:rsid w:val="4A8F7A4B"/>
    <w:rsid w:val="4ADF73DC"/>
    <w:rsid w:val="4B1B26BD"/>
    <w:rsid w:val="4B315A3D"/>
    <w:rsid w:val="4B8F4681"/>
    <w:rsid w:val="4C0055E5"/>
    <w:rsid w:val="4C0C4313"/>
    <w:rsid w:val="4C324B63"/>
    <w:rsid w:val="4C3677AE"/>
    <w:rsid w:val="4C706B3A"/>
    <w:rsid w:val="4C8B2099"/>
    <w:rsid w:val="4CBE35B8"/>
    <w:rsid w:val="4CE80A0F"/>
    <w:rsid w:val="4CF77A09"/>
    <w:rsid w:val="4D203FBB"/>
    <w:rsid w:val="4D2F41FE"/>
    <w:rsid w:val="4D851993"/>
    <w:rsid w:val="4DC5759E"/>
    <w:rsid w:val="4E5C6A80"/>
    <w:rsid w:val="4EA62CB3"/>
    <w:rsid w:val="4EB14857"/>
    <w:rsid w:val="4EB67D82"/>
    <w:rsid w:val="4EF63225"/>
    <w:rsid w:val="4F3860E4"/>
    <w:rsid w:val="4F3B332E"/>
    <w:rsid w:val="4F4F0B87"/>
    <w:rsid w:val="4F8159F3"/>
    <w:rsid w:val="4F8F6B37"/>
    <w:rsid w:val="504771A6"/>
    <w:rsid w:val="50BD049E"/>
    <w:rsid w:val="50BE6DE5"/>
    <w:rsid w:val="51C15CED"/>
    <w:rsid w:val="51E11F6A"/>
    <w:rsid w:val="52285DEB"/>
    <w:rsid w:val="523A5B1F"/>
    <w:rsid w:val="528145D8"/>
    <w:rsid w:val="52AD62F0"/>
    <w:rsid w:val="52AF02BB"/>
    <w:rsid w:val="52EA12F3"/>
    <w:rsid w:val="53A94D0A"/>
    <w:rsid w:val="53D61877"/>
    <w:rsid w:val="53F017AA"/>
    <w:rsid w:val="546308FE"/>
    <w:rsid w:val="54D20290"/>
    <w:rsid w:val="54F63F7F"/>
    <w:rsid w:val="55741347"/>
    <w:rsid w:val="55A16ED2"/>
    <w:rsid w:val="55BB6F76"/>
    <w:rsid w:val="5632621B"/>
    <w:rsid w:val="56373A45"/>
    <w:rsid w:val="563C1E65"/>
    <w:rsid w:val="568B1FB7"/>
    <w:rsid w:val="56A35797"/>
    <w:rsid w:val="56FE59C9"/>
    <w:rsid w:val="570D735E"/>
    <w:rsid w:val="571B2674"/>
    <w:rsid w:val="5748483A"/>
    <w:rsid w:val="579D6934"/>
    <w:rsid w:val="57FC1785"/>
    <w:rsid w:val="5805720D"/>
    <w:rsid w:val="582219A7"/>
    <w:rsid w:val="58956EF9"/>
    <w:rsid w:val="589917F1"/>
    <w:rsid w:val="58A41C96"/>
    <w:rsid w:val="592F5CB1"/>
    <w:rsid w:val="59B241EC"/>
    <w:rsid w:val="59E7658C"/>
    <w:rsid w:val="59F3611C"/>
    <w:rsid w:val="5A5E27F6"/>
    <w:rsid w:val="5A704801"/>
    <w:rsid w:val="5A8C5E4D"/>
    <w:rsid w:val="5AED2A9A"/>
    <w:rsid w:val="5B5639C9"/>
    <w:rsid w:val="5BAF30D9"/>
    <w:rsid w:val="5BD3501A"/>
    <w:rsid w:val="5CC901CB"/>
    <w:rsid w:val="5D033C38"/>
    <w:rsid w:val="5D0E3E30"/>
    <w:rsid w:val="5D9E1657"/>
    <w:rsid w:val="5DE828D3"/>
    <w:rsid w:val="5E1B4E6B"/>
    <w:rsid w:val="5E225DE5"/>
    <w:rsid w:val="5E257683"/>
    <w:rsid w:val="5E7802BC"/>
    <w:rsid w:val="5E8C7702"/>
    <w:rsid w:val="5E912F6A"/>
    <w:rsid w:val="5ED52133"/>
    <w:rsid w:val="5EE078B0"/>
    <w:rsid w:val="5F0D5523"/>
    <w:rsid w:val="5F2346ED"/>
    <w:rsid w:val="5F5F367A"/>
    <w:rsid w:val="5F8328B3"/>
    <w:rsid w:val="5FD21144"/>
    <w:rsid w:val="5FE01AB3"/>
    <w:rsid w:val="5FE315A4"/>
    <w:rsid w:val="603B4F3C"/>
    <w:rsid w:val="60885CA7"/>
    <w:rsid w:val="60995980"/>
    <w:rsid w:val="60D86C2E"/>
    <w:rsid w:val="60E50CEA"/>
    <w:rsid w:val="61086613"/>
    <w:rsid w:val="61677FB2"/>
    <w:rsid w:val="61686204"/>
    <w:rsid w:val="61D4389A"/>
    <w:rsid w:val="626C7A56"/>
    <w:rsid w:val="62917095"/>
    <w:rsid w:val="62AA0157"/>
    <w:rsid w:val="62AE5E99"/>
    <w:rsid w:val="630E06E5"/>
    <w:rsid w:val="634265E1"/>
    <w:rsid w:val="63473BF7"/>
    <w:rsid w:val="63535DEB"/>
    <w:rsid w:val="63F374BD"/>
    <w:rsid w:val="6408782B"/>
    <w:rsid w:val="64572560"/>
    <w:rsid w:val="645E0E3C"/>
    <w:rsid w:val="65165F77"/>
    <w:rsid w:val="65322CBF"/>
    <w:rsid w:val="65B35574"/>
    <w:rsid w:val="65B763A9"/>
    <w:rsid w:val="65BE2AA5"/>
    <w:rsid w:val="65C658ED"/>
    <w:rsid w:val="65E86C07"/>
    <w:rsid w:val="668B0071"/>
    <w:rsid w:val="67220C03"/>
    <w:rsid w:val="672F50CE"/>
    <w:rsid w:val="675D1087"/>
    <w:rsid w:val="67717495"/>
    <w:rsid w:val="67755B92"/>
    <w:rsid w:val="678A717B"/>
    <w:rsid w:val="688651C2"/>
    <w:rsid w:val="68A44B73"/>
    <w:rsid w:val="68CC52CB"/>
    <w:rsid w:val="68D66149"/>
    <w:rsid w:val="68DE4FFE"/>
    <w:rsid w:val="691B0000"/>
    <w:rsid w:val="694B58D7"/>
    <w:rsid w:val="697C07B1"/>
    <w:rsid w:val="698E2580"/>
    <w:rsid w:val="69CE4E15"/>
    <w:rsid w:val="69FC1C8E"/>
    <w:rsid w:val="6A1011E7"/>
    <w:rsid w:val="6A815C41"/>
    <w:rsid w:val="6A86594D"/>
    <w:rsid w:val="6B296E17"/>
    <w:rsid w:val="6B2E2BC2"/>
    <w:rsid w:val="6B3E7E06"/>
    <w:rsid w:val="6B543355"/>
    <w:rsid w:val="6B7F3246"/>
    <w:rsid w:val="6BF904A6"/>
    <w:rsid w:val="6C553829"/>
    <w:rsid w:val="6C97799E"/>
    <w:rsid w:val="6CB5251A"/>
    <w:rsid w:val="6CD429A0"/>
    <w:rsid w:val="6D45389E"/>
    <w:rsid w:val="6D9C125A"/>
    <w:rsid w:val="6E245261"/>
    <w:rsid w:val="6EF07839"/>
    <w:rsid w:val="6EFC61DE"/>
    <w:rsid w:val="6F15681B"/>
    <w:rsid w:val="6F566F2E"/>
    <w:rsid w:val="6F63000B"/>
    <w:rsid w:val="6FCF0C72"/>
    <w:rsid w:val="6FE16655"/>
    <w:rsid w:val="70B36D70"/>
    <w:rsid w:val="70BA3C5B"/>
    <w:rsid w:val="70D433C4"/>
    <w:rsid w:val="710D6480"/>
    <w:rsid w:val="714A0C2F"/>
    <w:rsid w:val="71500A63"/>
    <w:rsid w:val="717C1858"/>
    <w:rsid w:val="71AA3CCF"/>
    <w:rsid w:val="71B2527A"/>
    <w:rsid w:val="72672215"/>
    <w:rsid w:val="72B56DCF"/>
    <w:rsid w:val="72D75819"/>
    <w:rsid w:val="72E964BC"/>
    <w:rsid w:val="730B4C41"/>
    <w:rsid w:val="73397A01"/>
    <w:rsid w:val="735C7C42"/>
    <w:rsid w:val="73CA00E7"/>
    <w:rsid w:val="740C0C71"/>
    <w:rsid w:val="7460720F"/>
    <w:rsid w:val="74AE1D28"/>
    <w:rsid w:val="74C27582"/>
    <w:rsid w:val="74D07EF1"/>
    <w:rsid w:val="74EB6AD9"/>
    <w:rsid w:val="75B570E6"/>
    <w:rsid w:val="75BF3AC1"/>
    <w:rsid w:val="75CD61DE"/>
    <w:rsid w:val="76522B87"/>
    <w:rsid w:val="76D65566"/>
    <w:rsid w:val="76DA32A9"/>
    <w:rsid w:val="7706409E"/>
    <w:rsid w:val="776205BC"/>
    <w:rsid w:val="7797777E"/>
    <w:rsid w:val="77A24357"/>
    <w:rsid w:val="77B706CD"/>
    <w:rsid w:val="780A1873"/>
    <w:rsid w:val="7819395D"/>
    <w:rsid w:val="787D11B8"/>
    <w:rsid w:val="78A771BA"/>
    <w:rsid w:val="78AC6820"/>
    <w:rsid w:val="78DB5727"/>
    <w:rsid w:val="79132AA2"/>
    <w:rsid w:val="792C5912"/>
    <w:rsid w:val="795B6A76"/>
    <w:rsid w:val="79780B57"/>
    <w:rsid w:val="799A6D1F"/>
    <w:rsid w:val="79CE4923"/>
    <w:rsid w:val="7A10700A"/>
    <w:rsid w:val="7A2C24E2"/>
    <w:rsid w:val="7ACD6C80"/>
    <w:rsid w:val="7B73579C"/>
    <w:rsid w:val="7B845591"/>
    <w:rsid w:val="7BB337E3"/>
    <w:rsid w:val="7CAD6D69"/>
    <w:rsid w:val="7CBA4FE2"/>
    <w:rsid w:val="7D06612B"/>
    <w:rsid w:val="7D3E79C1"/>
    <w:rsid w:val="7D580E3B"/>
    <w:rsid w:val="7D983576"/>
    <w:rsid w:val="7DA22646"/>
    <w:rsid w:val="7DA4082D"/>
    <w:rsid w:val="7DCC327D"/>
    <w:rsid w:val="7E880152"/>
    <w:rsid w:val="7E8B30DA"/>
    <w:rsid w:val="7F1F281A"/>
    <w:rsid w:val="7F4B0360"/>
    <w:rsid w:val="7F7D13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2362</Words>
  <Characters>3023</Characters>
  <Lines>0</Lines>
  <Paragraphs>0</Paragraphs>
  <TotalTime>1</TotalTime>
  <ScaleCrop>false</ScaleCrop>
  <LinksUpToDate>false</LinksUpToDate>
  <CharactersWithSpaces>3468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2025-05-30T09:09:34Z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eyJoZGlkIjoiNjY2NzEwZWVhMWZlNDZlMTE3NDBlNzBjOTU5NDMxNTEiLCJ1c2VySWQiOiI2NTM1MTIyMzEifQ==</vt:lpwstr>
  </property>
</Properties>
</file>