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呼图壁县融媒体中心</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2025年呼图壁县融媒体中心</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2025年呼图壁县融媒体中心</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呼图壁县融媒体中心（呼图壁县广播电视台）为县人民政府直属正科级事业单位，</w:t>
      </w:r>
      <w:r>
        <w:rPr>
          <w:rFonts w:hint="eastAsia" w:ascii="仿宋_GB2312" w:hAnsi="黑体" w:eastAsia="仿宋_GB2312" w:cs="宋体"/>
          <w:bCs/>
          <w:color w:val="auto"/>
          <w:kern w:val="0"/>
          <w:sz w:val="32"/>
          <w:szCs w:val="32"/>
          <w:highlight w:val="none"/>
          <w:lang w:val="en-US" w:eastAsia="zh-CN"/>
        </w:rPr>
        <w:t>经费实行财政全额预算管理，</w:t>
      </w:r>
      <w:r>
        <w:rPr>
          <w:rFonts w:hint="eastAsia" w:ascii="仿宋_GB2312" w:hAnsi="黑体" w:eastAsia="仿宋_GB2312" w:cs="宋体"/>
          <w:bCs/>
          <w:color w:val="auto"/>
          <w:kern w:val="0"/>
          <w:sz w:val="32"/>
          <w:szCs w:val="32"/>
          <w:highlight w:val="none"/>
        </w:rPr>
        <w:t>公益二类</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主要职责为</w:t>
      </w:r>
      <w:r>
        <w:rPr>
          <w:rFonts w:hint="eastAsia" w:ascii="仿宋_GB2312" w:hAnsi="黑体" w:eastAsia="仿宋_GB2312" w:cs="宋体"/>
          <w:bCs/>
          <w:color w:val="auto"/>
          <w:kern w:val="0"/>
          <w:sz w:val="32"/>
          <w:szCs w:val="32"/>
          <w:highlight w:val="none"/>
        </w:rPr>
        <w:t>宣传党的路线方针政策，宣传党的创新理论和社会主义核心价值观，宣传县委、县政府决策部署和各项中心工作</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负责扩展“媒体+”服务范围，面向全县提供政务、生活、文化等综合服务，增强互动性；积极发挥舆论监督作用</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承担呼图壁电视台、呼图壁人民广播电台、呼图壁政府网新闻版块、呼图壁好地方客户端、呼图壁零距离微信号、魅力呼图壁微博号等融媒体内容的策、采、编、审、发；制定实施安全播发方案和应急预案，确保新闻和节目安全播出、发布</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负责融媒体平台的管理、运行和维护工作；负责融媒体新技术的应用和推广</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按要求承担中央、区、州各级重要节目的转播任务。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黑体" w:eastAsia="仿宋_GB2312" w:cs="宋体"/>
          <w:bCs/>
          <w:color w:val="auto"/>
          <w:kern w:val="0"/>
          <w:sz w:val="32"/>
          <w:szCs w:val="32"/>
          <w:highlight w:val="none"/>
          <w:shd w:val="clear" w:color="auto" w:fill="auto"/>
        </w:rPr>
        <w:t>无下属预算单位，下设</w:t>
      </w:r>
      <w:r>
        <w:rPr>
          <w:rFonts w:hint="eastAsia" w:ascii="仿宋_GB2312" w:hAnsi="黑体" w:eastAsia="仿宋_GB2312" w:cs="宋体"/>
          <w:bCs/>
          <w:color w:val="auto"/>
          <w:kern w:val="0"/>
          <w:sz w:val="32"/>
          <w:szCs w:val="32"/>
          <w:highlight w:val="none"/>
          <w:shd w:val="clear" w:color="auto" w:fill="auto"/>
          <w:lang w:val="en-US" w:eastAsia="zh-CN"/>
        </w:rPr>
        <w:t>7</w:t>
      </w:r>
      <w:r>
        <w:rPr>
          <w:rFonts w:hint="eastAsia" w:ascii="仿宋_GB2312" w:hAnsi="黑体" w:eastAsia="仿宋_GB2312" w:cs="宋体"/>
          <w:bCs/>
          <w:color w:val="auto"/>
          <w:kern w:val="0"/>
          <w:sz w:val="32"/>
          <w:szCs w:val="32"/>
          <w:highlight w:val="none"/>
          <w:shd w:val="clear" w:color="auto" w:fill="auto"/>
        </w:rPr>
        <w:t>个</w:t>
      </w:r>
      <w:r>
        <w:rPr>
          <w:rFonts w:hint="eastAsia" w:ascii="仿宋_GB2312" w:hAnsi="黑体" w:eastAsia="仿宋_GB2312" w:cs="宋体"/>
          <w:bCs/>
          <w:color w:val="auto"/>
          <w:kern w:val="0"/>
          <w:sz w:val="32"/>
          <w:szCs w:val="32"/>
          <w:highlight w:val="none"/>
          <w:shd w:val="clear" w:color="auto" w:fill="auto"/>
          <w:lang w:val="en-US" w:eastAsia="zh-CN"/>
        </w:rPr>
        <w:t>处室</w:t>
      </w:r>
      <w:r>
        <w:rPr>
          <w:rFonts w:hint="eastAsia" w:ascii="仿宋_GB2312" w:hAnsi="黑体" w:eastAsia="仿宋_GB2312" w:cs="宋体"/>
          <w:bCs/>
          <w:color w:val="auto"/>
          <w:kern w:val="0"/>
          <w:sz w:val="32"/>
          <w:szCs w:val="32"/>
          <w:highlight w:val="none"/>
          <w:shd w:val="clear" w:color="auto" w:fill="auto"/>
        </w:rPr>
        <w:t>，分别是：</w:t>
      </w:r>
      <w:r>
        <w:rPr>
          <w:rFonts w:hint="eastAsia" w:ascii="仿宋_GB2312" w:hAnsi="黑体" w:eastAsia="仿宋_GB2312" w:cs="宋体"/>
          <w:bCs/>
          <w:color w:val="auto"/>
          <w:kern w:val="0"/>
          <w:sz w:val="32"/>
          <w:szCs w:val="32"/>
          <w:highlight w:val="none"/>
          <w:shd w:val="clear" w:color="auto" w:fill="auto"/>
          <w:lang w:val="en-US" w:eastAsia="zh-CN"/>
        </w:rPr>
        <w:t>综合科、总编室、采集科、编辑科、视觉科、技术科、运营科</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rPr>
        <w:t>编制数</w:t>
      </w:r>
      <w:r>
        <w:rPr>
          <w:rFonts w:hint="eastAsia" w:ascii="仿宋_GB2312" w:hAnsi="宋体" w:eastAsia="仿宋_GB2312" w:cs="宋体"/>
          <w:color w:val="auto"/>
          <w:kern w:val="0"/>
          <w:sz w:val="32"/>
          <w:szCs w:val="32"/>
          <w:highlight w:val="none"/>
          <w:shd w:val="clear" w:color="auto" w:fill="auto"/>
          <w:lang w:val="en-US" w:eastAsia="zh-CN"/>
        </w:rPr>
        <w:t>24</w:t>
      </w:r>
      <w:r>
        <w:rPr>
          <w:rFonts w:hint="eastAsia" w:ascii="仿宋_GB2312" w:hAnsi="宋体" w:eastAsia="仿宋_GB2312" w:cs="宋体"/>
          <w:color w:val="auto"/>
          <w:kern w:val="0"/>
          <w:sz w:val="32"/>
          <w:szCs w:val="32"/>
          <w:highlight w:val="none"/>
          <w:shd w:val="clear" w:color="auto" w:fill="auto"/>
        </w:rPr>
        <w:t>，实有人数</w:t>
      </w:r>
      <w:r>
        <w:rPr>
          <w:rFonts w:hint="eastAsia" w:ascii="仿宋_GB2312" w:hAnsi="宋体" w:eastAsia="仿宋_GB2312" w:cs="宋体"/>
          <w:color w:val="auto"/>
          <w:kern w:val="0"/>
          <w:sz w:val="32"/>
          <w:szCs w:val="32"/>
          <w:highlight w:val="none"/>
          <w:shd w:val="clear" w:color="auto" w:fill="auto"/>
          <w:lang w:val="en-US" w:eastAsia="zh-CN"/>
        </w:rPr>
        <w:t>46</w:t>
      </w:r>
      <w:r>
        <w:rPr>
          <w:rFonts w:hint="eastAsia" w:ascii="仿宋_GB2312" w:hAnsi="宋体" w:eastAsia="仿宋_GB2312" w:cs="宋体"/>
          <w:color w:val="auto"/>
          <w:kern w:val="0"/>
          <w:sz w:val="32"/>
          <w:szCs w:val="32"/>
          <w:highlight w:val="none"/>
          <w:shd w:val="clear" w:color="auto" w:fill="auto"/>
        </w:rPr>
        <w:t>人，其中：在职</w:t>
      </w:r>
      <w:r>
        <w:rPr>
          <w:rFonts w:hint="eastAsia" w:ascii="仿宋_GB2312" w:hAnsi="宋体" w:eastAsia="仿宋_GB2312" w:cs="宋体"/>
          <w:color w:val="auto"/>
          <w:kern w:val="0"/>
          <w:sz w:val="32"/>
          <w:szCs w:val="32"/>
          <w:highlight w:val="none"/>
          <w:shd w:val="clear" w:color="auto" w:fill="auto"/>
          <w:lang w:val="en-US" w:eastAsia="zh-CN"/>
        </w:rPr>
        <w:t>24</w:t>
      </w:r>
      <w:r>
        <w:rPr>
          <w:rFonts w:hint="eastAsia" w:ascii="仿宋_GB2312" w:hAnsi="宋体" w:eastAsia="仿宋_GB2312" w:cs="宋体"/>
          <w:color w:val="auto"/>
          <w:kern w:val="0"/>
          <w:sz w:val="32"/>
          <w:szCs w:val="32"/>
          <w:highlight w:val="none"/>
          <w:shd w:val="clear" w:color="auto" w:fill="auto"/>
        </w:rPr>
        <w:t>人，增加</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人；退休</w:t>
      </w:r>
      <w:r>
        <w:rPr>
          <w:rFonts w:hint="eastAsia" w:ascii="仿宋_GB2312" w:hAnsi="宋体" w:eastAsia="仿宋_GB2312" w:cs="宋体"/>
          <w:color w:val="auto"/>
          <w:kern w:val="0"/>
          <w:sz w:val="32"/>
          <w:szCs w:val="32"/>
          <w:highlight w:val="none"/>
          <w:shd w:val="clear" w:color="auto" w:fill="auto"/>
          <w:lang w:val="en-US" w:eastAsia="zh-CN"/>
        </w:rPr>
        <w:t>22</w:t>
      </w:r>
      <w:r>
        <w:rPr>
          <w:rFonts w:hint="eastAsia" w:ascii="仿宋_GB2312" w:hAnsi="宋体" w:eastAsia="仿宋_GB2312" w:cs="宋体"/>
          <w:color w:val="auto"/>
          <w:kern w:val="0"/>
          <w:sz w:val="32"/>
          <w:szCs w:val="32"/>
          <w:highlight w:val="none"/>
          <w:shd w:val="clear" w:color="auto" w:fill="auto"/>
        </w:rPr>
        <w:t>人，</w:t>
      </w:r>
      <w:r>
        <w:rPr>
          <w:rFonts w:hint="eastAsia" w:ascii="仿宋_GB2312" w:hAnsi="宋体" w:eastAsia="仿宋_GB2312" w:cs="宋体"/>
          <w:color w:val="auto"/>
          <w:kern w:val="0"/>
          <w:sz w:val="32"/>
          <w:szCs w:val="32"/>
          <w:highlight w:val="none"/>
          <w:shd w:val="clear" w:color="auto" w:fill="auto"/>
          <w:lang w:val="en-US" w:eastAsia="zh-CN"/>
        </w:rPr>
        <w:t>增加0人，离休0人，</w:t>
      </w:r>
      <w:r>
        <w:rPr>
          <w:rFonts w:hint="eastAsia" w:ascii="仿宋_GB2312" w:hAnsi="宋体" w:eastAsia="仿宋_GB2312" w:cs="宋体"/>
          <w:color w:val="auto"/>
          <w:kern w:val="0"/>
          <w:sz w:val="32"/>
          <w:szCs w:val="32"/>
          <w:highlight w:val="none"/>
          <w:shd w:val="clear" w:color="auto" w:fill="auto"/>
        </w:rPr>
        <w:t>减少</w:t>
      </w:r>
      <w:r>
        <w:rPr>
          <w:rFonts w:hint="eastAsia" w:ascii="仿宋_GB2312" w:hAnsi="宋体" w:eastAsia="仿宋_GB2312" w:cs="宋体"/>
          <w:color w:val="auto"/>
          <w:kern w:val="0"/>
          <w:sz w:val="32"/>
          <w:szCs w:val="32"/>
          <w:highlight w:val="none"/>
          <w:shd w:val="clear" w:color="auto" w:fill="auto"/>
          <w:lang w:val="en-US" w:eastAsia="zh-CN"/>
        </w:rPr>
        <w:t>1</w:t>
      </w:r>
      <w:r>
        <w:rPr>
          <w:rFonts w:hint="eastAsia" w:ascii="仿宋_GB2312" w:hAnsi="宋体" w:eastAsia="仿宋_GB2312" w:cs="宋体"/>
          <w:color w:val="auto"/>
          <w:kern w:val="0"/>
          <w:sz w:val="32"/>
          <w:szCs w:val="32"/>
          <w:highlight w:val="none"/>
          <w:shd w:val="clear" w:color="auto" w:fill="auto"/>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1171.51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756.51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700.09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56.42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950.43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59.65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64.22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415</w:t>
            </w:r>
            <w:r>
              <w:rPr>
                <w:rFonts w:hint="eastAsia" w:ascii="仿宋_GB2312" w:hAnsi="宋体" w:eastAsia="仿宋_GB2312" w:cs="宋体"/>
                <w:color w:val="auto"/>
                <w:kern w:val="0"/>
                <w:sz w:val="18"/>
                <w:szCs w:val="18"/>
                <w:highlight w:val="none"/>
                <w:lang w:val="en-US" w:eastAsia="zh-CN"/>
              </w:rPr>
              <w:t>.00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415.00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97.21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1171.51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rPr>
              <w:t>1171.51</w:t>
            </w:r>
            <w:r>
              <w:rPr>
                <w:rFonts w:hint="eastAsia" w:ascii="仿宋_GB2312" w:hAnsi="宋体" w:eastAsia="仿宋_GB2312" w:cs="宋体"/>
                <w:color w:val="auto"/>
                <w:kern w:val="0"/>
                <w:sz w:val="18"/>
                <w:szCs w:val="18"/>
                <w:highlight w:val="none"/>
              </w:rPr>
              <w:t>　</w:t>
            </w:r>
          </w:p>
        </w:tc>
      </w:tr>
    </w:tbl>
    <w:p>
      <w:pPr>
        <w:pStyle w:val="2"/>
        <w:jc w:val="both"/>
        <w:rPr>
          <w:rFonts w:hint="eastAsia"/>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单位：万元</w:t>
      </w:r>
    </w:p>
    <w:tbl>
      <w:tblPr>
        <w:tblStyle w:val="8"/>
        <w:tblW w:w="13717" w:type="dxa"/>
        <w:jc w:val="center"/>
        <w:tblLayout w:type="fixed"/>
        <w:tblCellMar>
          <w:top w:w="0" w:type="dxa"/>
          <w:left w:w="108" w:type="dxa"/>
          <w:bottom w:w="0" w:type="dxa"/>
          <w:right w:w="108" w:type="dxa"/>
        </w:tblCellMar>
      </w:tblPr>
      <w:tblGrid>
        <w:gridCol w:w="526"/>
        <w:gridCol w:w="480"/>
        <w:gridCol w:w="510"/>
        <w:gridCol w:w="1620"/>
        <w:gridCol w:w="1020"/>
        <w:gridCol w:w="930"/>
        <w:gridCol w:w="945"/>
        <w:gridCol w:w="917"/>
        <w:gridCol w:w="930"/>
        <w:gridCol w:w="1005"/>
        <w:gridCol w:w="855"/>
        <w:gridCol w:w="1005"/>
        <w:gridCol w:w="750"/>
        <w:gridCol w:w="825"/>
        <w:gridCol w:w="679"/>
        <w:gridCol w:w="720"/>
      </w:tblGrid>
      <w:tr>
        <w:tblPrEx>
          <w:tblCellMar>
            <w:top w:w="0" w:type="dxa"/>
            <w:left w:w="108" w:type="dxa"/>
            <w:bottom w:w="0" w:type="dxa"/>
            <w:right w:w="108" w:type="dxa"/>
          </w:tblCellMar>
        </w:tblPrEx>
        <w:trPr>
          <w:trHeight w:val="697" w:hRule="atLeast"/>
          <w:jc w:val="center"/>
        </w:trPr>
        <w:tc>
          <w:tcPr>
            <w:tcW w:w="151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6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58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7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2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7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299" w:hRule="atLeast"/>
          <w:jc w:val="center"/>
        </w:trPr>
        <w:tc>
          <w:tcPr>
            <w:tcW w:w="52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8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1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6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1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10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0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2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207　</w:t>
            </w:r>
          </w:p>
        </w:tc>
        <w:tc>
          <w:tcPr>
            <w:tcW w:w="48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1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62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文化旅游体育与传媒支出　</w:t>
            </w:r>
          </w:p>
        </w:tc>
        <w:tc>
          <w:tcPr>
            <w:tcW w:w="1020"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950.43</w:t>
            </w:r>
          </w:p>
        </w:tc>
        <w:tc>
          <w:tcPr>
            <w:tcW w:w="930"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625.43</w:t>
            </w:r>
          </w:p>
        </w:tc>
        <w:tc>
          <w:tcPr>
            <w:tcW w:w="945"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center"/>
              <w:rPr>
                <w:rFonts w:hint="default" w:ascii="仿宋" w:hAnsi="仿宋" w:eastAsia="仿宋" w:cs="仿宋"/>
                <w:color w:val="auto"/>
                <w:kern w:val="0"/>
                <w:sz w:val="18"/>
                <w:szCs w:val="18"/>
                <w:highlight w:val="none"/>
                <w:lang w:val="en-US"/>
              </w:rPr>
            </w:pPr>
            <w:r>
              <w:rPr>
                <w:rFonts w:hint="eastAsia" w:ascii="仿宋" w:hAnsi="仿宋" w:eastAsia="仿宋" w:cs="仿宋"/>
                <w:color w:val="auto"/>
                <w:kern w:val="0"/>
                <w:sz w:val="18"/>
                <w:szCs w:val="18"/>
                <w:highlight w:val="none"/>
                <w:lang w:val="en-US" w:eastAsia="zh-CN"/>
              </w:rPr>
              <w:t>569.01</w:t>
            </w:r>
          </w:p>
        </w:tc>
        <w:tc>
          <w:tcPr>
            <w:tcW w:w="917"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56.42</w:t>
            </w:r>
          </w:p>
        </w:tc>
        <w:tc>
          <w:tcPr>
            <w:tcW w:w="930"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55"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shd w:val="clear" w:color="000000" w:fill="FFFFFF"/>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shd w:val="clear" w:color="000000" w:fill="FFFFFF"/>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325.00</w:t>
            </w:r>
          </w:p>
        </w:tc>
        <w:tc>
          <w:tcPr>
            <w:tcW w:w="67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207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08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广播电视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950.43</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625.43</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 w:hAnsi="仿宋" w:eastAsia="仿宋" w:cs="仿宋"/>
                <w:color w:val="auto"/>
                <w:kern w:val="0"/>
                <w:sz w:val="18"/>
                <w:szCs w:val="18"/>
                <w:highlight w:val="none"/>
                <w:lang w:val="en-US"/>
              </w:rPr>
            </w:pPr>
            <w:r>
              <w:rPr>
                <w:rFonts w:hint="eastAsia" w:ascii="仿宋" w:hAnsi="仿宋" w:eastAsia="仿宋" w:cs="仿宋"/>
                <w:color w:val="auto"/>
                <w:kern w:val="0"/>
                <w:sz w:val="18"/>
                <w:szCs w:val="18"/>
                <w:highlight w:val="none"/>
                <w:lang w:val="en-US" w:eastAsia="zh-CN"/>
              </w:rPr>
              <w:t>569.01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56.42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325.00</w:t>
            </w:r>
          </w:p>
        </w:tc>
        <w:tc>
          <w:tcPr>
            <w:tcW w:w="679"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r>
      <w:tr>
        <w:tblPrEx>
          <w:tblCellMar>
            <w:top w:w="0" w:type="dxa"/>
            <w:left w:w="108" w:type="dxa"/>
            <w:bottom w:w="0" w:type="dxa"/>
            <w:right w:w="108" w:type="dxa"/>
          </w:tblCellMar>
        </w:tblPrEx>
        <w:trPr>
          <w:trHeight w:val="621"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207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08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08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广播电视事务</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844.01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544.01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544.01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300.00</w:t>
            </w:r>
          </w:p>
        </w:tc>
        <w:tc>
          <w:tcPr>
            <w:tcW w:w="679"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207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08　</w:t>
            </w:r>
          </w:p>
        </w:tc>
        <w:tc>
          <w:tcPr>
            <w:tcW w:w="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99</w:t>
            </w:r>
            <w:r>
              <w:rPr>
                <w:rFonts w:hint="eastAsia" w:ascii="仿宋" w:hAnsi="仿宋" w:eastAsia="仿宋" w:cs="仿宋"/>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其他广播电视支出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106.42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81.42</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 w:hAnsi="仿宋" w:eastAsia="仿宋" w:cs="仿宋"/>
                <w:color w:val="auto"/>
                <w:kern w:val="0"/>
                <w:sz w:val="18"/>
                <w:szCs w:val="18"/>
                <w:highlight w:val="none"/>
                <w:lang w:val="en-US"/>
              </w:rPr>
            </w:pPr>
            <w:r>
              <w:rPr>
                <w:rFonts w:hint="eastAsia" w:ascii="仿宋" w:hAnsi="仿宋" w:eastAsia="仿宋" w:cs="仿宋"/>
                <w:color w:val="auto"/>
                <w:kern w:val="0"/>
                <w:sz w:val="18"/>
                <w:szCs w:val="18"/>
                <w:highlight w:val="none"/>
                <w:lang w:val="en-US" w:eastAsia="zh-CN"/>
              </w:rPr>
              <w:t>25</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56.42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25.00</w:t>
            </w:r>
          </w:p>
        </w:tc>
        <w:tc>
          <w:tcPr>
            <w:tcW w:w="679"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208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社会保障和就业支出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59.65</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59.65</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59.65</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679"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208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05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行政事业单位养老支出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59.65</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59.65</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59.65</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679"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208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05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02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事业单位离退休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14.41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14.41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14.41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679"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208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05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05</w:t>
            </w:r>
            <w:r>
              <w:rPr>
                <w:rFonts w:hint="eastAsia" w:ascii="仿宋" w:hAnsi="仿宋" w:eastAsia="仿宋" w:cs="仿宋"/>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机关事业单位基本养老保险缴费支出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45.25</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45.25</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45.25</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p>
        </w:tc>
        <w:tc>
          <w:tcPr>
            <w:tcW w:w="679"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r>
      <w:tr>
        <w:tblPrEx>
          <w:tblCellMar>
            <w:top w:w="0" w:type="dxa"/>
            <w:left w:w="108" w:type="dxa"/>
            <w:bottom w:w="0" w:type="dxa"/>
            <w:right w:w="108" w:type="dxa"/>
          </w:tblCellMar>
        </w:tblPrEx>
        <w:trPr>
          <w:trHeight w:val="697" w:hRule="atLeast"/>
          <w:jc w:val="center"/>
        </w:trPr>
        <w:tc>
          <w:tcPr>
            <w:tcW w:w="151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6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58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7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2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7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299" w:hRule="atLeast"/>
          <w:jc w:val="center"/>
        </w:trPr>
        <w:tc>
          <w:tcPr>
            <w:tcW w:w="52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8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1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6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2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1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10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0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5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25"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210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卫生健康支出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64.22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34.22</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34.22</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210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行政事业单位医疗</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64.22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34.22</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34.22</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210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02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事业单位医疗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37.62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22.62</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22.62</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15.00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210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03</w:t>
            </w:r>
            <w:r>
              <w:rPr>
                <w:rFonts w:hint="eastAsia" w:ascii="仿宋" w:hAnsi="仿宋" w:eastAsia="仿宋" w:cs="仿宋"/>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公务员医疗补助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21.31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11.31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11.31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210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99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其他行政事业单位医疗支出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5.28</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0.28</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0.28</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221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住房保障支出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97.21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37.21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37.21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221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02</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住房改革支出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97.21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37.21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37.21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221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02</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01</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住房公积金</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97.21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37.21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37.21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合  计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1171.51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756.51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700.09</w:t>
            </w:r>
          </w:p>
        </w:tc>
        <w:tc>
          <w:tcPr>
            <w:tcW w:w="9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56.42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415.00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pStyle w:val="2"/>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单位：万元</w:t>
      </w:r>
    </w:p>
    <w:tbl>
      <w:tblPr>
        <w:tblStyle w:val="8"/>
        <w:tblW w:w="9439" w:type="dxa"/>
        <w:tblInd w:w="-240" w:type="dxa"/>
        <w:tblLayout w:type="fixed"/>
        <w:tblCellMar>
          <w:top w:w="0" w:type="dxa"/>
          <w:left w:w="108" w:type="dxa"/>
          <w:bottom w:w="0" w:type="dxa"/>
          <w:right w:w="108" w:type="dxa"/>
        </w:tblCellMar>
      </w:tblPr>
      <w:tblGrid>
        <w:gridCol w:w="541"/>
        <w:gridCol w:w="496"/>
        <w:gridCol w:w="571"/>
        <w:gridCol w:w="3127"/>
        <w:gridCol w:w="1292"/>
        <w:gridCol w:w="1773"/>
        <w:gridCol w:w="1639"/>
      </w:tblGrid>
      <w:tr>
        <w:tblPrEx>
          <w:tblCellMar>
            <w:top w:w="0" w:type="dxa"/>
            <w:left w:w="108" w:type="dxa"/>
            <w:bottom w:w="0" w:type="dxa"/>
            <w:right w:w="108" w:type="dxa"/>
          </w:tblCellMar>
        </w:tblPrEx>
        <w:trPr>
          <w:trHeight w:val="414" w:hRule="atLeast"/>
        </w:trPr>
        <w:tc>
          <w:tcPr>
            <w:tcW w:w="473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704"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699" w:hRule="atLeast"/>
        </w:trPr>
        <w:tc>
          <w:tcPr>
            <w:tcW w:w="160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12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29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7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3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355" w:hRule="atLeast"/>
        </w:trPr>
        <w:tc>
          <w:tcPr>
            <w:tcW w:w="54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9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12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29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7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3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207</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文化旅游体育与传媒支出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950.43</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694.01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256.42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207</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08</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广播电视</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950.43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694.01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256.42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207</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08</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08</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广播电视事务</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844.01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694.01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val="en-US" w:eastAsia="zh-CN"/>
              </w:rPr>
              <w:t>150</w:t>
            </w:r>
            <w:r>
              <w:rPr>
                <w:rFonts w:hint="eastAsia" w:ascii="仿宋_GB2312" w:eastAsia="仿宋_GB2312" w:cs="Times New Roman"/>
                <w:color w:val="auto"/>
                <w:sz w:val="20"/>
                <w:szCs w:val="20"/>
                <w:highlight w:val="none"/>
                <w:lang w:val="en-US" w:eastAsia="zh-CN"/>
              </w:rPr>
              <w:t>.00</w:t>
            </w:r>
            <w:r>
              <w:rPr>
                <w:rFonts w:hint="eastAsia" w:ascii="仿宋_GB2312" w:hAnsi="Times New Roman" w:eastAsia="仿宋_GB2312" w:cs="Times New Roman"/>
                <w:color w:val="auto"/>
                <w:sz w:val="20"/>
                <w:szCs w:val="20"/>
                <w:highlight w:val="none"/>
                <w:lang w:eastAsia="zh-CN"/>
              </w:rPr>
              <w:t>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207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08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val="en-US" w:eastAsia="zh-CN"/>
              </w:rPr>
              <w:t>99</w:t>
            </w: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其他广播电视支出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106.42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106.42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208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社会保障和就业支出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59.65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59.65</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685"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208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05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行政事业单位养老支出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59.65</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59.65　</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208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05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02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事业单位离退休</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14.41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14.41　</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647"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208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05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val="en-US" w:eastAsia="zh-CN"/>
              </w:rPr>
              <w:t>05</w:t>
            </w: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机关事业单位基本养老保险缴费支出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45.25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45.25　</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210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卫生健康支出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64.22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64.22　</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210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11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行政事业单位医疗</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64.22</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64.22</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210</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11</w:t>
            </w:r>
          </w:p>
        </w:tc>
        <w:tc>
          <w:tcPr>
            <w:tcW w:w="571"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02</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事业单位医疗</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37.62</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37.62</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210</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11</w:t>
            </w:r>
          </w:p>
        </w:tc>
        <w:tc>
          <w:tcPr>
            <w:tcW w:w="571"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03</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公务员医疗补助</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21.31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21.31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210</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11</w:t>
            </w:r>
          </w:p>
        </w:tc>
        <w:tc>
          <w:tcPr>
            <w:tcW w:w="571"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99</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其他行政事业单位医疗支出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5.28</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5.28</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221</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住房保障支出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221</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02</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住房改革支出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221</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02</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01</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住房公积金</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312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21" w:hRule="atLeast"/>
        </w:trPr>
        <w:tc>
          <w:tcPr>
            <w:tcW w:w="54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16"/>
                <w:szCs w:val="16"/>
                <w:highlight w:val="none"/>
              </w:rPr>
            </w:pPr>
            <w:r>
              <w:rPr>
                <w:rFonts w:hint="eastAsia" w:ascii="宋体" w:hAnsi="宋体" w:cs="宋体"/>
                <w:color w:val="auto"/>
                <w:kern w:val="0"/>
                <w:sz w:val="22"/>
                <w:szCs w:val="22"/>
                <w:highlight w:val="none"/>
              </w:rPr>
              <w:t>　</w:t>
            </w:r>
          </w:p>
        </w:tc>
        <w:tc>
          <w:tcPr>
            <w:tcW w:w="496"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16"/>
                <w:szCs w:val="16"/>
                <w:highlight w:val="none"/>
              </w:rPr>
            </w:pPr>
            <w:r>
              <w:rPr>
                <w:rFonts w:hint="eastAsia" w:ascii="宋体" w:hAnsi="宋体" w:cs="宋体"/>
                <w:color w:val="auto"/>
                <w:kern w:val="0"/>
                <w:sz w:val="22"/>
                <w:szCs w:val="22"/>
                <w:highlight w:val="none"/>
              </w:rPr>
              <w:t>　</w:t>
            </w:r>
          </w:p>
        </w:tc>
        <w:tc>
          <w:tcPr>
            <w:tcW w:w="57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16"/>
                <w:szCs w:val="16"/>
                <w:highlight w:val="none"/>
              </w:rPr>
            </w:pPr>
            <w:r>
              <w:rPr>
                <w:rFonts w:hint="eastAsia" w:ascii="宋体" w:hAnsi="宋体" w:cs="宋体"/>
                <w:color w:val="auto"/>
                <w:kern w:val="0"/>
                <w:sz w:val="24"/>
                <w:highlight w:val="none"/>
              </w:rPr>
              <w:t>　</w:t>
            </w:r>
          </w:p>
        </w:tc>
        <w:tc>
          <w:tcPr>
            <w:tcW w:w="31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1171.51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915.09</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256.42</w:t>
            </w:r>
          </w:p>
        </w:tc>
      </w:tr>
    </w:tbl>
    <w:p>
      <w:pPr>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呼图壁县融媒体中心</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1035"/>
        <w:gridCol w:w="1072"/>
        <w:gridCol w:w="956"/>
        <w:gridCol w:w="956"/>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0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95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95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756.51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756.51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625.43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625.43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59.65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59.65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34.22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34.22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37.21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37.21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756.51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756.51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756.51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bl>
    <w:p>
      <w:pPr>
        <w:rPr>
          <w:rFonts w:hint="default"/>
          <w:lang w:val="en-US" w:eastAsia="zh-CN"/>
        </w:rPr>
      </w:pPr>
    </w:p>
    <w:p>
      <w:pPr>
        <w:pStyle w:val="2"/>
        <w:jc w:val="both"/>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574"/>
        <w:gridCol w:w="495"/>
        <w:gridCol w:w="570"/>
        <w:gridCol w:w="3008"/>
        <w:gridCol w:w="236"/>
        <w:gridCol w:w="1196"/>
        <w:gridCol w:w="44"/>
        <w:gridCol w:w="1666"/>
        <w:gridCol w:w="1425"/>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647"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呼图壁县融媒体中心</w:t>
            </w:r>
          </w:p>
        </w:tc>
        <w:tc>
          <w:tcPr>
            <w:tcW w:w="23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091" w:type="dxa"/>
            <w:gridSpan w:val="2"/>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64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56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63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00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3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1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2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00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3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1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2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207</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文化旅游体育与传媒支出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625.43</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544.01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81.42</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08</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广播电视</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625.43</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544.01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81.42</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08</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广播电视事务</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544.01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544.01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08</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其他广播电视支出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5"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社会保障和就业支出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59.65</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59.65</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行政事业单位养老支出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59.65</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59.65</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事业单位离退休</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14.41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05</w:t>
            </w: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45.25</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45.25</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卫生健康支出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34.22</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34.22</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行政事业单位医疗</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34.22</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34.22</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02</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事业单位医疗</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22.62</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22.62</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03</w:t>
            </w: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公</w:t>
            </w:r>
            <w:r>
              <w:rPr>
                <w:rFonts w:hint="eastAsia" w:ascii="仿宋_GB2312" w:hAnsi="宋体" w:eastAsia="仿宋_GB2312" w:cs="宋体"/>
                <w:color w:val="auto"/>
                <w:kern w:val="0"/>
                <w:sz w:val="18"/>
                <w:szCs w:val="18"/>
                <w:highlight w:val="none"/>
              </w:rPr>
              <w:t>务员医疗补助</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11.31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11.31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其他行政事业单位医疗支出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0.28</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0.28</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住房保障支出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住房改革支出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300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756.51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675.09</w:t>
            </w:r>
          </w:p>
        </w:tc>
        <w:tc>
          <w:tcPr>
            <w:tcW w:w="1425"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ascii="宋体" w:hAnsi="宋体" w:cs="宋体"/>
                <w:b/>
                <w:bCs/>
                <w:color w:val="auto"/>
                <w:kern w:val="0"/>
                <w:sz w:val="20"/>
                <w:szCs w:val="20"/>
                <w:highlight w:val="none"/>
              </w:rPr>
            </w:pPr>
            <w:r>
              <w:rPr>
                <w:rFonts w:hint="eastAsia" w:ascii="仿宋_GB2312" w:hAnsi="宋体" w:eastAsia="仿宋_GB2312" w:cs="宋体"/>
                <w:color w:val="auto"/>
                <w:kern w:val="0"/>
                <w:sz w:val="18"/>
                <w:szCs w:val="18"/>
                <w:highlight w:val="none"/>
              </w:rPr>
              <w:t>81.42</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420" w:type="dxa"/>
        <w:tblInd w:w="-148" w:type="dxa"/>
        <w:tblLayout w:type="fixed"/>
        <w:tblCellMar>
          <w:top w:w="0" w:type="dxa"/>
          <w:left w:w="108" w:type="dxa"/>
          <w:bottom w:w="0" w:type="dxa"/>
          <w:right w:w="108" w:type="dxa"/>
        </w:tblCellMar>
      </w:tblPr>
      <w:tblGrid>
        <w:gridCol w:w="763"/>
        <w:gridCol w:w="583"/>
        <w:gridCol w:w="3408"/>
        <w:gridCol w:w="516"/>
        <w:gridCol w:w="1104"/>
        <w:gridCol w:w="594"/>
        <w:gridCol w:w="1026"/>
        <w:gridCol w:w="1426"/>
      </w:tblGrid>
      <w:tr>
        <w:tblPrEx>
          <w:tblCellMar>
            <w:top w:w="0" w:type="dxa"/>
            <w:left w:w="108" w:type="dxa"/>
            <w:bottom w:w="0" w:type="dxa"/>
            <w:right w:w="108" w:type="dxa"/>
          </w:tblCellMar>
        </w:tblPrEx>
        <w:trPr>
          <w:trHeight w:val="473" w:hRule="atLeast"/>
        </w:trPr>
        <w:tc>
          <w:tcPr>
            <w:tcW w:w="9420"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354" w:hRule="atLeast"/>
        </w:trPr>
        <w:tc>
          <w:tcPr>
            <w:tcW w:w="4754" w:type="dxa"/>
            <w:gridSpan w:val="3"/>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呼图壁县融媒体中心</w:t>
            </w:r>
          </w:p>
        </w:tc>
        <w:tc>
          <w:tcPr>
            <w:tcW w:w="51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98"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52"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66" w:hRule="atLeast"/>
        </w:trPr>
        <w:tc>
          <w:tcPr>
            <w:tcW w:w="4754"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666"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602" w:hRule="atLeast"/>
        </w:trPr>
        <w:tc>
          <w:tcPr>
            <w:tcW w:w="1346"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40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2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2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42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306" w:hRule="atLeast"/>
        </w:trPr>
        <w:tc>
          <w:tcPr>
            <w:tcW w:w="763"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8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40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2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2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426"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工资福利支出</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636.9</w:t>
            </w:r>
            <w:r>
              <w:rPr>
                <w:rFonts w:hint="eastAsia" w:ascii="仿宋_GB2312" w:hAnsi="宋体" w:eastAsia="仿宋_GB2312" w:cs="宋体"/>
                <w:color w:val="auto"/>
                <w:kern w:val="0"/>
                <w:sz w:val="18"/>
                <w:szCs w:val="18"/>
                <w:highlight w:val="none"/>
                <w:lang w:val="en-US" w:eastAsia="zh-CN"/>
              </w:rPr>
              <w:t>0</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636.9</w:t>
            </w:r>
            <w:r>
              <w:rPr>
                <w:rFonts w:hint="eastAsia" w:ascii="仿宋_GB2312" w:hAnsi="宋体" w:eastAsia="仿宋_GB2312" w:cs="宋体"/>
                <w:color w:val="auto"/>
                <w:kern w:val="0"/>
                <w:sz w:val="18"/>
                <w:szCs w:val="18"/>
                <w:highlight w:val="none"/>
                <w:lang w:val="en-US" w:eastAsia="zh-CN"/>
              </w:rPr>
              <w:t>0</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01</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基本工资</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118.61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118.61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02</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津贴补贴</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33.85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33.85</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03</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奖金</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86.44</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86.44</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07</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绩效工资</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71.18</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71.18</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08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机关事业单位基本养老保险缴费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45.25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45.25</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职工基本医疗保险缴费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22.62</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22.62</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公务员医疗补助缴费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11.31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11.31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12</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其他社会保障缴费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2.83</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2.83</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13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住房公积金</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其他工资福利支出</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207.61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207.61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商品和服务支出</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22.85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22.85</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办公费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2.3</w:t>
            </w:r>
            <w:r>
              <w:rPr>
                <w:rFonts w:hint="eastAsia" w:ascii="仿宋_GB2312" w:hAnsi="宋体" w:eastAsia="仿宋_GB2312" w:cs="宋体"/>
                <w:color w:val="auto"/>
                <w:kern w:val="0"/>
                <w:sz w:val="18"/>
                <w:szCs w:val="18"/>
                <w:highlight w:val="none"/>
                <w:lang w:val="en-US" w:eastAsia="zh-CN"/>
              </w:rPr>
              <w:t>0</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2.3</w:t>
            </w:r>
            <w:r>
              <w:rPr>
                <w:rFonts w:hint="eastAsia" w:ascii="仿宋_GB2312" w:hAnsi="宋体" w:eastAsia="仿宋_GB2312" w:cs="宋体"/>
                <w:color w:val="auto"/>
                <w:kern w:val="0"/>
                <w:sz w:val="18"/>
                <w:szCs w:val="18"/>
                <w:highlight w:val="none"/>
                <w:lang w:val="en-US" w:eastAsia="zh-CN"/>
              </w:rPr>
              <w:t>0</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w:t>
            </w:r>
            <w:r>
              <w:rPr>
                <w:rFonts w:hint="eastAsia" w:ascii="仿宋_GB2312" w:hAnsi="宋体" w:eastAsia="仿宋_GB2312" w:cs="宋体"/>
                <w:color w:val="auto"/>
                <w:kern w:val="0"/>
                <w:sz w:val="18"/>
                <w:szCs w:val="18"/>
                <w:highlight w:val="none"/>
                <w:lang w:val="en-US" w:eastAsia="zh-CN"/>
              </w:rPr>
              <w:t>2</w:t>
            </w:r>
            <w:r>
              <w:rPr>
                <w:rFonts w:hint="eastAsia" w:ascii="仿宋_GB2312" w:hAnsi="宋体" w:eastAsia="仿宋_GB2312" w:cs="宋体"/>
                <w:color w:val="auto"/>
                <w:kern w:val="0"/>
                <w:sz w:val="18"/>
                <w:szCs w:val="18"/>
                <w:highlight w:val="none"/>
              </w:rPr>
              <w:t>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印刷费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0.25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0.25</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rPr>
              <w:t>0</w:t>
            </w:r>
            <w:r>
              <w:rPr>
                <w:rFonts w:hint="eastAsia" w:ascii="仿宋_GB2312" w:hAnsi="宋体" w:eastAsia="仿宋_GB2312" w:cs="宋体"/>
                <w:color w:val="auto"/>
                <w:kern w:val="0"/>
                <w:sz w:val="18"/>
                <w:szCs w:val="18"/>
                <w:highlight w:val="none"/>
                <w:lang w:val="en-US" w:eastAsia="zh-CN"/>
              </w:rPr>
              <w:t>4</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手续费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0.03</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0.03</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水费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0.05</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06</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电费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0.36</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0.36</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rPr>
              <w:t>0</w:t>
            </w:r>
            <w:r>
              <w:rPr>
                <w:rFonts w:hint="eastAsia" w:ascii="仿宋_GB2312" w:hAnsi="宋体" w:eastAsia="仿宋_GB2312" w:cs="宋体"/>
                <w:color w:val="auto"/>
                <w:kern w:val="0"/>
                <w:sz w:val="18"/>
                <w:szCs w:val="18"/>
                <w:highlight w:val="none"/>
                <w:lang w:val="en-US" w:eastAsia="zh-CN"/>
              </w:rPr>
              <w:t>7</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邮电费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0.85</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取暖费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12.64</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12.64</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rPr>
              <w:t>0</w:t>
            </w:r>
            <w:r>
              <w:rPr>
                <w:rFonts w:hint="eastAsia" w:ascii="仿宋_GB2312" w:hAnsi="宋体" w:eastAsia="仿宋_GB2312" w:cs="宋体"/>
                <w:color w:val="auto"/>
                <w:kern w:val="0"/>
                <w:sz w:val="18"/>
                <w:szCs w:val="18"/>
                <w:highlight w:val="none"/>
                <w:lang w:val="en-US" w:eastAsia="zh-CN"/>
              </w:rPr>
              <w:t>9</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物业管理费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0.11</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差旅费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0.4</w:t>
            </w:r>
            <w:r>
              <w:rPr>
                <w:rFonts w:hint="eastAsia" w:ascii="仿宋_GB2312" w:hAnsi="宋体" w:eastAsia="仿宋_GB2312" w:cs="宋体"/>
                <w:color w:val="auto"/>
                <w:kern w:val="0"/>
                <w:sz w:val="18"/>
                <w:szCs w:val="18"/>
                <w:highlight w:val="none"/>
                <w:lang w:val="en-US" w:eastAsia="zh-CN"/>
              </w:rPr>
              <w:t>0</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0.4</w:t>
            </w:r>
            <w:r>
              <w:rPr>
                <w:rFonts w:hint="eastAsia" w:ascii="仿宋_GB2312" w:hAnsi="宋体" w:eastAsia="仿宋_GB2312" w:cs="宋体"/>
                <w:color w:val="auto"/>
                <w:kern w:val="0"/>
                <w:sz w:val="18"/>
                <w:szCs w:val="18"/>
                <w:highlight w:val="none"/>
                <w:lang w:val="en-US" w:eastAsia="zh-CN"/>
              </w:rPr>
              <w:t>0</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维修（护）费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0.3</w:t>
            </w:r>
            <w:r>
              <w:rPr>
                <w:rFonts w:hint="eastAsia" w:ascii="仿宋_GB2312" w:hAnsi="宋体" w:eastAsia="仿宋_GB2312" w:cs="宋体"/>
                <w:color w:val="auto"/>
                <w:kern w:val="0"/>
                <w:sz w:val="18"/>
                <w:szCs w:val="18"/>
                <w:highlight w:val="none"/>
                <w:lang w:val="en-US" w:eastAsia="zh-CN"/>
              </w:rPr>
              <w:t>0</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0.3</w:t>
            </w:r>
            <w:r>
              <w:rPr>
                <w:rFonts w:hint="eastAsia" w:ascii="仿宋_GB2312" w:hAnsi="宋体" w:eastAsia="仿宋_GB2312" w:cs="宋体"/>
                <w:color w:val="auto"/>
                <w:kern w:val="0"/>
                <w:sz w:val="18"/>
                <w:szCs w:val="18"/>
                <w:highlight w:val="none"/>
                <w:lang w:val="en-US" w:eastAsia="zh-CN"/>
              </w:rPr>
              <w:t>0</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公务接待费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工会经费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5.46</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5.46</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对个人和家庭的补助</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15.34</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15.34</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退休费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生活补助</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09</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奖励金</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0.93</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0.93</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42" w:hRule="atLeast"/>
        </w:trPr>
        <w:tc>
          <w:tcPr>
            <w:tcW w:w="763"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0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675.09</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652.24</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22.85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13946" w:type="dxa"/>
        <w:tblInd w:w="-612" w:type="dxa"/>
        <w:tblLayout w:type="fixed"/>
        <w:tblCellMar>
          <w:top w:w="0" w:type="dxa"/>
          <w:left w:w="108" w:type="dxa"/>
          <w:bottom w:w="0" w:type="dxa"/>
          <w:right w:w="108" w:type="dxa"/>
        </w:tblCellMar>
      </w:tblPr>
      <w:tblGrid>
        <w:gridCol w:w="675"/>
        <w:gridCol w:w="615"/>
        <w:gridCol w:w="645"/>
        <w:gridCol w:w="1410"/>
        <w:gridCol w:w="2145"/>
        <w:gridCol w:w="855"/>
        <w:gridCol w:w="758"/>
        <w:gridCol w:w="952"/>
        <w:gridCol w:w="726"/>
        <w:gridCol w:w="917"/>
        <w:gridCol w:w="581"/>
        <w:gridCol w:w="306"/>
        <w:gridCol w:w="601"/>
        <w:gridCol w:w="887"/>
        <w:gridCol w:w="603"/>
        <w:gridCol w:w="603"/>
        <w:gridCol w:w="561"/>
        <w:gridCol w:w="106"/>
      </w:tblGrid>
      <w:tr>
        <w:tblPrEx>
          <w:tblCellMar>
            <w:top w:w="0" w:type="dxa"/>
            <w:left w:w="108" w:type="dxa"/>
            <w:bottom w:w="0" w:type="dxa"/>
            <w:right w:w="108" w:type="dxa"/>
          </w:tblCellMar>
        </w:tblPrEx>
        <w:trPr>
          <w:gridAfter w:val="1"/>
          <w:wAfter w:w="106" w:type="dxa"/>
          <w:trHeight w:val="405" w:hRule="atLeast"/>
        </w:trPr>
        <w:tc>
          <w:tcPr>
            <w:tcW w:w="13840"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106" w:type="dxa"/>
          <w:trHeight w:val="395" w:hRule="atLeast"/>
        </w:trPr>
        <w:tc>
          <w:tcPr>
            <w:tcW w:w="6345" w:type="dxa"/>
            <w:gridSpan w:val="6"/>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呼图壁县融媒体中心</w:t>
            </w:r>
          </w:p>
        </w:tc>
        <w:tc>
          <w:tcPr>
            <w:tcW w:w="171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222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561"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35"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41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14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5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5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95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2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9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88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0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88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60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0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6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trPr>
        <w:tc>
          <w:tcPr>
            <w:tcW w:w="675" w:type="dxa"/>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615" w:type="dxa"/>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645" w:type="dxa"/>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410" w:type="dxa"/>
            <w:vMerge w:val="continue"/>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p>
        </w:tc>
        <w:tc>
          <w:tcPr>
            <w:tcW w:w="2145"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758"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952"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726"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917"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887" w:type="dxa"/>
            <w:gridSpan w:val="2"/>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601"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887"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603"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603"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667" w:type="dxa"/>
            <w:gridSpan w:val="2"/>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lang w:eastAsia="zh-Hans"/>
              </w:rPr>
            </w:pP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1410" w:type="dxa"/>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文化旅游体育与传媒支出</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855"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1410"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广播电视</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855"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1410"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其他广播电视支出</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石榴云融媒体技术平台运维服务年费(非定额)</w:t>
            </w:r>
          </w:p>
        </w:tc>
        <w:tc>
          <w:tcPr>
            <w:tcW w:w="855" w:type="dxa"/>
            <w:noWrap w:val="0"/>
            <w:vAlign w:val="center"/>
          </w:tcPr>
          <w:p>
            <w:pPr>
              <w:widowControl/>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25</w:t>
            </w:r>
            <w:r>
              <w:rPr>
                <w:rFonts w:hint="eastAsia" w:ascii="仿宋_GB2312" w:hAnsi="宋体" w:eastAsia="仿宋_GB2312" w:cs="宋体"/>
                <w:color w:val="auto"/>
                <w:kern w:val="0"/>
                <w:sz w:val="18"/>
                <w:szCs w:val="18"/>
                <w:highlight w:val="none"/>
                <w:lang w:val="en-US" w:eastAsia="zh-CN"/>
              </w:rPr>
              <w:t>.00</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25.00</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1410"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其他广播电视支出</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2025年中央补助地方公共文化服务体系建设补助资金</w:t>
            </w:r>
          </w:p>
        </w:tc>
        <w:tc>
          <w:tcPr>
            <w:tcW w:w="855"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31.2</w:t>
            </w:r>
            <w:r>
              <w:rPr>
                <w:rFonts w:hint="eastAsia" w:ascii="仿宋_GB2312" w:hAnsi="宋体" w:eastAsia="仿宋_GB2312" w:cs="宋体"/>
                <w:color w:val="auto"/>
                <w:kern w:val="0"/>
                <w:sz w:val="18"/>
                <w:szCs w:val="18"/>
                <w:highlight w:val="none"/>
                <w:lang w:val="en-US" w:eastAsia="zh-CN"/>
              </w:rPr>
              <w:t>0</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31.2</w:t>
            </w:r>
            <w:r>
              <w:rPr>
                <w:rFonts w:hint="eastAsia" w:ascii="仿宋_GB2312" w:hAnsi="宋体" w:eastAsia="仿宋_GB2312" w:cs="宋体"/>
                <w:color w:val="auto"/>
                <w:kern w:val="0"/>
                <w:sz w:val="18"/>
                <w:szCs w:val="18"/>
                <w:highlight w:val="none"/>
                <w:lang w:val="en-US" w:eastAsia="zh-CN"/>
              </w:rPr>
              <w:t>0</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1410"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其他广播电视支出</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2025年自治区广播电视节目无线覆盖运行维护经费</w:t>
            </w:r>
          </w:p>
        </w:tc>
        <w:tc>
          <w:tcPr>
            <w:tcW w:w="855" w:type="dxa"/>
            <w:noWrap w:val="0"/>
            <w:vAlign w:val="center"/>
          </w:tcPr>
          <w:p>
            <w:pPr>
              <w:widowControl/>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22</w:t>
            </w:r>
            <w:r>
              <w:rPr>
                <w:rFonts w:hint="eastAsia" w:ascii="仿宋_GB2312" w:hAnsi="宋体" w:eastAsia="仿宋_GB2312" w:cs="宋体"/>
                <w:color w:val="auto"/>
                <w:kern w:val="0"/>
                <w:sz w:val="18"/>
                <w:szCs w:val="18"/>
                <w:highlight w:val="none"/>
                <w:lang w:val="en-US" w:eastAsia="zh-CN"/>
              </w:rPr>
              <w:t>.00</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22</w:t>
            </w:r>
            <w:r>
              <w:rPr>
                <w:rFonts w:hint="eastAsia" w:ascii="仿宋_GB2312" w:hAnsi="宋体" w:eastAsia="仿宋_GB2312" w:cs="宋体"/>
                <w:color w:val="auto"/>
                <w:kern w:val="0"/>
                <w:sz w:val="18"/>
                <w:szCs w:val="18"/>
                <w:highlight w:val="none"/>
                <w:lang w:val="en-US" w:eastAsia="zh-CN"/>
              </w:rPr>
              <w:t>.00</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1410"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其他广播电视支出</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2025年少数民族地区和边疆地区文化安全补助资金</w:t>
            </w:r>
          </w:p>
        </w:tc>
        <w:tc>
          <w:tcPr>
            <w:tcW w:w="855"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3.22</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3.22</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1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141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2145" w:type="dxa"/>
            <w:noWrap w:val="0"/>
            <w:vAlign w:val="center"/>
          </w:tcPr>
          <w:p>
            <w:pPr>
              <w:widowControl/>
              <w:jc w:val="center"/>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55"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81.42</w:t>
            </w:r>
          </w:p>
        </w:tc>
        <w:tc>
          <w:tcPr>
            <w:tcW w:w="758" w:type="dxa"/>
            <w:noWrap w:val="0"/>
            <w:vAlign w:val="center"/>
          </w:tcPr>
          <w:p>
            <w:pPr>
              <w:widowControl/>
              <w:spacing w:line="280" w:lineRule="exact"/>
              <w:ind w:firstLine="181" w:firstLineChars="100"/>
              <w:jc w:val="center"/>
              <w:rPr>
                <w:rFonts w:hint="eastAsia" w:ascii="仿宋_GB2312" w:hAnsi="宋体" w:eastAsia="仿宋_GB2312" w:cs="宋体"/>
                <w:b/>
                <w:bCs/>
                <w:color w:val="auto"/>
                <w:kern w:val="0"/>
                <w:sz w:val="18"/>
                <w:szCs w:val="18"/>
                <w:highlight w:val="none"/>
              </w:rPr>
            </w:pPr>
          </w:p>
        </w:tc>
        <w:tc>
          <w:tcPr>
            <w:tcW w:w="95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81.42</w:t>
            </w:r>
          </w:p>
        </w:tc>
        <w:tc>
          <w:tcPr>
            <w:tcW w:w="726" w:type="dxa"/>
            <w:noWrap w:val="0"/>
            <w:vAlign w:val="center"/>
          </w:tcPr>
          <w:p>
            <w:pPr>
              <w:widowControl/>
              <w:jc w:val="center"/>
              <w:outlineLvl w:val="1"/>
              <w:rPr>
                <w:rFonts w:ascii="仿宋_GB2312" w:hAnsi="宋体" w:eastAsia="仿宋_GB2312"/>
                <w:b/>
                <w:bCs/>
                <w:color w:val="auto"/>
                <w:kern w:val="0"/>
                <w:sz w:val="32"/>
                <w:szCs w:val="32"/>
                <w:highlight w:val="none"/>
              </w:rPr>
            </w:pPr>
          </w:p>
        </w:tc>
        <w:tc>
          <w:tcPr>
            <w:tcW w:w="91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887"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60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88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03"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03"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67"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备注：呼图壁县融媒体中心</w:t>
      </w:r>
      <w:r>
        <w:rPr>
          <w:rFonts w:hint="eastAsia" w:ascii="仿宋" w:hAnsi="仿宋" w:eastAsia="仿宋" w:cs="仿宋"/>
          <w:sz w:val="28"/>
          <w:szCs w:val="28"/>
        </w:rPr>
        <w:t>2025年没有使用</w:t>
      </w:r>
      <w:r>
        <w:rPr>
          <w:rFonts w:hint="eastAsia" w:ascii="仿宋" w:hAnsi="仿宋" w:eastAsia="仿宋" w:cs="仿宋"/>
          <w:sz w:val="28"/>
          <w:szCs w:val="28"/>
          <w:lang w:val="en-US" w:eastAsia="zh-CN"/>
        </w:rPr>
        <w:t>政府性基金预算</w:t>
      </w:r>
      <w:r>
        <w:rPr>
          <w:rFonts w:hint="eastAsia" w:ascii="仿宋" w:hAnsi="仿宋" w:eastAsia="仿宋" w:cs="仿宋"/>
          <w:sz w:val="28"/>
          <w:szCs w:val="28"/>
        </w:rPr>
        <w:t>支出，</w:t>
      </w:r>
      <w:r>
        <w:rPr>
          <w:rFonts w:hint="eastAsia" w:ascii="仿宋" w:hAnsi="仿宋" w:eastAsia="仿宋" w:cs="仿宋"/>
          <w:sz w:val="28"/>
          <w:szCs w:val="28"/>
          <w:lang w:val="en-US" w:eastAsia="zh-CN"/>
        </w:rPr>
        <w:t>政府性基金预算支出</w:t>
      </w:r>
      <w:r>
        <w:rPr>
          <w:rFonts w:hint="eastAsia" w:ascii="仿宋" w:hAnsi="仿宋" w:eastAsia="仿宋" w:cs="仿宋"/>
          <w:sz w:val="28"/>
          <w:szCs w:val="28"/>
        </w:rPr>
        <w:t>情况表为空表</w:t>
      </w:r>
      <w:r>
        <w:rPr>
          <w:rFonts w:hint="eastAsia" w:ascii="仿宋" w:hAnsi="仿宋" w:eastAsia="仿宋" w:cs="仿宋"/>
          <w:sz w:val="28"/>
          <w:szCs w:val="28"/>
          <w:lang w:eastAsia="zh-CN"/>
        </w:rPr>
        <w:t>。</w:t>
      </w: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备注：呼图壁县融媒体中心2025年没有使用国有资本经营预算支出，国有资本经营预算支出情况表为空表。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单位：万元</w:t>
      </w:r>
    </w:p>
    <w:tbl>
      <w:tblPr>
        <w:tblStyle w:val="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lang w:val="en-US" w:eastAsia="zh-CN"/>
              </w:rPr>
            </w:pPr>
            <w:r>
              <w:rPr>
                <w:rFonts w:hint="eastAsia" w:ascii="仿宋_GB2312" w:hAnsi="宋体" w:eastAsia="仿宋_GB2312"/>
                <w:b/>
                <w:color w:val="auto"/>
                <w:kern w:val="0"/>
                <w:sz w:val="20"/>
                <w:szCs w:val="20"/>
                <w:highlight w:val="none"/>
                <w:vertAlign w:val="baseline"/>
              </w:rPr>
              <w:t>0.1</w:t>
            </w:r>
            <w:r>
              <w:rPr>
                <w:rFonts w:hint="eastAsia" w:ascii="仿宋_GB2312" w:hAnsi="宋体" w:eastAsia="仿宋_GB2312"/>
                <w:b/>
                <w:color w:val="auto"/>
                <w:kern w:val="0"/>
                <w:sz w:val="20"/>
                <w:szCs w:val="20"/>
                <w:highlight w:val="none"/>
                <w:vertAlign w:val="baseline"/>
                <w:lang w:val="en-US" w:eastAsia="zh-CN"/>
              </w:rPr>
              <w:t>0</w:t>
            </w:r>
          </w:p>
        </w:tc>
        <w:tc>
          <w:tcPr>
            <w:tcW w:w="1314"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lang w:val="en-US" w:eastAsia="zh-CN"/>
              </w:rPr>
            </w:pPr>
            <w:r>
              <w:rPr>
                <w:rFonts w:hint="eastAsia" w:ascii="仿宋_GB2312" w:hAnsi="宋体" w:eastAsia="仿宋_GB2312"/>
                <w:b/>
                <w:color w:val="auto"/>
                <w:kern w:val="0"/>
                <w:sz w:val="20"/>
                <w:szCs w:val="20"/>
                <w:highlight w:val="none"/>
                <w:vertAlign w:val="baseline"/>
              </w:rPr>
              <w:t>0.1</w:t>
            </w:r>
            <w:r>
              <w:rPr>
                <w:rFonts w:hint="eastAsia" w:ascii="仿宋_GB2312" w:hAnsi="宋体" w:eastAsia="仿宋_GB2312"/>
                <w:b/>
                <w:color w:val="auto"/>
                <w:kern w:val="0"/>
                <w:sz w:val="20"/>
                <w:szCs w:val="20"/>
                <w:highlight w:val="none"/>
                <w:vertAlign w:val="baseline"/>
                <w:lang w:val="en-US" w:eastAsia="zh-CN"/>
              </w:rPr>
              <w:t>0</w:t>
            </w:r>
          </w:p>
        </w:tc>
        <w:tc>
          <w:tcPr>
            <w:tcW w:w="1595"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rPr>
            </w:pPr>
          </w:p>
        </w:tc>
        <w:tc>
          <w:tcPr>
            <w:tcW w:w="1595"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pPr>
              <w:widowControl/>
              <w:jc w:val="center"/>
              <w:outlineLvl w:val="1"/>
              <w:rPr>
                <w:rFonts w:hint="default" w:ascii="仿宋_GB2312" w:hAnsi="宋体" w:eastAsia="仿宋_GB2312"/>
                <w:b/>
                <w:color w:val="auto"/>
                <w:kern w:val="0"/>
                <w:sz w:val="20"/>
                <w:szCs w:val="20"/>
                <w:highlight w:val="none"/>
                <w:vertAlign w:val="baseline"/>
                <w:lang w:val="en-US"/>
              </w:rPr>
            </w:pPr>
            <w:r>
              <w:rPr>
                <w:rFonts w:hint="eastAsia" w:ascii="仿宋_GB2312" w:hAnsi="宋体" w:eastAsia="仿宋_GB2312"/>
                <w:b/>
                <w:color w:val="auto"/>
                <w:kern w:val="0"/>
                <w:sz w:val="20"/>
                <w:szCs w:val="20"/>
                <w:highlight w:val="none"/>
                <w:vertAlign w:val="baseline"/>
              </w:rPr>
              <w:t>0.</w:t>
            </w:r>
            <w:r>
              <w:rPr>
                <w:rFonts w:hint="eastAsia" w:ascii="仿宋_GB2312" w:hAnsi="宋体" w:eastAsia="仿宋_GB2312"/>
                <w:b/>
                <w:color w:val="auto"/>
                <w:kern w:val="0"/>
                <w:sz w:val="20"/>
                <w:szCs w:val="20"/>
                <w:highlight w:val="none"/>
                <w:vertAlign w:val="baseline"/>
                <w:lang w:val="en-US" w:eastAsia="zh-CN"/>
              </w:rPr>
              <w:t>10</w:t>
            </w:r>
          </w:p>
        </w:tc>
        <w:tc>
          <w:tcPr>
            <w:tcW w:w="1314"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lang w:val="en-US" w:eastAsia="zh-CN"/>
              </w:rPr>
            </w:pPr>
            <w:r>
              <w:rPr>
                <w:rFonts w:hint="eastAsia" w:ascii="仿宋_GB2312" w:hAnsi="宋体" w:eastAsia="仿宋_GB2312"/>
                <w:b/>
                <w:color w:val="auto"/>
                <w:kern w:val="0"/>
                <w:sz w:val="20"/>
                <w:szCs w:val="20"/>
                <w:highlight w:val="none"/>
                <w:vertAlign w:val="baseline"/>
              </w:rPr>
              <w:t>0.1</w:t>
            </w:r>
            <w:r>
              <w:rPr>
                <w:rFonts w:hint="eastAsia" w:ascii="仿宋_GB2312" w:hAnsi="宋体" w:eastAsia="仿宋_GB2312"/>
                <w:b/>
                <w:color w:val="auto"/>
                <w:kern w:val="0"/>
                <w:sz w:val="20"/>
                <w:szCs w:val="20"/>
                <w:highlight w:val="none"/>
                <w:vertAlign w:val="baseline"/>
                <w:lang w:val="en-US" w:eastAsia="zh-CN"/>
              </w:rPr>
              <w:t>0</w:t>
            </w:r>
          </w:p>
        </w:tc>
        <w:tc>
          <w:tcPr>
            <w:tcW w:w="1595"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left"/>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备注：呼图壁县融媒体中心2025年没有</w:t>
      </w:r>
      <w:r>
        <w:rPr>
          <w:rFonts w:hint="eastAsia" w:ascii="仿宋" w:hAnsi="仿宋" w:eastAsia="仿宋" w:cs="仿宋"/>
          <w:sz w:val="28"/>
          <w:szCs w:val="28"/>
          <w:lang w:val="en-US" w:eastAsia="zh-Hans"/>
        </w:rPr>
        <w:t>上年结转</w:t>
      </w:r>
      <w:r>
        <w:rPr>
          <w:rFonts w:hint="eastAsia" w:ascii="仿宋" w:hAnsi="仿宋" w:eastAsia="仿宋" w:cs="仿宋"/>
          <w:sz w:val="28"/>
          <w:szCs w:val="28"/>
          <w:lang w:val="en-US" w:eastAsia="zh-CN"/>
        </w:rPr>
        <w:t>结余，</w:t>
      </w:r>
      <w:r>
        <w:rPr>
          <w:rFonts w:hint="eastAsia" w:ascii="仿宋" w:hAnsi="仿宋" w:eastAsia="仿宋" w:cs="仿宋"/>
          <w:sz w:val="28"/>
          <w:szCs w:val="28"/>
          <w:lang w:val="en-US" w:eastAsia="zh-Hans"/>
        </w:rPr>
        <w:t>上年结转</w:t>
      </w:r>
      <w:r>
        <w:rPr>
          <w:rFonts w:hint="eastAsia" w:ascii="仿宋" w:hAnsi="仿宋" w:eastAsia="仿宋" w:cs="仿宋"/>
          <w:sz w:val="28"/>
          <w:szCs w:val="28"/>
          <w:lang w:val="en-US" w:eastAsia="zh-CN"/>
        </w:rPr>
        <w:t>结余</w:t>
      </w:r>
      <w:r>
        <w:rPr>
          <w:rFonts w:hint="eastAsia" w:ascii="仿宋" w:hAnsi="仿宋" w:eastAsia="仿宋" w:cs="仿宋"/>
          <w:sz w:val="28"/>
          <w:szCs w:val="28"/>
          <w:lang w:val="en-US" w:eastAsia="zh-Hans"/>
        </w:rPr>
        <w:t>情况明细表</w:t>
      </w:r>
      <w:r>
        <w:rPr>
          <w:rFonts w:hint="eastAsia" w:ascii="仿宋" w:hAnsi="仿宋" w:eastAsia="仿宋" w:cs="仿宋"/>
          <w:sz w:val="28"/>
          <w:szCs w:val="28"/>
          <w:lang w:val="en-US" w:eastAsia="zh-CN"/>
        </w:rPr>
        <w:t>为空表。</w:t>
      </w:r>
    </w:p>
    <w:p>
      <w:pPr>
        <w:widowControl/>
        <w:ind w:firstLine="640" w:firstLineChars="200"/>
        <w:jc w:val="left"/>
        <w:rPr>
          <w:rFonts w:hint="eastAsia" w:ascii="Times New Roman" w:hAnsi="Times New Roman" w:cs="Times New Roman"/>
          <w:sz w:val="32"/>
          <w:szCs w:val="40"/>
          <w:lang w:val="en-US" w:eastAsia="zh-CN"/>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呼图壁县融媒体中心2025年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shd w:val="clear" w:color="auto" w:fill="auto"/>
        </w:rPr>
        <w:t>按照全口径预算的原则，</w:t>
      </w: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lang w:eastAsia="zh-CN"/>
        </w:rPr>
        <w:t>202</w:t>
      </w:r>
      <w:r>
        <w:rPr>
          <w:rFonts w:hint="eastAsia" w:ascii="仿宋_GB2312" w:hAnsi="宋体" w:eastAsia="仿宋_GB2312" w:cs="宋体"/>
          <w:color w:val="auto"/>
          <w:kern w:val="0"/>
          <w:sz w:val="32"/>
          <w:szCs w:val="32"/>
          <w:highlight w:val="none"/>
          <w:shd w:val="clear" w:color="auto" w:fill="auto"/>
          <w:lang w:val="en-US" w:eastAsia="zh-CN"/>
        </w:rPr>
        <w:t>5</w:t>
      </w:r>
      <w:r>
        <w:rPr>
          <w:rFonts w:hint="eastAsia" w:ascii="仿宋_GB2312" w:hAnsi="宋体" w:eastAsia="仿宋_GB2312" w:cs="宋体"/>
          <w:color w:val="auto"/>
          <w:kern w:val="0"/>
          <w:sz w:val="32"/>
          <w:szCs w:val="32"/>
          <w:highlight w:val="none"/>
          <w:shd w:val="clear" w:color="auto" w:fill="auto"/>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1171.51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支出预算包括：文化旅游体育与传媒支出、社会保障和就业支出、卫生健康支出、住房保障支出。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呼图壁县融媒体中心2025年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呼图壁县融媒体中心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1171.51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700.09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59.76</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减少67.37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8.78%，主要原因是2025年在编干部调出1人、合同制新闻宣传员离职5人，纳入财政预算的人员数较上一年度减少，故预算金额减少。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56.42万元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4.82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6.05%，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shd w:val="clear" w:color="auto" w:fill="auto"/>
          <w:lang w:val="en-US" w:eastAsia="zh-CN"/>
        </w:rPr>
        <w:t>2025年增加SS专项资金，</w:t>
      </w:r>
      <w:r>
        <w:rPr>
          <w:rFonts w:hint="eastAsia" w:ascii="仿宋_GB2312" w:hAnsi="宋体" w:eastAsia="仿宋_GB2312" w:cs="宋体"/>
          <w:color w:val="auto"/>
          <w:kern w:val="0"/>
          <w:sz w:val="32"/>
          <w:szCs w:val="32"/>
          <w:highlight w:val="none"/>
          <w:lang w:val="en-US" w:eastAsia="zh-CN"/>
        </w:rPr>
        <w:t>故预算金额增加</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415.00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35.42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26.76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6.06%，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2025年在编干部调出1人、合同制新闻宣传员离职5人，纳入财政预算的住房公积金数较上一年度减少，故预算金额减少。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呼图壁县融媒体中心2025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呼图壁县融媒体中心2025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1171.51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915.09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78.11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200.93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28.14%，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2025年在编干部调出1人、合同制新闻宣传员离职5人，纳入财政预算的人员数较上一年度减少，故预算金额减少。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256.42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21.89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163.22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175.13%，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shd w:val="clear" w:color="auto" w:fill="auto"/>
          <w:lang w:val="en-US" w:eastAsia="zh-CN"/>
        </w:rPr>
        <w:t>2025年增加SS专项资金，</w:t>
      </w:r>
      <w:r>
        <w:rPr>
          <w:rFonts w:hint="eastAsia" w:ascii="仿宋_GB2312" w:hAnsi="宋体" w:eastAsia="仿宋_GB2312" w:cs="宋体"/>
          <w:color w:val="auto"/>
          <w:kern w:val="0"/>
          <w:sz w:val="32"/>
          <w:szCs w:val="32"/>
          <w:highlight w:val="none"/>
          <w:lang w:val="en-US" w:eastAsia="zh-CN"/>
        </w:rPr>
        <w:t>故预算金额增加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呼图壁县融媒体中心2025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756.51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756.51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val="en-US"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shd w:val="clear" w:color="auto" w:fill="auto"/>
          <w:lang w:val="en-US" w:eastAsia="zh-CN"/>
        </w:rPr>
        <w:t>文化旅游体育与传媒支出625.43万元，主要用于员工工资、公用经费等；社会保障和就业支出59.65万元，主要用于在职养老保险；卫生健康支出34.22万元，主要用于在职医疗保险；住房保障支出37.21万元，主要用于在职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呼图壁县融媒体中心2025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widowControl/>
        <w:spacing w:line="560" w:lineRule="exact"/>
        <w:ind w:firstLine="640" w:firstLineChars="200"/>
        <w:rPr>
          <w:rFonts w:ascii="仿宋" w:hAnsi="微软雅黑" w:eastAsia="仿宋"/>
          <w:sz w:val="28"/>
          <w:szCs w:val="28"/>
        </w:rPr>
      </w:pP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756.51</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675.09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0.83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0.12</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val="en-US" w:eastAsia="zh-CN"/>
        </w:rPr>
        <w:t>是年初预算增加昌州财教【2023】79号文件下达的2024年中央补助地方公共文化服务体系建设补助资金</w:t>
      </w:r>
      <w:r>
        <w:rPr>
          <w:rFonts w:hint="eastAsia" w:ascii="仿宋_GB2312" w:hAnsi="宋体" w:eastAsia="仿宋_GB2312" w:cs="宋体"/>
          <w:color w:val="auto"/>
          <w:kern w:val="0"/>
          <w:sz w:val="32"/>
          <w:szCs w:val="32"/>
          <w:highlight w:val="none"/>
          <w:lang w:val="en-US" w:eastAsia="zh-CN"/>
        </w:rPr>
        <w:t>，故预算金额增加</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81.42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11.78</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12.64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2025年非定额项目减少，</w:t>
      </w:r>
      <w:r>
        <w:rPr>
          <w:rFonts w:hint="eastAsia" w:ascii="仿宋_GB2312" w:hAnsi="宋体" w:eastAsia="仿宋_GB2312" w:cs="宋体"/>
          <w:color w:val="auto"/>
          <w:kern w:val="0"/>
          <w:sz w:val="32"/>
          <w:szCs w:val="32"/>
          <w:highlight w:val="none"/>
          <w:lang w:val="en-US" w:eastAsia="zh-CN"/>
        </w:rPr>
        <w:t>故预算金额减少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1.</w:t>
      </w:r>
      <w:r>
        <w:rPr>
          <w:rFonts w:hint="eastAsia" w:ascii="仿宋_GB2312" w:hAnsi="仿宋_GB2312" w:eastAsia="仿宋_GB2312" w:cs="仿宋_GB2312"/>
          <w:color w:val="auto"/>
          <w:kern w:val="0"/>
          <w:sz w:val="32"/>
          <w:szCs w:val="32"/>
          <w:highlight w:val="none"/>
          <w:shd w:val="clear" w:color="auto" w:fill="auto"/>
          <w:lang w:val="en-US" w:eastAsia="zh-CN"/>
        </w:rPr>
        <w:t>文化旅游体育与传媒支出（类）544.01</w:t>
      </w:r>
      <w:r>
        <w:rPr>
          <w:rFonts w:hint="eastAsia" w:ascii="仿宋_GB2312" w:hAnsi="仿宋_GB2312" w:eastAsia="仿宋_GB2312" w:cs="仿宋_GB2312"/>
          <w:color w:val="auto"/>
          <w:kern w:val="0"/>
          <w:sz w:val="32"/>
          <w:szCs w:val="32"/>
          <w:highlight w:val="none"/>
          <w:shd w:val="clear" w:color="auto" w:fill="auto"/>
        </w:rPr>
        <w:t>万元，占</w:t>
      </w:r>
      <w:r>
        <w:rPr>
          <w:rFonts w:hint="eastAsia" w:ascii="仿宋_GB2312" w:hAnsi="仿宋_GB2312" w:eastAsia="仿宋_GB2312" w:cs="仿宋_GB2312"/>
          <w:color w:val="auto"/>
          <w:kern w:val="0"/>
          <w:sz w:val="32"/>
          <w:szCs w:val="32"/>
          <w:highlight w:val="none"/>
          <w:shd w:val="clear" w:color="auto" w:fill="auto"/>
          <w:lang w:val="en-US" w:eastAsia="zh-CN"/>
        </w:rPr>
        <w:t>71.91</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2.</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社会保障和就业支出（类）59.65万元，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7.88</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3.卫生健康支出（类）34.22万元，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4.52</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color w:val="auto"/>
          <w:kern w:val="0"/>
          <w:sz w:val="32"/>
          <w:szCs w:val="32"/>
          <w:highlight w:val="none"/>
          <w:shd w:val="clear" w:color="auto" w:fill="auto"/>
          <w:lang w:val="en-US" w:eastAsia="zh-CN"/>
        </w:rPr>
        <w:t>4.住房保障支出（类）37.21万元，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4.92</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shd w:val="clear" w:color="auto" w:fill="auto"/>
          <w:lang w:val="en-US" w:eastAsia="zh-CN"/>
        </w:rPr>
        <w:t>文化旅游体育与传媒支出（类）广播电视（款）广播电视事务（项）：</w:t>
      </w:r>
      <w:r>
        <w:rPr>
          <w:rFonts w:hint="eastAsia" w:ascii="仿宋_GB2312" w:hAnsi="仿宋_GB2312" w:eastAsia="仿宋_GB2312" w:cs="仿宋_GB2312"/>
          <w:color w:val="auto"/>
          <w:kern w:val="0"/>
          <w:sz w:val="32"/>
          <w:szCs w:val="32"/>
          <w:highlight w:val="none"/>
          <w:shd w:val="clear" w:color="auto" w:fill="auto"/>
          <w:lang w:eastAsia="zh-CN"/>
        </w:rPr>
        <w:t>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lang w:eastAsia="zh-CN"/>
        </w:rPr>
        <w:t>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544.01</w:t>
      </w:r>
      <w:r>
        <w:rPr>
          <w:rFonts w:hint="eastAsia" w:ascii="仿宋_GB2312" w:hAnsi="仿宋_GB2312" w:eastAsia="仿宋_GB2312" w:cs="仿宋_GB2312"/>
          <w:color w:val="auto"/>
          <w:kern w:val="0"/>
          <w:sz w:val="32"/>
          <w:szCs w:val="32"/>
          <w:highlight w:val="none"/>
          <w:shd w:val="clear" w:color="auto" w:fill="auto"/>
        </w:rPr>
        <w:t>万元，比上年预算</w:t>
      </w:r>
      <w:r>
        <w:rPr>
          <w:rFonts w:hint="eastAsia" w:ascii="仿宋_GB2312" w:hAnsi="仿宋_GB2312" w:eastAsia="仿宋_GB2312" w:cs="仿宋_GB2312"/>
          <w:color w:val="auto"/>
          <w:kern w:val="0"/>
          <w:sz w:val="32"/>
          <w:szCs w:val="32"/>
          <w:highlight w:val="none"/>
          <w:shd w:val="clear" w:color="auto" w:fill="auto"/>
          <w:lang w:val="en-US" w:eastAsia="zh-CN"/>
        </w:rPr>
        <w:t>减少40.04万元，下降6.86%，主要原因是2025年在编干部调出1人、合同制新闻宣传员离职5人，纳入财政预算的人员数较上一年度减少，故预算金额减少。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auto"/>
          <w:lang w:val="en-US" w:eastAsia="zh-CN"/>
        </w:rPr>
        <w:t>2.文化旅游体育与传媒支出（类）广播电视（款）其他广播电视支出（项）：2025年预算数为81.42万元，比上年预算增加28.22万元，增长53.05%，主要原因是2025年增加SS专项资金，非定额项目列入此项，故预算金额增加</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3.社会保障和就业支出（类）行政事业单位养老支出（款）事业单位离退休（项）：2025年预算数为14.41万元，比上年预算减少4.15万元，下降22.36%，主要原因是2025年度退休人员病故1人，故预算金额减少。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社会保障和就业支出（类）行政事业单位养老支出（款）机关事业单位基本养老保险缴费支出（项）：</w:t>
      </w:r>
      <w:r>
        <w:rPr>
          <w:rFonts w:hint="eastAsia" w:ascii="仿宋_GB2312" w:hAnsi="仿宋_GB2312" w:eastAsia="仿宋_GB2312" w:cs="仿宋_GB2312"/>
          <w:color w:val="auto"/>
          <w:kern w:val="0"/>
          <w:sz w:val="32"/>
          <w:szCs w:val="32"/>
          <w:highlight w:val="none"/>
          <w:shd w:val="clear" w:color="auto" w:fill="auto"/>
          <w:lang w:eastAsia="zh-CN"/>
        </w:rPr>
        <w:t>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lang w:eastAsia="zh-CN"/>
        </w:rPr>
        <w:t>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45.25</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0.34</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0.76</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val="en-US" w:eastAsia="zh-CN"/>
        </w:rPr>
        <w:t>2025年</w:t>
      </w:r>
      <w:r>
        <w:rPr>
          <w:rFonts w:hint="eastAsia" w:ascii="仿宋_GB2312" w:hAnsi="仿宋_GB2312" w:eastAsia="仿宋_GB2312" w:cs="仿宋_GB2312"/>
          <w:color w:val="auto"/>
          <w:kern w:val="0"/>
          <w:sz w:val="32"/>
          <w:szCs w:val="32"/>
          <w:highlight w:val="none"/>
          <w:shd w:val="clear" w:color="auto" w:fill="auto"/>
        </w:rPr>
        <w:t>按照政策</w:t>
      </w:r>
      <w:r>
        <w:rPr>
          <w:rFonts w:hint="eastAsia" w:ascii="仿宋_GB2312" w:hAnsi="仿宋_GB2312" w:eastAsia="仿宋_GB2312" w:cs="仿宋_GB2312"/>
          <w:color w:val="auto"/>
          <w:kern w:val="0"/>
          <w:sz w:val="32"/>
          <w:szCs w:val="32"/>
          <w:highlight w:val="none"/>
          <w:shd w:val="clear" w:color="auto" w:fill="auto"/>
          <w:lang w:val="en-US" w:eastAsia="zh-CN"/>
        </w:rPr>
        <w:t>在编人员工资调整，社保基数增加，故预算金额增加</w:t>
      </w:r>
      <w:r>
        <w:rPr>
          <w:rFonts w:hint="eastAsia" w:ascii="仿宋_GB2312" w:hAnsi="宋体" w:eastAsia="仿宋_GB2312" w:cs="宋体"/>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highlight w:val="none"/>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事业单位医疗</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eastAsia="zh-CN"/>
        </w:rPr>
        <w:t>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lang w:eastAsia="zh-CN"/>
        </w:rPr>
        <w:t>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22.62</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0.17</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0.76</w:t>
      </w:r>
      <w:r>
        <w:rPr>
          <w:rFonts w:hint="eastAsia" w:ascii="仿宋_GB2312" w:hAnsi="仿宋_GB2312" w:eastAsia="仿宋_GB2312" w:cs="仿宋_GB2312"/>
          <w:color w:val="auto"/>
          <w:kern w:val="0"/>
          <w:sz w:val="32"/>
          <w:szCs w:val="32"/>
          <w:highlight w:val="none"/>
          <w:shd w:val="clear" w:color="auto" w:fill="auto"/>
        </w:rPr>
        <w:t>%，主要原因是202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rPr>
        <w:t>年度按照政策</w:t>
      </w:r>
      <w:r>
        <w:rPr>
          <w:rFonts w:hint="eastAsia" w:ascii="仿宋_GB2312" w:hAnsi="仿宋_GB2312" w:eastAsia="仿宋_GB2312" w:cs="仿宋_GB2312"/>
          <w:color w:val="auto"/>
          <w:kern w:val="0"/>
          <w:sz w:val="32"/>
          <w:szCs w:val="32"/>
          <w:highlight w:val="none"/>
          <w:shd w:val="clear" w:color="auto" w:fill="auto"/>
          <w:lang w:val="en-US" w:eastAsia="zh-CN"/>
        </w:rPr>
        <w:t>在编人员工资调整，社保基数增加，故预算金额增加</w:t>
      </w:r>
      <w:r>
        <w:rPr>
          <w:rFonts w:hint="eastAsia" w:ascii="仿宋_GB2312" w:hAnsi="宋体" w:eastAsia="仿宋_GB2312" w:cs="宋体"/>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6</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公务员医疗补助</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val="en-US" w:eastAsia="zh-CN"/>
        </w:rPr>
        <w:t>2025年预算数为11.31万元，比上年预算减少5.14万元，下降31.25%，主要原因是</w:t>
      </w:r>
      <w:r>
        <w:rPr>
          <w:rFonts w:hint="eastAsia" w:ascii="仿宋_GB2312" w:hAnsi="宋体" w:eastAsia="仿宋_GB2312" w:cs="宋体"/>
          <w:color w:val="auto"/>
          <w:kern w:val="0"/>
          <w:sz w:val="32"/>
          <w:szCs w:val="32"/>
          <w:highlight w:val="none"/>
          <w:lang w:val="en-US" w:eastAsia="zh-CN"/>
        </w:rPr>
        <w:t>2025年在编干部调出1人，纳入财政预算的人员数较上一年度减少，故预算金额减少。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7</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其他行政事业单位医疗支出</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val="en-US" w:eastAsia="zh-CN"/>
        </w:rPr>
        <w:t>2025年预算数为0.28万元，比上年预算增加0.13万元，增长86.67%，主要原因是</w:t>
      </w:r>
      <w:r>
        <w:rPr>
          <w:rFonts w:hint="eastAsia" w:ascii="仿宋_GB2312" w:hAnsi="仿宋_GB2312" w:eastAsia="仿宋_GB2312" w:cs="仿宋_GB2312"/>
          <w:color w:val="auto"/>
          <w:kern w:val="0"/>
          <w:sz w:val="32"/>
          <w:szCs w:val="32"/>
          <w:highlight w:val="none"/>
          <w:shd w:val="clear" w:color="auto" w:fill="auto"/>
        </w:rPr>
        <w:t>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rPr>
        <w:t>年度按照政策</w:t>
      </w:r>
      <w:r>
        <w:rPr>
          <w:rFonts w:hint="eastAsia" w:ascii="仿宋_GB2312" w:hAnsi="仿宋_GB2312" w:eastAsia="仿宋_GB2312" w:cs="仿宋_GB2312"/>
          <w:color w:val="auto"/>
          <w:kern w:val="0"/>
          <w:sz w:val="32"/>
          <w:szCs w:val="32"/>
          <w:highlight w:val="none"/>
          <w:shd w:val="clear" w:color="auto" w:fill="auto"/>
          <w:lang w:val="en-US" w:eastAsia="zh-CN"/>
        </w:rPr>
        <w:t>在编人员工资调整，社保基数增加，故预算金额增加。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8.</w:t>
      </w:r>
      <w:r>
        <w:rPr>
          <w:rFonts w:hint="default" w:ascii="仿宋_GB2312" w:hAnsi="仿宋_GB2312" w:eastAsia="仿宋_GB2312" w:cs="仿宋_GB2312"/>
          <w:color w:val="auto"/>
          <w:kern w:val="0"/>
          <w:sz w:val="32"/>
          <w:szCs w:val="32"/>
          <w:highlight w:val="none"/>
          <w:shd w:val="clear" w:color="auto" w:fill="auto"/>
          <w:lang w:val="en-US" w:eastAsia="zh-CN"/>
        </w:rPr>
        <w:t>住房保障支出（类）住房改革支出（款）住房公积金（项）：</w:t>
      </w:r>
      <w:r>
        <w:rPr>
          <w:rFonts w:hint="eastAsia" w:ascii="仿宋_GB2312" w:hAnsi="仿宋_GB2312" w:eastAsia="仿宋_GB2312" w:cs="仿宋_GB2312"/>
          <w:color w:val="auto"/>
          <w:kern w:val="0"/>
          <w:sz w:val="32"/>
          <w:szCs w:val="32"/>
          <w:highlight w:val="none"/>
          <w:shd w:val="clear" w:color="auto" w:fill="auto"/>
          <w:lang w:eastAsia="zh-CN"/>
        </w:rPr>
        <w:t>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lang w:eastAsia="zh-CN"/>
        </w:rPr>
        <w:t>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37.21</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0.25</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0.68</w:t>
      </w:r>
      <w:r>
        <w:rPr>
          <w:rFonts w:hint="eastAsia" w:ascii="仿宋_GB2312" w:hAnsi="仿宋_GB2312" w:eastAsia="仿宋_GB2312" w:cs="仿宋_GB2312"/>
          <w:color w:val="auto"/>
          <w:kern w:val="0"/>
          <w:sz w:val="32"/>
          <w:szCs w:val="32"/>
          <w:highlight w:val="none"/>
          <w:shd w:val="clear" w:color="auto" w:fill="auto"/>
        </w:rPr>
        <w:t>%，主要原因是202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rPr>
        <w:t>年度按照政策</w:t>
      </w:r>
      <w:r>
        <w:rPr>
          <w:rFonts w:hint="eastAsia" w:ascii="仿宋_GB2312" w:hAnsi="仿宋_GB2312" w:eastAsia="仿宋_GB2312" w:cs="仿宋_GB2312"/>
          <w:color w:val="auto"/>
          <w:kern w:val="0"/>
          <w:sz w:val="32"/>
          <w:szCs w:val="32"/>
          <w:highlight w:val="none"/>
          <w:shd w:val="clear" w:color="auto" w:fill="auto"/>
          <w:lang w:val="en-US" w:eastAsia="zh-CN"/>
        </w:rPr>
        <w:t>在编人员工资调整，住房公积金基数增加，故预算金额增加</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呼图壁县融媒体中心2025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呼图壁县融媒体中心2025年一般公共预算基本支出万元，其中：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人员经费652.24万元，主要包括：基本工资、津贴补贴、奖金、绩效工资、机关事业单位基本养老保险缴费、职工基本医疗保险缴费、公务员医疗补助缴费、其他社会保障缴费、住房公积金、其他工资福利支出、退休费、生活补助、奖励金等。</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公用经费22.85万元，主要包括：办公费、印刷费、手续费、水费、电费、邮电费、取暖费、物业管理费、差旅费、维修（护）费、公务接待费、工会经费。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呼图壁县融媒体中心2025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（一）项目名称：2025年自治区广播电视节目无线覆盖运行维护经费</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设立的政策依据：昌州财教[2024]81号-关于提前下达2025年自治区广播电视节目无线覆盖运行维护经费预算的通知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预算安排规模：22.00万元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资金分配情况：电费15.00万元、网费6.00万元、专用材料费1.00万元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auto"/>
          <w:kern w:val="0"/>
          <w:sz w:val="32"/>
          <w:szCs w:val="32"/>
          <w:highlight w:val="none"/>
          <w:shd w:val="clear" w:color="auto" w:fill="auto"/>
          <w:lang w:val="en-US" w:eastAsia="zh-CN"/>
        </w:rPr>
        <w:t>资金执行时间：2025年1月1日-2025年12月31日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（二）项目名称：2025年中央补助地方公共文化服务体系建设补助资金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设立的政策依据：昌州财教[2024]75号关于提前下达2025年中央补助地方公共文化服务体系建设补助资金预算的通知</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预算安排规模：31.20万元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资金分配情况：专用材料21.20万元、维修（护）费10.00万元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资金执行时间：2025年1月1日-2025年12月31日</w:t>
      </w:r>
    </w:p>
    <w:p>
      <w:pPr>
        <w:pStyle w:val="2"/>
        <w:jc w:val="both"/>
        <w:rPr>
          <w:rFonts w:hint="default"/>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000000" w:themeColor="text1"/>
          <w:sz w:val="32"/>
          <w:szCs w:val="32"/>
          <w:highlight w:val="red"/>
          <w:shd w:val="clear" w:color="auto" w:fill="auto"/>
          <w14:textFill>
            <w14:solidFill>
              <w14:schemeClr w14:val="tx1"/>
            </w14:solidFill>
          </w14:textFill>
        </w:rPr>
      </w:pPr>
      <w:r>
        <w:rPr>
          <w:rFonts w:hint="eastAsia" w:ascii="仿宋_GB2312" w:hAnsi="黑体" w:eastAsia="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三）</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项目</w:t>
      </w:r>
      <w:r>
        <w:rPr>
          <w:rFonts w:ascii="仿宋_GB2312" w:hAnsi="黑体" w:eastAsia="仿宋_GB2312"/>
          <w:color w:val="000000" w:themeColor="text1"/>
          <w:sz w:val="32"/>
          <w:szCs w:val="32"/>
          <w:highlight w:val="none"/>
          <w:shd w:val="clear" w:color="auto" w:fill="auto"/>
          <w14:textFill>
            <w14:solidFill>
              <w14:schemeClr w14:val="tx1"/>
            </w14:solidFill>
          </w14:textFill>
        </w:rPr>
        <w:t>名称</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石榴云融媒体技术平台运维服务年费(非定额)</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设立的政策依据：呼财预字[2025]8号-</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石榴云融媒体技术平台运维服务年费(非定额)</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预算安排规模：25.00万元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资金分配情况：25万元全部用于委托第三方进行</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石榴云融媒体技术平台运行维护</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资金执行时间</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2025年1月1日-2025年12月31日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（四）项目名称：特定目标5410007K</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设立的政策依据：完全不予公开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预算安排规模：3.22万元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资金分配情况：完全不予公开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lang w:val="en-US" w:eastAsia="zh-CN"/>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资金执行时间：完全不予公开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呼图壁县融媒体中心2025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呼图壁县融媒体中心2025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呼图壁县融媒体中心2025年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呼图壁县融媒体中心2025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0.10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0.10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3.85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97.47%，其中：因公出国（境）费增加0.00万元，增长0.00%，主要原因是2024年及2025年我单位均无因公出国（境）经费工作安排；</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w:t>
      </w:r>
      <w:r>
        <w:rPr>
          <w:rFonts w:hint="eastAsia" w:ascii="仿宋_GB2312" w:hAnsi="宋体" w:eastAsia="仿宋_GB2312" w:cs="宋体"/>
          <w:color w:val="auto"/>
          <w:kern w:val="0"/>
          <w:sz w:val="32"/>
          <w:szCs w:val="32"/>
          <w:highlight w:val="none"/>
        </w:rPr>
        <w:t>我单位</w:t>
      </w:r>
      <w:r>
        <w:rPr>
          <w:rFonts w:hint="eastAsia" w:ascii="仿宋_GB2312" w:hAnsi="宋体" w:eastAsia="仿宋_GB2312" w:cs="宋体"/>
          <w:color w:val="auto"/>
          <w:kern w:val="0"/>
          <w:sz w:val="32"/>
          <w:szCs w:val="32"/>
          <w:highlight w:val="none"/>
          <w:lang w:eastAsia="zh-CN"/>
        </w:rPr>
        <w:t>均</w:t>
      </w:r>
      <w:r>
        <w:rPr>
          <w:rFonts w:hint="eastAsia" w:ascii="仿宋_GB2312" w:hAnsi="宋体" w:eastAsia="仿宋_GB2312" w:cs="宋体"/>
          <w:color w:val="auto"/>
          <w:kern w:val="0"/>
          <w:sz w:val="32"/>
          <w:szCs w:val="32"/>
          <w:highlight w:val="none"/>
        </w:rPr>
        <w:t>无公务用车购置需求计划</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减少3.20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没有公务用车实有数，未安排</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；公务接待费减</w:t>
      </w:r>
      <w:r>
        <w:rPr>
          <w:rFonts w:hint="eastAsia" w:ascii="仿宋_GB2312" w:hAnsi="宋体" w:eastAsia="仿宋_GB2312" w:cs="宋体"/>
          <w:color w:val="auto"/>
          <w:kern w:val="0"/>
          <w:sz w:val="32"/>
          <w:szCs w:val="32"/>
          <w:highlight w:val="none"/>
          <w:lang w:val="en-US" w:eastAsia="zh-CN"/>
        </w:rPr>
        <w:t>少0.65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86.67%，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2025年公务接待费实际使用数减少，故预算金额减少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呼图壁县融媒体中心2025年上年结转结余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22.85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减少12.9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下降36.08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2025年在编干部调出1人、合同制新闻宣传员离职5人，纳入财政预算的人员数较上一年度减少，故预算金额减少。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cyan"/>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呼图壁县融媒体中心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147.99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68.50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政府采购服务预算</w:t>
      </w:r>
      <w:r>
        <w:rPr>
          <w:rFonts w:hint="eastAsia" w:ascii="仿宋_GB2312" w:hAnsi="仿宋_GB2312" w:eastAsia="仿宋_GB2312" w:cs="仿宋_GB2312"/>
          <w:color w:val="auto"/>
          <w:kern w:val="0"/>
          <w:sz w:val="32"/>
          <w:szCs w:val="32"/>
          <w:highlight w:val="none"/>
          <w:lang w:val="en-US" w:eastAsia="zh-CN"/>
        </w:rPr>
        <w:t>79.49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呼图壁县融媒体中心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147.99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147.99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呼图壁县融媒体中心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24.73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282.13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预算安排购置车辆经费</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rPr>
        <w:t>万元，安排购置5</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整体预算绩效目标1个，涉及预算金额1171.51万元；当年预算安排项目共6个，其中: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涉及预算金额81.42万元；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175.00</w:t>
      </w:r>
      <w:r>
        <w:rPr>
          <w:rFonts w:hint="eastAsia" w:ascii="仿宋_GB2312" w:hAnsi="仿宋_GB2312" w:eastAsia="仿宋_GB2312" w:cs="仿宋_GB2312"/>
          <w:color w:val="auto"/>
          <w:kern w:val="0"/>
          <w:sz w:val="32"/>
          <w:szCs w:val="32"/>
          <w:highlight w:val="none"/>
        </w:rPr>
        <w:t>万元。具体情况见下</w:t>
      </w:r>
      <w:r>
        <w:rPr>
          <w:rFonts w:hint="eastAsia" w:ascii="仿宋_GB2312" w:hAnsi="仿宋_GB2312" w:eastAsia="仿宋_GB2312" w:cs="仿宋_GB2312"/>
          <w:color w:val="auto"/>
          <w:kern w:val="0"/>
          <w:sz w:val="32"/>
          <w:szCs w:val="32"/>
          <w:highlight w:val="none"/>
          <w:lang w:val="en-US" w:eastAsia="zh-CN"/>
        </w:rPr>
        <w:t>表</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 xml:space="preserve">  </w:t>
      </w:r>
    </w:p>
    <w:p>
      <w:pPr>
        <w:pStyle w:val="2"/>
        <w:rPr>
          <w:rFonts w:hint="eastAsia" w:ascii="仿宋_GB2312" w:hAnsi="仿宋_GB2312" w:eastAsia="仿宋_GB2312" w:cs="仿宋_GB2312"/>
          <w:color w:val="auto"/>
          <w:kern w:val="0"/>
          <w:sz w:val="32"/>
          <w:szCs w:val="32"/>
          <w:highlight w:val="none"/>
          <w:lang w:val="en-US" w:eastAsia="zh-CN"/>
        </w:rPr>
      </w:pPr>
    </w:p>
    <w:p>
      <w:pPr>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rPr>
          <w:rFonts w:hint="eastAsia" w:ascii="仿宋_GB2312" w:hAnsi="仿宋_GB2312" w:eastAsia="仿宋_GB2312" w:cs="仿宋_GB2312"/>
          <w:color w:val="auto"/>
          <w:kern w:val="0"/>
          <w:sz w:val="32"/>
          <w:szCs w:val="32"/>
          <w:highlight w:val="none"/>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bookmarkEnd w:id="0"/>
    <w:tbl>
      <w:tblPr>
        <w:tblStyle w:val="8"/>
        <w:tblpPr w:leftFromText="180" w:rightFromText="180" w:vertAnchor="text" w:horzAnchor="page" w:tblpX="1412" w:tblpY="484"/>
        <w:tblOverlap w:val="never"/>
        <w:tblW w:w="92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80"/>
        <w:gridCol w:w="1080"/>
        <w:gridCol w:w="2000"/>
        <w:gridCol w:w="1075"/>
        <w:gridCol w:w="1845"/>
        <w:gridCol w:w="15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9266"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shd w:val="clear" w:color="auto" w:fill="auto"/>
                <w:lang w:val="en-US" w:eastAsia="zh-CN" w:bidi="ar"/>
              </w:rPr>
            </w:pPr>
            <w:r>
              <w:rPr>
                <w:rFonts w:hint="eastAsia" w:ascii="仿宋_GB2312" w:hAnsi="宋体" w:eastAsia="仿宋_GB2312" w:cs="仿宋_GB2312"/>
                <w:b/>
                <w:color w:val="000000"/>
                <w:kern w:val="0"/>
                <w:sz w:val="32"/>
                <w:szCs w:val="32"/>
                <w:highlight w:val="none"/>
                <w:shd w:val="clear" w:color="auto" w:fill="auto"/>
                <w:lang w:val="en-US" w:eastAsia="zh-CN" w:bidi="ar"/>
              </w:rPr>
              <w:t>呼图壁县融媒体中心整体绩效目标表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 w:hRule="atLeast"/>
        </w:trPr>
        <w:tc>
          <w:tcPr>
            <w:tcW w:w="9266"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shd w:val="clear" w:color="auto" w:fill="auto"/>
                <w:lang w:val="en-US" w:eastAsia="zh-CN" w:bidi="ar"/>
              </w:rPr>
            </w:pPr>
            <w:r>
              <w:rPr>
                <w:rFonts w:hint="eastAsia" w:ascii="宋体" w:hAnsi="宋体" w:eastAsia="宋体" w:cs="宋体"/>
                <w:i w:val="0"/>
                <w:iCs w:val="0"/>
                <w:color w:val="000000"/>
                <w:sz w:val="24"/>
                <w:szCs w:val="24"/>
                <w:highlight w:val="none"/>
                <w:u w:val="none"/>
                <w:shd w:val="clear" w:color="auto" w:fill="auto"/>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27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部门（单位）名称（盖章）</w:t>
            </w:r>
          </w:p>
        </w:tc>
        <w:tc>
          <w:tcPr>
            <w:tcW w:w="6506" w:type="dxa"/>
            <w:gridSpan w:val="4"/>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27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部门（单位）联系人</w:t>
            </w:r>
          </w:p>
        </w:tc>
        <w:tc>
          <w:tcPr>
            <w:tcW w:w="3075"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霍卫东</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联系电话：</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jc w:val="both"/>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17799597305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2" w:hRule="atLeast"/>
        </w:trPr>
        <w:tc>
          <w:tcPr>
            <w:tcW w:w="2760"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center"/>
              <w:textAlignment w:val="top"/>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br w:type="textWrapping"/>
            </w:r>
            <w:r>
              <w:rPr>
                <w:rFonts w:hint="eastAsia" w:ascii="宋体" w:hAnsi="宋体" w:eastAsia="宋体" w:cs="宋体"/>
                <w:i w:val="0"/>
                <w:iCs w:val="0"/>
                <w:color w:val="000000"/>
                <w:kern w:val="0"/>
                <w:sz w:val="20"/>
                <w:szCs w:val="20"/>
                <w:u w:val="none"/>
                <w:shd w:val="clear" w:color="auto" w:fill="auto"/>
                <w:lang w:val="en-US" w:eastAsia="zh-CN" w:bidi="ar"/>
              </w:rPr>
              <w:t>年度绩效目标</w:t>
            </w:r>
          </w:p>
        </w:tc>
        <w:tc>
          <w:tcPr>
            <w:tcW w:w="6506" w:type="dxa"/>
            <w:gridSpan w:val="4"/>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按照国家政策法规规定和部门实际情况，建立健全财务基础管理制度和约束机制，依法、有效地使用财政资金，提高财政资金使用效率，在完成部门职能目标中合理分配人、财、物，使这达到较高的工作效率和水平，促进我单位工作得到显著提升。2、围绕县委、县</w:t>
            </w:r>
            <w:bookmarkStart w:id="1" w:name="_GoBack"/>
            <w:bookmarkEnd w:id="1"/>
            <w:r>
              <w:rPr>
                <w:rFonts w:hint="eastAsia" w:ascii="宋体" w:hAnsi="宋体" w:cs="宋体"/>
                <w:i w:val="0"/>
                <w:iCs w:val="0"/>
                <w:color w:val="000000"/>
                <w:sz w:val="20"/>
                <w:szCs w:val="20"/>
                <w:u w:val="none"/>
                <w:shd w:val="clear" w:color="auto" w:fill="auto"/>
                <w:lang w:val="en-US" w:eastAsia="zh-CN"/>
              </w:rPr>
              <w:t>政府中心工作，唱响主旋律，打好主动仗，发挥各个平台优势，创办《爱上呼图壁》、《法制呼图壁》等栏目，做好内外宣工作，不断扩大主流媒体的影响力和公信力。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276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年度预算（万元）</w:t>
            </w:r>
          </w:p>
        </w:tc>
        <w:tc>
          <w:tcPr>
            <w:tcW w:w="30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资金来源</w:t>
            </w:r>
          </w:p>
        </w:tc>
        <w:tc>
          <w:tcPr>
            <w:tcW w:w="343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276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20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财政资金（万元）</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kern w:val="0"/>
                <w:sz w:val="20"/>
                <w:szCs w:val="20"/>
                <w:u w:val="none"/>
                <w:shd w:val="clear" w:color="auto" w:fill="auto"/>
                <w:lang w:val="en-US" w:eastAsia="zh-CN" w:bidi="ar"/>
              </w:rPr>
              <w:t>上级</w:t>
            </w:r>
            <w:r>
              <w:rPr>
                <w:rFonts w:hint="eastAsia" w:ascii="宋体" w:hAnsi="宋体" w:eastAsia="宋体" w:cs="宋体"/>
                <w:i w:val="0"/>
                <w:iCs w:val="0"/>
                <w:color w:val="000000"/>
                <w:kern w:val="0"/>
                <w:sz w:val="20"/>
                <w:szCs w:val="20"/>
                <w:u w:val="none"/>
                <w:shd w:val="clear" w:color="auto" w:fill="auto"/>
                <w:lang w:val="en-US" w:eastAsia="zh-CN" w:bidi="ar"/>
              </w:rPr>
              <w:t>安排</w:t>
            </w:r>
          </w:p>
        </w:tc>
        <w:tc>
          <w:tcPr>
            <w:tcW w:w="343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276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200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kern w:val="0"/>
                <w:sz w:val="20"/>
                <w:szCs w:val="20"/>
                <w:u w:val="none"/>
                <w:shd w:val="clear" w:color="auto" w:fill="auto"/>
                <w:lang w:val="en-US" w:eastAsia="zh-CN" w:bidi="ar"/>
              </w:rPr>
              <w:t>本级</w:t>
            </w:r>
            <w:r>
              <w:rPr>
                <w:rFonts w:hint="eastAsia" w:ascii="宋体" w:hAnsi="宋体" w:eastAsia="宋体" w:cs="宋体"/>
                <w:i w:val="0"/>
                <w:iCs w:val="0"/>
                <w:color w:val="000000"/>
                <w:kern w:val="0"/>
                <w:sz w:val="20"/>
                <w:szCs w:val="20"/>
                <w:u w:val="none"/>
                <w:shd w:val="clear" w:color="auto" w:fill="auto"/>
                <w:lang w:val="en-US" w:eastAsia="zh-CN" w:bidi="ar"/>
              </w:rPr>
              <w:t>安排</w:t>
            </w:r>
          </w:p>
        </w:tc>
        <w:tc>
          <w:tcPr>
            <w:tcW w:w="343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eastAsia="宋体" w:cs="宋体"/>
                <w:i w:val="0"/>
                <w:iCs w:val="0"/>
                <w:color w:val="000000"/>
                <w:sz w:val="20"/>
                <w:szCs w:val="20"/>
                <w:u w:val="none"/>
                <w:shd w:val="clear" w:color="auto" w:fill="auto"/>
                <w:lang w:val="en-US" w:eastAsia="zh-CN"/>
              </w:rPr>
              <w:t>1171.51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276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其他资金（万元）</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其他</w:t>
            </w:r>
          </w:p>
        </w:tc>
        <w:tc>
          <w:tcPr>
            <w:tcW w:w="343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二级指标</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三级指标</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指标值</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指标设定依据</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运行成本</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管理效率</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履职效能</w:t>
            </w:r>
          </w:p>
        </w:tc>
        <w:tc>
          <w:tcPr>
            <w:tcW w:w="108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数量指标</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完成外宣任务数量</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&gt;=400条</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0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爱上呼图壁栏目制作、播放数量</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rPr>
            </w:pPr>
            <w:r>
              <w:rPr>
                <w:rFonts w:hint="eastAsia" w:ascii="宋体" w:hAnsi="宋体" w:cs="宋体"/>
                <w:i w:val="0"/>
                <w:iCs w:val="0"/>
                <w:color w:val="000000"/>
                <w:sz w:val="20"/>
                <w:szCs w:val="20"/>
                <w:u w:val="none"/>
                <w:shd w:val="clear" w:color="auto" w:fill="auto"/>
                <w:lang w:val="en-US" w:eastAsia="zh-CN"/>
              </w:rPr>
              <w:t>&gt;=72期</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0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打造4档品牌栏目</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rPr>
            </w:pPr>
            <w:r>
              <w:rPr>
                <w:rFonts w:hint="eastAsia" w:ascii="宋体" w:hAnsi="宋体" w:cs="宋体"/>
                <w:i w:val="0"/>
                <w:iCs w:val="0"/>
                <w:color w:val="000000"/>
                <w:sz w:val="20"/>
                <w:szCs w:val="20"/>
                <w:u w:val="none"/>
                <w:shd w:val="clear" w:color="auto" w:fill="auto"/>
                <w:lang w:val="en-US" w:eastAsia="zh-CN"/>
              </w:rPr>
              <w:t>&gt;=4档</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0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抖音号发布原创作品</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&gt;=1000条</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16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08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学习强国上稿率</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&gt;=20条</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080"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数量指标</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广播电视节目安全播出零事故</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=100%</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社会效益</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可持续发展能力</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1680"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服务对象满意度</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bl>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jc w:val="both"/>
        <w:rPr>
          <w:rFonts w:hint="eastAsia"/>
        </w:rPr>
      </w:pPr>
    </w:p>
    <w:p>
      <w:pPr>
        <w:pStyle w:val="2"/>
        <w:jc w:val="both"/>
        <w:rPr>
          <w:rFonts w:hint="eastAsia"/>
        </w:rPr>
      </w:pPr>
    </w:p>
    <w:tbl>
      <w:tblPr>
        <w:tblStyle w:val="8"/>
        <w:tblpPr w:leftFromText="180" w:rightFromText="180" w:vertAnchor="text" w:horzAnchor="page" w:tblpX="827" w:tblpY="544"/>
        <w:tblOverlap w:val="never"/>
        <w:tblW w:w="105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0"/>
        <w:gridCol w:w="1380"/>
        <w:gridCol w:w="1680"/>
        <w:gridCol w:w="810"/>
        <w:gridCol w:w="1410"/>
        <w:gridCol w:w="1014"/>
        <w:gridCol w:w="965"/>
        <w:gridCol w:w="1186"/>
        <w:gridCol w:w="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 w:hRule="atLeast"/>
        </w:trPr>
        <w:tc>
          <w:tcPr>
            <w:tcW w:w="105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 w:hRule="atLeast"/>
        </w:trPr>
        <w:tc>
          <w:tcPr>
            <w:tcW w:w="105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w:t>
            </w:r>
            <w:r>
              <w:rPr>
                <w:rFonts w:hint="eastAsia" w:ascii="宋体" w:hAnsi="宋体" w:eastAsia="宋体" w:cs="宋体"/>
                <w:color w:val="000000"/>
                <w:kern w:val="2"/>
                <w:sz w:val="22"/>
                <w:szCs w:val="22"/>
                <w:highlight w:val="none"/>
                <w:shd w:val="clear" w:color="auto" w:fill="auto"/>
                <w:lang w:val="en-US" w:eastAsia="zh-CN" w:bidi="ar-SA"/>
              </w:rPr>
              <w:t>25</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25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8040"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25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90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2025年自治区广播电视节目无线覆盖运行维护经费</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216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25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年度预算总额：</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22.00</w:t>
            </w:r>
          </w:p>
        </w:tc>
        <w:tc>
          <w:tcPr>
            <w:tcW w:w="141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其中：财政拨款</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22.00</w:t>
            </w: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216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25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8040"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自治区广播电视无线覆盖工程的实施，实现我区现有20户以上自然村广播电视盲点农牧民群众，能够及时收听看到中央和自治区的广播电视节目需求。通过安排维护经费，确保自治区无线覆盖工程配备的转播自治区节目的电视发射机和调频发射机正常运转，从而巩固自治区广播电视无线覆盖工程实施效果，实现各发射台站按规定完整转播好自治区广播电视节目，做到“满功率、满调幅度、满时间”安全播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380" w:type="dxa"/>
            <w:vMerge w:val="restart"/>
            <w:tcBorders>
              <w:top w:val="single" w:color="000000" w:sz="4" w:space="0"/>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发射机数量（部）</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=3部</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6</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14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80" w:type="dxa"/>
            <w:vMerge w:val="continue"/>
            <w:tcBorders>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无线覆盖免费收听自治区广播电视节目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&gt;=2套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6</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vMerge w:val="restart"/>
            <w:tcBorders>
              <w:top w:val="single" w:color="000000" w:sz="4" w:space="0"/>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发射机满功率播出率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发射机满调制播出率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vMerge w:val="continue"/>
            <w:tcBorders>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发射机及附属设备设施完好率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系统运行维护相应时间</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&gt;=72小时</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38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年度维护成本</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&gt;=22万元</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预算支出标准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8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项目成本控制率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=100%</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为农村地区广播电视基本公共服务提供无线传输保障</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有效保障</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20</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按评判等级赋分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 w:hRule="atLeast"/>
        </w:trPr>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群众满意度</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bl>
    <w:p>
      <w:pPr>
        <w:pStyle w:val="2"/>
        <w:shd w:val="clear"/>
        <w:jc w:val="both"/>
        <w:rPr>
          <w:rFonts w:hint="eastAsia" w:ascii="仿宋_GB2312" w:hAnsi="仿宋_GB2312" w:eastAsia="仿宋_GB2312" w:cs="仿宋_GB2312"/>
          <w:b/>
          <w:kern w:val="0"/>
          <w:sz w:val="32"/>
          <w:szCs w:val="32"/>
          <w:highlight w:val="none"/>
          <w:shd w:val="clear" w:color="auto" w:fill="auto"/>
        </w:rPr>
      </w:pPr>
    </w:p>
    <w:tbl>
      <w:tblPr>
        <w:tblStyle w:val="8"/>
        <w:tblpPr w:leftFromText="180" w:rightFromText="180" w:vertAnchor="text" w:horzAnchor="page" w:tblpX="1112" w:tblpY="200"/>
        <w:tblOverlap w:val="never"/>
        <w:tblW w:w="98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469"/>
        <w:gridCol w:w="960"/>
        <w:gridCol w:w="1194"/>
        <w:gridCol w:w="1081"/>
        <w:gridCol w:w="917"/>
        <w:gridCol w:w="1038"/>
        <w:gridCol w:w="1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7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7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5</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85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2025年中央补助地方公共文化服务体系建设补助资金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223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20"/>
                <w:szCs w:val="20"/>
                <w:u w:val="none"/>
                <w:shd w:val="clear" w:color="auto" w:fill="auto"/>
                <w:lang w:val="en-US" w:eastAsia="zh-CN"/>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年度预算总额：</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both"/>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31.20</w:t>
            </w:r>
          </w:p>
        </w:tc>
        <w:tc>
          <w:tcPr>
            <w:tcW w:w="119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31.20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223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85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实现各发射台站按规定完整转播好中央广播电视节目，做到“满功率、满调幅度、满时间”安全播出。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发射机维修数量（2部）</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=2部</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数字发射机满功率满时间满调制度播出率（%）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中央数字广播电视节目播出任务完成率（%）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项目经费支出</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&lt;=31.20万元</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项目成本控制率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广播节目综合人口覆盖率（%）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&gt;98.7%</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电视节目综合人口覆盖率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&gt;98.9%</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环境友好无污染</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有效改善</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6</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转播广播电视节目的满意度</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&gt;=90%</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满意度赋分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bl>
    <w:p>
      <w:pPr>
        <w:pStyle w:val="2"/>
        <w:jc w:val="both"/>
        <w:rPr>
          <w:rFonts w:hint="eastAsia"/>
        </w:rPr>
      </w:pPr>
    </w:p>
    <w:tbl>
      <w:tblPr>
        <w:tblStyle w:val="8"/>
        <w:tblpPr w:leftFromText="180" w:rightFromText="180" w:vertAnchor="text" w:horzAnchor="page" w:tblpX="917" w:tblpY="200"/>
        <w:tblOverlap w:val="never"/>
        <w:tblW w:w="99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6"/>
        <w:gridCol w:w="1200"/>
        <w:gridCol w:w="1364"/>
        <w:gridCol w:w="810"/>
        <w:gridCol w:w="1449"/>
        <w:gridCol w:w="906"/>
        <w:gridCol w:w="1092"/>
        <w:gridCol w:w="1128"/>
        <w:gridCol w:w="10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9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9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5</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20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754"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20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石榴云融媒体技术平台运维服务年费(非定额)</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213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20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年度预算总额：</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25.00</w:t>
            </w:r>
          </w:p>
        </w:tc>
        <w:tc>
          <w:tcPr>
            <w:tcW w:w="1449" w:type="dxa"/>
            <w:tcBorders>
              <w:top w:val="single" w:color="000000" w:sz="4" w:space="0"/>
              <w:left w:val="nil"/>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其中：财政拨款</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caps w:val="0"/>
                <w:color w:val="333333"/>
                <w:spacing w:val="0"/>
                <w:sz w:val="21"/>
                <w:szCs w:val="21"/>
                <w:shd w:val="clear" w:color="auto" w:fill="auto"/>
              </w:rPr>
              <w:t>25.00</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213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220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754"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县财政拨付25万，为切实保障用户和数据互通，全网覆盖包含内容选题、数据监控、传播简报、传播效果评估等业务全流程，汇聚采编播发等应用，日常工作的运行维护工作。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0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自建专题数据量</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&gt;=10000阅读量</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好地方客户端更换服务</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&lt;=4次</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好地方客户端技术服务咨询标准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每周5天*8小时</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客户端问题和故障排查解决服务标准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每周7天*24小时</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项目投资比例</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&lt;=100%</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应用服务各项配置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有效保障</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直接赋分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06"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10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群众满意度</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&gt;=95%</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满意度赋分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eastAsia="仿宋_GB2312"/>
          <w:sz w:val="32"/>
          <w:szCs w:val="32"/>
          <w:highlight w:val="none"/>
          <w:lang w:eastAsia="zh-CN"/>
        </w:rPr>
      </w:pPr>
      <w:r>
        <w:rPr>
          <w:rFonts w:hint="eastAsia" w:ascii="仿宋_GB2312" w:eastAsia="仿宋_GB2312"/>
          <w:sz w:val="32"/>
          <w:szCs w:val="32"/>
          <w:highlight w:val="none"/>
        </w:rPr>
        <w:t>本部门</w:t>
      </w:r>
      <w:r>
        <w:rPr>
          <w:rFonts w:hint="eastAsia" w:ascii="仿宋_GB2312" w:eastAsia="仿宋_GB2312"/>
          <w:sz w:val="32"/>
          <w:szCs w:val="32"/>
          <w:highlight w:val="none"/>
          <w:lang w:eastAsia="zh-CN"/>
        </w:rPr>
        <w:t>涉及</w:t>
      </w:r>
      <w:r>
        <w:rPr>
          <w:rFonts w:hint="eastAsia" w:ascii="仿宋_GB2312" w:eastAsia="仿宋_GB2312"/>
          <w:sz w:val="32"/>
          <w:szCs w:val="32"/>
          <w:highlight w:val="none"/>
        </w:rPr>
        <w:t>非财政拨款项目</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个，涉及预算金额</w:t>
      </w:r>
      <w:r>
        <w:rPr>
          <w:rFonts w:hint="eastAsia" w:ascii="仿宋_GB2312" w:eastAsia="仿宋_GB2312"/>
          <w:sz w:val="32"/>
          <w:szCs w:val="32"/>
          <w:highlight w:val="none"/>
          <w:lang w:val="en-US" w:eastAsia="zh-CN"/>
        </w:rPr>
        <w:t>175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，主要原因是用于</w:t>
      </w:r>
      <w:r>
        <w:rPr>
          <w:rFonts w:hint="eastAsia" w:ascii="仿宋_GB2312" w:eastAsia="仿宋_GB2312"/>
          <w:sz w:val="32"/>
          <w:szCs w:val="32"/>
          <w:highlight w:val="none"/>
          <w:lang w:val="en-US" w:eastAsia="zh-CN"/>
        </w:rPr>
        <w:t>2024年呼图壁县特色文化推广中心二期工程项目、购置公务用车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不公开绩效目标表</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当年财政拨款项目中SM</w:t>
      </w:r>
      <w:r>
        <w:rPr>
          <w:rFonts w:hint="eastAsia" w:ascii="仿宋_GB2312" w:eastAsia="仿宋_GB2312"/>
          <w:sz w:val="32"/>
          <w:szCs w:val="32"/>
          <w:highlight w:val="none"/>
        </w:rPr>
        <w:t>项目</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个，涉及预算金额</w:t>
      </w:r>
      <w:r>
        <w:rPr>
          <w:rFonts w:hint="eastAsia" w:ascii="仿宋_GB2312" w:eastAsia="仿宋_GB2312"/>
          <w:sz w:val="32"/>
          <w:szCs w:val="32"/>
          <w:highlight w:val="none"/>
          <w:lang w:val="en-US" w:eastAsia="zh-CN"/>
        </w:rPr>
        <w:t>3.22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不公开绩效目标表。</w:t>
      </w:r>
      <w:r>
        <w:rPr>
          <w:rFonts w:hint="eastAsia" w:ascii="仿宋_GB2312" w:eastAsia="仿宋_GB2312"/>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hAnsi="宋体" w:eastAsia="仿宋_GB2312" w:cs="宋体"/>
          <w:kern w:val="0"/>
          <w:sz w:val="32"/>
          <w:szCs w:val="32"/>
          <w:highlight w:val="none"/>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呼图壁县融媒体中心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481500"/>
    <w:rsid w:val="00E41A1F"/>
    <w:rsid w:val="017B2F92"/>
    <w:rsid w:val="01C86F24"/>
    <w:rsid w:val="020E507E"/>
    <w:rsid w:val="02732F8E"/>
    <w:rsid w:val="02CB7F49"/>
    <w:rsid w:val="035724A9"/>
    <w:rsid w:val="037800D1"/>
    <w:rsid w:val="04267087"/>
    <w:rsid w:val="04267B2D"/>
    <w:rsid w:val="044C330C"/>
    <w:rsid w:val="045F2218"/>
    <w:rsid w:val="05047A90"/>
    <w:rsid w:val="05397FD9"/>
    <w:rsid w:val="05424CDF"/>
    <w:rsid w:val="057A5F58"/>
    <w:rsid w:val="05B7280E"/>
    <w:rsid w:val="05CA273A"/>
    <w:rsid w:val="06847901"/>
    <w:rsid w:val="06D26547"/>
    <w:rsid w:val="070E6657"/>
    <w:rsid w:val="072C4E78"/>
    <w:rsid w:val="075A7166"/>
    <w:rsid w:val="080E3E4F"/>
    <w:rsid w:val="084451C2"/>
    <w:rsid w:val="08450B28"/>
    <w:rsid w:val="08521BF8"/>
    <w:rsid w:val="085737D6"/>
    <w:rsid w:val="08762705"/>
    <w:rsid w:val="088F5575"/>
    <w:rsid w:val="08E81855"/>
    <w:rsid w:val="09CD7B32"/>
    <w:rsid w:val="0A4168EC"/>
    <w:rsid w:val="0AD672A7"/>
    <w:rsid w:val="0AE273B2"/>
    <w:rsid w:val="0B247F12"/>
    <w:rsid w:val="0B7C3034"/>
    <w:rsid w:val="0B841FFD"/>
    <w:rsid w:val="0B88746E"/>
    <w:rsid w:val="0BD56A2F"/>
    <w:rsid w:val="0C0A3890"/>
    <w:rsid w:val="0C185DE0"/>
    <w:rsid w:val="0CD20198"/>
    <w:rsid w:val="0CEC568C"/>
    <w:rsid w:val="0D6E5FD0"/>
    <w:rsid w:val="0E320E7D"/>
    <w:rsid w:val="0E9208E7"/>
    <w:rsid w:val="0F616080"/>
    <w:rsid w:val="10517565"/>
    <w:rsid w:val="10587512"/>
    <w:rsid w:val="105D0E37"/>
    <w:rsid w:val="107E1268"/>
    <w:rsid w:val="10916BDA"/>
    <w:rsid w:val="11036B00"/>
    <w:rsid w:val="1113128F"/>
    <w:rsid w:val="11301FEB"/>
    <w:rsid w:val="11B6451D"/>
    <w:rsid w:val="11E57CB8"/>
    <w:rsid w:val="121E62E8"/>
    <w:rsid w:val="12490F8C"/>
    <w:rsid w:val="12E71054"/>
    <w:rsid w:val="131A6007"/>
    <w:rsid w:val="134C5623"/>
    <w:rsid w:val="13531158"/>
    <w:rsid w:val="13A421D4"/>
    <w:rsid w:val="13CC1070"/>
    <w:rsid w:val="14866E97"/>
    <w:rsid w:val="1697741D"/>
    <w:rsid w:val="16D64DAC"/>
    <w:rsid w:val="192C3C2E"/>
    <w:rsid w:val="19A215AC"/>
    <w:rsid w:val="19D762C9"/>
    <w:rsid w:val="19DE04BC"/>
    <w:rsid w:val="1A132B78"/>
    <w:rsid w:val="1AAF7F0E"/>
    <w:rsid w:val="1AC437A4"/>
    <w:rsid w:val="1B153D26"/>
    <w:rsid w:val="1BEB54C3"/>
    <w:rsid w:val="1C3C6084"/>
    <w:rsid w:val="1C8C02F2"/>
    <w:rsid w:val="1D25698B"/>
    <w:rsid w:val="1D3E1AFE"/>
    <w:rsid w:val="1D4B4DCB"/>
    <w:rsid w:val="1DD93C6D"/>
    <w:rsid w:val="1DDF4110"/>
    <w:rsid w:val="1E6432D4"/>
    <w:rsid w:val="1E6C0EFD"/>
    <w:rsid w:val="1E89232D"/>
    <w:rsid w:val="1E9361DC"/>
    <w:rsid w:val="1EB61656"/>
    <w:rsid w:val="1F696C89"/>
    <w:rsid w:val="20407429"/>
    <w:rsid w:val="208E0009"/>
    <w:rsid w:val="20CF3CE4"/>
    <w:rsid w:val="20DD55C0"/>
    <w:rsid w:val="22482FA6"/>
    <w:rsid w:val="22922CB8"/>
    <w:rsid w:val="22DB78DD"/>
    <w:rsid w:val="244D65B8"/>
    <w:rsid w:val="2492221D"/>
    <w:rsid w:val="24B42D8E"/>
    <w:rsid w:val="250855AF"/>
    <w:rsid w:val="251C169A"/>
    <w:rsid w:val="258B383C"/>
    <w:rsid w:val="263B7010"/>
    <w:rsid w:val="26841C58"/>
    <w:rsid w:val="26B4291F"/>
    <w:rsid w:val="26BD282A"/>
    <w:rsid w:val="26E769FA"/>
    <w:rsid w:val="27571FF8"/>
    <w:rsid w:val="286D65BC"/>
    <w:rsid w:val="28D9041B"/>
    <w:rsid w:val="293B2E83"/>
    <w:rsid w:val="29614BD5"/>
    <w:rsid w:val="2A6F4CF9"/>
    <w:rsid w:val="2AFC4894"/>
    <w:rsid w:val="2B3A05DE"/>
    <w:rsid w:val="2B6901C6"/>
    <w:rsid w:val="2C73145E"/>
    <w:rsid w:val="2D480265"/>
    <w:rsid w:val="2D977453"/>
    <w:rsid w:val="2E2943BA"/>
    <w:rsid w:val="2EF22236"/>
    <w:rsid w:val="2FA74BAD"/>
    <w:rsid w:val="2FED29FE"/>
    <w:rsid w:val="2FF970AA"/>
    <w:rsid w:val="300E1D4A"/>
    <w:rsid w:val="30B05F05"/>
    <w:rsid w:val="30CF78DD"/>
    <w:rsid w:val="30EC5360"/>
    <w:rsid w:val="310F3573"/>
    <w:rsid w:val="312F3CCF"/>
    <w:rsid w:val="316A0CBF"/>
    <w:rsid w:val="318C4502"/>
    <w:rsid w:val="31934FB8"/>
    <w:rsid w:val="32423B9E"/>
    <w:rsid w:val="32854C46"/>
    <w:rsid w:val="32D560F7"/>
    <w:rsid w:val="33355C8A"/>
    <w:rsid w:val="33482361"/>
    <w:rsid w:val="33A76F60"/>
    <w:rsid w:val="341E7629"/>
    <w:rsid w:val="34EF7412"/>
    <w:rsid w:val="35765BBE"/>
    <w:rsid w:val="35D209AD"/>
    <w:rsid w:val="35F117C8"/>
    <w:rsid w:val="364C03B9"/>
    <w:rsid w:val="365868D3"/>
    <w:rsid w:val="37637FD8"/>
    <w:rsid w:val="378B0714"/>
    <w:rsid w:val="38284F1B"/>
    <w:rsid w:val="38580BE3"/>
    <w:rsid w:val="390E7922"/>
    <w:rsid w:val="391725D9"/>
    <w:rsid w:val="39867635"/>
    <w:rsid w:val="39B0409D"/>
    <w:rsid w:val="3A0859F2"/>
    <w:rsid w:val="3B3E1949"/>
    <w:rsid w:val="3BE45FB7"/>
    <w:rsid w:val="3BF21AC7"/>
    <w:rsid w:val="3C013037"/>
    <w:rsid w:val="3C423D30"/>
    <w:rsid w:val="3D003F01"/>
    <w:rsid w:val="3D373EC3"/>
    <w:rsid w:val="3D851B16"/>
    <w:rsid w:val="3E620D1A"/>
    <w:rsid w:val="3FC370AD"/>
    <w:rsid w:val="3FDB75D6"/>
    <w:rsid w:val="3FDF4D23"/>
    <w:rsid w:val="3FED5808"/>
    <w:rsid w:val="40435C9F"/>
    <w:rsid w:val="40D82C29"/>
    <w:rsid w:val="41083B3B"/>
    <w:rsid w:val="41270465"/>
    <w:rsid w:val="415E1940"/>
    <w:rsid w:val="419E6BF6"/>
    <w:rsid w:val="41DB2FFE"/>
    <w:rsid w:val="41DE5E37"/>
    <w:rsid w:val="427A31CC"/>
    <w:rsid w:val="42F779C3"/>
    <w:rsid w:val="43502DA9"/>
    <w:rsid w:val="438165F3"/>
    <w:rsid w:val="43C26223"/>
    <w:rsid w:val="43D8307E"/>
    <w:rsid w:val="44507CD3"/>
    <w:rsid w:val="44AF5181"/>
    <w:rsid w:val="44BB3494"/>
    <w:rsid w:val="44C5035C"/>
    <w:rsid w:val="44D55303"/>
    <w:rsid w:val="455A018C"/>
    <w:rsid w:val="455A09F3"/>
    <w:rsid w:val="45A26EA5"/>
    <w:rsid w:val="46650188"/>
    <w:rsid w:val="46B02CAB"/>
    <w:rsid w:val="46CE3131"/>
    <w:rsid w:val="477158A3"/>
    <w:rsid w:val="4809746D"/>
    <w:rsid w:val="480B2937"/>
    <w:rsid w:val="48D126A8"/>
    <w:rsid w:val="493059DD"/>
    <w:rsid w:val="494F7907"/>
    <w:rsid w:val="49CB209E"/>
    <w:rsid w:val="4A9421DF"/>
    <w:rsid w:val="4ADF73DC"/>
    <w:rsid w:val="4B1B26BD"/>
    <w:rsid w:val="4B315A3D"/>
    <w:rsid w:val="4BF239EA"/>
    <w:rsid w:val="4C0055E5"/>
    <w:rsid w:val="4C3677AE"/>
    <w:rsid w:val="4C706B3A"/>
    <w:rsid w:val="4C895F62"/>
    <w:rsid w:val="4D507C40"/>
    <w:rsid w:val="4D550FF9"/>
    <w:rsid w:val="4DCD3702"/>
    <w:rsid w:val="4E02140A"/>
    <w:rsid w:val="4ECB4B3A"/>
    <w:rsid w:val="4F3B332E"/>
    <w:rsid w:val="508D041E"/>
    <w:rsid w:val="51C15CED"/>
    <w:rsid w:val="52285DEB"/>
    <w:rsid w:val="52577823"/>
    <w:rsid w:val="52AD62F0"/>
    <w:rsid w:val="52FC13E2"/>
    <w:rsid w:val="533C73D0"/>
    <w:rsid w:val="53A94D0A"/>
    <w:rsid w:val="53E66ED1"/>
    <w:rsid w:val="540F1766"/>
    <w:rsid w:val="546308FE"/>
    <w:rsid w:val="55DE0194"/>
    <w:rsid w:val="55FC752A"/>
    <w:rsid w:val="56FE59C9"/>
    <w:rsid w:val="570D735E"/>
    <w:rsid w:val="571B2674"/>
    <w:rsid w:val="57232D71"/>
    <w:rsid w:val="585A78E0"/>
    <w:rsid w:val="589917F1"/>
    <w:rsid w:val="58D00B01"/>
    <w:rsid w:val="59715CF1"/>
    <w:rsid w:val="59B241EC"/>
    <w:rsid w:val="5A5E27F6"/>
    <w:rsid w:val="5A67358A"/>
    <w:rsid w:val="5A704801"/>
    <w:rsid w:val="5A8C5E4D"/>
    <w:rsid w:val="5A910365"/>
    <w:rsid w:val="5AED2A9A"/>
    <w:rsid w:val="5B631AF3"/>
    <w:rsid w:val="5C4F394F"/>
    <w:rsid w:val="5D5245F4"/>
    <w:rsid w:val="5D9E1657"/>
    <w:rsid w:val="5E225DE5"/>
    <w:rsid w:val="5E257683"/>
    <w:rsid w:val="5E5D5E7C"/>
    <w:rsid w:val="5E7802BC"/>
    <w:rsid w:val="5EE078B0"/>
    <w:rsid w:val="5F0D5523"/>
    <w:rsid w:val="5F2346ED"/>
    <w:rsid w:val="5F2C7635"/>
    <w:rsid w:val="5F9C2EE3"/>
    <w:rsid w:val="60FC4A1D"/>
    <w:rsid w:val="61086613"/>
    <w:rsid w:val="61686204"/>
    <w:rsid w:val="61A462D0"/>
    <w:rsid w:val="624C04A5"/>
    <w:rsid w:val="62917095"/>
    <w:rsid w:val="630E06E5"/>
    <w:rsid w:val="6408782B"/>
    <w:rsid w:val="64D45BD8"/>
    <w:rsid w:val="65322CBF"/>
    <w:rsid w:val="65B35574"/>
    <w:rsid w:val="65C658ED"/>
    <w:rsid w:val="666E0E13"/>
    <w:rsid w:val="66BB2693"/>
    <w:rsid w:val="66CE236B"/>
    <w:rsid w:val="66EB62A1"/>
    <w:rsid w:val="673628C1"/>
    <w:rsid w:val="676705EF"/>
    <w:rsid w:val="67963EA0"/>
    <w:rsid w:val="6839134F"/>
    <w:rsid w:val="689A3384"/>
    <w:rsid w:val="68CC52CB"/>
    <w:rsid w:val="68DE4FFE"/>
    <w:rsid w:val="691B0000"/>
    <w:rsid w:val="694B58D7"/>
    <w:rsid w:val="69CE4E15"/>
    <w:rsid w:val="69EC15D6"/>
    <w:rsid w:val="6A800AE3"/>
    <w:rsid w:val="6B3E7E06"/>
    <w:rsid w:val="6B7F3246"/>
    <w:rsid w:val="6BF904A6"/>
    <w:rsid w:val="6CB5251A"/>
    <w:rsid w:val="6CC612EB"/>
    <w:rsid w:val="6CD429A0"/>
    <w:rsid w:val="6D992ED0"/>
    <w:rsid w:val="6E461037"/>
    <w:rsid w:val="6E8E6EBE"/>
    <w:rsid w:val="6ECF4A30"/>
    <w:rsid w:val="6EF07839"/>
    <w:rsid w:val="6F146B0A"/>
    <w:rsid w:val="6F63000B"/>
    <w:rsid w:val="6FCF0C72"/>
    <w:rsid w:val="708A2754"/>
    <w:rsid w:val="71500A63"/>
    <w:rsid w:val="717C1858"/>
    <w:rsid w:val="718F377F"/>
    <w:rsid w:val="72696DDB"/>
    <w:rsid w:val="72701C34"/>
    <w:rsid w:val="72B56DCF"/>
    <w:rsid w:val="72E964BC"/>
    <w:rsid w:val="735C7C42"/>
    <w:rsid w:val="73602CDF"/>
    <w:rsid w:val="745E3DE9"/>
    <w:rsid w:val="74CD4D11"/>
    <w:rsid w:val="74D07EF1"/>
    <w:rsid w:val="74DC674B"/>
    <w:rsid w:val="752E0428"/>
    <w:rsid w:val="75AF3E04"/>
    <w:rsid w:val="75B570E6"/>
    <w:rsid w:val="75BF3AC1"/>
    <w:rsid w:val="75F611AC"/>
    <w:rsid w:val="7706409E"/>
    <w:rsid w:val="77705A50"/>
    <w:rsid w:val="7797777E"/>
    <w:rsid w:val="780A1873"/>
    <w:rsid w:val="787D11B8"/>
    <w:rsid w:val="78A771BA"/>
    <w:rsid w:val="78AC6820"/>
    <w:rsid w:val="792C5912"/>
    <w:rsid w:val="79BB0CFB"/>
    <w:rsid w:val="79BC0933"/>
    <w:rsid w:val="7A611983"/>
    <w:rsid w:val="7A836E0C"/>
    <w:rsid w:val="7AB0252F"/>
    <w:rsid w:val="7BA00B80"/>
    <w:rsid w:val="7C151609"/>
    <w:rsid w:val="7C245483"/>
    <w:rsid w:val="7CBA4FE2"/>
    <w:rsid w:val="7D06612B"/>
    <w:rsid w:val="7DE92636"/>
    <w:rsid w:val="7E50153F"/>
    <w:rsid w:val="7E880152"/>
    <w:rsid w:val="7E8B30DA"/>
    <w:rsid w:val="7F0E1D0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spacing w:line="0" w:lineRule="atLeast"/>
      <w:jc w:val="center"/>
      <w:outlineLvl w:val="1"/>
    </w:pPr>
    <w:rPr>
      <w:rFonts w:ascii="Times New Roman" w:hAnsi="Times New Roman"/>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2369</Words>
  <Characters>3103</Characters>
  <Lines>0</Lines>
  <Paragraphs>0</Paragraphs>
  <TotalTime>23</TotalTime>
  <ScaleCrop>false</ScaleCrop>
  <LinksUpToDate>false</LinksUpToDate>
  <CharactersWithSpaces>3601</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2025-07-17T10:25:40Z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D2E773E13B9746FBAEDB26D8D85F6AF7_13</vt:lpwstr>
  </property>
  <property fmtid="{D5CDD505-2E9C-101B-9397-08002B2CF9AE}" pid="4" name="KSOTemplateDocerSaveRecord">
    <vt:lpwstr>eyJoZGlkIjoiN2EyMTIxNTJlMjY2NjM5NjdjYmYwZjVhYjA4ZGEwODEiLCJ1c2VySWQiOiI0MjYzNjAxNTMifQ==</vt:lpwstr>
  </property>
</Properties>
</file>