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10"/>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黑体" w:hAnsi="ArialUnicodeMS" w:eastAsia="黑体" w:cs="Times New Roman"/>
          <w:color w:val="000000"/>
          <w:sz w:val="44"/>
          <w:szCs w:val="44"/>
          <w:lang w:val="en-US" w:eastAsia="zh-CN"/>
        </w:rPr>
        <w:t>中共呼图壁县委员会宣传部</w:t>
      </w: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p>
    <w:p>
      <w:pPr>
        <w:widowControl/>
        <w:spacing w:before="100" w:beforeAutospacing="1" w:after="100" w:afterAutospacing="1"/>
        <w:jc w:val="center"/>
        <w:outlineLvl w:val="1"/>
        <w:rPr>
          <w:rFonts w:hint="default" w:ascii="黑体" w:hAnsi="ArialUnicodeMS" w:eastAsia="黑体" w:cs="Times New Roman"/>
          <w:color w:val="000000"/>
          <w:sz w:val="44"/>
          <w:szCs w:val="44"/>
          <w:lang w:val="en-US" w:eastAsia="zh-CN"/>
        </w:rPr>
      </w:pPr>
      <w:r>
        <w:rPr>
          <w:rFonts w:hint="eastAsia" w:ascii="黑体" w:hAnsi="ArialUnicodeMS" w:eastAsia="黑体" w:cs="Times New Roman"/>
          <w:color w:val="000000"/>
          <w:sz w:val="44"/>
          <w:szCs w:val="44"/>
          <w:lang w:val="en-US" w:eastAsia="zh-CN"/>
        </w:rPr>
        <w:t>2025年部门预算公开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jc w:val="center"/>
        <w:rPr>
          <w:rFonts w:hint="eastAsia" w:ascii="黑体" w:hAnsi="Calibri" w:eastAsia="黑体" w:cs="Times New Roman"/>
          <w:color w:val="000000"/>
          <w:sz w:val="36"/>
          <w:szCs w:val="36"/>
        </w:rPr>
      </w:pPr>
      <w:r>
        <w:rPr>
          <w:rFonts w:hint="eastAsia" w:ascii="黑体" w:hAnsi="Calibri" w:eastAsia="黑体" w:cs="Times New Roman"/>
          <w:color w:val="000000"/>
          <w:sz w:val="36"/>
          <w:szCs w:val="36"/>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2025年中共呼图壁县委员会宣传部部门</w:t>
      </w:r>
      <w:r>
        <w:rPr>
          <w:rFonts w:hint="eastAsia" w:ascii="仿宋" w:hAnsi="仿宋" w:eastAsia="仿宋" w:cs="Times New Roman"/>
          <w:b/>
          <w:color w:val="000000"/>
          <w:sz w:val="28"/>
          <w:szCs w:val="28"/>
        </w:rPr>
        <w:t>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 xml:space="preserve">第二部分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 w:hAnsi="仿宋" w:eastAsia="仿宋" w:cs="Times New Roman"/>
          <w:b/>
          <w:color w:val="000000"/>
          <w:sz w:val="28"/>
          <w:szCs w:val="28"/>
        </w:rPr>
        <w:t xml:space="preserve">第三部分  </w:t>
      </w:r>
      <w:r>
        <w:rPr>
          <w:rFonts w:hint="eastAsia" w:ascii="仿宋" w:hAnsi="仿宋" w:eastAsia="仿宋" w:cs="Times New Roman"/>
          <w:b/>
          <w:color w:val="000000"/>
          <w:sz w:val="28"/>
          <w:szCs w:val="28"/>
          <w:lang w:val="en-US" w:eastAsia="zh-CN"/>
        </w:rPr>
        <w:t>2025</w:t>
      </w:r>
      <w:r>
        <w:rPr>
          <w:rFonts w:hint="eastAsia" w:ascii="仿宋" w:hAnsi="仿宋" w:eastAsia="仿宋" w:cs="Times New Roman"/>
          <w:b/>
          <w:color w:val="000000"/>
          <w:sz w:val="28"/>
          <w:szCs w:val="28"/>
        </w:rPr>
        <w:t>年</w:t>
      </w:r>
      <w:r>
        <w:rPr>
          <w:rFonts w:hint="eastAsia" w:ascii="仿宋" w:hAnsi="仿宋" w:eastAsia="仿宋" w:cs="Times New Roman"/>
          <w:b/>
          <w:color w:val="000000"/>
          <w:sz w:val="28"/>
          <w:szCs w:val="28"/>
          <w:lang w:eastAsia="zh-CN"/>
        </w:rPr>
        <w:t>部门</w:t>
      </w:r>
      <w:r>
        <w:rPr>
          <w:rFonts w:hint="eastAsia" w:ascii="仿宋" w:hAnsi="仿宋" w:eastAsia="仿宋" w:cs="Times New Roman"/>
          <w:b/>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一、关于</w:t>
      </w:r>
      <w:r>
        <w:rPr>
          <w:rFonts w:hint="eastAsia" w:ascii="仿宋" w:hAnsi="仿宋" w:eastAsia="仿宋" w:cs="Times New Roman"/>
          <w:color w:val="000000"/>
          <w:sz w:val="28"/>
          <w:szCs w:val="28"/>
          <w:lang w:val="en-US" w:eastAsia="zh-CN"/>
        </w:rPr>
        <w:t>中共呼图壁县委员会宣传部2025年</w:t>
      </w:r>
      <w:r>
        <w:rPr>
          <w:rFonts w:hint="eastAsia" w:ascii="仿宋" w:hAnsi="仿宋" w:eastAsia="仿宋" w:cs="Times New Roman"/>
          <w:color w:val="000000"/>
          <w:sz w:val="28"/>
          <w:szCs w:val="28"/>
          <w:lang w:val="en-US" w:eastAsia="zh-Hans"/>
        </w:rPr>
        <w:t>收支预算情况的总体说明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二、关于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年收入预算情况说明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三、关于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年支出预算情况说明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四、关于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五、关于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六、关于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七、关于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八、关于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九、关于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年财政拨款“三公”经费预算情况说明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十一、关于</w:t>
      </w:r>
      <w:r>
        <w:rPr>
          <w:rFonts w:hint="eastAsia" w:ascii="仿宋" w:hAnsi="仿宋" w:eastAsia="仿宋" w:cs="Times New Roman"/>
          <w:color w:val="000000"/>
          <w:sz w:val="28"/>
          <w:szCs w:val="28"/>
          <w:lang w:val="en-US" w:eastAsia="zh-CN"/>
        </w:rPr>
        <w:t>中共呼图壁县委员会宣传部2025</w:t>
      </w:r>
      <w:r>
        <w:rPr>
          <w:rFonts w:hint="eastAsia" w:ascii="仿宋" w:hAnsi="仿宋" w:eastAsia="仿宋" w:cs="Times New Roman"/>
          <w:color w:val="000000"/>
          <w:sz w:val="28"/>
          <w:szCs w:val="28"/>
          <w:lang w:val="en-US" w:eastAsia="zh-Hans"/>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lang w:val="en-US" w:eastAsia="zh-Hans"/>
        </w:rPr>
        <w:t>预算情况说明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lang w:val="en-US" w:eastAsia="zh-Hans"/>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562" w:firstLineChars="200"/>
        <w:jc w:val="both"/>
        <w:textAlignment w:val="auto"/>
        <w:outlineLvl w:val="9"/>
        <w:rPr>
          <w:rFonts w:hint="eastAsia" w:ascii="仿宋" w:hAnsi="仿宋" w:eastAsia="仿宋" w:cs="Times New Roman"/>
          <w:b/>
          <w:color w:val="000000"/>
          <w:sz w:val="28"/>
          <w:szCs w:val="28"/>
          <w:lang w:val="en-US" w:eastAsia="zh-CN"/>
        </w:rPr>
      </w:pPr>
      <w:r>
        <w:rPr>
          <w:rFonts w:hint="eastAsia" w:ascii="仿宋" w:hAnsi="仿宋" w:eastAsia="仿宋" w:cs="Times New Roman"/>
          <w:b/>
          <w:color w:val="000000"/>
          <w:sz w:val="28"/>
          <w:szCs w:val="28"/>
          <w:lang w:val="en-US" w:eastAsia="zh-CN"/>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2025年中共呼图壁县委员会宣传部部门概况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bCs w:val="0"/>
          <w:kern w:val="2"/>
          <w:sz w:val="28"/>
          <w:szCs w:val="28"/>
          <w:lang w:val="en-US" w:eastAsia="zh-CN"/>
        </w:rPr>
      </w:pPr>
      <w:r>
        <w:rPr>
          <w:rFonts w:hint="eastAsia" w:ascii="仿宋" w:hAnsi="华文楷体" w:eastAsia="仿宋" w:cs="Times New Roman"/>
          <w:b/>
          <w:bCs w:val="0"/>
          <w:kern w:val="2"/>
          <w:sz w:val="28"/>
          <w:szCs w:val="28"/>
          <w:lang w:val="en-US" w:eastAsia="zh-CN"/>
        </w:rPr>
        <w:t>一、主要职能</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负责指导全县理论学习、理论宣传、理论研究工作；负责县哲学家和社会科学联合会办公室的日常工作。负责引导社会舆论，指导、协调新闻单位紧紧围绕党的中心任务和重点工作，组织战役性宣传；对广播电视局等单位的工作实施方针政策的指导和宏观管理；负责全县对外宣传工作的组织、指导、协调；负责指导新闻工作者协会办公室的工作。负责规划、部署全县的思想政治工作任务；负责指导、协调全县各行业思想政治工作研究会工作，负责全县企业职工思想政治工作研究会的日常工作；负责全县民族团结教育工作；配合县委组织部作好党员教育工作；编写党员教育材料；会同有关单位研究和改进群众思想教育工作。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负责从宏观上指导全县精神产品的生产和文化市场的管理以及体育工作的开展，对全县文化、体育、文联工作在政治方向和方针政策方面实范指导。负责提出全县宣传思想文化事业发展的指导方针，指导宣传文化系统制定有关政策、法规，协调宣传文化系统各单位工作；负责宣传思想工作的督查，及时向县委反映重要情况，提出建议；配合组织单位做好宣传文化系统干部的考察工作；负责组织、协调重大节日、纪念日的宣传和庆祝活动；负责组织、协调全县大型文体活动和社会宣传工作。指导县委干部理论教育讲师团的工作，负责县文学艺术联合会的工作。完成县委、县人民政府交办的其它任务。</w:t>
      </w: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bCs w:val="0"/>
          <w:kern w:val="2"/>
          <w:sz w:val="28"/>
          <w:szCs w:val="28"/>
          <w:lang w:val="en-US" w:eastAsia="zh-CN"/>
        </w:rPr>
      </w:pPr>
      <w:r>
        <w:rPr>
          <w:rFonts w:hint="eastAsia" w:ascii="仿宋" w:hAnsi="华文楷体" w:eastAsia="仿宋" w:cs="Times New Roman"/>
          <w:b/>
          <w:bCs w:val="0"/>
          <w:kern w:val="2"/>
          <w:sz w:val="28"/>
          <w:szCs w:val="28"/>
          <w:lang w:val="en-US" w:eastAsia="zh-CN"/>
        </w:rPr>
        <w:t>二、机构设置及人员情况</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从预算单位构成看，中共呼图壁县委员会宣传部的预算包括：中共呼图壁县委员会宣传部本级预算及下属2家预算单位在内的汇总预算。</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中共呼图壁县委员会宣传部本级下设5个科室，分别是：办公室、理论科、新闻科、文明建设科、宣传文化科。</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本单位中，行政单位1家，事业单位2家，纳入中共呼图壁县委员会宣传部2025年度预算编制范围的下属预算单位包括：</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1.中共呼图壁县委员会宣传部本级</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2.呼图壁县宣传工作服务中心</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3.呼图壁县电影放映中心</w:t>
      </w:r>
    </w:p>
    <w:p>
      <w:pPr>
        <w:spacing w:line="560" w:lineRule="exact"/>
        <w:ind w:firstLine="560" w:firstLineChars="200"/>
        <w:rPr>
          <w:rFonts w:hint="eastAsia" w:ascii="仿宋" w:hAnsi="仿宋" w:eastAsia="仿宋" w:cs="Times New Roman"/>
          <w:color w:val="000000"/>
          <w:kern w:val="2"/>
          <w:sz w:val="28"/>
          <w:szCs w:val="28"/>
          <w:lang w:val="en-US" w:eastAsia="zh-CN"/>
        </w:rPr>
      </w:pPr>
      <w:r>
        <w:rPr>
          <w:rFonts w:hint="eastAsia" w:ascii="仿宋" w:hAnsi="仿宋" w:eastAsia="仿宋" w:cs="Times New Roman"/>
          <w:color w:val="000000"/>
          <w:kern w:val="2"/>
          <w:sz w:val="28"/>
          <w:szCs w:val="28"/>
          <w:lang w:val="en-US" w:eastAsia="zh-CN"/>
        </w:rPr>
        <w:t>中共呼图壁县委员会宣传部编制数26，实有人数45人，其中：在职29人，增加1人；退休16人，增加1人；离休0人，增加0人。</w:t>
      </w:r>
    </w:p>
    <w:p>
      <w:pPr>
        <w:spacing w:line="560" w:lineRule="exact"/>
        <w:ind w:firstLine="1120" w:firstLineChars="400"/>
        <w:rPr>
          <w:rFonts w:hint="eastAsia" w:ascii="仿宋" w:hAnsi="仿宋" w:eastAsia="仿宋" w:cs="Times New Roman"/>
          <w:color w:val="000000"/>
          <w:kern w:val="2"/>
          <w:sz w:val="28"/>
          <w:szCs w:val="28"/>
          <w:lang w:val="en-US" w:eastAsia="zh-CN"/>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第二部分  2025年部门预算公开表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eastAsia="zh-CN"/>
        </w:rPr>
        <w:t>部门</w:t>
      </w:r>
      <w:r>
        <w:rPr>
          <w:rFonts w:hint="eastAsia" w:ascii="仿宋" w:hAnsi="宋体" w:eastAsia="仿宋" w:cs="Times New Roman"/>
          <w:b/>
          <w:color w:val="000000"/>
          <w:sz w:val="28"/>
          <w:szCs w:val="28"/>
        </w:rPr>
        <w:t>收支总体情况表</w:t>
      </w:r>
    </w:p>
    <w:p>
      <w:pPr>
        <w:jc w:val="left"/>
        <w:rPr>
          <w:rFonts w:hint="eastAsia" w:ascii="Calibri" w:hAnsi="Calibri" w:eastAsia="宋体" w:cs="Times New Roman"/>
          <w:color w:val="000000"/>
          <w:sz w:val="18"/>
          <w:szCs w:val="18"/>
        </w:rPr>
      </w:pPr>
    </w:p>
    <w:p>
      <w:pPr>
        <w:jc w:val="left"/>
        <w:rPr>
          <w:rFonts w:ascii="仿宋_GB2312" w:hAnsi="宋体" w:eastAsia="仿宋_GB2312"/>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项     目</w:t>
            </w:r>
          </w:p>
        </w:tc>
        <w:tc>
          <w:tcPr>
            <w:tcW w:w="110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预算数</w:t>
            </w:r>
          </w:p>
        </w:tc>
        <w:tc>
          <w:tcPr>
            <w:tcW w:w="269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功能分类</w:t>
            </w:r>
          </w:p>
        </w:tc>
        <w:tc>
          <w:tcPr>
            <w:tcW w:w="170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一、本年收入</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1278.58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1091.40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1.一般公共预算拨款</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688.58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202 外交支出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其中：一般财力</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683.58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203 国防支出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上级一般公共预算安排转移支付</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宋体" w:hAnsi="宋体" w:eastAsia="宋体" w:cs="Times New Roman"/>
                <w:b/>
                <w:color w:val="000000"/>
                <w:sz w:val="18"/>
                <w:szCs w:val="18"/>
              </w:rPr>
              <w:t>2.</w:t>
            </w:r>
            <w:r>
              <w:rPr>
                <w:rFonts w:hint="eastAsia" w:ascii="宋体" w:hAnsi="宋体" w:eastAsia="宋体" w:cs="Times New Roman"/>
                <w:b/>
                <w:color w:val="000000"/>
                <w:sz w:val="18"/>
                <w:szCs w:val="18"/>
                <w:lang w:val="en-US" w:eastAsia="zh-CN"/>
              </w:rPr>
              <w:t>政府性</w:t>
            </w:r>
            <w:r>
              <w:rPr>
                <w:rFonts w:hint="eastAsia" w:ascii="宋体" w:hAnsi="宋体" w:eastAsia="宋体" w:cs="Times New Roman"/>
                <w:b/>
                <w:color w:val="000000"/>
                <w:sz w:val="18"/>
                <w:szCs w:val="18"/>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205 教育支出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其中：政府性基金收入</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上级政府性基金安排转移支付</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9.74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3.国有资本经营预算拨款</w:t>
            </w:r>
          </w:p>
        </w:tc>
        <w:tc>
          <w:tcPr>
            <w:tcW w:w="110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56.64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其中：国有资本经营收入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535"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210</w:t>
            </w:r>
            <w:r>
              <w:rPr>
                <w:rFonts w:hint="eastAsia" w:ascii="宋体" w:hAnsi="宋体" w:eastAsia="宋体" w:cs="Times New Roman"/>
                <w:color w:val="000000"/>
                <w:sz w:val="18"/>
                <w:szCs w:val="18"/>
                <w:lang w:val="en-US" w:eastAsia="zh-CN"/>
              </w:rPr>
              <w:t xml:space="preserve"> </w:t>
            </w:r>
            <w:r>
              <w:rPr>
                <w:rFonts w:hint="eastAsia" w:ascii="宋体" w:hAnsi="宋体" w:eastAsia="宋体" w:cs="Times New Roman"/>
                <w:color w:val="000000"/>
                <w:sz w:val="18"/>
                <w:szCs w:val="18"/>
              </w:rPr>
              <w:t>卫生健康支出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50.13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4.财政专户核拨</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5.单位资金</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590</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其中：事业收入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上级补助收入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46"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附属单位上缴收入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215 资源勘探</w:t>
            </w:r>
            <w:r>
              <w:rPr>
                <w:rFonts w:hint="eastAsia" w:ascii="宋体" w:hAnsi="宋体" w:eastAsia="宋体" w:cs="Times New Roman"/>
                <w:color w:val="000000"/>
                <w:sz w:val="18"/>
                <w:szCs w:val="18"/>
                <w:lang w:val="en-US" w:eastAsia="zh-Hans"/>
              </w:rPr>
              <w:t>工业</w:t>
            </w:r>
            <w:r>
              <w:rPr>
                <w:rFonts w:hint="eastAsia" w:ascii="宋体" w:hAnsi="宋体" w:eastAsia="宋体" w:cs="Times New Roman"/>
                <w:color w:val="000000"/>
                <w:sz w:val="18"/>
                <w:szCs w:val="18"/>
              </w:rPr>
              <w:t>信息等支出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事业单位经营收入</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其他收入</w:t>
            </w:r>
          </w:p>
        </w:tc>
        <w:tc>
          <w:tcPr>
            <w:tcW w:w="1103" w:type="dxa"/>
            <w:tcBorders>
              <w:top w:val="nil"/>
              <w:left w:val="nil"/>
              <w:bottom w:val="single" w:color="auto" w:sz="4" w:space="0"/>
              <w:right w:val="single" w:color="auto" w:sz="4" w:space="0"/>
            </w:tcBorders>
            <w:noWrap w:val="0"/>
            <w:vAlign w:val="top"/>
          </w:tcPr>
          <w:p>
            <w:pPr>
              <w:jc w:val="left"/>
              <w:rPr>
                <w:rFonts w:hint="eastAsia" w:ascii="宋体" w:hAnsi="宋体" w:eastAsia="宋体" w:cs="Times New Roman"/>
                <w:b/>
                <w:color w:val="000000"/>
                <w:sz w:val="15"/>
                <w:szCs w:val="15"/>
                <w:lang w:val="en-US" w:eastAsia="zh-CN"/>
              </w:rPr>
            </w:pPr>
            <w:r>
              <w:rPr>
                <w:rFonts w:hint="default" w:ascii="宋体" w:hAnsi="宋体" w:eastAsia="宋体" w:cs="Times New Roman"/>
                <w:b/>
                <w:color w:val="000000"/>
                <w:sz w:val="15"/>
                <w:szCs w:val="15"/>
                <w:lang w:val="en-US" w:eastAsia="zh-CN"/>
              </w:rPr>
              <w:t>590.00</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217 金融支出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二、上年结转结余</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1.财政拨款结转</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其中：一般公共预算拨款</w:t>
            </w:r>
          </w:p>
        </w:tc>
        <w:tc>
          <w:tcPr>
            <w:tcW w:w="1103" w:type="dxa"/>
            <w:tcBorders>
              <w:top w:val="nil"/>
              <w:left w:val="nil"/>
              <w:bottom w:val="single" w:color="auto" w:sz="4" w:space="0"/>
              <w:right w:val="single" w:color="auto" w:sz="4" w:space="0"/>
            </w:tcBorders>
            <w:noWrap w:val="0"/>
            <w:vAlign w:val="bottom"/>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6.24</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政府性</w:t>
            </w:r>
            <w:r>
              <w:rPr>
                <w:rFonts w:hint="eastAsia" w:ascii="宋体" w:hAnsi="宋体" w:eastAsia="宋体" w:cs="Times New Roman"/>
                <w:color w:val="000000"/>
                <w:sz w:val="18"/>
                <w:szCs w:val="18"/>
              </w:rPr>
              <w:t>基金预算拨款</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国有资本经营预算拨款</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宋体" w:hAnsi="宋体" w:eastAsia="宋体" w:cs="Times New Roman"/>
                <w:b/>
                <w:color w:val="000000"/>
                <w:sz w:val="18"/>
                <w:szCs w:val="18"/>
              </w:rPr>
              <w:t>2.非财政拨款结余</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224</w:t>
            </w:r>
            <w:r>
              <w:rPr>
                <w:rFonts w:hint="eastAsia" w:ascii="宋体" w:hAnsi="宋体" w:eastAsia="宋体" w:cs="Times New Roman"/>
                <w:color w:val="000000"/>
                <w:sz w:val="18"/>
                <w:szCs w:val="18"/>
                <w:lang w:val="en-US" w:eastAsia="zh-CN"/>
              </w:rPr>
              <w:t xml:space="preserve"> </w:t>
            </w:r>
            <w:r>
              <w:rPr>
                <w:rFonts w:hint="eastAsia" w:ascii="宋体" w:hAnsi="宋体" w:eastAsia="宋体" w:cs="Times New Roman"/>
                <w:color w:val="000000"/>
                <w:sz w:val="18"/>
                <w:szCs w:val="18"/>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其中：财政专户核拨</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227 预备费</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ind w:firstLine="360" w:firstLineChars="20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单位资金</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229 其他支出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230</w:t>
            </w:r>
            <w:r>
              <w:rPr>
                <w:rFonts w:hint="eastAsia" w:ascii="宋体" w:hAnsi="宋体" w:eastAsia="宋体" w:cs="Times New Roman"/>
                <w:color w:val="000000"/>
                <w:sz w:val="18"/>
                <w:szCs w:val="18"/>
                <w:lang w:val="en-US" w:eastAsia="zh-CN"/>
              </w:rPr>
              <w:t xml:space="preserve"> </w:t>
            </w:r>
            <w:r>
              <w:rPr>
                <w:rFonts w:hint="eastAsia" w:ascii="宋体" w:hAnsi="宋体" w:eastAsia="宋体" w:cs="Times New Roman"/>
                <w:color w:val="000000"/>
                <w:sz w:val="18"/>
                <w:szCs w:val="18"/>
              </w:rPr>
              <w:t>转移性支出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c>
          <w:tcPr>
            <w:tcW w:w="2693" w:type="dxa"/>
            <w:tcBorders>
              <w:top w:val="nil"/>
              <w:left w:val="nil"/>
              <w:bottom w:val="single" w:color="auto" w:sz="4" w:space="0"/>
              <w:right w:val="nil"/>
            </w:tcBorders>
            <w:noWrap w:val="0"/>
            <w:vAlign w:val="center"/>
          </w:tcPr>
          <w:p>
            <w:pP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宋体" w:hAnsi="宋体" w:eastAsia="宋体" w:cs="Times New Roman"/>
                <w:b/>
                <w:color w:val="000000"/>
                <w:sz w:val="18"/>
                <w:szCs w:val="18"/>
              </w:rPr>
              <w:t>收  入  总  计</w:t>
            </w:r>
          </w:p>
        </w:tc>
        <w:tc>
          <w:tcPr>
            <w:tcW w:w="1103"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1284.83</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宋体" w:hAnsi="宋体" w:eastAsia="宋体" w:cs="Times New Roman"/>
                <w:b/>
                <w:color w:val="000000"/>
                <w:sz w:val="18"/>
                <w:szCs w:val="18"/>
              </w:rPr>
              <w:t>支  出  总  计</w:t>
            </w:r>
          </w:p>
        </w:tc>
        <w:tc>
          <w:tcPr>
            <w:tcW w:w="1701"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1284.83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417"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both"/>
        <w:textAlignment w:val="auto"/>
        <w:outlineLvl w:val="1"/>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14058" w:type="dxa"/>
        <w:tblInd w:w="-756" w:type="dxa"/>
        <w:tblLayout w:type="fixed"/>
        <w:tblCellMar>
          <w:top w:w="0" w:type="dxa"/>
          <w:left w:w="108" w:type="dxa"/>
          <w:bottom w:w="0" w:type="dxa"/>
          <w:right w:w="108" w:type="dxa"/>
        </w:tblCellMar>
      </w:tblPr>
      <w:tblGrid>
        <w:gridCol w:w="515"/>
        <w:gridCol w:w="451"/>
        <w:gridCol w:w="475"/>
        <w:gridCol w:w="1535"/>
        <w:gridCol w:w="969"/>
        <w:gridCol w:w="1081"/>
        <w:gridCol w:w="1033"/>
        <w:gridCol w:w="814"/>
        <w:gridCol w:w="923"/>
        <w:gridCol w:w="953"/>
        <w:gridCol w:w="845"/>
        <w:gridCol w:w="940"/>
        <w:gridCol w:w="1034"/>
        <w:gridCol w:w="1096"/>
        <w:gridCol w:w="689"/>
        <w:gridCol w:w="705"/>
      </w:tblGrid>
      <w:tr>
        <w:tblPrEx>
          <w:tblCellMar>
            <w:top w:w="0" w:type="dxa"/>
            <w:left w:w="108" w:type="dxa"/>
            <w:bottom w:w="0" w:type="dxa"/>
            <w:right w:w="108" w:type="dxa"/>
          </w:tblCellMar>
        </w:tblPrEx>
        <w:trPr>
          <w:trHeight w:val="599" w:hRule="atLeast"/>
        </w:trPr>
        <w:tc>
          <w:tcPr>
            <w:tcW w:w="144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功能分类科目编码</w:t>
            </w:r>
          </w:p>
        </w:tc>
        <w:tc>
          <w:tcPr>
            <w:tcW w:w="15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功能分类科目名称</w:t>
            </w:r>
          </w:p>
        </w:tc>
        <w:tc>
          <w:tcPr>
            <w:tcW w:w="96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总  计</w:t>
            </w:r>
          </w:p>
        </w:tc>
        <w:tc>
          <w:tcPr>
            <w:tcW w:w="658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  政  拨  款  (  补  助  )</w:t>
            </w:r>
          </w:p>
        </w:tc>
        <w:tc>
          <w:tcPr>
            <w:tcW w:w="10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财政专户（教育收费）</w:t>
            </w:r>
          </w:p>
        </w:tc>
        <w:tc>
          <w:tcPr>
            <w:tcW w:w="10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单位资金</w:t>
            </w:r>
          </w:p>
        </w:tc>
        <w:tc>
          <w:tcPr>
            <w:tcW w:w="68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非财政拨款结转结余</w:t>
            </w:r>
          </w:p>
        </w:tc>
      </w:tr>
      <w:tr>
        <w:tblPrEx>
          <w:tblCellMar>
            <w:top w:w="0" w:type="dxa"/>
            <w:left w:w="108" w:type="dxa"/>
            <w:bottom w:w="0" w:type="dxa"/>
            <w:right w:w="108" w:type="dxa"/>
          </w:tblCellMar>
        </w:tblPrEx>
        <w:trPr>
          <w:trHeight w:val="1699" w:hRule="atLeast"/>
        </w:trPr>
        <w:tc>
          <w:tcPr>
            <w:tcW w:w="515"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类</w:t>
            </w:r>
          </w:p>
        </w:tc>
        <w:tc>
          <w:tcPr>
            <w:tcW w:w="451"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款</w:t>
            </w:r>
          </w:p>
        </w:tc>
        <w:tc>
          <w:tcPr>
            <w:tcW w:w="475"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项</w:t>
            </w:r>
          </w:p>
        </w:tc>
        <w:tc>
          <w:tcPr>
            <w:tcW w:w="153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96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8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财政拨款(补助)小计</w:t>
            </w:r>
          </w:p>
        </w:tc>
        <w:tc>
          <w:tcPr>
            <w:tcW w:w="103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一般公共预算</w:t>
            </w:r>
          </w:p>
        </w:tc>
        <w:tc>
          <w:tcPr>
            <w:tcW w:w="814"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上级一般公共预算安排的转移支付</w:t>
            </w:r>
          </w:p>
        </w:tc>
        <w:tc>
          <w:tcPr>
            <w:tcW w:w="92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政府性基金预算</w:t>
            </w:r>
          </w:p>
        </w:tc>
        <w:tc>
          <w:tcPr>
            <w:tcW w:w="95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上级政府性基金安排的转移支付</w:t>
            </w:r>
          </w:p>
        </w:tc>
        <w:tc>
          <w:tcPr>
            <w:tcW w:w="84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国有资本经营预算</w:t>
            </w:r>
          </w:p>
        </w:tc>
        <w:tc>
          <w:tcPr>
            <w:tcW w:w="94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上级国有资本经营预算安排的转移支付</w:t>
            </w:r>
          </w:p>
        </w:tc>
        <w:tc>
          <w:tcPr>
            <w:tcW w:w="1034"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96"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68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70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201　</w:t>
            </w:r>
          </w:p>
        </w:tc>
        <w:tc>
          <w:tcPr>
            <w:tcW w:w="451" w:type="dxa"/>
            <w:tcBorders>
              <w:top w:val="nil"/>
              <w:left w:val="nil"/>
              <w:bottom w:val="single" w:color="auto" w:sz="4" w:space="0"/>
              <w:right w:val="single" w:color="auto" w:sz="4" w:space="0"/>
            </w:tcBorders>
            <w:shd w:val="clear" w:color="auto" w:fill="auto"/>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shd w:val="clear" w:color="auto" w:fill="auto"/>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shd w:val="clear" w:color="auto" w:fill="auto"/>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一般公共服务支出</w:t>
            </w:r>
          </w:p>
        </w:tc>
        <w:tc>
          <w:tcPr>
            <w:tcW w:w="969"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1091.40</w:t>
            </w:r>
          </w:p>
        </w:tc>
        <w:tc>
          <w:tcPr>
            <w:tcW w:w="1081"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p>
        </w:tc>
        <w:tc>
          <w:tcPr>
            <w:tcW w:w="103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p>
        </w:tc>
        <w:tc>
          <w:tcPr>
            <w:tcW w:w="814"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528.00</w:t>
            </w:r>
          </w:p>
        </w:tc>
        <w:tc>
          <w:tcPr>
            <w:tcW w:w="68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1.50</w:t>
            </w: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201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宣传事务</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1091.40</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561.90</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528.00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1.50</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201</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01</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行政运行</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235.24</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198.24</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198.24</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37.00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201</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02</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一般行政管理事务</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701.50</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210.00</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210.00</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490.00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1.50</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201</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33</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事业运行</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154.66</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153.66</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153.66</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bookmarkStart w:id="0" w:name="OLE_LINK4" w:colFirst="0" w:colLast="2"/>
            <w:bookmarkStart w:id="1" w:name="OLE_LINK5" w:colFirst="3" w:colLast="3"/>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文化旅游体育与传媒支出</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9.74</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5.00</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2" w:name="OLE_LINK2"/>
            <w:r>
              <w:rPr>
                <w:rFonts w:hint="eastAsia" w:ascii="宋体" w:hAnsi="宋体" w:eastAsia="宋体" w:cs="Times New Roman"/>
                <w:b/>
                <w:color w:val="000000"/>
                <w:sz w:val="15"/>
                <w:szCs w:val="15"/>
                <w:lang w:val="en-US" w:eastAsia="zh-CN"/>
              </w:rPr>
              <w:t>其他文化旅游体育与传媒支出</w:t>
            </w:r>
            <w:bookmarkEnd w:id="2"/>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9.74</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5.00</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03</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文化产业发展专项支出</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4.74</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207</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99</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其他文化旅游体育与传媒支出</w:t>
            </w:r>
            <w:r>
              <w:rPr>
                <w:rFonts w:hint="eastAsia" w:ascii="宋体" w:hAnsi="宋体" w:eastAsia="宋体" w:cs="Times New Roman"/>
                <w:b/>
                <w:color w:val="000000"/>
                <w:sz w:val="15"/>
                <w:szCs w:val="15"/>
              </w:rPr>
              <w:t>　</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rPr>
            </w:pPr>
            <w:r>
              <w:rPr>
                <w:rFonts w:hint="eastAsia" w:ascii="宋体" w:hAnsi="宋体" w:eastAsia="宋体" w:cs="Times New Roman"/>
                <w:b/>
                <w:color w:val="000000"/>
                <w:sz w:val="15"/>
                <w:szCs w:val="15"/>
                <w:lang w:val="en-US" w:eastAsia="zh-CN"/>
              </w:rPr>
              <w:t>5.00</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5.00</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0"/>
      <w:bookmarkEnd w:id="1"/>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bookmarkStart w:id="3" w:name="OLE_LINK7" w:colFirst="3" w:colLast="3"/>
            <w:bookmarkStart w:id="4" w:name="OLE_LINK6" w:colFirst="0" w:colLast="2"/>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社会保障卡和就业支出</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56.64</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47.64</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47.64</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行政事业单位养老支出</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56.64</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47.64</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47.64</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99" w:hRule="atLeast"/>
        </w:trPr>
        <w:tc>
          <w:tcPr>
            <w:tcW w:w="144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功能分类科目编码</w:t>
            </w:r>
          </w:p>
        </w:tc>
        <w:tc>
          <w:tcPr>
            <w:tcW w:w="15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功能分类科目名称</w:t>
            </w:r>
          </w:p>
        </w:tc>
        <w:tc>
          <w:tcPr>
            <w:tcW w:w="96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总  计</w:t>
            </w:r>
          </w:p>
        </w:tc>
        <w:tc>
          <w:tcPr>
            <w:tcW w:w="6589"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  政  拨  款  (  补  助  )</w:t>
            </w:r>
          </w:p>
        </w:tc>
        <w:tc>
          <w:tcPr>
            <w:tcW w:w="103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财政专户（教育收费）</w:t>
            </w:r>
          </w:p>
        </w:tc>
        <w:tc>
          <w:tcPr>
            <w:tcW w:w="109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单位资金</w:t>
            </w:r>
          </w:p>
        </w:tc>
        <w:tc>
          <w:tcPr>
            <w:tcW w:w="68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非财政拨款结转结余</w:t>
            </w:r>
          </w:p>
        </w:tc>
      </w:tr>
      <w:tr>
        <w:tblPrEx>
          <w:tblCellMar>
            <w:top w:w="0" w:type="dxa"/>
            <w:left w:w="108" w:type="dxa"/>
            <w:bottom w:w="0" w:type="dxa"/>
            <w:right w:w="108" w:type="dxa"/>
          </w:tblCellMar>
        </w:tblPrEx>
        <w:trPr>
          <w:trHeight w:val="1699" w:hRule="atLeast"/>
        </w:trPr>
        <w:tc>
          <w:tcPr>
            <w:tcW w:w="515" w:type="dxa"/>
            <w:tcBorders>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类</w:t>
            </w:r>
          </w:p>
        </w:tc>
        <w:tc>
          <w:tcPr>
            <w:tcW w:w="451"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款</w:t>
            </w:r>
          </w:p>
        </w:tc>
        <w:tc>
          <w:tcPr>
            <w:tcW w:w="475" w:type="dxa"/>
            <w:tcBorders>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Hans"/>
              </w:rPr>
            </w:pPr>
            <w:r>
              <w:rPr>
                <w:rFonts w:hint="eastAsia" w:ascii="宋体" w:hAnsi="宋体" w:eastAsia="宋体" w:cs="Times New Roman"/>
                <w:sz w:val="18"/>
                <w:szCs w:val="18"/>
                <w:lang w:val="en-US" w:eastAsia="zh-Hans"/>
              </w:rPr>
              <w:t>项</w:t>
            </w:r>
          </w:p>
        </w:tc>
        <w:tc>
          <w:tcPr>
            <w:tcW w:w="153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96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81"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财政拨款(补助)小计</w:t>
            </w:r>
          </w:p>
        </w:tc>
        <w:tc>
          <w:tcPr>
            <w:tcW w:w="103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一般公共预算</w:t>
            </w:r>
          </w:p>
        </w:tc>
        <w:tc>
          <w:tcPr>
            <w:tcW w:w="814"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上级一般公共预算安排的转移支付</w:t>
            </w:r>
          </w:p>
        </w:tc>
        <w:tc>
          <w:tcPr>
            <w:tcW w:w="92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政府性基金预算</w:t>
            </w:r>
          </w:p>
        </w:tc>
        <w:tc>
          <w:tcPr>
            <w:tcW w:w="953"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上级政府性基金安排的转移支付</w:t>
            </w:r>
          </w:p>
        </w:tc>
        <w:tc>
          <w:tcPr>
            <w:tcW w:w="845"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国有资本经营预算</w:t>
            </w:r>
          </w:p>
        </w:tc>
        <w:tc>
          <w:tcPr>
            <w:tcW w:w="94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rPr>
              <w:t>上级国有资本经营预算安排的转移支付</w:t>
            </w:r>
          </w:p>
        </w:tc>
        <w:tc>
          <w:tcPr>
            <w:tcW w:w="1034"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1096"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689"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c>
          <w:tcPr>
            <w:tcW w:w="705"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Times New Roman"/>
                <w:sz w:val="18"/>
                <w:szCs w:val="18"/>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01</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行政单位离退休</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5.47</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4.47</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4.47</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02</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事业单位离退休</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rPr>
            </w:pPr>
            <w:r>
              <w:rPr>
                <w:rFonts w:hint="eastAsia" w:ascii="宋体" w:hAnsi="宋体" w:eastAsia="宋体" w:cs="Times New Roman"/>
                <w:b/>
                <w:color w:val="000000"/>
                <w:sz w:val="15"/>
                <w:szCs w:val="15"/>
                <w:lang w:val="en-US" w:eastAsia="zh-CN"/>
              </w:rPr>
              <w:t>2.00</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208</w:t>
            </w: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05</w:t>
            </w: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机关事业单位基本养老保险缴费支出</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48.17</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43.17</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43.17</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208</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05</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06</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机关事业单位职业年金缴费支出</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lang w:val="en-US" w:eastAsia="zh-CN"/>
              </w:rPr>
            </w:pP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3"/>
      <w:bookmarkEnd w:id="4"/>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5" w:name="OLE_LINK10" w:colFirst="0" w:colLast="2"/>
            <w:bookmarkStart w:id="6" w:name="OLE_LINK11" w:colFirst="3" w:colLast="3"/>
            <w:bookmarkStart w:id="7" w:name="OLE_LINK9" w:colFirst="0" w:colLast="2"/>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卫生健康支出</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50.13</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行政事业单位医疗</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50.13</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38.13</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01</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行政单位医疗</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16.25</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14.25</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14.25</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02</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事业单位医疗</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17.88</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10.88</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10.88</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03</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公务员医疗补助</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14.68</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12.68</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12.68</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509"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210</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11</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99</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其他行政事业单位医疗支出</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1.32</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0.32</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0.32</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5"/>
      <w:bookmarkEnd w:id="6"/>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8" w:name="OLE_LINK12" w:colFirst="0" w:colLast="2"/>
            <w:bookmarkStart w:id="9" w:name="OLE_LINK13" w:colFirst="3" w:colLast="3"/>
            <w:r>
              <w:rPr>
                <w:rFonts w:hint="eastAsia" w:ascii="宋体" w:hAnsi="宋体" w:eastAsia="宋体" w:cs="Times New Roman"/>
                <w:b/>
                <w:color w:val="000000"/>
                <w:sz w:val="15"/>
                <w:szCs w:val="15"/>
                <w:lang w:val="en-US" w:eastAsia="zh-CN"/>
              </w:rPr>
              <w:t>221</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住房保障支出</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221</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02</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lang w:val="en-US" w:eastAsia="zh-CN"/>
              </w:rPr>
            </w:pP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住房改革支出</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r>
        <w:tblPrEx>
          <w:tblCellMar>
            <w:top w:w="0" w:type="dxa"/>
            <w:left w:w="108" w:type="dxa"/>
            <w:bottom w:w="0" w:type="dxa"/>
            <w:right w:w="108" w:type="dxa"/>
          </w:tblCellMar>
        </w:tblPrEx>
        <w:trPr>
          <w:trHeight w:val="28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bookmarkStart w:id="10" w:name="OLE_LINK8" w:colFirst="2" w:colLast="2"/>
            <w:r>
              <w:rPr>
                <w:rFonts w:hint="eastAsia" w:ascii="宋体" w:hAnsi="宋体" w:eastAsia="宋体" w:cs="Times New Roman"/>
                <w:b/>
                <w:color w:val="000000"/>
                <w:sz w:val="15"/>
                <w:szCs w:val="15"/>
                <w:lang w:val="en-US" w:eastAsia="zh-CN"/>
              </w:rPr>
              <w:t>221</w:t>
            </w:r>
          </w:p>
        </w:tc>
        <w:tc>
          <w:tcPr>
            <w:tcW w:w="451"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02</w:t>
            </w:r>
          </w:p>
        </w:tc>
        <w:tc>
          <w:tcPr>
            <w:tcW w:w="47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01</w:t>
            </w:r>
          </w:p>
        </w:tc>
        <w:tc>
          <w:tcPr>
            <w:tcW w:w="1535"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住房公积金</w:t>
            </w:r>
          </w:p>
        </w:tc>
        <w:tc>
          <w:tcPr>
            <w:tcW w:w="969"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76.92</w:t>
            </w:r>
          </w:p>
        </w:tc>
        <w:tc>
          <w:tcPr>
            <w:tcW w:w="1081"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103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35.92</w:t>
            </w:r>
          </w:p>
        </w:tc>
        <w:tc>
          <w:tcPr>
            <w:tcW w:w="814"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41.00</w:t>
            </w:r>
          </w:p>
        </w:tc>
        <w:tc>
          <w:tcPr>
            <w:tcW w:w="689"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bookmarkEnd w:id="7"/>
      <w:bookmarkEnd w:id="8"/>
      <w:bookmarkEnd w:id="9"/>
      <w:bookmarkEnd w:id="10"/>
      <w:tr>
        <w:tblPrEx>
          <w:tblCellMar>
            <w:top w:w="0" w:type="dxa"/>
            <w:left w:w="108" w:type="dxa"/>
            <w:bottom w:w="0" w:type="dxa"/>
            <w:right w:w="108" w:type="dxa"/>
          </w:tblCellMar>
        </w:tblPrEx>
        <w:trPr>
          <w:trHeight w:val="600" w:hRule="atLeast"/>
        </w:trPr>
        <w:tc>
          <w:tcPr>
            <w:tcW w:w="51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51"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47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　</w:t>
            </w:r>
          </w:p>
        </w:tc>
        <w:tc>
          <w:tcPr>
            <w:tcW w:w="1535"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rPr>
              <w:t>合  计　</w:t>
            </w:r>
          </w:p>
        </w:tc>
        <w:tc>
          <w:tcPr>
            <w:tcW w:w="969"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1284.83</w:t>
            </w:r>
          </w:p>
        </w:tc>
        <w:tc>
          <w:tcPr>
            <w:tcW w:w="1081"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688.58</w:t>
            </w:r>
          </w:p>
        </w:tc>
        <w:tc>
          <w:tcPr>
            <w:tcW w:w="103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r>
              <w:rPr>
                <w:rFonts w:hint="eastAsia" w:ascii="宋体" w:hAnsi="宋体" w:eastAsia="宋体" w:cs="Times New Roman"/>
                <w:b/>
                <w:color w:val="000000"/>
                <w:sz w:val="15"/>
                <w:szCs w:val="15"/>
                <w:lang w:val="en-US" w:eastAsia="zh-CN"/>
              </w:rPr>
              <w:t>688.58</w:t>
            </w:r>
          </w:p>
        </w:tc>
        <w:tc>
          <w:tcPr>
            <w:tcW w:w="814"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5.00</w:t>
            </w:r>
          </w:p>
        </w:tc>
        <w:tc>
          <w:tcPr>
            <w:tcW w:w="92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5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845"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940"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34"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b/>
                <w:color w:val="000000"/>
                <w:sz w:val="15"/>
                <w:szCs w:val="15"/>
              </w:rPr>
            </w:pPr>
          </w:p>
        </w:tc>
        <w:tc>
          <w:tcPr>
            <w:tcW w:w="1096"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b/>
                <w:color w:val="000000"/>
                <w:sz w:val="15"/>
                <w:szCs w:val="15"/>
                <w:lang w:val="en-US" w:eastAsia="zh-CN"/>
              </w:rPr>
            </w:pPr>
            <w:r>
              <w:rPr>
                <w:rFonts w:hint="eastAsia" w:ascii="宋体" w:hAnsi="宋体" w:eastAsia="宋体" w:cs="Times New Roman"/>
                <w:b/>
                <w:color w:val="000000"/>
                <w:sz w:val="15"/>
                <w:szCs w:val="15"/>
                <w:lang w:val="en-US" w:eastAsia="zh-CN"/>
              </w:rPr>
              <w:t>590.00</w:t>
            </w:r>
          </w:p>
        </w:tc>
        <w:tc>
          <w:tcPr>
            <w:tcW w:w="689" w:type="dxa"/>
            <w:tcBorders>
              <w:top w:val="nil"/>
              <w:left w:val="single" w:color="auto" w:sz="4" w:space="0"/>
              <w:bottom w:val="single" w:color="auto" w:sz="4" w:space="0"/>
              <w:right w:val="single" w:color="auto" w:sz="4" w:space="0"/>
            </w:tcBorders>
            <w:noWrap w:val="0"/>
            <w:vAlign w:val="center"/>
          </w:tcPr>
          <w:p>
            <w:pPr>
              <w:jc w:val="center"/>
            </w:pPr>
            <w:r>
              <w:rPr>
                <w:rFonts w:hint="eastAsia" w:ascii="宋体" w:hAnsi="宋体" w:eastAsia="宋体" w:cs="Times New Roman"/>
                <w:b/>
                <w:color w:val="000000"/>
                <w:sz w:val="15"/>
                <w:szCs w:val="15"/>
                <w:lang w:val="en-US" w:eastAsia="zh-CN"/>
              </w:rPr>
              <w:t>6.24</w:t>
            </w:r>
          </w:p>
        </w:tc>
        <w:tc>
          <w:tcPr>
            <w:tcW w:w="705" w:type="dxa"/>
            <w:tcBorders>
              <w:top w:val="nil"/>
              <w:left w:val="single" w:color="auto" w:sz="4" w:space="0"/>
              <w:bottom w:val="single" w:color="auto" w:sz="4" w:space="0"/>
              <w:right w:val="single" w:color="auto" w:sz="4" w:space="0"/>
            </w:tcBorders>
            <w:noWrap w:val="0"/>
            <w:vAlign w:val="center"/>
          </w:tcPr>
          <w:p>
            <w:pPr>
              <w:jc w:val="left"/>
              <w:rPr>
                <w:rFonts w:hint="eastAsia" w:ascii="宋体" w:hAnsi="宋体" w:eastAsia="宋体" w:cs="Times New Roman"/>
                <w:b/>
                <w:color w:val="000000"/>
                <w:sz w:val="15"/>
                <w:szCs w:val="15"/>
              </w:rPr>
            </w:pPr>
          </w:p>
        </w:tc>
      </w:tr>
    </w:tbl>
    <w:p>
      <w:pPr>
        <w:jc w:val="left"/>
        <w:rPr>
          <w:rFonts w:hint="eastAsia" w:ascii="宋体" w:hAnsi="宋体" w:eastAsia="宋体" w:cs="Times New Roman"/>
          <w:b/>
          <w:color w:val="000000"/>
          <w:sz w:val="15"/>
          <w:szCs w:val="15"/>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417"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eastAsia="zh-CN"/>
        </w:rPr>
        <w:t>部门</w:t>
      </w:r>
      <w:r>
        <w:rPr>
          <w:rFonts w:hint="eastAsia" w:ascii="仿宋" w:hAnsi="宋体" w:eastAsia="仿宋" w:cs="Times New Roman"/>
          <w:b/>
          <w:color w:val="000000"/>
          <w:sz w:val="28"/>
          <w:szCs w:val="28"/>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 xml:space="preserve">：  </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9420" w:type="dxa"/>
        <w:tblInd w:w="-240" w:type="dxa"/>
        <w:tblLayout w:type="autofit"/>
        <w:tblCellMar>
          <w:top w:w="0" w:type="dxa"/>
          <w:left w:w="108" w:type="dxa"/>
          <w:bottom w:w="0" w:type="dxa"/>
          <w:right w:w="108" w:type="dxa"/>
        </w:tblCellMar>
      </w:tblPr>
      <w:tblGrid>
        <w:gridCol w:w="458"/>
        <w:gridCol w:w="417"/>
        <w:gridCol w:w="417"/>
        <w:gridCol w:w="3276"/>
        <w:gridCol w:w="1355"/>
        <w:gridCol w:w="1612"/>
        <w:gridCol w:w="1885"/>
      </w:tblGrid>
      <w:tr>
        <w:tblPrEx>
          <w:tblCellMar>
            <w:top w:w="0" w:type="dxa"/>
            <w:left w:w="108" w:type="dxa"/>
            <w:bottom w:w="0" w:type="dxa"/>
            <w:right w:w="108" w:type="dxa"/>
          </w:tblCellMar>
        </w:tblPrEx>
        <w:trPr>
          <w:trHeight w:val="328" w:hRule="atLeast"/>
        </w:trPr>
        <w:tc>
          <w:tcPr>
            <w:tcW w:w="4568"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科</w:t>
            </w:r>
            <w:r>
              <w:rPr>
                <w:rFonts w:hint="eastAsia" w:ascii="Calibri" w:hAnsi="Calibri" w:eastAsia="宋体" w:cs="Times New Roman"/>
                <w:sz w:val="18"/>
                <w:szCs w:val="18"/>
              </w:rPr>
              <w:t xml:space="preserve">    目</w:t>
            </w:r>
          </w:p>
        </w:tc>
        <w:tc>
          <w:tcPr>
            <w:tcW w:w="4852" w:type="dxa"/>
            <w:gridSpan w:val="3"/>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功能分类科目编码</w:t>
            </w:r>
          </w:p>
        </w:tc>
        <w:tc>
          <w:tcPr>
            <w:tcW w:w="3276"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功能分类科目名称</w:t>
            </w:r>
          </w:p>
        </w:tc>
        <w:tc>
          <w:tcPr>
            <w:tcW w:w="135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合  计</w:t>
            </w:r>
          </w:p>
        </w:tc>
        <w:tc>
          <w:tcPr>
            <w:tcW w:w="1612"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tc>
        <w:tc>
          <w:tcPr>
            <w:tcW w:w="41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tc>
        <w:tc>
          <w:tcPr>
            <w:tcW w:w="41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tc>
        <w:tc>
          <w:tcPr>
            <w:tcW w:w="327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3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1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bookmarkStart w:id="11" w:name="OLE_LINK3" w:colFirst="4" w:colLast="6"/>
            <w:bookmarkStart w:id="12" w:name="OLE_LINK14" w:colFirst="0" w:colLast="2"/>
            <w:bookmarkStart w:id="13" w:name="OLE_LINK15" w:colFirst="0" w:colLast="2"/>
            <w:bookmarkStart w:id="14" w:name="OLE_LINK16" w:colFirst="3" w:colLast="3"/>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一般公共服务支出</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1091.40</w:t>
            </w:r>
            <w:r>
              <w:rPr>
                <w:rFonts w:hint="eastAsia" w:ascii="宋体" w:hAnsi="宋体" w:eastAsia="宋体" w:cs="Times New Roman"/>
                <w:b/>
                <w:color w:val="000000"/>
                <w:sz w:val="18"/>
                <w:szCs w:val="18"/>
              </w:rPr>
              <w:t>　</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rPr>
            </w:pPr>
            <w:r>
              <w:rPr>
                <w:rFonts w:hint="eastAsia" w:ascii="宋体" w:hAnsi="宋体" w:eastAsia="宋体" w:cs="Times New Roman"/>
                <w:b/>
                <w:color w:val="000000"/>
                <w:sz w:val="18"/>
                <w:szCs w:val="18"/>
                <w:lang w:val="en-US" w:eastAsia="zh-CN"/>
              </w:rPr>
              <w:t>389.90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701.50</w:t>
            </w:r>
            <w:r>
              <w:rPr>
                <w:rFonts w:hint="eastAsia" w:ascii="宋体" w:hAnsi="宋体" w:eastAsia="宋体" w:cs="Times New Roman"/>
                <w:b/>
                <w:color w:val="000000"/>
                <w:sz w:val="18"/>
                <w:szCs w:val="18"/>
              </w:rPr>
              <w:t>　</w:t>
            </w:r>
          </w:p>
        </w:tc>
      </w:tr>
      <w:bookmarkEnd w:id="11"/>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宣传事务</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1091.40　</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389.90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701.50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行政运行</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235.24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235.24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33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一般行政管理事务</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701.50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c>
          <w:tcPr>
            <w:tcW w:w="188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701.50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201</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33</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50</w:t>
            </w:r>
            <w:r>
              <w:rPr>
                <w:rFonts w:hint="eastAsia" w:ascii="宋体" w:hAnsi="宋体" w:cs="宋体"/>
                <w:b/>
                <w:bCs/>
                <w:color w:val="auto"/>
                <w:kern w:val="0"/>
                <w:sz w:val="16"/>
                <w:szCs w:val="16"/>
                <w:highlight w:val="none"/>
              </w:rPr>
              <w:t>　</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lang w:val="en-US" w:eastAsia="zh-CN"/>
              </w:rPr>
              <w:t>事业运行</w:t>
            </w:r>
            <w:r>
              <w:rPr>
                <w:rFonts w:hint="eastAsia" w:ascii="宋体" w:hAnsi="宋体" w:eastAsia="宋体" w:cs="Times New Roman"/>
                <w:b/>
                <w:color w:val="000000"/>
                <w:sz w:val="18"/>
                <w:szCs w:val="18"/>
              </w:rPr>
              <w:t>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154.66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154.66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bookmarkEnd w:id="12"/>
      <w:tr>
        <w:tblPrEx>
          <w:tblCellMar>
            <w:top w:w="0" w:type="dxa"/>
            <w:left w:w="108" w:type="dxa"/>
            <w:bottom w:w="0" w:type="dxa"/>
            <w:right w:w="108" w:type="dxa"/>
          </w:tblCellMar>
        </w:tblPrEx>
        <w:trPr>
          <w:trHeight w:val="357"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文化旅游体育与传媒支出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其他文化旅游体育与传媒支出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9.74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文化产业发展专项支出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4.74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4.74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207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　</w:t>
            </w:r>
          </w:p>
        </w:tc>
        <w:tc>
          <w:tcPr>
            <w:tcW w:w="3276"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其他文化旅游体育与传媒支出　</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5.00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5.00　</w:t>
            </w:r>
          </w:p>
        </w:tc>
      </w:tr>
      <w:bookmarkEnd w:id="13"/>
      <w:bookmarkEnd w:id="14"/>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bookmarkStart w:id="15" w:name="OLE_LINK19" w:colFirst="0" w:colLast="3"/>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社会保障卡和就业支出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行政事业单位养老支出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56.64</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行政单位离退休</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5.47</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5.47</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bookmarkEnd w:id="15"/>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事业单位离退休</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2.00</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2.00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　</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机关事业单位基本养老保险缴费支出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48.17</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48.17</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06</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机关事业单位职业年金缴费支出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1.00</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1.00</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bookmarkStart w:id="16" w:name="OLE_LINK21" w:colFirst="0" w:colLast="3"/>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卫生健康支出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行政事业单位医疗</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50.13</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行政单位医疗</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16.25</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16.25</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事业单位医疗</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17.88</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17.88</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03</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公务员医疗补助</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14.68</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14.68</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其他行政事业单位医疗支出</w:t>
            </w:r>
          </w:p>
        </w:tc>
        <w:tc>
          <w:tcPr>
            <w:tcW w:w="135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1.32　</w:t>
            </w:r>
          </w:p>
        </w:tc>
        <w:tc>
          <w:tcPr>
            <w:tcW w:w="1612"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1.32　</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w:t>
            </w:r>
          </w:p>
        </w:tc>
      </w:tr>
      <w:bookmarkEnd w:id="16"/>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both"/>
              <w:rPr>
                <w:rFonts w:hint="default" w:ascii="仿宋_GB2312" w:hAnsi="Times New Roman" w:eastAsia="仿宋_GB2312" w:cs="Times New Roman"/>
                <w:color w:val="auto"/>
                <w:kern w:val="2"/>
                <w:sz w:val="20"/>
                <w:szCs w:val="20"/>
                <w:highlight w:val="none"/>
                <w:lang w:val="en-US" w:eastAsia="zh-CN" w:bidi="ar-SA"/>
              </w:rPr>
            </w:pPr>
            <w:bookmarkStart w:id="17" w:name="OLE_LINK22" w:colFirst="0" w:colLast="3"/>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住房保障支出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hint="eastAsia" w:ascii="宋体" w:hAnsi="宋体" w:cs="宋体"/>
                <w:b/>
                <w:bCs/>
                <w:color w:val="auto"/>
                <w:kern w:val="0"/>
                <w:sz w:val="16"/>
                <w:szCs w:val="16"/>
                <w:highlight w:val="none"/>
                <w:lang w:val="en-US" w:eastAsia="zh-CN"/>
              </w:rPr>
            </w:pP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住房改革支出</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both"/>
              <w:rPr>
                <w:rFonts w:hint="default" w:ascii="宋体" w:hAnsi="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3276"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住房公积金</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76.92</w:t>
            </w:r>
          </w:p>
        </w:tc>
        <w:tc>
          <w:tcPr>
            <w:tcW w:w="1885" w:type="dxa"/>
            <w:tcBorders>
              <w:top w:val="nil"/>
              <w:left w:val="nil"/>
              <w:bottom w:val="single" w:color="auto" w:sz="4" w:space="0"/>
              <w:right w:val="single" w:color="auto" w:sz="4" w:space="0"/>
            </w:tcBorders>
            <w:noWrap w:val="0"/>
            <w:vAlign w:val="center"/>
          </w:tcPr>
          <w:p>
            <w:pPr>
              <w:jc w:val="both"/>
              <w:rPr>
                <w:rFonts w:hint="eastAsia" w:ascii="宋体" w:hAnsi="宋体" w:eastAsia="宋体" w:cs="Times New Roman"/>
                <w:b/>
                <w:color w:val="000000"/>
                <w:sz w:val="18"/>
                <w:szCs w:val="18"/>
                <w:lang w:val="en-US" w:eastAsia="zh-CN"/>
              </w:rPr>
            </w:pPr>
          </w:p>
        </w:tc>
      </w:tr>
      <w:bookmarkEnd w:id="17"/>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327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35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1284.83</w:t>
            </w:r>
          </w:p>
        </w:tc>
        <w:tc>
          <w:tcPr>
            <w:tcW w:w="1612"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573.58</w:t>
            </w:r>
          </w:p>
        </w:tc>
        <w:tc>
          <w:tcPr>
            <w:tcW w:w="1885" w:type="dxa"/>
            <w:tcBorders>
              <w:top w:val="nil"/>
              <w:left w:val="nil"/>
              <w:bottom w:val="single" w:color="auto" w:sz="4" w:space="0"/>
              <w:right w:val="single" w:color="auto" w:sz="4" w:space="0"/>
            </w:tcBorders>
            <w:noWrap w:val="0"/>
            <w:vAlign w:val="center"/>
          </w:tcPr>
          <w:p>
            <w:pPr>
              <w:jc w:val="both"/>
              <w:rPr>
                <w:rFonts w:hint="default" w:ascii="宋体" w:hAnsi="宋体" w:eastAsia="宋体" w:cs="Times New Roman"/>
                <w:b/>
                <w:color w:val="000000"/>
                <w:sz w:val="18"/>
                <w:szCs w:val="18"/>
                <w:lang w:val="en-US" w:eastAsia="zh-CN"/>
              </w:rPr>
            </w:pPr>
            <w:r>
              <w:rPr>
                <w:rFonts w:hint="eastAsia" w:ascii="宋体" w:hAnsi="宋体" w:eastAsia="宋体" w:cs="Times New Roman"/>
                <w:b/>
                <w:color w:val="000000"/>
                <w:sz w:val="18"/>
                <w:szCs w:val="18"/>
                <w:lang w:val="en-US" w:eastAsia="zh-CN"/>
              </w:rPr>
              <w:t>　711.24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rPr>
        <w:t>财政拨款收支预算总体情况表</w:t>
      </w:r>
    </w:p>
    <w:p>
      <w:pPr>
        <w:jc w:val="center"/>
        <w:rPr>
          <w:rFonts w:hint="eastAsia" w:ascii="Calibri" w:hAnsi="Calibri" w:eastAsia="宋体" w:cs="Times New Roman"/>
          <w:color w:val="000000"/>
          <w:sz w:val="18"/>
          <w:szCs w:val="18"/>
        </w:rPr>
      </w:pPr>
    </w:p>
    <w:p>
      <w:pPr>
        <w:jc w:val="center"/>
        <w:rPr>
          <w:rFonts w:ascii="仿宋_GB2312" w:hAnsi="宋体" w:eastAsia="仿宋_GB2312"/>
          <w:color w:val="auto"/>
          <w:kern w:val="0"/>
          <w:sz w:val="24"/>
          <w:szCs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Calibri" w:hAnsi="Calibri" w:eastAsia="宋体" w:cs="Times New Roman"/>
          <w:color w:val="000000"/>
          <w:sz w:val="18"/>
          <w:szCs w:val="18"/>
        </w:rPr>
        <w:t>单位：万元</w:t>
      </w:r>
    </w:p>
    <w:tbl>
      <w:tblPr>
        <w:tblStyle w:val="12"/>
        <w:tblW w:w="9449" w:type="dxa"/>
        <w:tblInd w:w="-240" w:type="dxa"/>
        <w:tblLayout w:type="fixed"/>
        <w:tblCellMar>
          <w:top w:w="0" w:type="dxa"/>
          <w:left w:w="108" w:type="dxa"/>
          <w:bottom w:w="0" w:type="dxa"/>
          <w:right w:w="108" w:type="dxa"/>
        </w:tblCellMar>
      </w:tblPr>
      <w:tblGrid>
        <w:gridCol w:w="2181"/>
        <w:gridCol w:w="919"/>
        <w:gridCol w:w="2597"/>
        <w:gridCol w:w="823"/>
        <w:gridCol w:w="891"/>
        <w:gridCol w:w="997"/>
        <w:gridCol w:w="1041"/>
      </w:tblGrid>
      <w:tr>
        <w:tblPrEx>
          <w:tblCellMar>
            <w:top w:w="0" w:type="dxa"/>
            <w:left w:w="108" w:type="dxa"/>
            <w:bottom w:w="0" w:type="dxa"/>
            <w:right w:w="108" w:type="dxa"/>
          </w:tblCellMar>
        </w:tblPrEx>
        <w:trPr>
          <w:trHeight w:val="285" w:hRule="atLeast"/>
        </w:trPr>
        <w:tc>
          <w:tcPr>
            <w:tcW w:w="3100" w:type="dxa"/>
            <w:gridSpan w:val="2"/>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财政拨款收入</w:t>
            </w:r>
          </w:p>
        </w:tc>
        <w:tc>
          <w:tcPr>
            <w:tcW w:w="6349" w:type="dxa"/>
            <w:gridSpan w:val="5"/>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财政拨款支出</w:t>
            </w:r>
          </w:p>
        </w:tc>
      </w:tr>
      <w:tr>
        <w:tblPrEx>
          <w:tblCellMar>
            <w:top w:w="0" w:type="dxa"/>
            <w:left w:w="108" w:type="dxa"/>
            <w:bottom w:w="0" w:type="dxa"/>
            <w:right w:w="108" w:type="dxa"/>
          </w:tblCellMar>
        </w:tblPrEx>
        <w:trPr>
          <w:trHeight w:val="500" w:hRule="atLeast"/>
        </w:trPr>
        <w:tc>
          <w:tcPr>
            <w:tcW w:w="2181"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项    目</w:t>
            </w:r>
          </w:p>
        </w:tc>
        <w:tc>
          <w:tcPr>
            <w:tcW w:w="919"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合  计</w:t>
            </w:r>
          </w:p>
        </w:tc>
        <w:tc>
          <w:tcPr>
            <w:tcW w:w="259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功  能  分  类</w:t>
            </w:r>
          </w:p>
        </w:tc>
        <w:tc>
          <w:tcPr>
            <w:tcW w:w="823"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合 计</w:t>
            </w:r>
          </w:p>
        </w:tc>
        <w:tc>
          <w:tcPr>
            <w:tcW w:w="89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一般公共预算</w:t>
            </w:r>
          </w:p>
        </w:tc>
        <w:tc>
          <w:tcPr>
            <w:tcW w:w="99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政府性基金预算</w:t>
            </w:r>
          </w:p>
        </w:tc>
        <w:tc>
          <w:tcPr>
            <w:tcW w:w="1041"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b/>
                <w:color w:val="000000"/>
                <w:sz w:val="18"/>
                <w:szCs w:val="18"/>
              </w:rPr>
            </w:pPr>
            <w:r>
              <w:rPr>
                <w:rFonts w:hint="eastAsia" w:ascii="Calibri" w:hAnsi="Calibri" w:eastAsia="宋体" w:cs="Times New Roman"/>
                <w:b/>
                <w:color w:val="000000"/>
                <w:sz w:val="18"/>
                <w:szCs w:val="18"/>
              </w:rPr>
              <w:t>国有资本经营预算</w:t>
            </w:r>
          </w:p>
        </w:tc>
      </w:tr>
      <w:tr>
        <w:tblPrEx>
          <w:tblCellMar>
            <w:top w:w="0" w:type="dxa"/>
            <w:left w:w="108" w:type="dxa"/>
            <w:bottom w:w="0" w:type="dxa"/>
            <w:right w:w="108" w:type="dxa"/>
          </w:tblCellMar>
        </w:tblPrEx>
        <w:trPr>
          <w:trHeight w:val="502" w:hRule="exact"/>
        </w:trPr>
        <w:tc>
          <w:tcPr>
            <w:tcW w:w="2181"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b/>
                <w:color w:val="000000"/>
                <w:sz w:val="18"/>
                <w:szCs w:val="18"/>
                <w:lang w:val="en-US" w:eastAsia="zh-Hans"/>
              </w:rPr>
              <w:t>一、</w:t>
            </w:r>
            <w:r>
              <w:rPr>
                <w:rFonts w:hint="eastAsia" w:ascii="Calibri" w:hAnsi="Calibri" w:eastAsia="宋体" w:cs="Times New Roman"/>
                <w:b/>
                <w:color w:val="000000"/>
                <w:sz w:val="18"/>
                <w:szCs w:val="18"/>
              </w:rPr>
              <w:t>财政拨款（补助）</w:t>
            </w:r>
          </w:p>
        </w:tc>
        <w:tc>
          <w:tcPr>
            <w:tcW w:w="919"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FF"/>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688.59</w:t>
            </w:r>
            <w:r>
              <w:rPr>
                <w:rFonts w:hint="eastAsia" w:ascii="宋体" w:hAnsi="宋体" w:eastAsia="宋体" w:cs="宋体"/>
                <w:color w:val="0000FF"/>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201 一般公共服务支出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themeColor="text1"/>
                <w:sz w:val="18"/>
                <w:szCs w:val="18"/>
                <w:lang w:val="en-US" w:eastAsia="zh-CN"/>
                <w14:textFill>
                  <w14:solidFill>
                    <w14:schemeClr w14:val="tx1"/>
                  </w14:solidFill>
                </w14:textFill>
              </w:rPr>
              <w:t>560.4</w:t>
            </w:r>
            <w:r>
              <w:rPr>
                <w:rFonts w:hint="eastAsia" w:ascii="宋体" w:hAnsi="宋体" w:eastAsia="宋体" w:cs="宋体"/>
                <w:color w:val="0000FF"/>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themeColor="text1"/>
                <w:sz w:val="18"/>
                <w:szCs w:val="18"/>
                <w:lang w:val="en-US" w:eastAsia="zh-CN"/>
                <w14:textFill>
                  <w14:solidFill>
                    <w14:schemeClr w14:val="tx1"/>
                  </w14:solidFill>
                </w14:textFill>
              </w:rPr>
              <w:t>560.4</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一般公共预算</w:t>
            </w:r>
          </w:p>
        </w:tc>
        <w:tc>
          <w:tcPr>
            <w:tcW w:w="919"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FF"/>
                <w:sz w:val="18"/>
                <w:szCs w:val="18"/>
                <w:lang w:val="en-US"/>
              </w:rPr>
            </w:pPr>
            <w:r>
              <w:rPr>
                <w:rFonts w:hint="eastAsia" w:ascii="宋体" w:hAnsi="宋体" w:eastAsia="宋体" w:cs="宋体"/>
                <w:color w:val="000000" w:themeColor="text1"/>
                <w:sz w:val="18"/>
                <w:szCs w:val="18"/>
                <w:lang w:val="en-US" w:eastAsia="zh-CN"/>
                <w14:textFill>
                  <w14:solidFill>
                    <w14:schemeClr w14:val="tx1"/>
                  </w14:solidFill>
                </w14:textFill>
              </w:rPr>
              <w:t>688.59</w:t>
            </w:r>
          </w:p>
        </w:tc>
        <w:tc>
          <w:tcPr>
            <w:tcW w:w="2597" w:type="dxa"/>
            <w:tcBorders>
              <w:top w:val="nil"/>
              <w:left w:val="nil"/>
              <w:bottom w:val="single" w:color="auto" w:sz="4" w:space="0"/>
              <w:right w:val="single" w:color="auto" w:sz="4" w:space="0"/>
            </w:tcBorders>
            <w:noWrap w:val="0"/>
            <w:vAlign w:val="center"/>
          </w:tcPr>
          <w:p>
            <w:pPr>
              <w:jc w:val="both"/>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202 外交支出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default" w:ascii="Calibri" w:hAnsi="Calibri" w:eastAsia="宋体" w:cs="Times New Roman"/>
                <w:color w:val="000000"/>
                <w:sz w:val="18"/>
                <w:szCs w:val="18"/>
              </w:rPr>
              <w:t xml:space="preserve"> </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政府性基金预算</w:t>
            </w:r>
          </w:p>
        </w:tc>
        <w:tc>
          <w:tcPr>
            <w:tcW w:w="919" w:type="dxa"/>
            <w:tcBorders>
              <w:top w:val="nil"/>
              <w:left w:val="nil"/>
              <w:bottom w:val="single" w:color="auto" w:sz="4" w:space="0"/>
              <w:right w:val="single" w:color="auto" w:sz="4" w:space="0"/>
            </w:tcBorders>
            <w:noWrap w:val="0"/>
            <w:vAlign w:val="center"/>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203 国防支出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国有资本经营预算</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204 公共安全支出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297"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205 教育支出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206 科学技术支出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207 文化旅游体育与传媒支出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5.00</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5.00</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208 社会保障和就业支出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47.64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47.64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xml:space="preserve">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209 社会保险基金支出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210</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卫生健康支出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38.13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38.13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211 节能环保支出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212 城乡社区支出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213 农林水支出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214 交通运输支出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215 资源勘探</w:t>
            </w:r>
            <w:r>
              <w:rPr>
                <w:rFonts w:hint="eastAsia" w:ascii="Calibri" w:hAnsi="Calibri" w:eastAsia="宋体" w:cs="Times New Roman"/>
                <w:color w:val="000000"/>
                <w:sz w:val="18"/>
                <w:szCs w:val="18"/>
                <w:lang w:val="en-US" w:eastAsia="zh-Hans"/>
              </w:rPr>
              <w:t>工业</w:t>
            </w:r>
            <w:r>
              <w:rPr>
                <w:rFonts w:hint="eastAsia" w:ascii="Calibri" w:hAnsi="Calibri" w:eastAsia="宋体" w:cs="Times New Roman"/>
                <w:color w:val="000000"/>
                <w:sz w:val="18"/>
                <w:szCs w:val="18"/>
              </w:rPr>
              <w:t>信息等支出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216 商业服务业等支出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217 金融支出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219 援助其他地区支出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220 自然资源海洋气象等支出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221 住房保障支出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35.92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35.92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222 粮油物资储备支出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223 国有资本经营预算支出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224</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灾害防治及应急管理支出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227 预备费</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229 其他支出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230</w:t>
            </w:r>
            <w:r>
              <w:rPr>
                <w:rFonts w:hint="eastAsia" w:ascii="Calibri" w:hAnsi="Calibri" w:eastAsia="宋体" w:cs="Times New Roman"/>
                <w:color w:val="000000"/>
                <w:sz w:val="18"/>
                <w:szCs w:val="18"/>
                <w:lang w:val="en-US" w:eastAsia="zh-CN"/>
              </w:rPr>
              <w:t xml:space="preserve"> </w:t>
            </w:r>
            <w:r>
              <w:rPr>
                <w:rFonts w:hint="eastAsia" w:ascii="Calibri" w:hAnsi="Calibri" w:eastAsia="宋体" w:cs="Times New Roman"/>
                <w:color w:val="000000"/>
                <w:sz w:val="18"/>
                <w:szCs w:val="18"/>
              </w:rPr>
              <w:t>转移性支出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231 债务还本支出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232 债务付息支出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r>
              <w:rPr>
                <w:rFonts w:hint="eastAsia" w:ascii="宋体" w:hAnsi="宋体" w:eastAsia="宋体" w:cs="宋体"/>
                <w:color w:val="000000"/>
                <w:sz w:val="18"/>
                <w:szCs w:val="18"/>
              </w:rPr>
              <w:t>　</w:t>
            </w:r>
          </w:p>
        </w:tc>
        <w:tc>
          <w:tcPr>
            <w:tcW w:w="2597"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233 债务发行费用支出</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w:t>
            </w: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ind w:firstLine="360" w:firstLineChars="200"/>
              <w:rPr>
                <w:rFonts w:hint="default" w:ascii="Calibri" w:hAnsi="Calibri" w:eastAsia="宋体" w:cs="Times New Roman"/>
                <w:color w:val="000000"/>
                <w:sz w:val="18"/>
                <w:szCs w:val="18"/>
                <w:lang w:val="en-US"/>
              </w:rPr>
            </w:pPr>
            <w:r>
              <w:rPr>
                <w:rFonts w:hint="eastAsia" w:ascii="Calibri" w:hAnsi="Calibri" w:eastAsia="宋体" w:cs="Times New Roman"/>
                <w:color w:val="000000"/>
                <w:sz w:val="18"/>
                <w:szCs w:val="18"/>
                <w:lang w:val="en-US" w:eastAsia="zh-CN"/>
              </w:rPr>
              <w:t xml:space="preserve">                    </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919" w:type="dxa"/>
            <w:tcBorders>
              <w:top w:val="nil"/>
              <w:left w:val="nil"/>
              <w:bottom w:val="single" w:color="auto" w:sz="4" w:space="0"/>
              <w:right w:val="single" w:color="auto" w:sz="4" w:space="0"/>
            </w:tcBorders>
            <w:noWrap w:val="0"/>
            <w:vAlign w:val="bottom"/>
          </w:tcPr>
          <w:p>
            <w:pPr>
              <w:ind w:firstLine="360" w:firstLineChars="200"/>
              <w:rPr>
                <w:rFonts w:hint="eastAsia" w:ascii="宋体" w:hAnsi="宋体" w:eastAsia="宋体" w:cs="宋体"/>
                <w:color w:val="000000"/>
                <w:sz w:val="18"/>
                <w:szCs w:val="18"/>
              </w:rPr>
            </w:pPr>
          </w:p>
        </w:tc>
        <w:tc>
          <w:tcPr>
            <w:tcW w:w="25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color w:val="000000"/>
                <w:sz w:val="18"/>
                <w:szCs w:val="18"/>
                <w:lang w:val="en-US" w:eastAsia="zh-CN"/>
              </w:rPr>
            </w:pPr>
          </w:p>
        </w:tc>
        <w:tc>
          <w:tcPr>
            <w:tcW w:w="997"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041" w:type="dxa"/>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312" w:hRule="exact"/>
        </w:trPr>
        <w:tc>
          <w:tcPr>
            <w:tcW w:w="2181" w:type="dxa"/>
            <w:tcBorders>
              <w:top w:val="nil"/>
              <w:left w:val="single" w:color="auto" w:sz="4" w:space="0"/>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rPr>
            </w:pPr>
            <w:r>
              <w:rPr>
                <w:rFonts w:hint="eastAsia" w:ascii="Calibri" w:hAnsi="Calibri" w:eastAsia="宋体" w:cs="Times New Roman"/>
                <w:b/>
                <w:bCs/>
                <w:color w:val="000000"/>
                <w:sz w:val="18"/>
                <w:szCs w:val="18"/>
              </w:rPr>
              <w:t>收  入  总  计</w:t>
            </w:r>
          </w:p>
        </w:tc>
        <w:tc>
          <w:tcPr>
            <w:tcW w:w="919"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000000"/>
                <w:sz w:val="18"/>
                <w:szCs w:val="18"/>
              </w:rPr>
            </w:pPr>
            <w:r>
              <w:rPr>
                <w:rFonts w:hint="eastAsia" w:ascii="宋体" w:hAnsi="宋体" w:eastAsia="宋体" w:cs="宋体"/>
                <w:b/>
                <w:bCs/>
                <w:color w:val="000000" w:themeColor="text1"/>
                <w:sz w:val="18"/>
                <w:szCs w:val="18"/>
                <w:lang w:val="en-US" w:eastAsia="zh-CN"/>
                <w14:textFill>
                  <w14:solidFill>
                    <w14:schemeClr w14:val="tx1"/>
                  </w14:solidFill>
                </w14:textFill>
              </w:rPr>
              <w:t>688.59</w:t>
            </w:r>
            <w:r>
              <w:rPr>
                <w:rFonts w:hint="eastAsia" w:ascii="宋体" w:hAnsi="宋体" w:eastAsia="宋体" w:cs="宋体"/>
                <w:b/>
                <w:bCs/>
                <w:color w:val="000000"/>
                <w:sz w:val="18"/>
                <w:szCs w:val="18"/>
                <w:lang w:val="en-US" w:eastAsia="zh-CN"/>
              </w:rPr>
              <w:t>　</w:t>
            </w:r>
          </w:p>
        </w:tc>
        <w:tc>
          <w:tcPr>
            <w:tcW w:w="2597"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rPr>
            </w:pPr>
            <w:r>
              <w:rPr>
                <w:rFonts w:hint="eastAsia" w:ascii="Calibri" w:hAnsi="Calibri" w:eastAsia="宋体" w:cs="Times New Roman"/>
                <w:b/>
                <w:bCs/>
                <w:color w:val="000000"/>
                <w:sz w:val="18"/>
                <w:szCs w:val="18"/>
              </w:rPr>
              <w:t>支  出  总  计</w:t>
            </w:r>
          </w:p>
        </w:tc>
        <w:tc>
          <w:tcPr>
            <w:tcW w:w="823"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000000"/>
                <w:sz w:val="18"/>
                <w:szCs w:val="18"/>
                <w:lang w:val="en-US" w:eastAsia="zh-CN"/>
              </w:rPr>
            </w:pPr>
            <w:r>
              <w:rPr>
                <w:rFonts w:hint="eastAsia" w:ascii="宋体" w:hAnsi="宋体" w:eastAsia="宋体" w:cs="宋体"/>
                <w:b/>
                <w:bCs/>
                <w:color w:val="000000" w:themeColor="text1"/>
                <w:sz w:val="18"/>
                <w:szCs w:val="18"/>
                <w:lang w:val="en-US" w:eastAsia="zh-CN"/>
                <w14:textFill>
                  <w14:solidFill>
                    <w14:schemeClr w14:val="tx1"/>
                  </w14:solidFill>
                </w14:textFill>
              </w:rPr>
              <w:t>688.59</w:t>
            </w:r>
            <w:r>
              <w:rPr>
                <w:rFonts w:hint="eastAsia" w:ascii="宋体" w:hAnsi="宋体" w:eastAsia="宋体" w:cs="宋体"/>
                <w:b/>
                <w:bCs/>
                <w:color w:val="000000"/>
                <w:sz w:val="18"/>
                <w:szCs w:val="18"/>
                <w:lang w:val="en-US" w:eastAsia="zh-CN"/>
              </w:rPr>
              <w:t>　</w:t>
            </w:r>
          </w:p>
        </w:tc>
        <w:tc>
          <w:tcPr>
            <w:tcW w:w="891" w:type="dxa"/>
            <w:tcBorders>
              <w:top w:val="nil"/>
              <w:left w:val="nil"/>
              <w:bottom w:val="single" w:color="auto" w:sz="4" w:space="0"/>
              <w:right w:val="single" w:color="auto" w:sz="4" w:space="0"/>
            </w:tcBorders>
            <w:noWrap w:val="0"/>
            <w:vAlign w:val="center"/>
          </w:tcPr>
          <w:p>
            <w:pPr>
              <w:rPr>
                <w:rFonts w:hint="eastAsia" w:ascii="宋体" w:hAnsi="宋体" w:eastAsia="宋体" w:cs="宋体"/>
                <w:b/>
                <w:bCs/>
                <w:color w:val="000000"/>
                <w:sz w:val="18"/>
                <w:szCs w:val="18"/>
                <w:lang w:val="en-US" w:eastAsia="zh-CN"/>
              </w:rPr>
            </w:pPr>
            <w:r>
              <w:rPr>
                <w:rFonts w:hint="eastAsia" w:ascii="宋体" w:hAnsi="宋体" w:eastAsia="宋体" w:cs="宋体"/>
                <w:b/>
                <w:bCs/>
                <w:color w:val="000000" w:themeColor="text1"/>
                <w:sz w:val="18"/>
                <w:szCs w:val="18"/>
                <w:lang w:val="en-US" w:eastAsia="zh-CN"/>
                <w14:textFill>
                  <w14:solidFill>
                    <w14:schemeClr w14:val="tx1"/>
                  </w14:solidFill>
                </w14:textFill>
              </w:rPr>
              <w:t>688.59</w:t>
            </w:r>
            <w:r>
              <w:rPr>
                <w:rFonts w:hint="eastAsia" w:ascii="宋体" w:hAnsi="宋体" w:eastAsia="宋体" w:cs="宋体"/>
                <w:b/>
                <w:bCs/>
                <w:color w:val="000000"/>
                <w:sz w:val="18"/>
                <w:szCs w:val="18"/>
                <w:lang w:val="en-US" w:eastAsia="zh-CN"/>
              </w:rPr>
              <w:t>　</w:t>
            </w:r>
          </w:p>
        </w:tc>
        <w:tc>
          <w:tcPr>
            <w:tcW w:w="2038" w:type="dxa"/>
            <w:gridSpan w:val="2"/>
            <w:tcBorders>
              <w:top w:val="nil"/>
              <w:left w:val="nil"/>
              <w:bottom w:val="single" w:color="auto"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w:t>
            </w:r>
          </w:p>
        </w:tc>
      </w:tr>
    </w:tbl>
    <w:p>
      <w:pPr>
        <w:ind w:firstLine="360" w:firstLineChars="200"/>
        <w:rPr>
          <w:rFonts w:hint="default" w:ascii="Calibri" w:hAnsi="Calibri" w:eastAsia="宋体" w:cs="Times New Roman"/>
          <w:color w:val="000000"/>
          <w:sz w:val="18"/>
          <w:szCs w:val="18"/>
          <w:lang w:val="en-US" w:eastAsia="zh-CN"/>
        </w:rPr>
      </w:pPr>
    </w:p>
    <w:p>
      <w:pPr>
        <w:ind w:firstLine="360" w:firstLineChars="200"/>
        <w:rPr>
          <w:rFonts w:hint="eastAsia" w:ascii="Calibri" w:hAnsi="Calibri" w:eastAsia="宋体" w:cs="Times New Roman"/>
          <w:color w:val="000000"/>
          <w:sz w:val="18"/>
          <w:szCs w:val="18"/>
          <w:lang w:val="en-US" w:eastAsia="zh-CN"/>
        </w:rPr>
      </w:pPr>
    </w:p>
    <w:p>
      <w:pPr>
        <w:rPr>
          <w:rFonts w:hint="eastAsia" w:ascii="Calibri" w:hAnsi="Calibri" w:eastAsia="宋体" w:cs="Times New Roman"/>
          <w:color w:val="000000"/>
          <w:sz w:val="18"/>
          <w:szCs w:val="18"/>
          <w:lang w:val="en-US" w:eastAsia="zh-CN"/>
        </w:rPr>
      </w:pPr>
    </w:p>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表5</w:t>
      </w:r>
    </w:p>
    <w:tbl>
      <w:tblPr>
        <w:tblStyle w:val="12"/>
        <w:tblW w:w="9214" w:type="dxa"/>
        <w:tblInd w:w="-34" w:type="dxa"/>
        <w:tblLayout w:type="fixed"/>
        <w:tblCellMar>
          <w:top w:w="0" w:type="dxa"/>
          <w:left w:w="108" w:type="dxa"/>
          <w:bottom w:w="0" w:type="dxa"/>
          <w:right w:w="108" w:type="dxa"/>
        </w:tblCellMar>
      </w:tblPr>
      <w:tblGrid>
        <w:gridCol w:w="649"/>
        <w:gridCol w:w="690"/>
        <w:gridCol w:w="585"/>
        <w:gridCol w:w="3165"/>
        <w:gridCol w:w="1170"/>
        <w:gridCol w:w="226"/>
        <w:gridCol w:w="1139"/>
        <w:gridCol w:w="1590"/>
      </w:tblGrid>
      <w:tr>
        <w:tblPrEx>
          <w:tblCellMar>
            <w:top w:w="0" w:type="dxa"/>
            <w:left w:w="108" w:type="dxa"/>
            <w:bottom w:w="0" w:type="dxa"/>
            <w:right w:w="108" w:type="dxa"/>
          </w:tblCellMar>
        </w:tblPrEx>
        <w:trPr>
          <w:trHeight w:val="517" w:hRule="atLeast"/>
        </w:trPr>
        <w:tc>
          <w:tcPr>
            <w:tcW w:w="9214" w:type="dxa"/>
            <w:gridSpan w:val="8"/>
            <w:tcBorders>
              <w:top w:val="nil"/>
              <w:left w:val="nil"/>
              <w:bottom w:val="nil"/>
              <w:right w:val="nil"/>
            </w:tcBorders>
            <w:noWrap w:val="0"/>
            <w:vAlign w:val="center"/>
          </w:tcPr>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285" w:hRule="atLeast"/>
        </w:trPr>
        <w:tc>
          <w:tcPr>
            <w:tcW w:w="5089" w:type="dxa"/>
            <w:gridSpan w:val="4"/>
            <w:tcBorders>
              <w:top w:val="nil"/>
              <w:left w:val="nil"/>
              <w:bottom w:val="nil"/>
              <w:right w:val="nil"/>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p>
        </w:tc>
        <w:tc>
          <w:tcPr>
            <w:tcW w:w="1396" w:type="dxa"/>
            <w:gridSpan w:val="2"/>
            <w:tcBorders>
              <w:top w:val="nil"/>
              <w:left w:val="nil"/>
              <w:bottom w:val="nil"/>
              <w:right w:val="nil"/>
            </w:tcBorders>
            <w:noWrap w:val="0"/>
            <w:vAlign w:val="center"/>
          </w:tcPr>
          <w:p>
            <w:pPr>
              <w:ind w:firstLine="360" w:firstLineChars="2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 xml:space="preserve">  </w:t>
            </w:r>
          </w:p>
        </w:tc>
        <w:tc>
          <w:tcPr>
            <w:tcW w:w="2729" w:type="dxa"/>
            <w:gridSpan w:val="2"/>
            <w:tcBorders>
              <w:top w:val="nil"/>
              <w:left w:val="nil"/>
              <w:bottom w:val="nil"/>
              <w:right w:val="nil"/>
            </w:tcBorders>
            <w:noWrap w:val="0"/>
            <w:vAlign w:val="center"/>
          </w:tcPr>
          <w:p>
            <w:pPr>
              <w:ind w:firstLine="1620" w:firstLineChars="9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单位：万元</w:t>
            </w:r>
          </w:p>
        </w:tc>
      </w:tr>
      <w:tr>
        <w:tblPrEx>
          <w:tblCellMar>
            <w:top w:w="0" w:type="dxa"/>
            <w:left w:w="108" w:type="dxa"/>
            <w:bottom w:w="0" w:type="dxa"/>
            <w:right w:w="108" w:type="dxa"/>
          </w:tblCellMar>
        </w:tblPrEx>
        <w:trPr>
          <w:trHeight w:val="314" w:hRule="atLeast"/>
        </w:trPr>
        <w:tc>
          <w:tcPr>
            <w:tcW w:w="5089" w:type="dxa"/>
            <w:gridSpan w:val="4"/>
            <w:tcBorders>
              <w:top w:val="single" w:color="auto" w:sz="4" w:space="0"/>
              <w:left w:val="single" w:color="auto" w:sz="4" w:space="0"/>
              <w:bottom w:val="single" w:color="auto" w:sz="4" w:space="0"/>
              <w:right w:val="single" w:color="000000" w:sz="4" w:space="0"/>
            </w:tcBorders>
            <w:noWrap w:val="0"/>
            <w:vAlign w:val="center"/>
          </w:tcPr>
          <w:p>
            <w:pPr>
              <w:ind w:firstLine="360" w:firstLineChars="200"/>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lang w:val="en-US" w:eastAsia="zh-CN"/>
              </w:rPr>
              <w:t>科</w:t>
            </w:r>
            <w:r>
              <w:rPr>
                <w:rFonts w:hint="eastAsia" w:ascii="Calibri" w:hAnsi="Calibri" w:eastAsia="宋体" w:cs="Times New Roman"/>
                <w:color w:val="000000"/>
                <w:sz w:val="18"/>
                <w:szCs w:val="18"/>
              </w:rPr>
              <w:t xml:space="preserve">  目</w:t>
            </w:r>
          </w:p>
        </w:tc>
        <w:tc>
          <w:tcPr>
            <w:tcW w:w="4125" w:type="dxa"/>
            <w:gridSpan w:val="4"/>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一般公共预算支出</w:t>
            </w:r>
          </w:p>
        </w:tc>
      </w:tr>
      <w:tr>
        <w:tblPrEx>
          <w:tblCellMar>
            <w:top w:w="0" w:type="dxa"/>
            <w:left w:w="108" w:type="dxa"/>
            <w:bottom w:w="0" w:type="dxa"/>
            <w:right w:w="108" w:type="dxa"/>
          </w:tblCellMar>
        </w:tblPrEx>
        <w:trPr>
          <w:trHeight w:val="336" w:hRule="atLeast"/>
        </w:trPr>
        <w:tc>
          <w:tcPr>
            <w:tcW w:w="1924" w:type="dxa"/>
            <w:gridSpan w:val="3"/>
            <w:tcBorders>
              <w:top w:val="single" w:color="auto" w:sz="4" w:space="0"/>
              <w:left w:val="single" w:color="auto" w:sz="4" w:space="0"/>
              <w:bottom w:val="single" w:color="auto" w:sz="4" w:space="0"/>
              <w:right w:val="single" w:color="000000" w:sz="4" w:space="0"/>
            </w:tcBorders>
            <w:noWrap w:val="0"/>
            <w:vAlign w:val="center"/>
          </w:tcPr>
          <w:p>
            <w:pP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功能分类科目编码</w:t>
            </w:r>
          </w:p>
        </w:tc>
        <w:tc>
          <w:tcPr>
            <w:tcW w:w="316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功能分类科目名称</w:t>
            </w:r>
          </w:p>
        </w:tc>
        <w:tc>
          <w:tcPr>
            <w:tcW w:w="1170" w:type="dxa"/>
            <w:vMerge w:val="restart"/>
            <w:tcBorders>
              <w:top w:val="nil"/>
              <w:left w:val="single" w:color="auto" w:sz="4" w:space="0"/>
              <w:bottom w:val="single" w:color="000000" w:sz="4" w:space="0"/>
              <w:right w:val="single" w:color="auto" w:sz="4" w:space="0"/>
            </w:tcBorders>
            <w:noWrap w:val="0"/>
            <w:vAlign w:val="center"/>
          </w:tcPr>
          <w:p>
            <w:pPr>
              <w:ind w:firstLine="180" w:firstLineChars="100"/>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合  计</w:t>
            </w:r>
          </w:p>
        </w:tc>
        <w:tc>
          <w:tcPr>
            <w:tcW w:w="1365" w:type="dxa"/>
            <w:gridSpan w:val="2"/>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基本支出</w:t>
            </w:r>
          </w:p>
        </w:tc>
        <w:tc>
          <w:tcPr>
            <w:tcW w:w="1590"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项目支出</w:t>
            </w:r>
          </w:p>
        </w:tc>
      </w:tr>
      <w:tr>
        <w:tblPrEx>
          <w:tblCellMar>
            <w:top w:w="0" w:type="dxa"/>
            <w:left w:w="108" w:type="dxa"/>
            <w:bottom w:w="0" w:type="dxa"/>
            <w:right w:w="108" w:type="dxa"/>
          </w:tblCellMar>
        </w:tblPrEx>
        <w:trPr>
          <w:trHeight w:val="300" w:hRule="atLeast"/>
        </w:trPr>
        <w:tc>
          <w:tcPr>
            <w:tcW w:w="649"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类</w:t>
            </w:r>
          </w:p>
        </w:tc>
        <w:tc>
          <w:tcPr>
            <w:tcW w:w="690"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款</w:t>
            </w:r>
          </w:p>
        </w:tc>
        <w:tc>
          <w:tcPr>
            <w:tcW w:w="585"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color w:val="000000"/>
                <w:sz w:val="18"/>
                <w:szCs w:val="18"/>
              </w:rPr>
            </w:pPr>
            <w:r>
              <w:rPr>
                <w:rFonts w:hint="eastAsia" w:ascii="Calibri" w:hAnsi="Calibri" w:eastAsia="宋体" w:cs="Times New Roman"/>
                <w:color w:val="000000"/>
                <w:sz w:val="18"/>
                <w:szCs w:val="18"/>
              </w:rPr>
              <w:t>项</w:t>
            </w:r>
          </w:p>
        </w:tc>
        <w:tc>
          <w:tcPr>
            <w:tcW w:w="3165" w:type="dxa"/>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170" w:type="dxa"/>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365" w:type="dxa"/>
            <w:gridSpan w:val="2"/>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c>
          <w:tcPr>
            <w:tcW w:w="1590" w:type="dxa"/>
            <w:vMerge w:val="continue"/>
            <w:tcBorders>
              <w:top w:val="nil"/>
              <w:left w:val="single" w:color="auto" w:sz="4" w:space="0"/>
              <w:bottom w:val="single" w:color="000000" w:sz="4" w:space="0"/>
              <w:right w:val="single" w:color="auto" w:sz="4" w:space="0"/>
            </w:tcBorders>
            <w:noWrap w:val="0"/>
            <w:vAlign w:val="center"/>
          </w:tcPr>
          <w:p>
            <w:pPr>
              <w:ind w:firstLine="360" w:firstLineChars="200"/>
              <w:rPr>
                <w:rFonts w:hint="eastAsia" w:ascii="Calibri" w:hAnsi="Calibri" w:eastAsia="宋体" w:cs="Times New Roman"/>
                <w:color w:val="000000"/>
                <w:sz w:val="18"/>
                <w:szCs w:val="18"/>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bookmarkStart w:id="18" w:name="OLE_LINK17" w:colFirst="4" w:colLast="6"/>
            <w:r>
              <w:rPr>
                <w:rFonts w:hint="eastAsia" w:ascii="Calibri" w:hAnsi="Calibri" w:eastAsia="宋体" w:cs="Times New Roman"/>
                <w:b/>
                <w:bCs/>
                <w:color w:val="000000"/>
                <w:sz w:val="18"/>
                <w:szCs w:val="18"/>
                <w:lang w:val="en-US" w:eastAsia="zh-CN"/>
              </w:rPr>
              <w:t>201</w:t>
            </w:r>
          </w:p>
        </w:tc>
        <w:tc>
          <w:tcPr>
            <w:tcW w:w="690"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一般公共服务支出</w:t>
            </w:r>
            <w:r>
              <w:rPr>
                <w:rFonts w:hint="eastAsia" w:ascii="Calibri" w:hAnsi="Calibri" w:eastAsia="宋体" w:cs="Times New Roman"/>
                <w:b/>
                <w:bCs/>
                <w:color w:val="000000"/>
                <w:sz w:val="18"/>
                <w:szCs w:val="18"/>
              </w:rPr>
              <w:t>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themeColor="text1"/>
                <w:sz w:val="18"/>
                <w:szCs w:val="18"/>
                <w:lang w:val="en-US" w:eastAsia="zh-CN"/>
                <w14:textFill>
                  <w14:solidFill>
                    <w14:schemeClr w14:val="tx1"/>
                  </w14:solidFill>
                </w14:textFill>
              </w:rPr>
              <w:t>560.40</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351.90</w:t>
            </w: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208.5</w:t>
            </w:r>
          </w:p>
        </w:tc>
      </w:tr>
      <w:bookmarkEnd w:id="18"/>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宣传事务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560.40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351.90</w:t>
            </w: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208.5</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行政运行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198.24</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198.24</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　</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　</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208.50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208.5</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50　</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事业运行　</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153.66</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153.66</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207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文化旅游体育与传媒支出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5.00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5.00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207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其他文化旅游体育与传媒支出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bookmarkStart w:id="19" w:name="OLE_LINK20" w:colFirst="4" w:colLast="5"/>
            <w:r>
              <w:rPr>
                <w:rFonts w:hint="eastAsia" w:ascii="Calibri" w:hAnsi="Calibri" w:cs="Times New Roman"/>
                <w:color w:val="000000"/>
                <w:sz w:val="18"/>
                <w:szCs w:val="18"/>
                <w:lang w:val="en-US" w:eastAsia="zh-CN"/>
              </w:rPr>
              <w:t>207</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99</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99</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其他文化旅游体育与传媒支出</w:t>
            </w:r>
          </w:p>
        </w:tc>
        <w:tc>
          <w:tcPr>
            <w:tcW w:w="117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kern w:val="2"/>
                <w:sz w:val="18"/>
                <w:szCs w:val="18"/>
                <w:lang w:val="en-US" w:eastAsia="zh-CN" w:bidi="ar-SA"/>
              </w:rPr>
            </w:pPr>
            <w:r>
              <w:rPr>
                <w:rFonts w:hint="eastAsia" w:ascii="Calibri" w:hAnsi="Calibri" w:cs="Times New Roman"/>
                <w:color w:val="000000"/>
                <w:sz w:val="18"/>
                <w:szCs w:val="18"/>
                <w:lang w:val="en-US" w:eastAsia="zh-CN"/>
              </w:rPr>
              <w:t>5.00</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kern w:val="2"/>
                <w:sz w:val="18"/>
                <w:szCs w:val="18"/>
                <w:lang w:val="en-US" w:eastAsia="zh-CN" w:bidi="ar-SA"/>
              </w:rPr>
            </w:pP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kern w:val="2"/>
                <w:sz w:val="18"/>
                <w:szCs w:val="18"/>
                <w:lang w:val="en-US" w:eastAsia="zh-CN" w:bidi="ar-SA"/>
              </w:rPr>
            </w:pPr>
            <w:r>
              <w:rPr>
                <w:rFonts w:hint="eastAsia" w:ascii="Calibri" w:hAnsi="Calibri" w:cs="Times New Roman"/>
                <w:color w:val="000000"/>
                <w:sz w:val="18"/>
                <w:szCs w:val="18"/>
                <w:lang w:val="en-US" w:eastAsia="zh-CN"/>
              </w:rPr>
              <w:t>5.00</w:t>
            </w: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社会保障卡和就业支出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47.64</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47.64</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r>
      <w:bookmarkEnd w:id="19"/>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行政事业单位养老支出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47.64</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47.64</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行政单位离退休</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4.47</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4.47</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　</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　</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机关事业单位基本养老保险缴费支出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卫生健康支出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38.13</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38.13</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行政事业单位医疗</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38.13</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38.13</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行政单位医疗</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14.25</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14.25</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事业单位医疗</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10.88</w:t>
            </w:r>
          </w:p>
        </w:tc>
        <w:tc>
          <w:tcPr>
            <w:tcW w:w="1365"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10.88</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03</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公务员医疗补助</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210</w:t>
            </w:r>
          </w:p>
        </w:tc>
        <w:tc>
          <w:tcPr>
            <w:tcW w:w="6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w:t>
            </w:r>
          </w:p>
        </w:tc>
        <w:tc>
          <w:tcPr>
            <w:tcW w:w="58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316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其他行政事业单位医疗支出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0.32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0.32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221</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住房保障支出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35.92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35.92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221</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住房改革支出</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221</w:t>
            </w: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w:t>
            </w:r>
          </w:p>
        </w:tc>
        <w:tc>
          <w:tcPr>
            <w:tcW w:w="316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住房公积金</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5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450" w:hRule="atLeast"/>
        </w:trPr>
        <w:tc>
          <w:tcPr>
            <w:tcW w:w="649" w:type="dxa"/>
            <w:tcBorders>
              <w:top w:val="nil"/>
              <w:left w:val="single" w:color="auto" w:sz="4" w:space="0"/>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690"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58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3165" w:type="dxa"/>
            <w:tcBorders>
              <w:top w:val="nil"/>
              <w:left w:val="nil"/>
              <w:bottom w:val="single" w:color="auto" w:sz="4" w:space="0"/>
              <w:right w:val="single" w:color="auto" w:sz="4" w:space="0"/>
            </w:tcBorders>
            <w:noWrap w:val="0"/>
            <w:vAlign w:val="center"/>
          </w:tcPr>
          <w:p>
            <w:pPr>
              <w:ind w:firstLine="361" w:firstLineChars="200"/>
              <w:rPr>
                <w:rFonts w:hint="eastAsia" w:ascii="Calibri" w:hAnsi="Calibri" w:eastAsia="宋体" w:cs="Times New Roman"/>
                <w:b/>
                <w:bCs/>
                <w:color w:val="000000"/>
                <w:sz w:val="18"/>
                <w:szCs w:val="18"/>
              </w:rPr>
            </w:pPr>
            <w:r>
              <w:rPr>
                <w:rFonts w:hint="eastAsia" w:ascii="Calibri" w:hAnsi="Calibri" w:eastAsia="宋体" w:cs="Times New Roman"/>
                <w:b/>
                <w:bCs/>
                <w:color w:val="000000"/>
                <w:sz w:val="18"/>
                <w:szCs w:val="18"/>
              </w:rPr>
              <w:t>合  计</w:t>
            </w:r>
          </w:p>
        </w:tc>
        <w:tc>
          <w:tcPr>
            <w:tcW w:w="117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687.09</w:t>
            </w:r>
          </w:p>
        </w:tc>
        <w:tc>
          <w:tcPr>
            <w:tcW w:w="1365"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473.5</w:t>
            </w:r>
            <w:r>
              <w:rPr>
                <w:rFonts w:hint="eastAsia" w:ascii="Calibri" w:hAnsi="Calibri" w:cs="Times New Roman"/>
                <w:b/>
                <w:bCs/>
                <w:color w:val="000000"/>
                <w:sz w:val="18"/>
                <w:szCs w:val="18"/>
                <w:lang w:val="en-US" w:eastAsia="zh-CN"/>
              </w:rPr>
              <w:t>9</w:t>
            </w:r>
          </w:p>
        </w:tc>
        <w:tc>
          <w:tcPr>
            <w:tcW w:w="1590"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213.50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2"/>
        <w:tblW w:w="9260" w:type="dxa"/>
        <w:tblInd w:w="-148" w:type="dxa"/>
        <w:tblLayout w:type="autofit"/>
        <w:tblCellMar>
          <w:top w:w="0" w:type="dxa"/>
          <w:left w:w="108" w:type="dxa"/>
          <w:bottom w:w="0" w:type="dxa"/>
          <w:right w:w="108" w:type="dxa"/>
        </w:tblCellMar>
      </w:tblPr>
      <w:tblGrid>
        <w:gridCol w:w="750"/>
        <w:gridCol w:w="573"/>
        <w:gridCol w:w="3373"/>
        <w:gridCol w:w="481"/>
        <w:gridCol w:w="1217"/>
        <w:gridCol w:w="451"/>
        <w:gridCol w:w="1080"/>
        <w:gridCol w:w="1335"/>
      </w:tblGrid>
      <w:tr>
        <w:tblPrEx>
          <w:tblCellMar>
            <w:top w:w="0" w:type="dxa"/>
            <w:left w:w="108" w:type="dxa"/>
            <w:bottom w:w="0" w:type="dxa"/>
            <w:right w:w="108" w:type="dxa"/>
          </w:tblCellMar>
        </w:tblPrEx>
        <w:trPr>
          <w:trHeight w:val="451" w:hRule="atLeast"/>
        </w:trPr>
        <w:tc>
          <w:tcPr>
            <w:tcW w:w="9260"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cs="Times New Roman"/>
                <w:b/>
                <w:color w:val="000000"/>
                <w:sz w:val="28"/>
                <w:szCs w:val="28"/>
              </w:rPr>
              <w:t>一般公共预算基本支出情况表</w:t>
            </w:r>
          </w:p>
        </w:tc>
      </w:tr>
      <w:tr>
        <w:tblPrEx>
          <w:tblCellMar>
            <w:top w:w="0" w:type="dxa"/>
            <w:left w:w="108" w:type="dxa"/>
            <w:bottom w:w="0" w:type="dxa"/>
            <w:right w:w="108" w:type="dxa"/>
          </w:tblCellMar>
        </w:tblPrEx>
        <w:trPr>
          <w:trHeight w:val="386" w:hRule="atLeast"/>
        </w:trPr>
        <w:tc>
          <w:tcPr>
            <w:tcW w:w="469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p>
        </w:tc>
        <w:tc>
          <w:tcPr>
            <w:tcW w:w="481"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6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15"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c>
      </w:tr>
      <w:tr>
        <w:tblPrEx>
          <w:tblCellMar>
            <w:top w:w="0" w:type="dxa"/>
            <w:left w:w="108" w:type="dxa"/>
            <w:bottom w:w="0" w:type="dxa"/>
            <w:right w:w="108" w:type="dxa"/>
          </w:tblCellMar>
        </w:tblPrEx>
        <w:trPr>
          <w:trHeight w:val="344" w:hRule="atLeast"/>
        </w:trPr>
        <w:tc>
          <w:tcPr>
            <w:tcW w:w="4696" w:type="dxa"/>
            <w:gridSpan w:val="3"/>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 xml:space="preserve">科  </w:t>
            </w:r>
            <w:r>
              <w:rPr>
                <w:rFonts w:hint="eastAsia" w:ascii="Calibri" w:hAnsi="Calibri" w:eastAsia="宋体" w:cs="Times New Roman"/>
                <w:sz w:val="18"/>
                <w:szCs w:val="18"/>
              </w:rPr>
              <w:t>目</w:t>
            </w:r>
          </w:p>
        </w:tc>
        <w:tc>
          <w:tcPr>
            <w:tcW w:w="4564" w:type="dxa"/>
            <w:gridSpan w:val="5"/>
            <w:tcBorders>
              <w:top w:val="single" w:color="auto" w:sz="4" w:space="0"/>
              <w:left w:val="nil"/>
              <w:bottom w:val="single" w:color="auto" w:sz="4" w:space="0"/>
              <w:right w:val="single" w:color="000000"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一般公共预算基本支出</w:t>
            </w:r>
          </w:p>
        </w:tc>
      </w:tr>
      <w:tr>
        <w:tblPrEx>
          <w:tblCellMar>
            <w:top w:w="0" w:type="dxa"/>
            <w:left w:w="108" w:type="dxa"/>
            <w:bottom w:w="0" w:type="dxa"/>
            <w:right w:w="108" w:type="dxa"/>
          </w:tblCellMar>
        </w:tblPrEx>
        <w:trPr>
          <w:trHeight w:val="625" w:hRule="atLeast"/>
        </w:trPr>
        <w:tc>
          <w:tcPr>
            <w:tcW w:w="1323" w:type="dxa"/>
            <w:gridSpan w:val="2"/>
            <w:tcBorders>
              <w:top w:val="single" w:color="auto" w:sz="4" w:space="0"/>
              <w:left w:val="single" w:color="auto" w:sz="4" w:space="0"/>
              <w:bottom w:val="single" w:color="auto" w:sz="4" w:space="0"/>
              <w:right w:val="nil"/>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经济分类科目编码</w:t>
            </w:r>
          </w:p>
        </w:tc>
        <w:tc>
          <w:tcPr>
            <w:tcW w:w="3373"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经济分类科目名称</w:t>
            </w:r>
          </w:p>
        </w:tc>
        <w:tc>
          <w:tcPr>
            <w:tcW w:w="1698" w:type="dxa"/>
            <w:gridSpan w:val="2"/>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合  计</w:t>
            </w:r>
          </w:p>
        </w:tc>
        <w:tc>
          <w:tcPr>
            <w:tcW w:w="1531" w:type="dxa"/>
            <w:gridSpan w:val="2"/>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人员经费</w:t>
            </w:r>
          </w:p>
        </w:tc>
        <w:tc>
          <w:tcPr>
            <w:tcW w:w="1335" w:type="dxa"/>
            <w:vMerge w:val="restart"/>
            <w:tcBorders>
              <w:top w:val="nil"/>
              <w:left w:val="single" w:color="auto" w:sz="4" w:space="0"/>
              <w:bottom w:val="single" w:color="000000"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公用经费</w:t>
            </w:r>
          </w:p>
        </w:tc>
      </w:tr>
      <w:tr>
        <w:tblPrEx>
          <w:tblCellMar>
            <w:top w:w="0" w:type="dxa"/>
            <w:left w:w="108" w:type="dxa"/>
            <w:bottom w:w="0" w:type="dxa"/>
            <w:right w:w="108" w:type="dxa"/>
          </w:tblCellMar>
        </w:tblPrEx>
        <w:trPr>
          <w:trHeight w:val="334"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类</w:t>
            </w:r>
          </w:p>
        </w:tc>
        <w:tc>
          <w:tcPr>
            <w:tcW w:w="573"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款</w:t>
            </w:r>
          </w:p>
        </w:tc>
        <w:tc>
          <w:tcPr>
            <w:tcW w:w="3373"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8"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53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33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bookmarkStart w:id="20" w:name="OLE_LINK23"/>
            <w:r>
              <w:rPr>
                <w:rFonts w:hint="eastAsia" w:ascii="宋体" w:hAnsi="宋体" w:eastAsia="宋体" w:cs="Times New Roman"/>
                <w:b/>
                <w:bCs/>
                <w:sz w:val="18"/>
                <w:szCs w:val="18"/>
                <w:lang w:val="en-US" w:eastAsia="zh-CN"/>
              </w:rPr>
              <w:t>301</w:t>
            </w:r>
            <w:bookmarkEnd w:id="20"/>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b/>
                <w:bCs/>
                <w:sz w:val="18"/>
                <w:szCs w:val="18"/>
                <w:lang w:val="en-US" w:eastAsia="zh-CN"/>
              </w:rPr>
              <w:t>工资福利支出</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445.33</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445.33</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01</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基本工资</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109.86</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109.86</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02</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津贴补贴</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69.72</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69.72</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03</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奖金</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85.93</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85.93</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07</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绩效工资</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33.80</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33.80</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08</w:t>
            </w: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机关事业单位基本养老保险缴费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43.17</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w:t>
            </w: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职工基本医疗保险缴费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25.13</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25.13</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11</w:t>
            </w: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公务员医疗补助缴费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12.68</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12</w:t>
            </w: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其他社会保障缴费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2.08</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13</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住房公积金</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35.92</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301</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99</w:t>
            </w: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其他工资福利支出</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27.04</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27.04</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bookmarkStart w:id="21" w:name="OLE_LINK24"/>
            <w:r>
              <w:rPr>
                <w:rFonts w:hint="eastAsia" w:ascii="宋体" w:hAnsi="宋体" w:eastAsia="宋体" w:cs="Times New Roman"/>
                <w:b/>
                <w:bCs/>
                <w:sz w:val="18"/>
                <w:szCs w:val="18"/>
                <w:lang w:val="en-US" w:eastAsia="zh-CN"/>
              </w:rPr>
              <w:t>302</w:t>
            </w:r>
            <w:bookmarkEnd w:id="21"/>
          </w:p>
        </w:tc>
        <w:tc>
          <w:tcPr>
            <w:tcW w:w="573" w:type="dxa"/>
            <w:tcBorders>
              <w:top w:val="nil"/>
              <w:left w:val="nil"/>
              <w:bottom w:val="single" w:color="auto" w:sz="4" w:space="0"/>
              <w:right w:val="single" w:color="auto" w:sz="4" w:space="0"/>
            </w:tcBorders>
            <w:noWrap w:val="0"/>
            <w:vAlign w:val="center"/>
          </w:tcPr>
          <w:p>
            <w:pPr>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b/>
                <w:bCs/>
                <w:sz w:val="18"/>
                <w:szCs w:val="18"/>
                <w:lang w:val="en-US" w:eastAsia="zh-CN"/>
              </w:rPr>
              <w:t>商品和服务支出</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17.06</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17.06</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01</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办公费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2.37</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2.37</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02</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印刷费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0.28</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0.28</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07</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邮电费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1.41</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1.41</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09</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物业管理费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0.11</w:t>
            </w:r>
          </w:p>
        </w:tc>
        <w:tc>
          <w:tcPr>
            <w:tcW w:w="1531"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0.11</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11</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差旅费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0.78</w:t>
            </w:r>
          </w:p>
        </w:tc>
        <w:tc>
          <w:tcPr>
            <w:tcW w:w="1531"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0.78</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17</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公务接待费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0.50</w:t>
            </w:r>
          </w:p>
        </w:tc>
        <w:tc>
          <w:tcPr>
            <w:tcW w:w="1531"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0.50</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28</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工会经费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5.21</w:t>
            </w:r>
          </w:p>
        </w:tc>
        <w:tc>
          <w:tcPr>
            <w:tcW w:w="1531"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5.21</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302</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31</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公务用车运行维护费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6.40</w:t>
            </w:r>
          </w:p>
        </w:tc>
        <w:tc>
          <w:tcPr>
            <w:tcW w:w="1531" w:type="dxa"/>
            <w:gridSpan w:val="2"/>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6.40</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bookmarkStart w:id="22" w:name="OLE_LINK25" w:colFirst="0" w:colLast="0"/>
            <w:r>
              <w:rPr>
                <w:rFonts w:hint="eastAsia" w:ascii="宋体" w:hAnsi="宋体" w:eastAsia="宋体" w:cs="Times New Roman"/>
                <w:b/>
                <w:bCs/>
                <w:sz w:val="18"/>
                <w:szCs w:val="18"/>
                <w:lang w:val="en-US" w:eastAsia="zh-CN"/>
              </w:rPr>
              <w:t>303</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p>
        </w:tc>
        <w:tc>
          <w:tcPr>
            <w:tcW w:w="3373" w:type="dxa"/>
            <w:tcBorders>
              <w:top w:val="nil"/>
              <w:left w:val="nil"/>
              <w:bottom w:val="single" w:color="auto" w:sz="4" w:space="0"/>
              <w:right w:val="single" w:color="auto" w:sz="4" w:space="0"/>
            </w:tcBorders>
            <w:noWrap w:val="0"/>
            <w:vAlign w:val="center"/>
          </w:tcPr>
          <w:p>
            <w:pPr>
              <w:jc w:val="left"/>
              <w:rPr>
                <w:rFonts w:hint="default" w:ascii="宋体" w:hAnsi="宋体" w:eastAsia="宋体" w:cs="Times New Roman"/>
                <w:sz w:val="18"/>
                <w:szCs w:val="18"/>
                <w:lang w:val="en-US" w:eastAsia="zh-CN"/>
              </w:rPr>
            </w:pPr>
            <w:r>
              <w:rPr>
                <w:rFonts w:hint="eastAsia" w:ascii="宋体" w:hAnsi="宋体" w:eastAsia="宋体" w:cs="Times New Roman"/>
                <w:b/>
                <w:bCs/>
                <w:sz w:val="18"/>
                <w:szCs w:val="18"/>
                <w:lang w:val="en-US" w:eastAsia="zh-CN"/>
              </w:rPr>
              <w:t>对个人和家庭的补助</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11.19</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11,19</w:t>
            </w:r>
          </w:p>
        </w:tc>
        <w:tc>
          <w:tcPr>
            <w:tcW w:w="133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bookmarkEnd w:id="22"/>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303</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02</w:t>
            </w:r>
          </w:p>
        </w:tc>
        <w:tc>
          <w:tcPr>
            <w:tcW w:w="3373" w:type="dxa"/>
            <w:tcBorders>
              <w:top w:val="nil"/>
              <w:left w:val="nil"/>
              <w:bottom w:val="single" w:color="auto" w:sz="4" w:space="0"/>
              <w:right w:val="single" w:color="auto" w:sz="4" w:space="0"/>
            </w:tcBorders>
            <w:noWrap w:val="0"/>
            <w:vAlign w:val="center"/>
          </w:tcPr>
          <w:p>
            <w:pPr>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rPr>
              <w:t>　</w:t>
            </w:r>
            <w:r>
              <w:rPr>
                <w:rFonts w:hint="eastAsia" w:ascii="宋体" w:hAnsi="宋体" w:eastAsia="宋体" w:cs="Times New Roman"/>
                <w:sz w:val="18"/>
                <w:szCs w:val="18"/>
                <w:lang w:val="en-US" w:eastAsia="zh-CN"/>
              </w:rPr>
              <w:t>退休费</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9.18</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9.18</w:t>
            </w:r>
          </w:p>
        </w:tc>
        <w:tc>
          <w:tcPr>
            <w:tcW w:w="133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w:t>
            </w: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r>
              <w:rPr>
                <w:rFonts w:hint="eastAsia" w:ascii="宋体" w:hAnsi="宋体" w:eastAsia="宋体" w:cs="Times New Roman"/>
                <w:sz w:val="18"/>
                <w:szCs w:val="18"/>
                <w:lang w:val="en-US" w:eastAsia="zh-CN"/>
              </w:rPr>
              <w:t>303</w:t>
            </w:r>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05</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生活补助</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1.16</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1.16</w:t>
            </w:r>
          </w:p>
        </w:tc>
        <w:tc>
          <w:tcPr>
            <w:tcW w:w="133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365" w:hRule="atLeast"/>
        </w:trPr>
        <w:tc>
          <w:tcPr>
            <w:tcW w:w="750" w:type="dxa"/>
            <w:tcBorders>
              <w:top w:val="nil"/>
              <w:left w:val="single" w:color="auto" w:sz="4" w:space="0"/>
              <w:bottom w:val="single" w:color="auto" w:sz="4" w:space="0"/>
              <w:right w:val="single" w:color="auto" w:sz="4" w:space="0"/>
            </w:tcBorders>
            <w:noWrap w:val="0"/>
            <w:vAlign w:val="center"/>
          </w:tcPr>
          <w:p>
            <w:pPr>
              <w:jc w:val="center"/>
              <w:rPr>
                <w:rFonts w:hint="eastAsia" w:ascii="宋体" w:hAnsi="宋体" w:eastAsia="宋体" w:cs="Times New Roman"/>
                <w:sz w:val="18"/>
                <w:szCs w:val="18"/>
              </w:rPr>
            </w:pPr>
            <w:bookmarkStart w:id="23" w:name="OLE_LINK26"/>
            <w:r>
              <w:rPr>
                <w:rFonts w:hint="eastAsia" w:ascii="宋体" w:hAnsi="宋体" w:eastAsia="宋体" w:cs="Times New Roman"/>
                <w:sz w:val="18"/>
                <w:szCs w:val="18"/>
                <w:lang w:val="en-US" w:eastAsia="zh-CN"/>
              </w:rPr>
              <w:t>303</w:t>
            </w:r>
            <w:bookmarkEnd w:id="23"/>
          </w:p>
        </w:tc>
        <w:tc>
          <w:tcPr>
            <w:tcW w:w="573" w:type="dxa"/>
            <w:tcBorders>
              <w:top w:val="nil"/>
              <w:left w:val="nil"/>
              <w:bottom w:val="single" w:color="auto" w:sz="4" w:space="0"/>
              <w:right w:val="single" w:color="auto" w:sz="4" w:space="0"/>
            </w:tcBorders>
            <w:noWrap w:val="0"/>
            <w:vAlign w:val="center"/>
          </w:tcPr>
          <w:p>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09</w:t>
            </w:r>
          </w:p>
        </w:tc>
        <w:tc>
          <w:tcPr>
            <w:tcW w:w="3373" w:type="dxa"/>
            <w:tcBorders>
              <w:top w:val="nil"/>
              <w:left w:val="nil"/>
              <w:bottom w:val="single" w:color="auto" w:sz="4" w:space="0"/>
              <w:right w:val="single" w:color="auto" w:sz="4" w:space="0"/>
            </w:tcBorders>
            <w:noWrap w:val="0"/>
            <w:vAlign w:val="center"/>
          </w:tcPr>
          <w:p>
            <w:pPr>
              <w:ind w:firstLine="180" w:firstLineChars="100"/>
              <w:jc w:val="left"/>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奖励金</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0.85</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0.85</w:t>
            </w:r>
          </w:p>
        </w:tc>
        <w:tc>
          <w:tcPr>
            <w:tcW w:w="1335" w:type="dxa"/>
            <w:tcBorders>
              <w:top w:val="nil"/>
              <w:left w:val="nil"/>
              <w:bottom w:val="single" w:color="auto" w:sz="4" w:space="0"/>
              <w:right w:val="single" w:color="auto" w:sz="4" w:space="0"/>
            </w:tcBorders>
            <w:noWrap w:val="0"/>
            <w:vAlign w:val="center"/>
          </w:tcPr>
          <w:p>
            <w:pPr>
              <w:rPr>
                <w:rFonts w:hint="eastAsia" w:ascii="Calibri" w:hAnsi="Calibri" w:eastAsia="宋体" w:cs="Times New Roman"/>
                <w:color w:val="000000"/>
                <w:sz w:val="18"/>
                <w:szCs w:val="18"/>
                <w:lang w:val="en-US" w:eastAsia="zh-CN"/>
              </w:rPr>
            </w:pPr>
          </w:p>
        </w:tc>
      </w:tr>
      <w:tr>
        <w:tblPrEx>
          <w:tblCellMar>
            <w:top w:w="0" w:type="dxa"/>
            <w:left w:w="108" w:type="dxa"/>
            <w:bottom w:w="0" w:type="dxa"/>
            <w:right w:w="108" w:type="dxa"/>
          </w:tblCellMar>
        </w:tblPrEx>
        <w:trPr>
          <w:trHeight w:val="516" w:hRule="atLeast"/>
        </w:trPr>
        <w:tc>
          <w:tcPr>
            <w:tcW w:w="750"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37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98"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473.58</w:t>
            </w:r>
          </w:p>
        </w:tc>
        <w:tc>
          <w:tcPr>
            <w:tcW w:w="1531" w:type="dxa"/>
            <w:gridSpan w:val="2"/>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456.52</w:t>
            </w:r>
          </w:p>
        </w:tc>
        <w:tc>
          <w:tcPr>
            <w:tcW w:w="1335" w:type="dxa"/>
            <w:tcBorders>
              <w:top w:val="nil"/>
              <w:left w:val="nil"/>
              <w:bottom w:val="single" w:color="auto" w:sz="4" w:space="0"/>
              <w:right w:val="single" w:color="auto" w:sz="4" w:space="0"/>
            </w:tcBorders>
            <w:noWrap w:val="0"/>
            <w:vAlign w:val="center"/>
          </w:tcPr>
          <w:p>
            <w:pP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　17.06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417"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2"/>
        <w:tblW w:w="14807" w:type="dxa"/>
        <w:tblInd w:w="-981" w:type="dxa"/>
        <w:tblLayout w:type="fixed"/>
        <w:tblCellMar>
          <w:top w:w="0" w:type="dxa"/>
          <w:left w:w="108" w:type="dxa"/>
          <w:bottom w:w="0" w:type="dxa"/>
          <w:right w:w="108" w:type="dxa"/>
        </w:tblCellMar>
      </w:tblPr>
      <w:tblGrid>
        <w:gridCol w:w="500"/>
        <w:gridCol w:w="500"/>
        <w:gridCol w:w="484"/>
        <w:gridCol w:w="2785"/>
        <w:gridCol w:w="2670"/>
        <w:gridCol w:w="825"/>
        <w:gridCol w:w="645"/>
        <w:gridCol w:w="810"/>
        <w:gridCol w:w="795"/>
        <w:gridCol w:w="765"/>
        <w:gridCol w:w="765"/>
        <w:gridCol w:w="630"/>
        <w:gridCol w:w="765"/>
        <w:gridCol w:w="630"/>
        <w:gridCol w:w="705"/>
        <w:gridCol w:w="533"/>
      </w:tblGrid>
      <w:tr>
        <w:tblPrEx>
          <w:tblCellMar>
            <w:top w:w="0" w:type="dxa"/>
            <w:left w:w="108" w:type="dxa"/>
            <w:bottom w:w="0" w:type="dxa"/>
            <w:right w:w="108" w:type="dxa"/>
          </w:tblCellMar>
        </w:tblPrEx>
        <w:trPr>
          <w:trHeight w:val="375" w:hRule="atLeast"/>
        </w:trPr>
        <w:tc>
          <w:tcPr>
            <w:tcW w:w="14807"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 w:hAnsi="宋体" w:eastAsia="仿宋" w:cs="Times New Roman"/>
                <w:b/>
                <w:color w:val="000000"/>
                <w:sz w:val="28"/>
                <w:szCs w:val="28"/>
              </w:rPr>
              <w:t>一般公共预算项目支出情况表</w:t>
            </w:r>
          </w:p>
        </w:tc>
      </w:tr>
      <w:tr>
        <w:tblPrEx>
          <w:tblCellMar>
            <w:top w:w="0" w:type="dxa"/>
            <w:left w:w="108" w:type="dxa"/>
            <w:bottom w:w="0" w:type="dxa"/>
            <w:right w:w="108" w:type="dxa"/>
          </w:tblCellMar>
        </w:tblPrEx>
        <w:trPr>
          <w:trHeight w:val="405" w:hRule="atLeast"/>
        </w:trPr>
        <w:tc>
          <w:tcPr>
            <w:tcW w:w="7764"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Calibri" w:hAnsi="Calibri" w:eastAsia="宋体" w:cs="Times New Roman"/>
                <w:sz w:val="18"/>
                <w:szCs w:val="18"/>
              </w:rPr>
              <w:t>编制</w:t>
            </w:r>
            <w:r>
              <w:rPr>
                <w:rFonts w:hint="eastAsia" w:ascii="Calibri" w:hAnsi="Calibri" w:eastAsia="宋体" w:cs="Times New Roman"/>
                <w:sz w:val="18"/>
                <w:szCs w:val="18"/>
                <w:lang w:eastAsia="zh-CN"/>
              </w:rPr>
              <w:t>部门</w:t>
            </w:r>
            <w:r>
              <w:rPr>
                <w:rFonts w:hint="eastAsia" w:ascii="Calibri" w:hAnsi="Calibri" w:eastAsia="宋体" w:cs="Times New Roman"/>
                <w:sz w:val="18"/>
                <w:szCs w:val="18"/>
              </w:rPr>
              <w:t>：</w:t>
            </w:r>
            <w:r>
              <w:rPr>
                <w:rFonts w:hint="eastAsia" w:ascii="Calibri" w:hAnsi="Calibri" w:eastAsia="宋体" w:cs="Times New Roman"/>
                <w:sz w:val="18"/>
                <w:szCs w:val="18"/>
                <w:lang w:val="en-US" w:eastAsia="zh-CN"/>
              </w:rPr>
              <w:t>中共呼图壁县委员会宣传部</w:t>
            </w:r>
          </w:p>
        </w:tc>
        <w:tc>
          <w:tcPr>
            <w:tcW w:w="145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6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4028" w:type="dxa"/>
            <w:gridSpan w:val="6"/>
            <w:tcBorders>
              <w:top w:val="nil"/>
              <w:left w:val="nil"/>
              <w:bottom w:val="nil"/>
              <w:right w:val="nil"/>
            </w:tcBorders>
            <w:noWrap w:val="0"/>
            <w:vAlign w:val="center"/>
          </w:tcPr>
          <w:p>
            <w:pPr>
              <w:widowControl/>
              <w:ind w:firstLine="4860" w:firstLineChars="2700"/>
              <w:rPr>
                <w:rFonts w:ascii="仿宋_GB2312" w:hAnsi="宋体" w:eastAsia="仿宋_GB2312" w:cs="宋体"/>
                <w:color w:val="auto"/>
                <w:kern w:val="0"/>
                <w:sz w:val="24"/>
                <w:highlight w:val="none"/>
              </w:rPr>
            </w:pPr>
            <w:r>
              <w:rPr>
                <w:rFonts w:hint="eastAsia" w:ascii="Calibri" w:hAnsi="Calibri" w:eastAsia="宋体" w:cs="Times New Roman"/>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484" w:type="dxa"/>
            <w:gridSpan w:val="3"/>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科 目 编 码</w:t>
            </w:r>
          </w:p>
        </w:tc>
        <w:tc>
          <w:tcPr>
            <w:tcW w:w="278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科目</w:t>
            </w:r>
          </w:p>
          <w:p>
            <w:pPr>
              <w:jc w:val="center"/>
              <w:rPr>
                <w:rFonts w:hint="eastAsia" w:ascii="Calibri" w:hAnsi="Calibri" w:eastAsia="宋体" w:cs="Times New Roman"/>
                <w:sz w:val="18"/>
                <w:szCs w:val="18"/>
                <w:lang w:eastAsia="zh-CN"/>
              </w:rPr>
            </w:pPr>
            <w:r>
              <w:rPr>
                <w:rFonts w:hint="eastAsia" w:ascii="Calibri" w:hAnsi="Calibri" w:eastAsia="宋体" w:cs="Times New Roman"/>
                <w:sz w:val="18"/>
                <w:szCs w:val="18"/>
                <w:lang w:eastAsia="zh-CN"/>
              </w:rPr>
              <w:t>名称</w:t>
            </w:r>
          </w:p>
        </w:tc>
        <w:tc>
          <w:tcPr>
            <w:tcW w:w="267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项目名称</w:t>
            </w:r>
          </w:p>
        </w:tc>
        <w:tc>
          <w:tcPr>
            <w:tcW w:w="82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项目支出合计</w:t>
            </w:r>
          </w:p>
        </w:tc>
        <w:tc>
          <w:tcPr>
            <w:tcW w:w="64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工资福利支出</w:t>
            </w:r>
          </w:p>
        </w:tc>
        <w:tc>
          <w:tcPr>
            <w:tcW w:w="81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商品和服务支出</w:t>
            </w:r>
          </w:p>
        </w:tc>
        <w:tc>
          <w:tcPr>
            <w:tcW w:w="79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对个人和家庭的补助</w:t>
            </w:r>
          </w:p>
        </w:tc>
        <w:tc>
          <w:tcPr>
            <w:tcW w:w="76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债务利息及费用支出</w:t>
            </w:r>
          </w:p>
        </w:tc>
        <w:tc>
          <w:tcPr>
            <w:tcW w:w="76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资本性支出（基本建设）</w:t>
            </w:r>
          </w:p>
        </w:tc>
        <w:tc>
          <w:tcPr>
            <w:tcW w:w="63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资本性支出</w:t>
            </w:r>
          </w:p>
        </w:tc>
        <w:tc>
          <w:tcPr>
            <w:tcW w:w="76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对企业补助（基本建设）</w:t>
            </w:r>
          </w:p>
        </w:tc>
        <w:tc>
          <w:tcPr>
            <w:tcW w:w="630"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对企业补助</w:t>
            </w:r>
          </w:p>
        </w:tc>
        <w:tc>
          <w:tcPr>
            <w:tcW w:w="70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对社会保障基金补助</w:t>
            </w:r>
          </w:p>
        </w:tc>
        <w:tc>
          <w:tcPr>
            <w:tcW w:w="533"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00" w:type="dxa"/>
            <w:tcBorders>
              <w:bottom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tc>
        <w:tc>
          <w:tcPr>
            <w:tcW w:w="500" w:type="dxa"/>
            <w:tcBorders>
              <w:bottom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tc>
        <w:tc>
          <w:tcPr>
            <w:tcW w:w="484" w:type="dxa"/>
            <w:tcBorders>
              <w:bottom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tc>
        <w:tc>
          <w:tcPr>
            <w:tcW w:w="278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26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bookmarkStart w:id="24" w:name="OLE_LINK27"/>
            <w:bookmarkStart w:id="25" w:name="OLE_LINK30" w:colFirst="5" w:colLast="8"/>
            <w:r>
              <w:rPr>
                <w:rFonts w:hint="eastAsia" w:ascii="Calibri" w:hAnsi="Calibri" w:eastAsia="宋体" w:cs="Times New Roman"/>
                <w:color w:val="000000"/>
                <w:sz w:val="18"/>
                <w:szCs w:val="18"/>
                <w:lang w:val="en-US" w:eastAsia="zh-CN"/>
              </w:rPr>
              <w:t>201</w:t>
            </w:r>
            <w:bookmarkEnd w:id="24"/>
          </w:p>
        </w:tc>
        <w:tc>
          <w:tcPr>
            <w:tcW w:w="500" w:type="dxa"/>
            <w:noWrap w:val="0"/>
            <w:vAlign w:val="center"/>
          </w:tcPr>
          <w:p>
            <w:pPr>
              <w:jc w:val="center"/>
              <w:rPr>
                <w:rFonts w:hint="eastAsia" w:ascii="Calibri" w:hAnsi="Calibri" w:eastAsia="宋体" w:cs="Times New Roman"/>
                <w:color w:val="000000"/>
                <w:sz w:val="18"/>
                <w:szCs w:val="18"/>
                <w:lang w:val="en-US" w:eastAsia="zh-Hans"/>
              </w:rPr>
            </w:pP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一般公共服务支出</w:t>
            </w:r>
          </w:p>
        </w:tc>
        <w:tc>
          <w:tcPr>
            <w:tcW w:w="2670" w:type="dxa"/>
            <w:noWrap w:val="0"/>
            <w:vAlign w:val="center"/>
          </w:tcPr>
          <w:p>
            <w:pPr>
              <w:jc w:val="center"/>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210.00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18</w:t>
            </w: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bookmarkStart w:id="26" w:name="OLE_LINK28"/>
            <w:r>
              <w:rPr>
                <w:rFonts w:hint="eastAsia" w:ascii="Calibri" w:hAnsi="Calibri" w:eastAsia="宋体" w:cs="Times New Roman"/>
                <w:color w:val="000000"/>
                <w:sz w:val="18"/>
                <w:szCs w:val="18"/>
                <w:lang w:val="en-US" w:eastAsia="zh-CN"/>
              </w:rPr>
              <w:t>33</w:t>
            </w:r>
            <w:bookmarkEnd w:id="26"/>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ind w:firstLine="180" w:firstLineChars="1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宣传事务</w:t>
            </w:r>
          </w:p>
        </w:tc>
        <w:tc>
          <w:tcPr>
            <w:tcW w:w="2670" w:type="dxa"/>
            <w:noWrap w:val="0"/>
            <w:vAlign w:val="center"/>
          </w:tcPr>
          <w:p>
            <w:pPr>
              <w:jc w:val="center"/>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210.00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18</w:t>
            </w: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正版办公软件场地授权及软件管理系统续费（非定额）</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呼图壁县2026年党报党刊征订费（非定额）</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160.00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160.00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201</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33</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02</w:t>
            </w:r>
          </w:p>
        </w:tc>
        <w:tc>
          <w:tcPr>
            <w:tcW w:w="2785" w:type="dxa"/>
            <w:noWrap w:val="0"/>
            <w:vAlign w:val="center"/>
          </w:tcPr>
          <w:p>
            <w:pPr>
              <w:ind w:firstLine="360" w:firstLineChars="200"/>
              <w:jc w:val="both"/>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一般行政管理事务</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文艺创作扶持奖励资金（非定额）</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p>
        </w:tc>
        <w:tc>
          <w:tcPr>
            <w:tcW w:w="79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2</w:t>
            </w:r>
            <w:r>
              <w:rPr>
                <w:rFonts w:hint="eastAsia" w:ascii="Calibri" w:hAnsi="Calibri" w:eastAsia="宋体" w:cs="Times New Roman"/>
                <w:color w:val="000000"/>
                <w:sz w:val="18"/>
                <w:szCs w:val="18"/>
                <w:lang w:val="en-US" w:eastAsia="zh-CN"/>
              </w:rPr>
              <w:t>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bookmarkStart w:id="27" w:name="OLE_LINK31"/>
            <w:bookmarkStart w:id="28" w:name="OLE_LINK32" w:colFirst="5" w:colLast="7"/>
            <w:r>
              <w:rPr>
                <w:rFonts w:hint="eastAsia" w:ascii="Calibri" w:hAnsi="Calibri" w:eastAsia="宋体" w:cs="Times New Roman"/>
                <w:color w:val="000000"/>
                <w:sz w:val="18"/>
                <w:szCs w:val="18"/>
                <w:lang w:val="en-US" w:eastAsia="zh-CN"/>
              </w:rPr>
              <w:t>207</w:t>
            </w:r>
            <w:bookmarkEnd w:id="27"/>
          </w:p>
        </w:tc>
        <w:tc>
          <w:tcPr>
            <w:tcW w:w="500" w:type="dxa"/>
            <w:noWrap w:val="0"/>
            <w:vAlign w:val="center"/>
          </w:tcPr>
          <w:p>
            <w:pPr>
              <w:jc w:val="center"/>
              <w:rPr>
                <w:rFonts w:hint="default" w:ascii="Calibri" w:hAnsi="Calibri" w:eastAsia="宋体" w:cs="Times New Roman"/>
                <w:color w:val="000000"/>
                <w:sz w:val="18"/>
                <w:szCs w:val="18"/>
                <w:lang w:val="en-US" w:eastAsia="zh-CN"/>
              </w:rPr>
            </w:pP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both"/>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文化旅游体育与传媒支出</w:t>
            </w:r>
          </w:p>
        </w:tc>
        <w:tc>
          <w:tcPr>
            <w:tcW w:w="2670" w:type="dxa"/>
            <w:noWrap w:val="0"/>
            <w:vAlign w:val="center"/>
          </w:tcPr>
          <w:p>
            <w:pPr>
              <w:jc w:val="left"/>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bookmark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207</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left"/>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 xml:space="preserve"> </w:t>
            </w:r>
            <w:r>
              <w:rPr>
                <w:rFonts w:hint="default" w:ascii="Calibri" w:hAnsi="Calibri" w:eastAsia="宋体" w:cs="Times New Roman"/>
                <w:color w:val="000000"/>
                <w:sz w:val="18"/>
                <w:szCs w:val="18"/>
                <w:lang w:val="en-US" w:eastAsia="zh-CN"/>
              </w:rPr>
              <w:t>其他文化旅游体育与传媒支出</w:t>
            </w:r>
          </w:p>
        </w:tc>
        <w:tc>
          <w:tcPr>
            <w:tcW w:w="2670" w:type="dxa"/>
            <w:noWrap w:val="0"/>
            <w:vAlign w:val="center"/>
          </w:tcPr>
          <w:p>
            <w:pPr>
              <w:jc w:val="left"/>
              <w:rPr>
                <w:rFonts w:hint="default" w:ascii="Calibri" w:hAnsi="Calibri" w:eastAsia="宋体" w:cs="Times New Roman"/>
                <w:color w:val="000000"/>
                <w:sz w:val="18"/>
                <w:szCs w:val="18"/>
                <w:lang w:val="en-US" w:eastAsia="zh-CN"/>
              </w:rPr>
            </w:pP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207</w:t>
            </w:r>
          </w:p>
        </w:tc>
        <w:tc>
          <w:tcPr>
            <w:tcW w:w="50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484"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99</w:t>
            </w:r>
          </w:p>
        </w:tc>
        <w:tc>
          <w:tcPr>
            <w:tcW w:w="2785" w:type="dxa"/>
            <w:noWrap w:val="0"/>
            <w:vAlign w:val="center"/>
          </w:tcPr>
          <w:p>
            <w:pPr>
              <w:jc w:val="left"/>
              <w:rPr>
                <w:rFonts w:hint="default" w:ascii="Calibri" w:hAnsi="Calibri" w:eastAsia="宋体" w:cs="Times New Roman"/>
                <w:color w:val="000000"/>
                <w:sz w:val="18"/>
                <w:szCs w:val="18"/>
                <w:lang w:val="en-US" w:eastAsia="zh-CN"/>
              </w:rPr>
            </w:pPr>
            <w:r>
              <w:rPr>
                <w:rFonts w:hint="eastAsia" w:ascii="Calibri" w:hAnsi="Calibri" w:cs="Times New Roman"/>
                <w:color w:val="000000"/>
                <w:sz w:val="18"/>
                <w:szCs w:val="18"/>
                <w:lang w:val="en-US" w:eastAsia="zh-CN"/>
              </w:rPr>
              <w:t xml:space="preserve">  </w:t>
            </w:r>
            <w:r>
              <w:rPr>
                <w:rFonts w:hint="default" w:ascii="Calibri" w:hAnsi="Calibri" w:eastAsia="宋体" w:cs="Times New Roman"/>
                <w:color w:val="000000"/>
                <w:sz w:val="18"/>
                <w:szCs w:val="18"/>
                <w:lang w:val="en-US" w:eastAsia="zh-CN"/>
              </w:rPr>
              <w:t>其他文化旅游体育与传媒支出</w:t>
            </w:r>
          </w:p>
        </w:tc>
        <w:tc>
          <w:tcPr>
            <w:tcW w:w="2670" w:type="dxa"/>
            <w:noWrap w:val="0"/>
            <w:vAlign w:val="center"/>
          </w:tcPr>
          <w:p>
            <w:pPr>
              <w:jc w:val="left"/>
              <w:rPr>
                <w:rFonts w:hint="default" w:ascii="Calibri" w:hAnsi="Calibri" w:eastAsia="宋体" w:cs="Times New Roman"/>
                <w:color w:val="000000"/>
                <w:sz w:val="18"/>
                <w:szCs w:val="18"/>
                <w:lang w:val="en-US" w:eastAsia="zh-CN"/>
              </w:rPr>
            </w:pPr>
            <w:r>
              <w:rPr>
                <w:rFonts w:hint="default" w:ascii="Calibri" w:hAnsi="Calibri" w:eastAsia="宋体" w:cs="Times New Roman"/>
                <w:color w:val="000000"/>
                <w:sz w:val="18"/>
                <w:szCs w:val="18"/>
                <w:lang w:val="en-US" w:eastAsia="zh-CN"/>
              </w:rPr>
              <w:t>2025年少数民族和边疆地区文化安全补助资金</w:t>
            </w:r>
          </w:p>
        </w:tc>
        <w:tc>
          <w:tcPr>
            <w:tcW w:w="825"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5.00</w:t>
            </w:r>
          </w:p>
        </w:tc>
        <w:tc>
          <w:tcPr>
            <w:tcW w:w="645" w:type="dxa"/>
            <w:noWrap w:val="0"/>
            <w:vAlign w:val="center"/>
          </w:tcPr>
          <w:p>
            <w:pPr>
              <w:jc w:val="center"/>
              <w:rPr>
                <w:rFonts w:hint="default" w:ascii="Calibri" w:hAnsi="Calibri" w:eastAsia="宋体" w:cs="Times New Roman"/>
                <w:color w:val="000000"/>
                <w:sz w:val="18"/>
                <w:szCs w:val="18"/>
                <w:lang w:val="en-US" w:eastAsia="zh-CN"/>
              </w:rPr>
            </w:pPr>
          </w:p>
        </w:tc>
        <w:tc>
          <w:tcPr>
            <w:tcW w:w="810" w:type="dxa"/>
            <w:noWrap w:val="0"/>
            <w:vAlign w:val="center"/>
          </w:tcPr>
          <w:p>
            <w:pPr>
              <w:jc w:val="center"/>
              <w:rPr>
                <w:rFonts w:hint="default" w:ascii="Calibri" w:hAnsi="Calibri" w:eastAsia="宋体" w:cs="Times New Roman"/>
                <w:color w:val="000000"/>
                <w:sz w:val="18"/>
                <w:szCs w:val="18"/>
                <w:lang w:val="en-US" w:eastAsia="zh-CN"/>
              </w:rPr>
            </w:pPr>
            <w:r>
              <w:rPr>
                <w:rFonts w:hint="eastAsia" w:ascii="Calibri" w:hAnsi="Calibri" w:eastAsia="宋体" w:cs="Times New Roman"/>
                <w:color w:val="000000"/>
                <w:sz w:val="18"/>
                <w:szCs w:val="18"/>
                <w:lang w:val="en-US" w:eastAsia="zh-CN"/>
              </w:rPr>
              <w:t>5.00</w:t>
            </w:r>
          </w:p>
        </w:tc>
        <w:tc>
          <w:tcPr>
            <w:tcW w:w="795" w:type="dxa"/>
            <w:noWrap w:val="0"/>
            <w:vAlign w:val="center"/>
          </w:tcPr>
          <w:p>
            <w:pPr>
              <w:jc w:val="center"/>
              <w:rPr>
                <w:rFonts w:hint="default" w:ascii="Calibri" w:hAnsi="Calibri" w:eastAsia="宋体" w:cs="Times New Roman"/>
                <w:color w:val="000000"/>
                <w:sz w:val="18"/>
                <w:szCs w:val="18"/>
                <w:lang w:val="en-US" w:eastAsia="zh-CN"/>
              </w:rPr>
            </w:pP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00" w:type="dxa"/>
            <w:noWrap w:val="0"/>
            <w:vAlign w:val="center"/>
          </w:tcPr>
          <w:p>
            <w:pPr>
              <w:jc w:val="center"/>
              <w:rPr>
                <w:rFonts w:hint="default" w:ascii="Calibri" w:hAnsi="Calibri" w:eastAsia="宋体" w:cs="Times New Roman"/>
                <w:color w:val="000000"/>
                <w:sz w:val="18"/>
                <w:szCs w:val="18"/>
                <w:lang w:val="en-US" w:eastAsia="zh-CN"/>
              </w:rPr>
            </w:pPr>
          </w:p>
        </w:tc>
        <w:tc>
          <w:tcPr>
            <w:tcW w:w="500" w:type="dxa"/>
            <w:noWrap w:val="0"/>
            <w:vAlign w:val="center"/>
          </w:tcPr>
          <w:p>
            <w:pPr>
              <w:jc w:val="center"/>
              <w:rPr>
                <w:rFonts w:hint="default" w:ascii="Calibri" w:hAnsi="Calibri" w:eastAsia="宋体" w:cs="Times New Roman"/>
                <w:color w:val="000000"/>
                <w:sz w:val="18"/>
                <w:szCs w:val="18"/>
                <w:lang w:val="en-US" w:eastAsia="zh-CN"/>
              </w:rPr>
            </w:pPr>
          </w:p>
        </w:tc>
        <w:tc>
          <w:tcPr>
            <w:tcW w:w="484" w:type="dxa"/>
            <w:noWrap w:val="0"/>
            <w:vAlign w:val="center"/>
          </w:tcPr>
          <w:p>
            <w:pPr>
              <w:jc w:val="center"/>
              <w:rPr>
                <w:rFonts w:hint="default" w:ascii="Calibri" w:hAnsi="Calibri" w:eastAsia="宋体" w:cs="Times New Roman"/>
                <w:color w:val="000000"/>
                <w:sz w:val="18"/>
                <w:szCs w:val="18"/>
                <w:lang w:val="en-US" w:eastAsia="zh-CN"/>
              </w:rPr>
            </w:pPr>
          </w:p>
        </w:tc>
        <w:tc>
          <w:tcPr>
            <w:tcW w:w="2785" w:type="dxa"/>
            <w:noWrap w:val="0"/>
            <w:vAlign w:val="center"/>
          </w:tcPr>
          <w:p>
            <w:pPr>
              <w:jc w:val="center"/>
              <w:rPr>
                <w:rFonts w:hint="default" w:ascii="Calibri" w:hAnsi="Calibri" w:eastAsia="宋体" w:cs="Times New Roman"/>
                <w:color w:val="000000"/>
                <w:sz w:val="18"/>
                <w:szCs w:val="18"/>
                <w:lang w:val="en-US" w:eastAsia="zh-CN"/>
              </w:rPr>
            </w:pPr>
          </w:p>
        </w:tc>
        <w:tc>
          <w:tcPr>
            <w:tcW w:w="2670" w:type="dxa"/>
            <w:noWrap w:val="0"/>
            <w:vAlign w:val="center"/>
          </w:tcPr>
          <w:p>
            <w:pPr>
              <w:jc w:val="center"/>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合 计</w:t>
            </w:r>
          </w:p>
        </w:tc>
        <w:tc>
          <w:tcPr>
            <w:tcW w:w="825" w:type="dxa"/>
            <w:noWrap w:val="0"/>
            <w:vAlign w:val="center"/>
          </w:tcPr>
          <w:p>
            <w:pPr>
              <w:jc w:val="center"/>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215.00</w:t>
            </w:r>
          </w:p>
        </w:tc>
        <w:tc>
          <w:tcPr>
            <w:tcW w:w="645" w:type="dxa"/>
            <w:noWrap w:val="0"/>
            <w:vAlign w:val="center"/>
          </w:tcPr>
          <w:p>
            <w:pPr>
              <w:jc w:val="center"/>
              <w:rPr>
                <w:rFonts w:hint="default" w:ascii="Calibri" w:hAnsi="Calibri" w:eastAsia="宋体" w:cs="Times New Roman"/>
                <w:b/>
                <w:bCs/>
                <w:color w:val="000000"/>
                <w:sz w:val="18"/>
                <w:szCs w:val="18"/>
                <w:lang w:val="en-US" w:eastAsia="zh-CN"/>
              </w:rPr>
            </w:pPr>
          </w:p>
        </w:tc>
        <w:tc>
          <w:tcPr>
            <w:tcW w:w="810" w:type="dxa"/>
            <w:noWrap w:val="0"/>
            <w:vAlign w:val="center"/>
          </w:tcPr>
          <w:p>
            <w:pPr>
              <w:jc w:val="both"/>
              <w:rPr>
                <w:rFonts w:hint="default" w:ascii="Calibri" w:hAnsi="Calibri" w:eastAsia="宋体" w:cs="Times New Roman"/>
                <w:b/>
                <w:bCs/>
                <w:color w:val="000000"/>
                <w:sz w:val="18"/>
                <w:szCs w:val="18"/>
                <w:lang w:val="en-US" w:eastAsia="zh-CN"/>
              </w:rPr>
            </w:pPr>
            <w:r>
              <w:rPr>
                <w:rFonts w:hint="eastAsia" w:ascii="Calibri" w:hAnsi="Calibri" w:cs="Times New Roman"/>
                <w:b/>
                <w:bCs/>
                <w:color w:val="000000"/>
                <w:sz w:val="18"/>
                <w:szCs w:val="18"/>
                <w:lang w:val="en-US" w:eastAsia="zh-CN"/>
              </w:rPr>
              <w:t>190.00</w:t>
            </w:r>
          </w:p>
        </w:tc>
        <w:tc>
          <w:tcPr>
            <w:tcW w:w="795" w:type="dxa"/>
            <w:noWrap w:val="0"/>
            <w:vAlign w:val="center"/>
          </w:tcPr>
          <w:p>
            <w:pPr>
              <w:jc w:val="both"/>
              <w:rPr>
                <w:rFonts w:hint="default" w:ascii="Calibri" w:hAnsi="Calibri" w:eastAsia="宋体" w:cs="Times New Roman"/>
                <w:b/>
                <w:bCs/>
                <w:color w:val="000000"/>
                <w:sz w:val="18"/>
                <w:szCs w:val="18"/>
                <w:lang w:val="en-US" w:eastAsia="zh-CN"/>
              </w:rPr>
            </w:pPr>
            <w:r>
              <w:rPr>
                <w:rFonts w:hint="eastAsia" w:ascii="Calibri" w:hAnsi="Calibri" w:eastAsia="宋体" w:cs="Times New Roman"/>
                <w:b/>
                <w:bCs/>
                <w:color w:val="000000"/>
                <w:sz w:val="18"/>
                <w:szCs w:val="18"/>
                <w:lang w:val="en-US" w:eastAsia="zh-CN"/>
              </w:rPr>
              <w:t>25.00</w:t>
            </w:r>
          </w:p>
        </w:tc>
        <w:tc>
          <w:tcPr>
            <w:tcW w:w="765" w:type="dxa"/>
            <w:noWrap w:val="0"/>
            <w:vAlign w:val="center"/>
          </w:tcPr>
          <w:p>
            <w:pPr>
              <w:jc w:val="center"/>
              <w:rPr>
                <w:rFonts w:hint="eastAsia" w:ascii="Calibri" w:hAnsi="Calibri" w:eastAsia="宋体" w:cs="Times New Roman"/>
                <w:color w:val="000000"/>
                <w:sz w:val="18"/>
                <w:szCs w:val="18"/>
                <w:lang w:val="en-US" w:eastAsia="zh-CN"/>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65" w:type="dxa"/>
            <w:noWrap w:val="0"/>
            <w:vAlign w:val="center"/>
          </w:tcPr>
          <w:p>
            <w:pPr>
              <w:widowControl/>
              <w:jc w:val="center"/>
              <w:outlineLvl w:val="1"/>
              <w:rPr>
                <w:rFonts w:ascii="仿宋_GB2312" w:hAnsi="宋体" w:eastAsia="仿宋_GB2312"/>
                <w:color w:val="auto"/>
                <w:kern w:val="0"/>
                <w:sz w:val="22"/>
                <w:szCs w:val="22"/>
                <w:highlight w:val="none"/>
              </w:rPr>
            </w:pPr>
          </w:p>
        </w:tc>
        <w:tc>
          <w:tcPr>
            <w:tcW w:w="630" w:type="dxa"/>
            <w:noWrap w:val="0"/>
            <w:vAlign w:val="center"/>
          </w:tcPr>
          <w:p>
            <w:pPr>
              <w:widowControl/>
              <w:jc w:val="center"/>
              <w:outlineLvl w:val="1"/>
              <w:rPr>
                <w:rFonts w:ascii="仿宋_GB2312" w:hAnsi="宋体" w:eastAsia="仿宋_GB2312"/>
                <w:color w:val="auto"/>
                <w:kern w:val="0"/>
                <w:sz w:val="22"/>
                <w:szCs w:val="22"/>
                <w:highlight w:val="none"/>
              </w:rPr>
            </w:pPr>
          </w:p>
        </w:tc>
        <w:tc>
          <w:tcPr>
            <w:tcW w:w="705" w:type="dxa"/>
            <w:noWrap w:val="0"/>
            <w:vAlign w:val="center"/>
          </w:tcPr>
          <w:p>
            <w:pPr>
              <w:widowControl/>
              <w:jc w:val="center"/>
              <w:outlineLvl w:val="1"/>
              <w:rPr>
                <w:rFonts w:ascii="仿宋_GB2312" w:hAnsi="宋体" w:eastAsia="仿宋_GB2312"/>
                <w:color w:val="auto"/>
                <w:kern w:val="0"/>
                <w:sz w:val="22"/>
                <w:szCs w:val="22"/>
                <w:highlight w:val="none"/>
              </w:rPr>
            </w:pPr>
          </w:p>
          <w:p/>
        </w:tc>
        <w:tc>
          <w:tcPr>
            <w:tcW w:w="533" w:type="dxa"/>
            <w:noWrap w:val="0"/>
            <w:vAlign w:val="center"/>
          </w:tcPr>
          <w:p>
            <w:pPr>
              <w:widowControl/>
              <w:jc w:val="center"/>
              <w:outlineLvl w:val="1"/>
              <w:rPr>
                <w:rFonts w:ascii="仿宋_GB2312" w:hAnsi="宋体" w:eastAsia="仿宋_GB2312"/>
                <w:color w:val="auto"/>
                <w:kern w:val="0"/>
                <w:sz w:val="22"/>
                <w:szCs w:val="22"/>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15"/>
          <w:szCs w:val="15"/>
          <w:highlight w:val="none"/>
          <w:u w:val="none"/>
          <w:lang w:val="en-US" w:eastAsia="zh-CN" w:bidi="ar"/>
        </w:rPr>
        <w:sectPr>
          <w:pgSz w:w="16838" w:h="11906" w:orient="landscape"/>
          <w:pgMar w:top="1531" w:right="2098" w:bottom="1417"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jc w:val="both"/>
        <w:rPr>
          <w:rFonts w:hint="default" w:ascii="仿宋" w:hAnsi="宋体" w:eastAsia="仿宋" w:cs="Times New Roman"/>
          <w:b/>
          <w:color w:val="000000"/>
          <w:sz w:val="28"/>
          <w:szCs w:val="28"/>
          <w:lang w:eastAsia="zh-CN"/>
        </w:rPr>
      </w:pPr>
      <w:r>
        <w:rPr>
          <w:rFonts w:hint="eastAsia" w:ascii="宋体" w:hAnsi="宋体" w:eastAsia="宋体" w:cs="宋体"/>
          <w:i w:val="0"/>
          <w:color w:val="auto"/>
          <w:kern w:val="0"/>
          <w:sz w:val="15"/>
          <w:szCs w:val="15"/>
          <w:highlight w:val="none"/>
          <w:u w:val="none"/>
          <w:lang w:val="en-US" w:eastAsia="zh-CN" w:bidi="ar"/>
        </w:rPr>
        <w:t>表</w:t>
      </w:r>
      <w:r>
        <w:rPr>
          <w:rFonts w:hint="default" w:ascii="宋体" w:hAnsi="宋体" w:eastAsia="宋体" w:cs="宋体"/>
          <w:i w:val="0"/>
          <w:color w:val="auto"/>
          <w:kern w:val="0"/>
          <w:sz w:val="15"/>
          <w:szCs w:val="15"/>
          <w:highlight w:val="none"/>
          <w:u w:val="none"/>
          <w:lang w:eastAsia="zh-CN" w:bidi="ar"/>
        </w:rPr>
        <w:t>8</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CN"/>
        </w:rPr>
        <w:t>政府性基金预算支出</w:t>
      </w:r>
      <w:r>
        <w:rPr>
          <w:rFonts w:hint="eastAsia" w:ascii="仿宋" w:hAnsi="宋体" w:eastAsia="仿宋" w:cs="Times New Roman"/>
          <w:b/>
          <w:color w:val="000000"/>
          <w:sz w:val="28"/>
          <w:szCs w:val="28"/>
        </w:rPr>
        <w:t>情况表</w:t>
      </w:r>
    </w:p>
    <w:p>
      <w:pPr>
        <w:widowControl/>
        <w:spacing w:line="280" w:lineRule="exact"/>
        <w:outlineLvl w:val="1"/>
        <w:rPr>
          <w:rFonts w:hint="eastAsia" w:ascii="Calibri" w:hAnsi="Calibri" w:eastAsia="宋体" w:cs="Times New Roman"/>
          <w:sz w:val="18"/>
          <w:szCs w:val="18"/>
          <w:lang w:val="en-US" w:eastAsia="zh-CN"/>
        </w:rPr>
      </w:pPr>
    </w:p>
    <w:p>
      <w:pPr>
        <w:widowControl/>
        <w:spacing w:line="280" w:lineRule="exact"/>
        <w:outlineLvl w:val="1"/>
        <w:rPr>
          <w:rFonts w:ascii="仿宋_GB2312" w:hAnsi="宋体" w:eastAsia="仿宋_GB2312"/>
          <w:color w:val="auto"/>
          <w:kern w:val="0"/>
          <w:sz w:val="20"/>
          <w:szCs w:val="20"/>
          <w:highlight w:val="none"/>
        </w:rPr>
      </w:pPr>
      <w:r>
        <w:rPr>
          <w:rFonts w:hint="eastAsia" w:ascii="Calibri" w:hAnsi="Calibri" w:eastAsia="宋体" w:cs="Times New Roman"/>
          <w:sz w:val="18"/>
          <w:szCs w:val="18"/>
          <w:lang w:val="en-US" w:eastAsia="zh-CN"/>
        </w:rPr>
        <w:t>编制部门：中共呼图壁县委员会宣传部</w:t>
      </w:r>
      <w:r>
        <w:rPr>
          <w:rFonts w:hint="eastAsia" w:ascii="仿宋_GB2312" w:hAnsi="宋体" w:eastAsia="仿宋_GB2312"/>
          <w:color w:val="auto"/>
          <w:kern w:val="0"/>
          <w:sz w:val="20"/>
          <w:szCs w:val="20"/>
          <w:highlight w:val="none"/>
        </w:rPr>
        <w:t xml:space="preserve">                              </w:t>
      </w:r>
      <w:r>
        <w:rPr>
          <w:rFonts w:hint="eastAsia" w:ascii="仿宋_GB2312" w:hAnsi="宋体" w:eastAsia="仿宋_GB2312"/>
          <w:color w:val="auto"/>
          <w:kern w:val="0"/>
          <w:sz w:val="20"/>
          <w:szCs w:val="20"/>
          <w:highlight w:val="none"/>
          <w:lang w:val="en-US" w:eastAsia="zh-CN"/>
        </w:rPr>
        <w:t xml:space="preserve">                    </w:t>
      </w:r>
      <w:r>
        <w:rPr>
          <w:rFonts w:hint="eastAsia" w:ascii="Calibri" w:hAnsi="Calibri" w:eastAsia="宋体" w:cs="Times New Roman"/>
          <w:sz w:val="18"/>
          <w:szCs w:val="18"/>
          <w:lang w:val="en-US" w:eastAsia="zh-CN"/>
        </w:rPr>
        <w:t>单位：万元</w:t>
      </w:r>
    </w:p>
    <w:tbl>
      <w:tblPr>
        <w:tblStyle w:val="12"/>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科</w:t>
            </w:r>
            <w:r>
              <w:rPr>
                <w:rFonts w:hint="eastAsia" w:ascii="Calibri" w:hAnsi="Calibri" w:eastAsia="宋体" w:cs="Times New Roman"/>
                <w:sz w:val="18"/>
                <w:szCs w:val="18"/>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政府性基金预算</w:t>
            </w:r>
            <w:r>
              <w:rPr>
                <w:rFonts w:hint="eastAsia" w:ascii="Calibri" w:hAnsi="Calibri" w:eastAsia="宋体" w:cs="Times New Roman"/>
                <w:sz w:val="18"/>
                <w:szCs w:val="18"/>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功能分类科目编码</w:t>
            </w:r>
          </w:p>
        </w:tc>
        <w:tc>
          <w:tcPr>
            <w:tcW w:w="2357"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功能分类科目名称</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374"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合 计</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157" w:type="dxa"/>
            <w:gridSpan w:val="2"/>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398"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8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56"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p>
        </w:tc>
        <w:tc>
          <w:tcPr>
            <w:tcW w:w="1055"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人员经费</w:t>
            </w:r>
            <w:r>
              <w:rPr>
                <w:rFonts w:hint="eastAsia" w:ascii="Calibri" w:hAnsi="Calibri" w:eastAsia="宋体" w:cs="Times New Roman"/>
                <w:sz w:val="18"/>
                <w:szCs w:val="18"/>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5"/>
                <w:szCs w:val="15"/>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2"/>
                <w:szCs w:val="22"/>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2"/>
                <w:szCs w:val="2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2"/>
                <w:szCs w:val="22"/>
                <w:highlight w:val="none"/>
              </w:rPr>
            </w:pPr>
            <w:r>
              <w:rPr>
                <w:rFonts w:hint="eastAsia" w:ascii="仿宋_GB2312" w:hAnsi="宋体" w:eastAsia="仿宋_GB2312" w:cs="宋体"/>
                <w:b/>
                <w:bCs/>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0"/>
                <w:szCs w:val="20"/>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bookmarkStart w:id="29" w:name="OLE_LINK34"/>
      <w:r>
        <w:rPr>
          <w:rFonts w:hint="eastAsia" w:ascii="仿宋" w:hAnsi="Calibri" w:eastAsia="仿宋" w:cs="Times New Roman"/>
          <w:b/>
          <w:color w:val="000000"/>
          <w:szCs w:val="21"/>
          <w:lang w:val="en-US" w:eastAsia="zh-CN"/>
        </w:rPr>
        <w:t>中共呼图壁县委员会宣传部2025年没有使用政府性基金预算支出，政府性基金预算支出情况表为空表。</w:t>
      </w:r>
      <w:bookmarkEnd w:id="29"/>
    </w:p>
    <w:p>
      <w:pPr>
        <w:jc w:val="both"/>
        <w:rPr>
          <w:rFonts w:hint="eastAsia" w:ascii="宋体" w:hAnsi="宋体" w:eastAsia="宋体" w:cs="Times New Roman"/>
          <w:color w:val="000000"/>
          <w:sz w:val="18"/>
          <w:szCs w:val="18"/>
          <w:lang w:val="en-US" w:eastAsia="zh-CN"/>
        </w:rPr>
      </w:pPr>
    </w:p>
    <w:p>
      <w:pPr>
        <w:jc w:val="both"/>
        <w:rPr>
          <w:rFonts w:hint="default" w:ascii="仿宋" w:hAnsi="宋体" w:eastAsia="仿宋" w:cs="Times New Roman"/>
          <w:b/>
          <w:color w:val="000000"/>
          <w:sz w:val="28"/>
          <w:szCs w:val="28"/>
          <w:lang w:val="en-US"/>
        </w:rPr>
      </w:pPr>
      <w:r>
        <w:rPr>
          <w:rFonts w:hint="eastAsia" w:ascii="宋体" w:hAnsi="宋体" w:eastAsia="宋体" w:cs="Times New Roman"/>
          <w:color w:val="000000"/>
          <w:sz w:val="18"/>
          <w:szCs w:val="18"/>
          <w:lang w:val="en-US" w:eastAsia="zh-CN"/>
        </w:rPr>
        <w:t>表9</w:t>
      </w:r>
    </w:p>
    <w:p>
      <w:pPr>
        <w:jc w:val="center"/>
        <w:rPr>
          <w:rFonts w:hint="eastAsia" w:ascii="仿宋" w:hAnsi="宋体" w:eastAsia="仿宋" w:cs="Times New Roman"/>
          <w:b/>
          <w:color w:val="000000"/>
          <w:sz w:val="28"/>
          <w:szCs w:val="28"/>
          <w:lang w:val="en-US" w:eastAsia="zh-CN"/>
        </w:rPr>
      </w:pPr>
      <w:r>
        <w:rPr>
          <w:rFonts w:hint="eastAsia" w:ascii="仿宋" w:hAnsi="宋体" w:eastAsia="仿宋" w:cs="Times New Roman"/>
          <w:b/>
          <w:color w:val="000000"/>
          <w:sz w:val="28"/>
          <w:szCs w:val="28"/>
          <w:lang w:val="en-US" w:eastAsia="zh-CN"/>
        </w:rPr>
        <w:t>国有资本经营预算支出情况表</w:t>
      </w:r>
    </w:p>
    <w:p>
      <w:pPr>
        <w:widowControl/>
        <w:spacing w:line="280" w:lineRule="exact"/>
        <w:outlineLvl w:val="1"/>
        <w:rPr>
          <w:rFonts w:hint="eastAsia" w:ascii="Calibri" w:hAnsi="Calibri" w:eastAsia="宋体" w:cs="Times New Roman"/>
          <w:sz w:val="18"/>
          <w:szCs w:val="18"/>
          <w:lang w:val="en-US" w:eastAsia="zh-CN"/>
        </w:rPr>
      </w:pPr>
    </w:p>
    <w:p>
      <w:pPr>
        <w:widowControl/>
        <w:spacing w:line="280" w:lineRule="exact"/>
        <w:outlineLvl w:val="1"/>
        <w:rPr>
          <w:rFonts w:ascii="仿宋_GB2312" w:hAnsi="宋体" w:eastAsia="仿宋_GB2312"/>
          <w:color w:val="auto"/>
          <w:kern w:val="0"/>
          <w:sz w:val="24"/>
          <w:highlight w:val="none"/>
        </w:rPr>
      </w:pPr>
      <w:r>
        <w:rPr>
          <w:rFonts w:hint="eastAsia" w:ascii="Calibri" w:hAnsi="Calibri" w:eastAsia="宋体" w:cs="Times New Roman"/>
          <w:sz w:val="18"/>
          <w:szCs w:val="18"/>
          <w:lang w:val="en-US" w:eastAsia="zh-CN"/>
        </w:rPr>
        <w:t>编制部门：中共呼图壁县委员会宣传部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sz w:val="18"/>
          <w:szCs w:val="18"/>
          <w:lang w:val="en-US" w:eastAsia="zh-CN"/>
        </w:rPr>
        <w:t>单位：万元</w:t>
      </w:r>
    </w:p>
    <w:tbl>
      <w:tblPr>
        <w:tblStyle w:val="12"/>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科</w:t>
            </w:r>
            <w:r>
              <w:rPr>
                <w:rFonts w:hint="eastAsia" w:ascii="Calibri" w:hAnsi="Calibri" w:eastAsia="宋体" w:cs="Times New Roman"/>
                <w:sz w:val="18"/>
                <w:szCs w:val="18"/>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国有资本经营预算</w:t>
            </w:r>
            <w:r>
              <w:rPr>
                <w:rFonts w:hint="eastAsia" w:ascii="Calibri" w:hAnsi="Calibri" w:eastAsia="宋体" w:cs="Times New Roman"/>
                <w:sz w:val="18"/>
                <w:szCs w:val="18"/>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功能分类科目编码</w:t>
            </w:r>
          </w:p>
        </w:tc>
        <w:tc>
          <w:tcPr>
            <w:tcW w:w="2357"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功能分类科目名称</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374"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合 计</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157" w:type="dxa"/>
            <w:gridSpan w:val="2"/>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398" w:type="dxa"/>
            <w:vMerge w:val="restart"/>
            <w:tcBorders>
              <w:top w:val="nil"/>
              <w:left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类</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87"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款</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56"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p>
            <w:pPr>
              <w:jc w:val="center"/>
              <w:rPr>
                <w:rFonts w:hint="eastAsia" w:ascii="Calibri" w:hAnsi="Calibri" w:eastAsia="宋体" w:cs="Times New Roman"/>
                <w:sz w:val="18"/>
                <w:szCs w:val="18"/>
              </w:rPr>
            </w:pPr>
            <w:r>
              <w:rPr>
                <w:rFonts w:hint="eastAsia" w:ascii="Calibri" w:hAnsi="Calibri" w:eastAsia="宋体" w:cs="Times New Roman"/>
                <w:sz w:val="18"/>
                <w:szCs w:val="18"/>
              </w:rPr>
              <w:t>项</w:t>
            </w:r>
          </w:p>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357" w:type="dxa"/>
            <w:vMerge w:val="continue"/>
            <w:tcBorders>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c>
          <w:tcPr>
            <w:tcW w:w="1374" w:type="dxa"/>
            <w:vMerge w:val="continue"/>
            <w:tcBorders>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c>
          <w:tcPr>
            <w:tcW w:w="1055"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人员经费</w:t>
            </w:r>
            <w:r>
              <w:rPr>
                <w:rFonts w:hint="eastAsia" w:ascii="Calibri" w:hAnsi="Calibri" w:eastAsia="宋体" w:cs="Times New Roman"/>
                <w:sz w:val="18"/>
                <w:szCs w:val="18"/>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055" w:type="dxa"/>
            <w:tcBorders>
              <w:top w:val="nil"/>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c>
          <w:tcPr>
            <w:tcW w:w="1102" w:type="dxa"/>
            <w:tcBorders>
              <w:top w:val="nil"/>
              <w:left w:val="single" w:color="auto" w:sz="4" w:space="0"/>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p>
        </w:tc>
        <w:tc>
          <w:tcPr>
            <w:tcW w:w="1398" w:type="dxa"/>
            <w:tcBorders>
              <w:top w:val="single" w:color="auto" w:sz="4" w:space="0"/>
              <w:left w:val="nil"/>
              <w:bottom w:val="single" w:color="auto" w:sz="4" w:space="0"/>
              <w:right w:val="single" w:color="auto" w:sz="4" w:space="0"/>
            </w:tcBorders>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 w:hAnsi="Calibri" w:eastAsia="仿宋" w:cs="Times New Roman"/>
          <w:b/>
          <w:color w:val="000000"/>
          <w:szCs w:val="21"/>
          <w:lang w:val="en-US" w:eastAsia="zh-CN"/>
        </w:rPr>
      </w:pPr>
      <w:r>
        <w:rPr>
          <w:rFonts w:hint="eastAsia" w:ascii="仿宋" w:hAnsi="Calibri" w:eastAsia="仿宋" w:cs="Times New Roman"/>
          <w:b/>
          <w:color w:val="000000"/>
          <w:szCs w:val="21"/>
          <w:lang w:val="en-US" w:eastAsia="zh-CN"/>
        </w:rPr>
        <w:t>中共呼图壁县委员会宣传部2025年没有使用</w:t>
      </w:r>
      <w:bookmarkStart w:id="30" w:name="OLE_LINK35"/>
      <w:r>
        <w:rPr>
          <w:rFonts w:hint="eastAsia" w:ascii="仿宋" w:hAnsi="Calibri" w:eastAsia="仿宋" w:cs="Times New Roman"/>
          <w:b/>
          <w:color w:val="000000"/>
          <w:szCs w:val="21"/>
          <w:lang w:val="en-US" w:eastAsia="zh-CN"/>
        </w:rPr>
        <w:t>国有资本经营预算支出</w:t>
      </w:r>
      <w:bookmarkEnd w:id="30"/>
      <w:r>
        <w:rPr>
          <w:rFonts w:hint="eastAsia" w:ascii="仿宋" w:hAnsi="Calibri" w:eastAsia="仿宋" w:cs="Times New Roman"/>
          <w:b/>
          <w:color w:val="000000"/>
          <w:szCs w:val="21"/>
          <w:lang w:val="en-US" w:eastAsia="zh-CN"/>
        </w:rPr>
        <w:t>，国有资本经营预算支出情况表为空表。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jc w:val="both"/>
        <w:rPr>
          <w:rFonts w:hint="default" w:ascii="仿宋" w:hAnsi="宋体" w:eastAsia="仿宋" w:cs="Times New Roman"/>
          <w:b/>
          <w:color w:val="000000"/>
          <w:sz w:val="28"/>
          <w:szCs w:val="28"/>
          <w:lang w:eastAsia="zh-CN"/>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jc w:val="center"/>
        <w:rPr>
          <w:rFonts w:hint="eastAsia" w:ascii="仿宋" w:hAnsi="宋体" w:eastAsia="仿宋" w:cs="Times New Roman"/>
          <w:b/>
          <w:color w:val="000000"/>
          <w:sz w:val="28"/>
          <w:szCs w:val="28"/>
        </w:rPr>
      </w:pPr>
      <w:r>
        <w:rPr>
          <w:rFonts w:hint="eastAsia" w:ascii="仿宋" w:hAnsi="宋体" w:eastAsia="仿宋" w:cs="Times New Roman"/>
          <w:b/>
          <w:color w:val="000000"/>
          <w:sz w:val="28"/>
          <w:szCs w:val="28"/>
          <w:lang w:val="en-US" w:eastAsia="zh-Hans"/>
        </w:rPr>
        <w:t>财政拨款</w:t>
      </w:r>
      <w:r>
        <w:rPr>
          <w:rFonts w:hint="eastAsia" w:ascii="仿宋" w:hAnsi="宋体" w:eastAsia="仿宋" w:cs="Times New Roman"/>
          <w:b/>
          <w:color w:val="000000"/>
          <w:sz w:val="28"/>
          <w:szCs w:val="28"/>
        </w:rPr>
        <w:t>“三公”经费支出情况表</w:t>
      </w:r>
    </w:p>
    <w:p>
      <w:pPr>
        <w:jc w:val="both"/>
        <w:rPr>
          <w:rFonts w:hint="eastAsia" w:ascii="Calibri" w:hAnsi="Calibri" w:eastAsia="宋体" w:cs="Times New Roman"/>
          <w:color w:val="000000"/>
          <w:sz w:val="18"/>
          <w:szCs w:val="18"/>
        </w:rPr>
      </w:pPr>
    </w:p>
    <w:p>
      <w:pPr>
        <w:jc w:val="both"/>
        <w:rPr>
          <w:rFonts w:ascii="仿宋_GB2312" w:hAnsi="宋体" w:eastAsia="仿宋_GB2312"/>
          <w:color w:val="auto"/>
          <w:kern w:val="0"/>
          <w:sz w:val="24"/>
          <w:highlight w:val="none"/>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w:t>
      </w:r>
      <w:r>
        <w:rPr>
          <w:rFonts w:hint="eastAsia" w:ascii="Calibri" w:hAnsi="Calibri" w:eastAsia="宋体" w:cs="Times New Roman"/>
          <w:color w:val="000000"/>
          <w:sz w:val="18"/>
          <w:szCs w:val="18"/>
          <w:lang w:val="en-US" w:eastAsia="zh-CN"/>
        </w:rPr>
        <w:t>中共呼图壁县委员会宣传部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3"/>
        <w:tblW w:w="8968" w:type="dxa"/>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9"/>
        <w:gridCol w:w="1215"/>
        <w:gridCol w:w="1314"/>
        <w:gridCol w:w="1595"/>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vMerge w:val="restart"/>
            <w:noWrap w:val="0"/>
            <w:vAlign w:val="center"/>
          </w:tcPr>
          <w:p>
            <w:pPr>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eastAsia="zh-CN"/>
              </w:rPr>
              <w:t>“</w:t>
            </w:r>
            <w:r>
              <w:rPr>
                <w:rFonts w:hint="eastAsia" w:ascii="宋体" w:hAnsi="宋体" w:eastAsia="宋体" w:cs="Times New Roman"/>
                <w:color w:val="000000"/>
                <w:sz w:val="18"/>
                <w:szCs w:val="18"/>
              </w:rPr>
              <w:t>三公</w:t>
            </w:r>
            <w:r>
              <w:rPr>
                <w:rFonts w:hint="eastAsia" w:ascii="宋体" w:hAnsi="宋体" w:eastAsia="宋体" w:cs="Times New Roman"/>
                <w:color w:val="000000"/>
                <w:sz w:val="18"/>
                <w:szCs w:val="18"/>
                <w:lang w:eastAsia="zh-CN"/>
              </w:rPr>
              <w:t>”</w:t>
            </w:r>
            <w:r>
              <w:rPr>
                <w:rFonts w:hint="eastAsia" w:ascii="宋体" w:hAnsi="宋体" w:eastAsia="宋体" w:cs="Times New Roman"/>
                <w:color w:val="000000"/>
                <w:sz w:val="18"/>
                <w:szCs w:val="18"/>
                <w:lang w:val="en-US" w:eastAsia="zh-CN"/>
              </w:rPr>
              <w:t>经费</w:t>
            </w:r>
            <w:r>
              <w:rPr>
                <w:rFonts w:hint="eastAsia" w:ascii="宋体" w:hAnsi="宋体" w:eastAsia="宋体" w:cs="Times New Roman"/>
                <w:color w:val="000000"/>
                <w:sz w:val="18"/>
                <w:szCs w:val="18"/>
              </w:rPr>
              <w:t>支出内容</w:t>
            </w:r>
          </w:p>
        </w:tc>
        <w:tc>
          <w:tcPr>
            <w:tcW w:w="1215" w:type="dxa"/>
            <w:vMerge w:val="restart"/>
            <w:noWrap w:val="0"/>
            <w:vAlign w:val="center"/>
          </w:tcPr>
          <w:p>
            <w:pPr>
              <w:jc w:val="center"/>
              <w:rPr>
                <w:rFonts w:hint="eastAsia" w:ascii="宋体" w:hAnsi="宋体" w:eastAsia="宋体" w:cs="Times New Roman"/>
                <w:color w:val="000000"/>
                <w:sz w:val="18"/>
                <w:szCs w:val="18"/>
                <w:lang w:val="en-US" w:eastAsia="zh-Hans"/>
              </w:rPr>
            </w:pPr>
            <w:r>
              <w:rPr>
                <w:rFonts w:hint="eastAsia" w:ascii="宋体" w:hAnsi="宋体" w:eastAsia="宋体" w:cs="Times New Roman"/>
                <w:color w:val="000000"/>
                <w:sz w:val="18"/>
                <w:szCs w:val="18"/>
                <w:lang w:val="en-US" w:eastAsia="zh-Hans"/>
              </w:rPr>
              <w:t>合计</w:t>
            </w:r>
          </w:p>
        </w:tc>
        <w:tc>
          <w:tcPr>
            <w:tcW w:w="4524" w:type="dxa"/>
            <w:gridSpan w:val="3"/>
            <w:noWrap w:val="0"/>
            <w:vAlign w:val="center"/>
          </w:tcPr>
          <w:p>
            <w:pPr>
              <w:jc w:val="center"/>
              <w:rPr>
                <w:rFonts w:hint="eastAsia" w:ascii="宋体" w:hAnsi="宋体" w:eastAsia="宋体" w:cs="Times New Roman"/>
                <w:color w:val="000000"/>
                <w:sz w:val="18"/>
                <w:szCs w:val="18"/>
                <w:lang w:val="en-US" w:eastAsia="zh-Hans"/>
              </w:rPr>
            </w:pPr>
            <w:r>
              <w:rPr>
                <w:rFonts w:hint="eastAsia" w:ascii="宋体" w:hAnsi="宋体" w:eastAsia="宋体" w:cs="Times New Roman"/>
                <w:color w:val="000000"/>
                <w:sz w:val="18"/>
                <w:szCs w:val="18"/>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vMerge w:val="continue"/>
            <w:noWrap w:val="0"/>
            <w:vAlign w:val="top"/>
          </w:tcPr>
          <w:p>
            <w:pPr>
              <w:jc w:val="center"/>
              <w:rPr>
                <w:rFonts w:hint="eastAsia" w:ascii="宋体" w:hAnsi="宋体" w:eastAsia="宋体" w:cs="Times New Roman"/>
                <w:color w:val="000000"/>
                <w:sz w:val="18"/>
                <w:szCs w:val="18"/>
              </w:rPr>
            </w:pPr>
          </w:p>
        </w:tc>
        <w:tc>
          <w:tcPr>
            <w:tcW w:w="1215" w:type="dxa"/>
            <w:vMerge w:val="continue"/>
            <w:noWrap w:val="0"/>
            <w:vAlign w:val="top"/>
          </w:tcPr>
          <w:p>
            <w:pPr>
              <w:jc w:val="center"/>
              <w:rPr>
                <w:rFonts w:hint="eastAsia" w:ascii="宋体" w:hAnsi="宋体" w:eastAsia="宋体" w:cs="Times New Roman"/>
                <w:color w:val="000000"/>
                <w:sz w:val="18"/>
                <w:szCs w:val="18"/>
              </w:rPr>
            </w:pPr>
          </w:p>
        </w:tc>
        <w:tc>
          <w:tcPr>
            <w:tcW w:w="1314" w:type="dxa"/>
            <w:noWrap w:val="0"/>
            <w:vAlign w:val="center"/>
          </w:tcPr>
          <w:p>
            <w:pPr>
              <w:jc w:val="center"/>
              <w:rPr>
                <w:rFonts w:hint="eastAsia" w:ascii="宋体" w:hAnsi="宋体" w:eastAsia="宋体" w:cs="Times New Roman"/>
                <w:color w:val="000000"/>
                <w:sz w:val="18"/>
                <w:szCs w:val="18"/>
                <w:lang w:val="en-US" w:eastAsia="zh-Hans"/>
              </w:rPr>
            </w:pPr>
            <w:r>
              <w:rPr>
                <w:rFonts w:hint="eastAsia" w:ascii="宋体" w:hAnsi="宋体" w:eastAsia="宋体" w:cs="Times New Roman"/>
                <w:color w:val="000000"/>
                <w:sz w:val="18"/>
                <w:szCs w:val="18"/>
                <w:lang w:val="en-US" w:eastAsia="zh-Hans"/>
              </w:rPr>
              <w:t>一般公共预算</w:t>
            </w:r>
          </w:p>
        </w:tc>
        <w:tc>
          <w:tcPr>
            <w:tcW w:w="1595" w:type="dxa"/>
            <w:noWrap w:val="0"/>
            <w:vAlign w:val="center"/>
          </w:tcPr>
          <w:p>
            <w:pPr>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政府性基金</w:t>
            </w:r>
          </w:p>
        </w:tc>
        <w:tc>
          <w:tcPr>
            <w:tcW w:w="1615" w:type="dxa"/>
            <w:noWrap w:val="0"/>
            <w:vAlign w:val="center"/>
          </w:tcPr>
          <w:p>
            <w:pPr>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合计</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6.90</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6.9</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因公出国（境）费</w:t>
            </w:r>
          </w:p>
        </w:tc>
        <w:tc>
          <w:tcPr>
            <w:tcW w:w="1215" w:type="dxa"/>
            <w:noWrap w:val="0"/>
            <w:vAlign w:val="top"/>
          </w:tcPr>
          <w:p>
            <w:pPr>
              <w:jc w:val="center"/>
              <w:rPr>
                <w:rFonts w:hint="eastAsia" w:ascii="宋体" w:hAnsi="宋体" w:eastAsia="宋体" w:cs="Times New Roman"/>
                <w:kern w:val="0"/>
                <w:sz w:val="18"/>
                <w:szCs w:val="18"/>
              </w:rPr>
            </w:pPr>
          </w:p>
        </w:tc>
        <w:tc>
          <w:tcPr>
            <w:tcW w:w="1314" w:type="dxa"/>
            <w:noWrap w:val="0"/>
            <w:vAlign w:val="top"/>
          </w:tcPr>
          <w:p>
            <w:pPr>
              <w:jc w:val="center"/>
              <w:rPr>
                <w:rFonts w:hint="eastAsia" w:ascii="宋体" w:hAnsi="宋体" w:eastAsia="宋体" w:cs="Times New Roman"/>
                <w:kern w:val="0"/>
                <w:sz w:val="18"/>
                <w:szCs w:val="18"/>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公务接待费</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0.50</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0.50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center"/>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公务用车购置及运行费</w:t>
            </w:r>
          </w:p>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（小计）</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6.4</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6.4</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top"/>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其中：公务用车购置费</w:t>
            </w:r>
          </w:p>
        </w:tc>
        <w:tc>
          <w:tcPr>
            <w:tcW w:w="1215" w:type="dxa"/>
            <w:noWrap w:val="0"/>
            <w:vAlign w:val="top"/>
          </w:tcPr>
          <w:p>
            <w:pPr>
              <w:jc w:val="center"/>
              <w:rPr>
                <w:rFonts w:hint="default" w:ascii="宋体" w:hAnsi="宋体" w:eastAsia="宋体" w:cs="Times New Roman"/>
                <w:kern w:val="0"/>
                <w:sz w:val="18"/>
                <w:szCs w:val="18"/>
              </w:rPr>
            </w:pPr>
          </w:p>
        </w:tc>
        <w:tc>
          <w:tcPr>
            <w:tcW w:w="1314" w:type="dxa"/>
            <w:noWrap w:val="0"/>
            <w:vAlign w:val="top"/>
          </w:tcPr>
          <w:p>
            <w:pPr>
              <w:jc w:val="center"/>
              <w:rPr>
                <w:rFonts w:hint="default" w:ascii="宋体" w:hAnsi="宋体" w:eastAsia="宋体" w:cs="Times New Roman"/>
                <w:kern w:val="0"/>
                <w:sz w:val="18"/>
                <w:szCs w:val="18"/>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9" w:type="dxa"/>
            <w:noWrap w:val="0"/>
            <w:vAlign w:val="top"/>
          </w:tcPr>
          <w:p>
            <w:pPr>
              <w:jc w:val="center"/>
              <w:rPr>
                <w:rFonts w:hint="eastAsia" w:ascii="宋体" w:hAnsi="宋体" w:eastAsia="宋体" w:cs="Times New Roman"/>
                <w:kern w:val="0"/>
                <w:sz w:val="18"/>
                <w:szCs w:val="18"/>
              </w:rPr>
            </w:pPr>
            <w:r>
              <w:rPr>
                <w:rFonts w:hint="eastAsia" w:ascii="宋体" w:hAnsi="宋体" w:eastAsia="宋体" w:cs="Times New Roman"/>
                <w:kern w:val="0"/>
                <w:sz w:val="18"/>
                <w:szCs w:val="18"/>
              </w:rPr>
              <w:t xml:space="preserve">     </w:t>
            </w:r>
            <w:r>
              <w:rPr>
                <w:rFonts w:hint="default" w:ascii="宋体" w:hAnsi="宋体" w:eastAsia="宋体" w:cs="Times New Roman"/>
                <w:kern w:val="0"/>
                <w:sz w:val="18"/>
                <w:szCs w:val="18"/>
              </w:rPr>
              <w:t xml:space="preserve">  </w:t>
            </w:r>
            <w:r>
              <w:rPr>
                <w:rFonts w:hint="eastAsia" w:ascii="宋体" w:hAnsi="宋体" w:eastAsia="宋体" w:cs="Times New Roman"/>
                <w:kern w:val="0"/>
                <w:sz w:val="18"/>
                <w:szCs w:val="18"/>
              </w:rPr>
              <w:t xml:space="preserve"> 公务用车运行费</w:t>
            </w:r>
          </w:p>
        </w:tc>
        <w:tc>
          <w:tcPr>
            <w:tcW w:w="1215"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6.40</w:t>
            </w:r>
          </w:p>
        </w:tc>
        <w:tc>
          <w:tcPr>
            <w:tcW w:w="1314" w:type="dxa"/>
            <w:noWrap w:val="0"/>
            <w:vAlign w:val="top"/>
          </w:tcPr>
          <w:p>
            <w:pPr>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6.40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bidi w:val="0"/>
        <w:jc w:val="right"/>
        <w:rPr>
          <w:rFonts w:hint="eastAsia" w:ascii="Times New Roman" w:hAnsi="Times New Roman" w:eastAsia="宋体" w:cs="Times New Roman"/>
          <w:kern w:val="2"/>
          <w:sz w:val="21"/>
          <w:szCs w:val="24"/>
          <w:lang w:val="en-US" w:eastAsia="zh-CN" w:bidi="ar-SA"/>
        </w:rPr>
        <w:sectPr>
          <w:pgSz w:w="11906" w:h="16838"/>
          <w:pgMar w:top="2098" w:right="1417"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jc w:val="center"/>
        <w:rPr>
          <w:rFonts w:hint="eastAsia" w:ascii="仿宋" w:hAnsi="宋体" w:eastAsia="仿宋" w:cs="Times New Roman"/>
          <w:b/>
          <w:color w:val="000000"/>
          <w:sz w:val="28"/>
          <w:szCs w:val="28"/>
          <w:lang w:val="en-US" w:eastAsia="zh-Hans"/>
        </w:rPr>
      </w:pPr>
      <w:r>
        <w:rPr>
          <w:rFonts w:hint="eastAsia" w:ascii="仿宋" w:hAnsi="宋体" w:eastAsia="仿宋" w:cs="Times New Roman"/>
          <w:b/>
          <w:color w:val="000000"/>
          <w:sz w:val="28"/>
          <w:szCs w:val="28"/>
          <w:lang w:val="en-US" w:eastAsia="zh-Hans"/>
        </w:rPr>
        <w:t>上年结转</w:t>
      </w:r>
      <w:r>
        <w:rPr>
          <w:rFonts w:hint="eastAsia" w:ascii="仿宋" w:hAnsi="宋体" w:eastAsia="仿宋" w:cs="Times New Roman"/>
          <w:b/>
          <w:color w:val="000000"/>
          <w:sz w:val="28"/>
          <w:szCs w:val="28"/>
          <w:lang w:val="en-US" w:eastAsia="zh-CN"/>
        </w:rPr>
        <w:t>结余</w:t>
      </w:r>
      <w:r>
        <w:rPr>
          <w:rFonts w:hint="eastAsia" w:ascii="仿宋" w:hAnsi="宋体" w:eastAsia="仿宋" w:cs="Times New Roman"/>
          <w:b/>
          <w:color w:val="000000"/>
          <w:sz w:val="28"/>
          <w:szCs w:val="28"/>
          <w:lang w:val="en-US" w:eastAsia="zh-Hans"/>
        </w:rPr>
        <w:t>情况明细表</w:t>
      </w:r>
    </w:p>
    <w:p>
      <w:pPr>
        <w:jc w:val="both"/>
        <w:rPr>
          <w:rFonts w:hint="eastAsia" w:ascii="Calibri" w:hAnsi="Calibri" w:eastAsia="宋体" w:cs="Times New Roman"/>
          <w:color w:val="000000"/>
          <w:sz w:val="18"/>
          <w:szCs w:val="18"/>
        </w:rPr>
      </w:pPr>
    </w:p>
    <w:p>
      <w:pPr>
        <w:ind w:firstLine="720" w:firstLineChars="400"/>
        <w:jc w:val="both"/>
        <w:rPr>
          <w:rFonts w:hint="eastAsia" w:ascii="Calibri" w:hAnsi="Calibri" w:eastAsia="宋体" w:cs="Times New Roman"/>
          <w:color w:val="000000"/>
          <w:sz w:val="18"/>
          <w:szCs w:val="18"/>
          <w:lang w:val="en-US" w:eastAsia="zh-Hans"/>
        </w:rPr>
      </w:pPr>
      <w:r>
        <w:rPr>
          <w:rFonts w:hint="eastAsia" w:ascii="Calibri" w:hAnsi="Calibri" w:eastAsia="宋体" w:cs="Times New Roman"/>
          <w:color w:val="000000"/>
          <w:sz w:val="18"/>
          <w:szCs w:val="18"/>
        </w:rPr>
        <w:t>编制</w:t>
      </w:r>
      <w:r>
        <w:rPr>
          <w:rFonts w:hint="eastAsia" w:ascii="Calibri" w:hAnsi="Calibri" w:eastAsia="宋体" w:cs="Times New Roman"/>
          <w:color w:val="000000"/>
          <w:sz w:val="18"/>
          <w:szCs w:val="18"/>
          <w:lang w:eastAsia="zh-CN"/>
        </w:rPr>
        <w:t>部门</w:t>
      </w:r>
      <w:r>
        <w:rPr>
          <w:rFonts w:hint="eastAsia" w:ascii="Calibri" w:hAnsi="Calibri" w:eastAsia="宋体" w:cs="Times New Roman"/>
          <w:color w:val="000000"/>
          <w:sz w:val="18"/>
          <w:szCs w:val="18"/>
        </w:rPr>
        <w:t xml:space="preserve">： </w:t>
      </w:r>
      <w:r>
        <w:rPr>
          <w:rFonts w:hint="eastAsia" w:ascii="Calibri" w:hAnsi="Calibri" w:eastAsia="宋体" w:cs="Times New Roman"/>
          <w:color w:val="000000"/>
          <w:sz w:val="18"/>
          <w:szCs w:val="18"/>
          <w:lang w:val="en-US" w:eastAsia="zh-CN"/>
        </w:rPr>
        <w:t>中共呼图壁县委员会宣传部</w:t>
      </w:r>
      <w:r>
        <w:rPr>
          <w:rFonts w:hint="eastAsia" w:ascii="Calibri" w:hAnsi="Calibri" w:eastAsia="宋体" w:cs="Times New Roman"/>
          <w:color w:val="000000"/>
          <w:sz w:val="18"/>
          <w:szCs w:val="18"/>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Calibri" w:hAnsi="Calibri" w:eastAsia="宋体" w:cs="Times New Roman"/>
          <w:color w:val="000000"/>
          <w:sz w:val="18"/>
          <w:szCs w:val="18"/>
        </w:rPr>
        <w:t>单位：万元</w:t>
      </w:r>
    </w:p>
    <w:tbl>
      <w:tblPr>
        <w:tblStyle w:val="13"/>
        <w:tblpPr w:leftFromText="180" w:rightFromText="180" w:vertAnchor="text" w:horzAnchor="page" w:tblpX="2100" w:tblpY="190"/>
        <w:tblOverlap w:val="never"/>
        <w:tblW w:w="12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870"/>
        <w:gridCol w:w="945"/>
        <w:gridCol w:w="1455"/>
        <w:gridCol w:w="1395"/>
        <w:gridCol w:w="1335"/>
        <w:gridCol w:w="975"/>
        <w:gridCol w:w="1395"/>
        <w:gridCol w:w="1260"/>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88" w:type="dxa"/>
            <w:vMerge w:val="restart"/>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项目</w:t>
            </w:r>
          </w:p>
        </w:tc>
        <w:tc>
          <w:tcPr>
            <w:tcW w:w="870" w:type="dxa"/>
            <w:vMerge w:val="restart"/>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合计</w:t>
            </w:r>
          </w:p>
        </w:tc>
        <w:tc>
          <w:tcPr>
            <w:tcW w:w="5130" w:type="dxa"/>
            <w:gridSpan w:val="4"/>
            <w:noWrap w:val="0"/>
            <w:vAlign w:val="center"/>
          </w:tcPr>
          <w:p>
            <w:pPr>
              <w:jc w:val="center"/>
              <w:rPr>
                <w:rFonts w:hint="eastAsia" w:ascii="Calibri" w:hAnsi="Calibri" w:eastAsia="宋体" w:cs="Times New Roman"/>
                <w:sz w:val="18"/>
                <w:szCs w:val="18"/>
                <w:lang w:eastAsia="zh-CN"/>
              </w:rPr>
            </w:pPr>
            <w:r>
              <w:rPr>
                <w:rFonts w:hint="eastAsia" w:ascii="Calibri" w:hAnsi="Calibri" w:eastAsia="宋体" w:cs="Times New Roman"/>
                <w:sz w:val="18"/>
                <w:szCs w:val="18"/>
                <w:lang w:val="en-US" w:eastAsia="zh-CN"/>
              </w:rPr>
              <w:t>财政拨款</w:t>
            </w:r>
          </w:p>
        </w:tc>
        <w:tc>
          <w:tcPr>
            <w:tcW w:w="4803" w:type="dxa"/>
            <w:gridSpan w:val="4"/>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8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7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Merge w:val="restart"/>
            <w:noWrap w:val="0"/>
            <w:vAlign w:val="center"/>
          </w:tcPr>
          <w:p>
            <w:pPr>
              <w:jc w:val="center"/>
              <w:rPr>
                <w:rFonts w:hint="eastAsia" w:ascii="Calibri" w:hAnsi="Calibri" w:eastAsia="宋体" w:cs="Times New Roman"/>
                <w:sz w:val="18"/>
                <w:szCs w:val="18"/>
                <w:lang w:eastAsia="zh-CN"/>
              </w:rPr>
            </w:pPr>
            <w:r>
              <w:rPr>
                <w:rFonts w:hint="eastAsia" w:ascii="Calibri" w:hAnsi="Calibri" w:eastAsia="宋体" w:cs="Times New Roman"/>
                <w:sz w:val="18"/>
                <w:szCs w:val="18"/>
                <w:lang w:val="en-US" w:eastAsia="zh-CN"/>
              </w:rPr>
              <w:t>小计</w:t>
            </w:r>
          </w:p>
        </w:tc>
        <w:tc>
          <w:tcPr>
            <w:tcW w:w="2850" w:type="dxa"/>
            <w:gridSpan w:val="2"/>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335"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tc>
        <w:tc>
          <w:tcPr>
            <w:tcW w:w="975" w:type="dxa"/>
            <w:vMerge w:val="restart"/>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小计</w:t>
            </w:r>
          </w:p>
        </w:tc>
        <w:tc>
          <w:tcPr>
            <w:tcW w:w="2655" w:type="dxa"/>
            <w:gridSpan w:val="2"/>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基本支出</w:t>
            </w:r>
          </w:p>
        </w:tc>
        <w:tc>
          <w:tcPr>
            <w:tcW w:w="1173" w:type="dxa"/>
            <w:vMerge w:val="restart"/>
            <w:noWrap w:val="0"/>
            <w:vAlign w:val="center"/>
          </w:tcPr>
          <w:p>
            <w:pPr>
              <w:jc w:val="center"/>
              <w:rPr>
                <w:rFonts w:hint="eastAsia" w:ascii="Calibri" w:hAnsi="Calibri" w:eastAsia="宋体" w:cs="Times New Roman"/>
                <w:sz w:val="18"/>
                <w:szCs w:val="18"/>
              </w:rPr>
            </w:pPr>
            <w:r>
              <w:rPr>
                <w:rFonts w:hint="eastAsia" w:ascii="Calibri" w:hAnsi="Calibri" w:eastAsia="宋体" w:cs="Times New Roman"/>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98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45" w:type="dxa"/>
            <w:vMerge w:val="continue"/>
            <w:noWrap w:val="0"/>
            <w:vAlign w:val="center"/>
          </w:tcPr>
          <w:p>
            <w:pPr>
              <w:jc w:val="center"/>
              <w:rPr>
                <w:rFonts w:hint="eastAsia" w:ascii="Calibri" w:hAnsi="Calibri" w:eastAsia="宋体" w:cs="Times New Roman"/>
                <w:sz w:val="18"/>
                <w:szCs w:val="18"/>
              </w:rPr>
            </w:pPr>
          </w:p>
        </w:tc>
        <w:tc>
          <w:tcPr>
            <w:tcW w:w="1455" w:type="dxa"/>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人员经费</w:t>
            </w:r>
          </w:p>
        </w:tc>
        <w:tc>
          <w:tcPr>
            <w:tcW w:w="1395" w:type="dxa"/>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公用经费</w:t>
            </w:r>
          </w:p>
        </w:tc>
        <w:tc>
          <w:tcPr>
            <w:tcW w:w="1335" w:type="dxa"/>
            <w:vMerge w:val="continue"/>
            <w:noWrap w:val="0"/>
            <w:vAlign w:val="center"/>
          </w:tcPr>
          <w:p>
            <w:pPr>
              <w:jc w:val="center"/>
              <w:rPr>
                <w:rFonts w:hint="eastAsia" w:ascii="Calibri" w:hAnsi="Calibri" w:eastAsia="宋体" w:cs="Times New Roman"/>
                <w:sz w:val="18"/>
                <w:szCs w:val="18"/>
              </w:rPr>
            </w:pPr>
          </w:p>
        </w:tc>
        <w:tc>
          <w:tcPr>
            <w:tcW w:w="975" w:type="dxa"/>
            <w:vMerge w:val="continue"/>
            <w:noWrap w:val="0"/>
            <w:vAlign w:val="center"/>
          </w:tcPr>
          <w:p>
            <w:pPr>
              <w:jc w:val="center"/>
              <w:rPr>
                <w:rFonts w:hint="eastAsia" w:ascii="Calibri" w:hAnsi="Calibri" w:eastAsia="宋体" w:cs="Times New Roman"/>
                <w:sz w:val="18"/>
                <w:szCs w:val="18"/>
              </w:rPr>
            </w:pPr>
          </w:p>
        </w:tc>
        <w:tc>
          <w:tcPr>
            <w:tcW w:w="1395" w:type="dxa"/>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人员经费</w:t>
            </w:r>
          </w:p>
        </w:tc>
        <w:tc>
          <w:tcPr>
            <w:tcW w:w="1260" w:type="dxa"/>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公用经费</w:t>
            </w:r>
          </w:p>
        </w:tc>
        <w:tc>
          <w:tcPr>
            <w:tcW w:w="1173" w:type="dxa"/>
            <w:vMerge w:val="continue"/>
            <w:noWrap w:val="0"/>
            <w:vAlign w:val="center"/>
          </w:tcPr>
          <w:p>
            <w:pPr>
              <w:jc w:val="center"/>
              <w:rPr>
                <w:rFonts w:hint="eastAsia" w:ascii="Calibri" w:hAnsi="Calibri" w:eastAsia="宋体" w:cs="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88" w:type="dxa"/>
            <w:noWrap w:val="0"/>
            <w:vAlign w:val="top"/>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Calibri" w:hAnsi="Calibri" w:eastAsia="宋体" w:cs="Times New Roman"/>
                <w:b/>
                <w:bCs/>
                <w:color w:val="000000"/>
                <w:kern w:val="2"/>
                <w:sz w:val="18"/>
                <w:szCs w:val="18"/>
                <w:lang w:val="en-US" w:eastAsia="zh-CN" w:bidi="ar-SA"/>
              </w:rPr>
            </w:pPr>
            <w:r>
              <w:rPr>
                <w:rFonts w:hint="eastAsia" w:ascii="Calibri" w:hAnsi="Calibri" w:eastAsia="宋体" w:cs="Times New Roman"/>
                <w:b/>
                <w:bCs/>
                <w:color w:val="000000"/>
                <w:sz w:val="18"/>
                <w:szCs w:val="18"/>
                <w:lang w:val="en-US" w:eastAsia="zh-CN"/>
              </w:rPr>
              <w:t>2024年访惠聚为民办实事</w:t>
            </w:r>
          </w:p>
        </w:tc>
        <w:tc>
          <w:tcPr>
            <w:tcW w:w="870"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1.50</w:t>
            </w:r>
          </w:p>
        </w:tc>
        <w:tc>
          <w:tcPr>
            <w:tcW w:w="94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1.50</w:t>
            </w:r>
          </w:p>
        </w:tc>
        <w:tc>
          <w:tcPr>
            <w:tcW w:w="145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9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3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1.50</w:t>
            </w:r>
          </w:p>
        </w:tc>
        <w:tc>
          <w:tcPr>
            <w:tcW w:w="975" w:type="dxa"/>
            <w:noWrap w:val="0"/>
            <w:vAlign w:val="top"/>
          </w:tcPr>
          <w:p>
            <w:pPr>
              <w:rPr>
                <w:rFonts w:hint="default" w:ascii="Calibri" w:hAnsi="Calibri" w:eastAsia="宋体" w:cs="Times New Roman"/>
                <w:color w:val="000000"/>
                <w:kern w:val="2"/>
                <w:sz w:val="18"/>
                <w:szCs w:val="18"/>
                <w:lang w:val="en-US" w:eastAsia="zh-CN" w:bidi="ar-SA"/>
              </w:rPr>
            </w:pPr>
            <w:r>
              <w:rPr>
                <w:rFonts w:hint="eastAsia" w:ascii="Calibri" w:hAnsi="Calibri" w:eastAsia="宋体" w:cs="Times New Roman"/>
                <w:color w:val="000000"/>
                <w:sz w:val="18"/>
                <w:szCs w:val="18"/>
                <w:lang w:val="en-US" w:eastAsia="zh-CN"/>
              </w:rPr>
              <w:t>　</w:t>
            </w:r>
          </w:p>
        </w:tc>
        <w:tc>
          <w:tcPr>
            <w:tcW w:w="1395" w:type="dxa"/>
            <w:noWrap w:val="0"/>
            <w:vAlign w:val="top"/>
          </w:tcPr>
          <w:p>
            <w:pPr>
              <w:rPr>
                <w:rFonts w:hint="eastAsia" w:ascii="Calibri" w:hAnsi="Calibri" w:eastAsia="宋体" w:cs="Times New Roman"/>
                <w:color w:val="000000"/>
                <w:kern w:val="2"/>
                <w:sz w:val="18"/>
                <w:szCs w:val="18"/>
                <w:lang w:val="en-US" w:eastAsia="zh-CN" w:bidi="ar-SA"/>
              </w:rPr>
            </w:pPr>
          </w:p>
        </w:tc>
        <w:tc>
          <w:tcPr>
            <w:tcW w:w="1260" w:type="dxa"/>
            <w:noWrap w:val="0"/>
            <w:vAlign w:val="center"/>
          </w:tcPr>
          <w:p>
            <w:pPr>
              <w:jc w:val="center"/>
              <w:rPr>
                <w:rFonts w:hint="eastAsia" w:ascii="Calibri" w:hAnsi="Calibri" w:eastAsia="宋体" w:cs="Times New Roman"/>
                <w:sz w:val="18"/>
                <w:szCs w:val="18"/>
              </w:rPr>
            </w:pPr>
          </w:p>
        </w:tc>
        <w:tc>
          <w:tcPr>
            <w:tcW w:w="1173" w:type="dxa"/>
            <w:noWrap w:val="0"/>
            <w:vAlign w:val="center"/>
          </w:tcPr>
          <w:p>
            <w:pPr>
              <w:jc w:val="center"/>
              <w:rPr>
                <w:rFonts w:hint="eastAsia" w:ascii="Calibri" w:hAnsi="Calibri"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88" w:type="dxa"/>
            <w:noWrap w:val="0"/>
            <w:vAlign w:val="top"/>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Calibri" w:hAnsi="Calibri" w:eastAsia="宋体" w:cs="Times New Roman"/>
                <w:b/>
                <w:bCs/>
                <w:color w:val="000000"/>
                <w:kern w:val="2"/>
                <w:sz w:val="18"/>
                <w:szCs w:val="18"/>
                <w:lang w:val="en-US" w:eastAsia="zh-CN" w:bidi="ar-SA"/>
              </w:rPr>
            </w:pPr>
            <w:r>
              <w:rPr>
                <w:rFonts w:hint="default" w:ascii="Calibri" w:hAnsi="Calibri" w:eastAsia="宋体" w:cs="Times New Roman"/>
                <w:b/>
                <w:bCs/>
                <w:color w:val="000000"/>
                <w:sz w:val="18"/>
                <w:szCs w:val="18"/>
                <w:lang w:val="en-US" w:eastAsia="zh-CN"/>
              </w:rPr>
              <w:t>2024年中央补助地方公共文化服务体系建设补助资金</w:t>
            </w:r>
          </w:p>
        </w:tc>
        <w:tc>
          <w:tcPr>
            <w:tcW w:w="870"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4.74</w:t>
            </w:r>
          </w:p>
        </w:tc>
        <w:tc>
          <w:tcPr>
            <w:tcW w:w="94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kern w:val="2"/>
                <w:sz w:val="20"/>
                <w:szCs w:val="20"/>
                <w:lang w:val="en-US" w:eastAsia="zh-CN" w:bidi="ar-SA"/>
              </w:rPr>
              <w:t>4.74</w:t>
            </w:r>
          </w:p>
        </w:tc>
        <w:tc>
          <w:tcPr>
            <w:tcW w:w="145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95" w:type="dxa"/>
            <w:noWrap w:val="0"/>
            <w:vAlign w:val="center"/>
          </w:tcPr>
          <w:p>
            <w:pPr>
              <w:jc w:val="center"/>
              <w:rPr>
                <w:rFonts w:hint="eastAsia" w:ascii="宋体" w:hAnsi="宋体" w:eastAsia="宋体" w:cs="宋体"/>
                <w:color w:val="000000"/>
                <w:kern w:val="2"/>
                <w:sz w:val="20"/>
                <w:szCs w:val="20"/>
                <w:lang w:val="en-US" w:eastAsia="zh-CN" w:bidi="ar-SA"/>
              </w:rPr>
            </w:pPr>
          </w:p>
        </w:tc>
        <w:tc>
          <w:tcPr>
            <w:tcW w:w="1335" w:type="dxa"/>
            <w:noWrap w:val="0"/>
            <w:vAlign w:val="center"/>
          </w:tcPr>
          <w:p>
            <w:pPr>
              <w:jc w:val="center"/>
              <w:rPr>
                <w:rFonts w:hint="eastAsia" w:ascii="宋体" w:hAnsi="宋体" w:eastAsia="宋体" w:cs="宋体"/>
                <w:color w:val="000000"/>
                <w:kern w:val="2"/>
                <w:sz w:val="20"/>
                <w:szCs w:val="20"/>
                <w:lang w:val="en-US" w:eastAsia="zh-CN" w:bidi="ar-SA"/>
              </w:rPr>
            </w:pPr>
            <w:r>
              <w:rPr>
                <w:rFonts w:hint="eastAsia" w:ascii="宋体" w:hAnsi="宋体" w:eastAsia="宋体" w:cs="宋体"/>
                <w:color w:val="000000"/>
                <w:sz w:val="20"/>
                <w:szCs w:val="20"/>
                <w:lang w:val="en-US" w:eastAsia="zh-CN"/>
              </w:rPr>
              <w:t>4.74</w:t>
            </w:r>
          </w:p>
        </w:tc>
        <w:tc>
          <w:tcPr>
            <w:tcW w:w="975" w:type="dxa"/>
            <w:noWrap w:val="0"/>
            <w:vAlign w:val="top"/>
          </w:tcPr>
          <w:p>
            <w:pPr>
              <w:rPr>
                <w:rFonts w:hint="default" w:ascii="Calibri" w:hAnsi="Calibri" w:eastAsia="宋体" w:cs="Times New Roman"/>
                <w:color w:val="000000"/>
                <w:kern w:val="2"/>
                <w:sz w:val="18"/>
                <w:szCs w:val="18"/>
                <w:lang w:val="en-US" w:eastAsia="zh-CN" w:bidi="ar-SA"/>
              </w:rPr>
            </w:pPr>
          </w:p>
        </w:tc>
        <w:tc>
          <w:tcPr>
            <w:tcW w:w="1395" w:type="dxa"/>
            <w:noWrap w:val="0"/>
            <w:vAlign w:val="top"/>
          </w:tcPr>
          <w:p>
            <w:pPr>
              <w:rPr>
                <w:rFonts w:hint="default" w:ascii="Calibri" w:hAnsi="Calibri" w:eastAsia="宋体" w:cs="Times New Roman"/>
                <w:color w:val="000000"/>
                <w:kern w:val="2"/>
                <w:sz w:val="18"/>
                <w:szCs w:val="18"/>
                <w:lang w:val="en-US" w:eastAsia="zh-CN" w:bidi="ar-SA"/>
              </w:rPr>
            </w:pPr>
          </w:p>
        </w:tc>
        <w:tc>
          <w:tcPr>
            <w:tcW w:w="12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8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0"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4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145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9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35" w:type="dxa"/>
            <w:noWrap w:val="0"/>
            <w:vAlign w:val="center"/>
          </w:tcPr>
          <w:p>
            <w:pPr>
              <w:spacing w:line="600" w:lineRule="exact"/>
              <w:jc w:val="center"/>
              <w:rPr>
                <w:rFonts w:hint="eastAsia" w:ascii="宋体" w:hAnsi="宋体" w:eastAsia="宋体" w:cs="宋体"/>
                <w:bCs/>
                <w:color w:val="auto"/>
                <w:kern w:val="0"/>
                <w:sz w:val="20"/>
                <w:szCs w:val="20"/>
                <w:highlight w:val="none"/>
              </w:rPr>
            </w:pPr>
          </w:p>
        </w:tc>
        <w:tc>
          <w:tcPr>
            <w:tcW w:w="9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3"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988"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70" w:type="dxa"/>
            <w:noWrap w:val="0"/>
            <w:vAlign w:val="center"/>
          </w:tcPr>
          <w:p>
            <w:pPr>
              <w:spacing w:line="600" w:lineRule="exact"/>
              <w:jc w:val="center"/>
              <w:rPr>
                <w:rFonts w:hint="eastAsia" w:ascii="宋体" w:hAnsi="宋体" w:eastAsia="宋体" w:cs="宋体"/>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总计</w:t>
            </w:r>
          </w:p>
        </w:tc>
        <w:tc>
          <w:tcPr>
            <w:tcW w:w="945" w:type="dxa"/>
            <w:noWrap w:val="0"/>
            <w:vAlign w:val="center"/>
          </w:tcPr>
          <w:p>
            <w:pPr>
              <w:spacing w:line="600" w:lineRule="exact"/>
              <w:jc w:val="center"/>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000000"/>
                <w:kern w:val="2"/>
                <w:sz w:val="20"/>
                <w:szCs w:val="20"/>
                <w:lang w:val="en-US" w:eastAsia="zh-CN" w:bidi="ar-SA"/>
              </w:rPr>
              <w:t>6.24</w:t>
            </w:r>
          </w:p>
        </w:tc>
        <w:tc>
          <w:tcPr>
            <w:tcW w:w="145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95" w:type="dxa"/>
            <w:noWrap w:val="0"/>
            <w:vAlign w:val="center"/>
          </w:tcPr>
          <w:p>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335" w:type="dxa"/>
            <w:noWrap w:val="0"/>
            <w:vAlign w:val="center"/>
          </w:tcPr>
          <w:p>
            <w:pPr>
              <w:spacing w:line="600" w:lineRule="exact"/>
              <w:jc w:val="center"/>
              <w:rPr>
                <w:rFonts w:hint="eastAsia" w:ascii="宋体" w:hAnsi="宋体" w:eastAsia="宋体" w:cs="宋体"/>
                <w:b/>
                <w:bCs/>
                <w:color w:val="auto"/>
                <w:kern w:val="0"/>
                <w:sz w:val="20"/>
                <w:szCs w:val="20"/>
                <w:highlight w:val="none"/>
              </w:rPr>
            </w:pPr>
            <w:r>
              <w:rPr>
                <w:rFonts w:hint="eastAsia" w:ascii="宋体" w:hAnsi="宋体" w:eastAsia="宋体" w:cs="宋体"/>
                <w:b/>
                <w:bCs/>
                <w:color w:val="000000"/>
                <w:kern w:val="2"/>
                <w:sz w:val="20"/>
                <w:szCs w:val="20"/>
                <w:lang w:val="en-US" w:eastAsia="zh-CN" w:bidi="ar-SA"/>
              </w:rPr>
              <w:t>6.24</w:t>
            </w:r>
          </w:p>
        </w:tc>
        <w:tc>
          <w:tcPr>
            <w:tcW w:w="97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39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3"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 w:hAnsi="Calibri" w:eastAsia="仿宋" w:cs="Times New Roman"/>
          <w:b/>
          <w:color w:val="000000"/>
          <w:szCs w:val="21"/>
          <w:lang w:val="en-US" w:eastAsia="zh-CN"/>
        </w:rPr>
      </w:pPr>
    </w:p>
    <w:p>
      <w:pPr>
        <w:tabs>
          <w:tab w:val="left" w:pos="5519"/>
        </w:tabs>
        <w:bidi w:val="0"/>
        <w:jc w:val="left"/>
        <w:rPr>
          <w:rFonts w:hint="eastAsia"/>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第三部分  2025年部门预算情况说明</w:t>
      </w:r>
    </w:p>
    <w:p>
      <w:pPr>
        <w:widowControl/>
        <w:spacing w:line="560" w:lineRule="exact"/>
        <w:rPr>
          <w:rFonts w:hint="eastAsia" w:ascii="仿宋" w:hAnsi="微软雅黑" w:eastAsia="仿宋" w:cs="Times New Roman"/>
          <w:b/>
          <w:bCs/>
          <w:sz w:val="28"/>
          <w:szCs w:val="28"/>
        </w:rPr>
      </w:pPr>
    </w:p>
    <w:p>
      <w:pPr>
        <w:widowControl/>
        <w:spacing w:line="560" w:lineRule="exact"/>
        <w:ind w:firstLine="562" w:firstLineChars="200"/>
        <w:rPr>
          <w:rFonts w:hint="eastAsia" w:ascii="仿宋" w:hAnsi="华文楷体" w:eastAsia="仿宋" w:cs="Times New Roman"/>
          <w:b/>
          <w:bCs w:val="0"/>
          <w:kern w:val="2"/>
          <w:sz w:val="28"/>
          <w:szCs w:val="28"/>
          <w:lang w:val="en-US" w:eastAsia="zh-CN"/>
        </w:rPr>
      </w:pPr>
      <w:r>
        <w:rPr>
          <w:rFonts w:hint="eastAsia" w:ascii="仿宋" w:hAnsi="微软雅黑" w:eastAsia="仿宋" w:cs="Times New Roman"/>
          <w:b/>
          <w:bCs/>
          <w:sz w:val="28"/>
          <w:szCs w:val="28"/>
        </w:rPr>
        <w:t>一、</w:t>
      </w:r>
      <w:r>
        <w:rPr>
          <w:rFonts w:hint="eastAsia" w:ascii="仿宋" w:hAnsi="华文楷体" w:eastAsia="仿宋" w:cs="Times New Roman"/>
          <w:b/>
          <w:bCs w:val="0"/>
          <w:kern w:val="2"/>
          <w:sz w:val="28"/>
          <w:szCs w:val="28"/>
          <w:lang w:val="en-US" w:eastAsia="zh-CN"/>
        </w:rPr>
        <w:t>关于中共呼图壁县委员会宣传部2025年收支预算情况的总体说明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rPr>
        <w:t>按照全口径预算的原则，</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所有收入</w:t>
      </w:r>
      <w:r>
        <w:rPr>
          <w:rFonts w:hint="eastAsia" w:ascii="仿宋" w:hAnsi="微软雅黑" w:eastAsia="仿宋" w:cs="Times New Roman"/>
          <w:sz w:val="28"/>
          <w:szCs w:val="28"/>
          <w:highlight w:val="none"/>
        </w:rPr>
        <w:t>和支出均纳入单位预算管理。收支总预算</w:t>
      </w:r>
      <w:r>
        <w:rPr>
          <w:rFonts w:hint="eastAsia" w:ascii="仿宋" w:hAnsi="微软雅黑" w:eastAsia="仿宋" w:cs="Times New Roman"/>
          <w:sz w:val="28"/>
          <w:szCs w:val="28"/>
          <w:highlight w:val="none"/>
          <w:lang w:val="en-US" w:eastAsia="zh-CN"/>
        </w:rPr>
        <w:t>1284.83</w:t>
      </w:r>
      <w:r>
        <w:rPr>
          <w:rFonts w:hint="eastAsia" w:ascii="仿宋" w:hAnsi="微软雅黑" w:eastAsia="仿宋" w:cs="Times New Roman"/>
          <w:sz w:val="28"/>
          <w:szCs w:val="28"/>
          <w:highlight w:val="none"/>
        </w:rPr>
        <w:t>万元。</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收入预算包括：一般公共预算、</w:t>
      </w:r>
      <w:r>
        <w:rPr>
          <w:rFonts w:hint="eastAsia" w:ascii="仿宋" w:hAnsi="微软雅黑" w:eastAsia="仿宋" w:cs="Times New Roman"/>
          <w:sz w:val="28"/>
          <w:szCs w:val="28"/>
          <w:highlight w:val="none"/>
          <w:lang w:val="en-US" w:eastAsia="zh-Hans"/>
        </w:rPr>
        <w:t>单位资金</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支出预算包括：一般公共服务支出、文化旅游体育与传媒支出、社会保障和就业支出、卫生健康支出、住房保障支出。</w:t>
      </w:r>
    </w:p>
    <w:p>
      <w:pPr>
        <w:widowControl/>
        <w:spacing w:line="560" w:lineRule="exact"/>
        <w:ind w:firstLine="562" w:firstLineChars="200"/>
        <w:rPr>
          <w:rFonts w:hint="eastAsia" w:ascii="仿宋" w:hAnsi="微软雅黑" w:eastAsia="仿宋" w:cs="Times New Roman"/>
          <w:b/>
          <w:bCs/>
          <w:sz w:val="28"/>
          <w:szCs w:val="28"/>
          <w:highlight w:val="none"/>
        </w:rPr>
      </w:pPr>
      <w:r>
        <w:rPr>
          <w:rFonts w:hint="eastAsia" w:ascii="仿宋" w:hAnsi="微软雅黑" w:eastAsia="仿宋" w:cs="Times New Roman"/>
          <w:b/>
          <w:bCs/>
          <w:sz w:val="28"/>
          <w:szCs w:val="28"/>
          <w:highlight w:val="none"/>
        </w:rPr>
        <w:t>二、关于</w:t>
      </w:r>
      <w:r>
        <w:rPr>
          <w:rFonts w:hint="eastAsia" w:ascii="仿宋" w:hAnsi="微软雅黑" w:eastAsia="仿宋" w:cs="Times New Roman"/>
          <w:b/>
          <w:bCs/>
          <w:sz w:val="28"/>
          <w:szCs w:val="28"/>
          <w:highlight w:val="none"/>
          <w:lang w:val="en-US" w:eastAsia="zh-CN"/>
        </w:rPr>
        <w:t>中共呼图壁县委员会宣传部</w:t>
      </w:r>
      <w:r>
        <w:rPr>
          <w:rFonts w:hint="eastAsia" w:ascii="仿宋" w:hAnsi="微软雅黑" w:eastAsia="仿宋" w:cs="Times New Roman"/>
          <w:b/>
          <w:bCs/>
          <w:sz w:val="28"/>
          <w:szCs w:val="28"/>
          <w:highlight w:val="none"/>
          <w:lang w:eastAsia="zh-CN"/>
        </w:rPr>
        <w:t>202</w:t>
      </w:r>
      <w:r>
        <w:rPr>
          <w:rFonts w:hint="eastAsia" w:ascii="仿宋" w:hAnsi="微软雅黑" w:eastAsia="仿宋" w:cs="Times New Roman"/>
          <w:b/>
          <w:bCs/>
          <w:sz w:val="28"/>
          <w:szCs w:val="28"/>
          <w:highlight w:val="none"/>
          <w:lang w:val="en-US" w:eastAsia="zh-CN"/>
        </w:rPr>
        <w:t>5</w:t>
      </w:r>
      <w:r>
        <w:rPr>
          <w:rFonts w:hint="eastAsia" w:ascii="仿宋" w:hAnsi="微软雅黑" w:eastAsia="仿宋" w:cs="Times New Roman"/>
          <w:b/>
          <w:bCs/>
          <w:sz w:val="28"/>
          <w:szCs w:val="28"/>
          <w:highlight w:val="none"/>
          <w:lang w:eastAsia="zh-CN"/>
        </w:rPr>
        <w:t>年</w:t>
      </w:r>
      <w:r>
        <w:rPr>
          <w:rFonts w:hint="eastAsia" w:ascii="仿宋" w:hAnsi="微软雅黑" w:eastAsia="仿宋" w:cs="Times New Roman"/>
          <w:b/>
          <w:bCs/>
          <w:sz w:val="28"/>
          <w:szCs w:val="28"/>
          <w:highlight w:val="none"/>
        </w:rPr>
        <w:t>收入预算情况说明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中共呼图壁县委员会宣传部</w:t>
      </w:r>
      <w:r>
        <w:rPr>
          <w:rFonts w:hint="eastAsia" w:ascii="仿宋" w:hAnsi="微软雅黑" w:eastAsia="仿宋" w:cs="Times New Roman"/>
          <w:sz w:val="28"/>
          <w:szCs w:val="28"/>
          <w:highlight w:val="none"/>
        </w:rPr>
        <w:t>收入预算</w:t>
      </w:r>
      <w:r>
        <w:rPr>
          <w:rFonts w:hint="eastAsia" w:ascii="仿宋" w:hAnsi="微软雅黑" w:eastAsia="仿宋" w:cs="Times New Roman"/>
          <w:sz w:val="28"/>
          <w:szCs w:val="28"/>
          <w:highlight w:val="none"/>
          <w:lang w:val="en-US" w:eastAsia="zh-CN"/>
        </w:rPr>
        <w:t>1284.83</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rPr>
        <w:t>一般公共预算</w:t>
      </w:r>
      <w:bookmarkStart w:id="31" w:name="OLE_LINK36"/>
      <w:r>
        <w:rPr>
          <w:rFonts w:hint="eastAsia" w:ascii="仿宋" w:hAnsi="微软雅黑" w:eastAsia="仿宋" w:cs="Times New Roman"/>
          <w:sz w:val="28"/>
          <w:szCs w:val="28"/>
          <w:highlight w:val="none"/>
          <w:lang w:val="en-US" w:eastAsia="zh-CN"/>
        </w:rPr>
        <w:t>683.58</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53.20</w:t>
      </w:r>
      <w:r>
        <w:rPr>
          <w:rFonts w:hint="eastAsia" w:ascii="仿宋" w:hAnsi="微软雅黑" w:eastAsia="仿宋" w:cs="Times New Roman"/>
          <w:sz w:val="28"/>
          <w:szCs w:val="28"/>
          <w:highlight w:val="none"/>
        </w:rPr>
        <w:t>%，比上年预算增</w:t>
      </w:r>
      <w:r>
        <w:rPr>
          <w:rFonts w:hint="eastAsia" w:ascii="仿宋" w:hAnsi="微软雅黑" w:eastAsia="仿宋" w:cs="Times New Roman"/>
          <w:sz w:val="28"/>
          <w:szCs w:val="28"/>
          <w:highlight w:val="none"/>
          <w:lang w:val="en-US" w:eastAsia="zh-CN"/>
        </w:rPr>
        <w:t>加116.60</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20.57%，</w:t>
      </w:r>
      <w:bookmarkEnd w:id="31"/>
      <w:bookmarkStart w:id="32" w:name="OLE_LINK37"/>
      <w:r>
        <w:rPr>
          <w:rFonts w:hint="eastAsia" w:ascii="仿宋" w:hAnsi="微软雅黑" w:eastAsia="仿宋" w:cs="Times New Roman"/>
          <w:sz w:val="28"/>
          <w:szCs w:val="28"/>
          <w:highlight w:val="none"/>
        </w:rPr>
        <w:t>主要原因</w:t>
      </w:r>
      <w:r>
        <w:rPr>
          <w:rFonts w:hint="eastAsia" w:ascii="仿宋" w:hAnsi="微软雅黑" w:eastAsia="仿宋" w:cs="Times New Roman"/>
          <w:sz w:val="28"/>
          <w:szCs w:val="28"/>
          <w:highlight w:val="none"/>
          <w:lang w:val="en-US" w:eastAsia="zh-CN"/>
        </w:rPr>
        <w:t>是2025年预算增加了2026年党报党刊征订</w:t>
      </w:r>
      <w:bookmarkEnd w:id="32"/>
      <w:r>
        <w:rPr>
          <w:rFonts w:hint="eastAsia" w:ascii="仿宋" w:hAnsi="微软雅黑" w:eastAsia="仿宋" w:cs="Times New Roman"/>
          <w:sz w:val="28"/>
          <w:szCs w:val="28"/>
          <w:highlight w:val="none"/>
        </w:rPr>
        <w:t xml:space="preserve">导致经费增加。 </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上级一般公共预算安排的转移支付资金5.00</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0.39</w:t>
      </w:r>
      <w:r>
        <w:rPr>
          <w:rFonts w:hint="eastAsia" w:ascii="仿宋" w:hAnsi="微软雅黑" w:eastAsia="仿宋" w:cs="Times New Roman"/>
          <w:sz w:val="28"/>
          <w:szCs w:val="28"/>
          <w:highlight w:val="none"/>
        </w:rPr>
        <w:t>%，比上年预算增加</w:t>
      </w:r>
      <w:r>
        <w:rPr>
          <w:rFonts w:hint="eastAsia" w:ascii="仿宋" w:hAnsi="微软雅黑" w:eastAsia="仿宋" w:cs="Times New Roman"/>
          <w:sz w:val="28"/>
          <w:szCs w:val="28"/>
          <w:highlight w:val="none"/>
          <w:lang w:val="en-US" w:eastAsia="zh-CN"/>
        </w:rPr>
        <w:t>5.00</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eastAsia="zh-CN"/>
        </w:rPr>
        <w:t>增长</w:t>
      </w:r>
      <w:r>
        <w:rPr>
          <w:rFonts w:hint="eastAsia" w:ascii="仿宋" w:hAnsi="微软雅黑" w:eastAsia="仿宋" w:cs="Times New Roman"/>
          <w:sz w:val="28"/>
          <w:szCs w:val="28"/>
          <w:highlight w:val="none"/>
          <w:lang w:val="en-US" w:eastAsia="zh-CN"/>
        </w:rPr>
        <w:t>100%，</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2025年增加SM专项资金，故预算金额增加。</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eastAsia="zh-CN"/>
        </w:rPr>
        <w:t>政府性基金预算0.00万元，占0.00%，比上年预算增加0.00万元，增长0.00%，主要原因是呼图壁县人民政府办公室202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年财政未安排政府性基金预算。</w:t>
      </w:r>
    </w:p>
    <w:p>
      <w:pPr>
        <w:widowControl/>
        <w:spacing w:line="560" w:lineRule="exact"/>
        <w:ind w:firstLine="560" w:firstLineChars="200"/>
        <w:rPr>
          <w:rFonts w:hint="default"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eastAsia="zh-CN"/>
        </w:rPr>
        <w:t>上级政府性基金安排的转移支付资金未安排。</w:t>
      </w:r>
    </w:p>
    <w:p>
      <w:pPr>
        <w:widowControl/>
        <w:spacing w:line="560" w:lineRule="exact"/>
        <w:ind w:firstLine="560" w:firstLineChars="200"/>
        <w:rPr>
          <w:rFonts w:hint="default"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eastAsia="zh-CN"/>
        </w:rPr>
        <w:t>国有资本经营预算0.00万元，占0.00%，比上年预算增加0.00万元，增长0.00%，主要原因是呼图壁县人民政府办公室202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年财政未安排国有资本经营预算。</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eastAsia="zh-CN"/>
        </w:rPr>
        <w:t>上级国有资本经营预算安排的转移支付资金未安排。</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Hans"/>
        </w:rPr>
        <w:t>单位资金</w:t>
      </w:r>
      <w:r>
        <w:rPr>
          <w:rFonts w:hint="eastAsia" w:ascii="仿宋" w:hAnsi="微软雅黑" w:eastAsia="仿宋" w:cs="Times New Roman"/>
          <w:sz w:val="28"/>
          <w:szCs w:val="28"/>
          <w:highlight w:val="none"/>
          <w:lang w:val="en-US" w:eastAsia="zh-CN"/>
        </w:rPr>
        <w:t>590.00</w:t>
      </w:r>
      <w:r>
        <w:rPr>
          <w:rFonts w:hint="eastAsia" w:ascii="仿宋" w:hAnsi="微软雅黑" w:eastAsia="仿宋" w:cs="Times New Roman"/>
          <w:sz w:val="28"/>
          <w:szCs w:val="28"/>
          <w:highlight w:val="none"/>
        </w:rPr>
        <w:t>万元，占</w:t>
      </w:r>
      <w:r>
        <w:rPr>
          <w:rFonts w:hint="eastAsia" w:ascii="仿宋" w:hAnsi="微软雅黑" w:eastAsia="仿宋" w:cs="Times New Roman"/>
          <w:sz w:val="28"/>
          <w:szCs w:val="28"/>
          <w:highlight w:val="none"/>
          <w:lang w:val="en-US" w:eastAsia="zh-CN"/>
        </w:rPr>
        <w:t>45.92</w:t>
      </w:r>
      <w:r>
        <w:rPr>
          <w:rFonts w:hint="eastAsia" w:ascii="仿宋" w:hAnsi="微软雅黑" w:eastAsia="仿宋" w:cs="Times New Roman"/>
          <w:sz w:val="28"/>
          <w:szCs w:val="28"/>
          <w:highlight w:val="none"/>
        </w:rPr>
        <w:t>%，比上年预算</w:t>
      </w:r>
      <w:r>
        <w:rPr>
          <w:rFonts w:hint="eastAsia" w:ascii="仿宋" w:hAnsi="微软雅黑" w:eastAsia="仿宋" w:cs="Times New Roman"/>
          <w:sz w:val="28"/>
          <w:szCs w:val="28"/>
          <w:highlight w:val="none"/>
          <w:lang w:val="en-US" w:eastAsia="zh-CN"/>
        </w:rPr>
        <w:t>减少519</w:t>
      </w:r>
      <w:r>
        <w:rPr>
          <w:rFonts w:hint="eastAsia" w:ascii="仿宋" w:hAnsi="微软雅黑" w:eastAsia="仿宋" w:cs="Times New Roman"/>
          <w:sz w:val="28"/>
          <w:szCs w:val="28"/>
          <w:highlight w:val="none"/>
        </w:rPr>
        <w:t>万元，</w:t>
      </w:r>
      <w:r>
        <w:rPr>
          <w:rFonts w:hint="eastAsia" w:ascii="仿宋" w:hAnsi="微软雅黑" w:eastAsia="仿宋" w:cs="Times New Roman"/>
          <w:sz w:val="28"/>
          <w:szCs w:val="28"/>
          <w:highlight w:val="none"/>
          <w:lang w:val="en-US" w:eastAsia="zh-CN"/>
        </w:rPr>
        <w:t>下降46.80 %，</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2024年融媒体中心实施的呼图壁县特色文化推广中心建设项目做了预算，2025年没有此项预算</w:t>
      </w:r>
      <w:r>
        <w:rPr>
          <w:rFonts w:hint="eastAsia" w:ascii="仿宋" w:hAnsi="微软雅黑" w:eastAsia="仿宋" w:cs="Times New Roman"/>
          <w:sz w:val="28"/>
          <w:szCs w:val="28"/>
          <w:highlight w:val="none"/>
          <w:lang w:eastAsia="zh-CN"/>
        </w:rPr>
        <w:t>。</w:t>
      </w:r>
    </w:p>
    <w:p>
      <w:pPr>
        <w:widowControl/>
        <w:spacing w:line="560" w:lineRule="exact"/>
        <w:ind w:firstLine="562" w:firstLineChars="200"/>
        <w:rPr>
          <w:rFonts w:hint="eastAsia" w:ascii="仿宋" w:hAnsi="微软雅黑" w:eastAsia="仿宋" w:cs="Times New Roman"/>
          <w:b/>
          <w:bCs/>
          <w:sz w:val="28"/>
          <w:szCs w:val="28"/>
          <w:highlight w:val="none"/>
        </w:rPr>
      </w:pPr>
      <w:r>
        <w:rPr>
          <w:rFonts w:hint="eastAsia" w:ascii="仿宋" w:hAnsi="微软雅黑" w:eastAsia="仿宋" w:cs="Times New Roman"/>
          <w:b/>
          <w:bCs/>
          <w:sz w:val="28"/>
          <w:szCs w:val="28"/>
          <w:highlight w:val="none"/>
        </w:rPr>
        <w:t>三、关于</w:t>
      </w:r>
      <w:r>
        <w:rPr>
          <w:rFonts w:hint="eastAsia" w:ascii="仿宋" w:hAnsi="微软雅黑" w:eastAsia="仿宋" w:cs="Times New Roman"/>
          <w:b/>
          <w:bCs/>
          <w:sz w:val="28"/>
          <w:szCs w:val="28"/>
          <w:highlight w:val="none"/>
          <w:lang w:val="en-US" w:eastAsia="zh-CN"/>
        </w:rPr>
        <w:t>中共呼图壁县委员会宣传部</w:t>
      </w:r>
      <w:r>
        <w:rPr>
          <w:rFonts w:hint="eastAsia" w:ascii="仿宋" w:hAnsi="微软雅黑" w:eastAsia="仿宋" w:cs="Times New Roman"/>
          <w:b/>
          <w:bCs/>
          <w:sz w:val="28"/>
          <w:szCs w:val="28"/>
          <w:highlight w:val="none"/>
          <w:lang w:eastAsia="zh-CN"/>
        </w:rPr>
        <w:t>202</w:t>
      </w:r>
      <w:r>
        <w:rPr>
          <w:rFonts w:hint="eastAsia" w:ascii="仿宋" w:hAnsi="微软雅黑" w:eastAsia="仿宋" w:cs="Times New Roman"/>
          <w:b/>
          <w:bCs/>
          <w:sz w:val="28"/>
          <w:szCs w:val="28"/>
          <w:highlight w:val="none"/>
          <w:lang w:val="en-US" w:eastAsia="zh-CN"/>
        </w:rPr>
        <w:t>5</w:t>
      </w:r>
      <w:r>
        <w:rPr>
          <w:rFonts w:hint="eastAsia" w:ascii="仿宋" w:hAnsi="微软雅黑" w:eastAsia="仿宋" w:cs="Times New Roman"/>
          <w:b/>
          <w:bCs/>
          <w:sz w:val="28"/>
          <w:szCs w:val="28"/>
          <w:highlight w:val="none"/>
          <w:lang w:eastAsia="zh-CN"/>
        </w:rPr>
        <w:t>年</w:t>
      </w:r>
      <w:r>
        <w:rPr>
          <w:rFonts w:hint="eastAsia" w:ascii="仿宋" w:hAnsi="微软雅黑" w:eastAsia="仿宋" w:cs="Times New Roman"/>
          <w:b/>
          <w:bCs/>
          <w:sz w:val="28"/>
          <w:szCs w:val="28"/>
          <w:highlight w:val="none"/>
        </w:rPr>
        <w:t>支出预算情况说明</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中共呼图壁县委员会宣传部</w:t>
      </w:r>
      <w:r>
        <w:rPr>
          <w:rFonts w:hint="eastAsia" w:ascii="仿宋" w:hAnsi="微软雅黑" w:eastAsia="仿宋" w:cs="Times New Roman"/>
          <w:sz w:val="28"/>
          <w:szCs w:val="28"/>
          <w:highlight w:val="none"/>
          <w:lang w:eastAsia="zh-CN"/>
        </w:rPr>
        <w:t>202</w:t>
      </w:r>
      <w:r>
        <w:rPr>
          <w:rFonts w:hint="eastAsia" w:ascii="仿宋" w:hAnsi="微软雅黑" w:eastAsia="仿宋" w:cs="Times New Roman"/>
          <w:sz w:val="28"/>
          <w:szCs w:val="28"/>
          <w:highlight w:val="none"/>
          <w:lang w:val="en-US" w:eastAsia="zh-CN"/>
        </w:rPr>
        <w:t>5</w:t>
      </w:r>
      <w:r>
        <w:rPr>
          <w:rFonts w:hint="eastAsia" w:ascii="仿宋" w:hAnsi="微软雅黑" w:eastAsia="仿宋" w:cs="Times New Roman"/>
          <w:sz w:val="28"/>
          <w:szCs w:val="28"/>
          <w:highlight w:val="none"/>
          <w:lang w:eastAsia="zh-CN"/>
        </w:rPr>
        <w:t>年</w:t>
      </w:r>
      <w:r>
        <w:rPr>
          <w:rFonts w:hint="eastAsia" w:ascii="仿宋" w:hAnsi="微软雅黑" w:eastAsia="仿宋" w:cs="Times New Roman"/>
          <w:sz w:val="28"/>
          <w:szCs w:val="28"/>
          <w:highlight w:val="none"/>
        </w:rPr>
        <w:t>支出预算</w:t>
      </w:r>
      <w:r>
        <w:rPr>
          <w:rFonts w:hint="eastAsia" w:ascii="仿宋" w:hAnsi="微软雅黑" w:eastAsia="仿宋" w:cs="Times New Roman"/>
          <w:sz w:val="28"/>
          <w:szCs w:val="28"/>
          <w:highlight w:val="none"/>
          <w:lang w:val="en-US" w:eastAsia="zh-CN"/>
        </w:rPr>
        <w:t>1284.83</w:t>
      </w:r>
      <w:r>
        <w:rPr>
          <w:rFonts w:hint="eastAsia" w:ascii="仿宋" w:hAnsi="微软雅黑" w:eastAsia="仿宋" w:cs="Times New Roman"/>
          <w:sz w:val="28"/>
          <w:szCs w:val="28"/>
          <w:highlight w:val="none"/>
          <w:lang w:eastAsia="zh-CN"/>
        </w:rPr>
        <w:t>万</w:t>
      </w:r>
      <w:r>
        <w:rPr>
          <w:rFonts w:hint="eastAsia" w:ascii="仿宋" w:hAnsi="微软雅黑" w:eastAsia="仿宋" w:cs="Times New Roman"/>
          <w:sz w:val="28"/>
          <w:szCs w:val="28"/>
          <w:highlight w:val="none"/>
        </w:rPr>
        <w:t>元，其中：</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基本支出</w:t>
      </w:r>
      <w:r>
        <w:rPr>
          <w:rFonts w:hint="eastAsia" w:ascii="仿宋" w:hAnsi="微软雅黑" w:eastAsia="仿宋" w:cs="Times New Roman"/>
          <w:sz w:val="28"/>
          <w:szCs w:val="28"/>
          <w:lang w:val="en-US" w:eastAsia="zh-CN"/>
        </w:rPr>
        <w:t>573.58</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44.64</w:t>
      </w:r>
      <w:r>
        <w:rPr>
          <w:rFonts w:hint="eastAsia" w:ascii="仿宋" w:hAnsi="微软雅黑" w:eastAsia="仿宋" w:cs="Times New Roman"/>
          <w:sz w:val="28"/>
          <w:szCs w:val="28"/>
        </w:rPr>
        <w:t>%，比上年预算</w:t>
      </w:r>
      <w:r>
        <w:rPr>
          <w:rFonts w:hint="eastAsia" w:ascii="仿宋" w:hAnsi="微软雅黑" w:eastAsia="仿宋" w:cs="Times New Roman"/>
          <w:sz w:val="28"/>
          <w:szCs w:val="28"/>
          <w:lang w:val="en-US" w:eastAsia="zh-CN"/>
        </w:rPr>
        <w:t>减少547.40</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下降48.83%，</w:t>
      </w:r>
      <w:r>
        <w:rPr>
          <w:rFonts w:hint="eastAsia" w:ascii="仿宋" w:hAnsi="微软雅黑" w:eastAsia="仿宋" w:cs="Times New Roman"/>
          <w:sz w:val="28"/>
          <w:szCs w:val="28"/>
        </w:rPr>
        <w:t>主要原因</w:t>
      </w:r>
      <w:r>
        <w:rPr>
          <w:rFonts w:hint="eastAsia" w:ascii="仿宋" w:hAnsi="微软雅黑" w:eastAsia="仿宋" w:cs="Times New Roman"/>
          <w:sz w:val="28"/>
          <w:szCs w:val="28"/>
          <w:lang w:val="en-US" w:eastAsia="zh-CN"/>
        </w:rPr>
        <w:t>是：2024年融媒体中心实施的呼图壁县特色文化推广中心建设项目做了预算，2025年没有此项预算，行政人员减少2名，事业人员减少1名</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项目支出</w:t>
      </w:r>
      <w:r>
        <w:rPr>
          <w:rFonts w:hint="eastAsia" w:ascii="仿宋" w:hAnsi="微软雅黑" w:eastAsia="仿宋" w:cs="Times New Roman"/>
          <w:sz w:val="28"/>
          <w:szCs w:val="28"/>
          <w:lang w:val="en-US" w:eastAsia="zh-CN"/>
        </w:rPr>
        <w:t>711.24</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55.36</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156.24</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28.15%，</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增加了2026年党报党刊的征订</w:t>
      </w:r>
      <w:r>
        <w:rPr>
          <w:rFonts w:hint="eastAsia" w:ascii="仿宋" w:hAnsi="微软雅黑" w:eastAsia="仿宋" w:cs="Times New Roman"/>
          <w:sz w:val="28"/>
          <w:szCs w:val="28"/>
        </w:rPr>
        <w:t>。</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rPr>
        <w:t>四、关于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财政拨款收支预算情况的总体说明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财政拨款收支总预算</w:t>
      </w:r>
      <w:r>
        <w:rPr>
          <w:rFonts w:hint="eastAsia" w:ascii="仿宋" w:hAnsi="微软雅黑" w:eastAsia="仿宋" w:cs="Times New Roman"/>
          <w:sz w:val="28"/>
          <w:szCs w:val="28"/>
          <w:lang w:val="en-US" w:eastAsia="zh-CN"/>
        </w:rPr>
        <w:t>688.59</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收入预算包括：一般公共预算拨款</w:t>
      </w:r>
      <w:r>
        <w:rPr>
          <w:rFonts w:hint="eastAsia" w:ascii="仿宋" w:hAnsi="微软雅黑" w:eastAsia="仿宋" w:cs="Times New Roman"/>
          <w:sz w:val="28"/>
          <w:szCs w:val="28"/>
          <w:lang w:val="en-US" w:eastAsia="zh-CN"/>
        </w:rPr>
        <w:t>688.59</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rPr>
        <w:t>一般公共预算支出包括：一般公共服务支出</w:t>
      </w:r>
      <w:r>
        <w:rPr>
          <w:rFonts w:hint="eastAsia" w:ascii="仿宋" w:hAnsi="微软雅黑" w:eastAsia="仿宋" w:cs="Times New Roman"/>
          <w:sz w:val="28"/>
          <w:szCs w:val="28"/>
          <w:lang w:val="en-US" w:eastAsia="zh-CN"/>
        </w:rPr>
        <w:t>561.90</w:t>
      </w:r>
      <w:r>
        <w:rPr>
          <w:rFonts w:hint="eastAsia" w:ascii="仿宋" w:hAnsi="微软雅黑" w:eastAsia="仿宋" w:cs="Times New Roman"/>
          <w:sz w:val="28"/>
          <w:szCs w:val="28"/>
        </w:rPr>
        <w:t>万元，主要用于</w:t>
      </w:r>
      <w:r>
        <w:rPr>
          <w:rFonts w:hint="eastAsia" w:ascii="仿宋" w:hAnsi="微软雅黑" w:eastAsia="仿宋" w:cs="Times New Roman"/>
          <w:sz w:val="28"/>
          <w:szCs w:val="28"/>
          <w:lang w:val="en-US" w:eastAsia="zh-CN"/>
        </w:rPr>
        <w:t>员工工资、公用经费等</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rPr>
        <w:t>文化旅游体育与传媒支出</w:t>
      </w:r>
      <w:r>
        <w:rPr>
          <w:rFonts w:hint="eastAsia" w:ascii="仿宋" w:hAnsi="微软雅黑" w:eastAsia="仿宋" w:cs="Times New Roman"/>
          <w:sz w:val="28"/>
          <w:szCs w:val="28"/>
          <w:lang w:val="en-US" w:eastAsia="zh-CN"/>
        </w:rPr>
        <w:t>5.00万元，主要用于SM项目；</w:t>
      </w:r>
      <w:r>
        <w:rPr>
          <w:rFonts w:hint="eastAsia" w:ascii="仿宋" w:hAnsi="微软雅黑" w:eastAsia="仿宋" w:cs="Times New Roman"/>
          <w:sz w:val="28"/>
          <w:szCs w:val="28"/>
        </w:rPr>
        <w:t>社会保障和就业支出</w:t>
      </w:r>
      <w:r>
        <w:rPr>
          <w:rFonts w:hint="eastAsia" w:ascii="仿宋" w:hAnsi="微软雅黑" w:eastAsia="仿宋" w:cs="Times New Roman"/>
          <w:sz w:val="28"/>
          <w:szCs w:val="28"/>
          <w:lang w:val="en-US" w:eastAsia="zh-CN"/>
        </w:rPr>
        <w:t>47.64万元，主要用于在职养老保险；</w:t>
      </w:r>
      <w:r>
        <w:rPr>
          <w:rFonts w:hint="eastAsia" w:ascii="仿宋" w:hAnsi="微软雅黑" w:eastAsia="仿宋" w:cs="Times New Roman"/>
          <w:sz w:val="28"/>
          <w:szCs w:val="28"/>
        </w:rPr>
        <w:t>卫生健康支出</w:t>
      </w:r>
      <w:r>
        <w:rPr>
          <w:rFonts w:hint="eastAsia" w:ascii="仿宋" w:hAnsi="微软雅黑" w:eastAsia="仿宋" w:cs="Times New Roman"/>
          <w:sz w:val="28"/>
          <w:szCs w:val="28"/>
          <w:lang w:val="en-US" w:eastAsia="zh-CN"/>
        </w:rPr>
        <w:t>38.13万元，主要用于在职医疗保险；</w:t>
      </w:r>
      <w:r>
        <w:rPr>
          <w:rFonts w:hint="eastAsia" w:ascii="仿宋" w:hAnsi="微软雅黑" w:eastAsia="仿宋" w:cs="Times New Roman"/>
          <w:sz w:val="28"/>
          <w:szCs w:val="28"/>
        </w:rPr>
        <w:t>住房保障支出</w:t>
      </w:r>
      <w:r>
        <w:rPr>
          <w:rFonts w:hint="eastAsia" w:ascii="仿宋" w:hAnsi="微软雅黑" w:eastAsia="仿宋" w:cs="Times New Roman"/>
          <w:sz w:val="28"/>
          <w:szCs w:val="28"/>
          <w:lang w:val="en-US" w:eastAsia="zh-CN"/>
        </w:rPr>
        <w:t>35.92万元，主要用于在职公积金</w:t>
      </w:r>
      <w:r>
        <w:rPr>
          <w:rFonts w:hint="eastAsia" w:ascii="仿宋" w:hAnsi="微软雅黑" w:eastAsia="仿宋" w:cs="Times New Roman"/>
          <w:sz w:val="28"/>
          <w:szCs w:val="28"/>
        </w:rPr>
        <w:t>。</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rPr>
        <w:t>五、关于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一般公共预算当年拨款情况说明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一般公共预算拨款合计</w:t>
      </w:r>
      <w:r>
        <w:rPr>
          <w:rFonts w:hint="eastAsia" w:ascii="仿宋" w:hAnsi="微软雅黑" w:eastAsia="仿宋" w:cs="Times New Roman"/>
          <w:sz w:val="28"/>
          <w:szCs w:val="28"/>
          <w:lang w:val="en-US" w:eastAsia="zh-CN"/>
        </w:rPr>
        <w:t>688.59</w:t>
      </w:r>
      <w:r>
        <w:rPr>
          <w:rFonts w:hint="eastAsia" w:ascii="仿宋" w:hAnsi="微软雅黑" w:eastAsia="仿宋" w:cs="Times New Roman"/>
          <w:sz w:val="28"/>
          <w:szCs w:val="28"/>
        </w:rPr>
        <w:t>万元，其中：</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基本支出</w:t>
      </w:r>
      <w:r>
        <w:rPr>
          <w:rFonts w:hint="eastAsia" w:ascii="仿宋" w:hAnsi="微软雅黑" w:eastAsia="仿宋" w:cs="Times New Roman"/>
          <w:sz w:val="28"/>
          <w:szCs w:val="28"/>
          <w:lang w:val="en-US" w:eastAsia="zh-CN"/>
        </w:rPr>
        <w:t>473.58</w:t>
      </w:r>
      <w:r>
        <w:rPr>
          <w:rFonts w:hint="eastAsia" w:ascii="仿宋" w:hAnsi="微软雅黑" w:eastAsia="仿宋" w:cs="Times New Roman"/>
          <w:sz w:val="28"/>
          <w:szCs w:val="28"/>
        </w:rPr>
        <w:t>万元，比上年预算</w:t>
      </w:r>
      <w:r>
        <w:rPr>
          <w:rFonts w:hint="eastAsia" w:ascii="仿宋" w:hAnsi="微软雅黑" w:eastAsia="仿宋" w:cs="Times New Roman"/>
          <w:sz w:val="28"/>
          <w:szCs w:val="28"/>
          <w:lang w:eastAsia="zh-CN"/>
        </w:rPr>
        <w:t>减少</w:t>
      </w:r>
      <w:r>
        <w:rPr>
          <w:rFonts w:hint="eastAsia" w:ascii="仿宋" w:hAnsi="微软雅黑" w:eastAsia="仿宋" w:cs="Times New Roman"/>
          <w:sz w:val="28"/>
          <w:szCs w:val="28"/>
          <w:lang w:val="en-US" w:eastAsia="zh-CN"/>
        </w:rPr>
        <w:t>43.40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下降</w:t>
      </w:r>
      <w:r>
        <w:rPr>
          <w:rFonts w:hint="eastAsia" w:ascii="仿宋" w:hAnsi="微软雅黑" w:eastAsia="仿宋" w:cs="Times New Roman"/>
          <w:sz w:val="28"/>
          <w:szCs w:val="28"/>
          <w:lang w:val="en-US" w:eastAsia="zh-CN"/>
        </w:rPr>
        <w:t>8.39</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行政人员减少2人，事业人员减少1人</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项目支出</w:t>
      </w:r>
      <w:r>
        <w:rPr>
          <w:rFonts w:hint="eastAsia" w:ascii="仿宋" w:hAnsi="微软雅黑" w:eastAsia="仿宋" w:cs="Times New Roman"/>
          <w:sz w:val="28"/>
          <w:szCs w:val="28"/>
          <w:lang w:val="en-US" w:eastAsia="zh-CN"/>
        </w:rPr>
        <w:t>215.00万</w:t>
      </w:r>
      <w:r>
        <w:rPr>
          <w:rFonts w:hint="eastAsia" w:ascii="仿宋" w:hAnsi="微软雅黑" w:eastAsia="仿宋" w:cs="Times New Roman"/>
          <w:sz w:val="28"/>
          <w:szCs w:val="28"/>
        </w:rPr>
        <w:t>元，比上年预算增加</w:t>
      </w:r>
      <w:r>
        <w:rPr>
          <w:rFonts w:hint="eastAsia" w:ascii="仿宋" w:hAnsi="微软雅黑" w:eastAsia="仿宋" w:cs="Times New Roman"/>
          <w:sz w:val="28"/>
          <w:szCs w:val="28"/>
          <w:lang w:val="en-US" w:eastAsia="zh-CN"/>
        </w:rPr>
        <w:t>171.24</w:t>
      </w:r>
      <w:r>
        <w:rPr>
          <w:rFonts w:hint="eastAsia" w:ascii="仿宋" w:hAnsi="微软雅黑" w:eastAsia="仿宋" w:cs="Times New Roman"/>
          <w:sz w:val="28"/>
          <w:szCs w:val="28"/>
        </w:rPr>
        <w:t>万元，增长</w:t>
      </w:r>
      <w:r>
        <w:rPr>
          <w:rFonts w:hint="eastAsia" w:ascii="仿宋" w:hAnsi="微软雅黑" w:eastAsia="仿宋" w:cs="Times New Roman"/>
          <w:sz w:val="28"/>
          <w:szCs w:val="28"/>
          <w:lang w:val="en-US" w:eastAsia="zh-CN"/>
        </w:rPr>
        <w:t>391.32</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增加了2026年党报党刊的征订费用，正版办公软件场地授权及软件管理系统续费</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1.一般公共服务（类）</w:t>
      </w:r>
      <w:r>
        <w:rPr>
          <w:rFonts w:hint="eastAsia" w:ascii="仿宋" w:hAnsi="微软雅黑" w:eastAsia="仿宋" w:cs="Times New Roman"/>
          <w:sz w:val="28"/>
          <w:szCs w:val="28"/>
          <w:lang w:val="en-US" w:eastAsia="zh-CN"/>
        </w:rPr>
        <w:t>561.90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81.60</w:t>
      </w:r>
      <w:r>
        <w:rPr>
          <w:rFonts w:hint="eastAsia" w:ascii="仿宋" w:hAnsi="微软雅黑" w:eastAsia="仿宋" w:cs="Times New Roman"/>
          <w:sz w:val="28"/>
          <w:szCs w:val="28"/>
        </w:rPr>
        <w:t>%。</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rPr>
        <w:t>2.</w:t>
      </w:r>
      <w:r>
        <w:rPr>
          <w:rFonts w:hint="eastAsia" w:ascii="仿宋" w:hAnsi="微软雅黑" w:eastAsia="仿宋" w:cs="Times New Roman"/>
          <w:sz w:val="28"/>
          <w:szCs w:val="28"/>
          <w:lang w:val="en-US" w:eastAsia="zh-CN"/>
        </w:rPr>
        <w:t>文化旅游体育与传媒支出（类）5.00万元，占0.73%。</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3</w:t>
      </w:r>
      <w:r>
        <w:rPr>
          <w:rFonts w:hint="eastAsia" w:ascii="仿宋" w:hAnsi="微软雅黑" w:eastAsia="仿宋" w:cs="Times New Roman"/>
          <w:sz w:val="28"/>
          <w:szCs w:val="28"/>
        </w:rPr>
        <w:t>.社会保障和就业支出（类）</w:t>
      </w:r>
      <w:r>
        <w:rPr>
          <w:rFonts w:hint="eastAsia" w:ascii="仿宋" w:hAnsi="微软雅黑" w:eastAsia="仿宋" w:cs="Times New Roman"/>
          <w:sz w:val="28"/>
          <w:szCs w:val="28"/>
          <w:lang w:val="en-US" w:eastAsia="zh-CN"/>
        </w:rPr>
        <w:t>47.64</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6.92</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4.卫生健康支出（类）38.13万元，占5.54%。</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5.住房保障支出（类）35.92万元，占5.22%。</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 xml:space="preserve">（三）一般公共预算当年拨款具体使用情况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1.一般公共服务（类）</w:t>
      </w:r>
      <w:r>
        <w:rPr>
          <w:rFonts w:hint="eastAsia" w:ascii="仿宋" w:hAnsi="微软雅黑" w:eastAsia="仿宋" w:cs="Times New Roman"/>
          <w:sz w:val="28"/>
          <w:szCs w:val="28"/>
          <w:lang w:val="en-US" w:eastAsia="zh-CN"/>
        </w:rPr>
        <w:t>宣传</w:t>
      </w:r>
      <w:r>
        <w:rPr>
          <w:rFonts w:hint="eastAsia" w:ascii="仿宋" w:hAnsi="微软雅黑" w:eastAsia="仿宋" w:cs="Times New Roman"/>
          <w:sz w:val="28"/>
          <w:szCs w:val="28"/>
        </w:rPr>
        <w:t>事务（款）行政运行（项）</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年预算数为</w:t>
      </w:r>
      <w:r>
        <w:rPr>
          <w:rFonts w:hint="eastAsia" w:ascii="仿宋" w:hAnsi="微软雅黑" w:eastAsia="仿宋" w:cs="Times New Roman"/>
          <w:sz w:val="28"/>
          <w:szCs w:val="28"/>
          <w:lang w:val="en-US" w:eastAsia="zh-CN"/>
        </w:rPr>
        <w:t>198.24</w:t>
      </w:r>
      <w:r>
        <w:rPr>
          <w:rFonts w:hint="eastAsia" w:ascii="仿宋" w:hAnsi="微软雅黑" w:eastAsia="仿宋" w:cs="Times New Roman"/>
          <w:sz w:val="28"/>
          <w:szCs w:val="28"/>
        </w:rPr>
        <w:t>万元，比上年预算</w:t>
      </w:r>
      <w:r>
        <w:rPr>
          <w:rFonts w:hint="eastAsia" w:ascii="仿宋" w:hAnsi="微软雅黑" w:eastAsia="仿宋" w:cs="Times New Roman"/>
          <w:sz w:val="28"/>
          <w:szCs w:val="28"/>
          <w:lang w:val="en-US" w:eastAsia="zh-CN"/>
        </w:rPr>
        <w:t>减少178.34</w:t>
      </w:r>
      <w:r>
        <w:rPr>
          <w:rFonts w:hint="eastAsia" w:ascii="仿宋" w:hAnsi="微软雅黑" w:eastAsia="仿宋" w:cs="Times New Roman"/>
          <w:sz w:val="28"/>
          <w:szCs w:val="28"/>
        </w:rPr>
        <w:t>万元</w:t>
      </w:r>
      <w:r>
        <w:rPr>
          <w:rFonts w:hint="eastAsia" w:ascii="仿宋" w:hAnsi="微软雅黑" w:eastAsia="仿宋" w:cs="Times New Roman"/>
          <w:sz w:val="28"/>
          <w:szCs w:val="28"/>
          <w:highlight w:val="none"/>
        </w:rPr>
        <w:t>，</w:t>
      </w:r>
      <w:r>
        <w:rPr>
          <w:rFonts w:hint="eastAsia" w:ascii="仿宋" w:hAnsi="微软雅黑" w:eastAsia="仿宋" w:cs="Times New Roman"/>
          <w:sz w:val="28"/>
          <w:szCs w:val="28"/>
          <w:highlight w:val="none"/>
          <w:lang w:val="en-US" w:eastAsia="zh-CN"/>
        </w:rPr>
        <w:t>下降47.36</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2024年融媒体中心实施的呼图壁县特色文化推广中心建设项目做了预算</w:t>
      </w:r>
      <w:r>
        <w:rPr>
          <w:rFonts w:hint="eastAsia" w:ascii="仿宋" w:hAnsi="微软雅黑" w:eastAsia="仿宋" w:cs="Times New Roman"/>
          <w:sz w:val="28"/>
          <w:szCs w:val="28"/>
          <w:lang w:val="en-US" w:eastAsia="zh-CN"/>
        </w:rPr>
        <w:t>，2025年没有此项预算，行政人员减少2名，事业人员减少1名</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 xml:space="preserve">2.一般公共服务（类）宣传事务（款）一般行政管理事务（项）:2025年预算数为210.00万元，比上年预算增加210.00万元，增长100%，主要原因是：增加文艺创作扶持奖励资金项目。 </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3.</w:t>
      </w:r>
      <w:r>
        <w:rPr>
          <w:rFonts w:hint="eastAsia" w:ascii="仿宋" w:hAnsi="微软雅黑" w:eastAsia="仿宋" w:cs="Times New Roman"/>
          <w:sz w:val="28"/>
          <w:szCs w:val="28"/>
          <w:highlight w:val="none"/>
        </w:rPr>
        <w:t>一般公共服务（类）</w:t>
      </w:r>
      <w:r>
        <w:rPr>
          <w:rFonts w:hint="eastAsia" w:ascii="仿宋" w:hAnsi="微软雅黑" w:eastAsia="仿宋" w:cs="Times New Roman"/>
          <w:sz w:val="28"/>
          <w:szCs w:val="28"/>
          <w:highlight w:val="none"/>
          <w:lang w:val="en-US" w:eastAsia="zh-CN"/>
        </w:rPr>
        <w:t>宣传</w:t>
      </w:r>
      <w:r>
        <w:rPr>
          <w:rFonts w:hint="eastAsia" w:ascii="仿宋" w:hAnsi="微软雅黑" w:eastAsia="仿宋" w:cs="Times New Roman"/>
          <w:sz w:val="28"/>
          <w:szCs w:val="28"/>
          <w:highlight w:val="none"/>
        </w:rPr>
        <w:t>事务（款）</w:t>
      </w:r>
      <w:r>
        <w:rPr>
          <w:rFonts w:hint="eastAsia" w:ascii="仿宋" w:hAnsi="微软雅黑" w:eastAsia="仿宋" w:cs="Times New Roman"/>
          <w:sz w:val="28"/>
          <w:szCs w:val="28"/>
          <w:highlight w:val="none"/>
          <w:lang w:val="en-US" w:eastAsia="zh-CN"/>
        </w:rPr>
        <w:t>事业运行</w:t>
      </w:r>
      <w:r>
        <w:rPr>
          <w:rFonts w:hint="eastAsia" w:ascii="仿宋" w:hAnsi="微软雅黑" w:eastAsia="仿宋" w:cs="Times New Roman"/>
          <w:sz w:val="28"/>
          <w:szCs w:val="28"/>
          <w:highlight w:val="none"/>
        </w:rPr>
        <w:t>（项）:</w:t>
      </w:r>
      <w:r>
        <w:rPr>
          <w:rFonts w:hint="eastAsia" w:ascii="仿宋" w:hAnsi="微软雅黑" w:eastAsia="仿宋" w:cs="Times New Roman"/>
          <w:sz w:val="28"/>
          <w:szCs w:val="28"/>
          <w:highlight w:val="none"/>
          <w:lang w:val="en-US" w:eastAsia="zh-CN"/>
        </w:rPr>
        <w:t>2025</w:t>
      </w:r>
      <w:r>
        <w:rPr>
          <w:rFonts w:hint="eastAsia" w:ascii="仿宋" w:hAnsi="微软雅黑" w:eastAsia="仿宋" w:cs="Times New Roman"/>
          <w:sz w:val="28"/>
          <w:szCs w:val="28"/>
          <w:highlight w:val="none"/>
        </w:rPr>
        <w:t>年预算数为</w:t>
      </w:r>
      <w:r>
        <w:rPr>
          <w:rFonts w:hint="eastAsia" w:ascii="仿宋" w:hAnsi="微软雅黑" w:eastAsia="仿宋" w:cs="Times New Roman"/>
          <w:sz w:val="28"/>
          <w:szCs w:val="28"/>
          <w:highlight w:val="none"/>
          <w:lang w:val="en-US" w:eastAsia="zh-CN"/>
        </w:rPr>
        <w:t>153.66</w:t>
      </w:r>
      <w:r>
        <w:rPr>
          <w:rFonts w:hint="eastAsia" w:ascii="仿宋" w:hAnsi="微软雅黑" w:eastAsia="仿宋" w:cs="Times New Roman"/>
          <w:sz w:val="28"/>
          <w:szCs w:val="28"/>
          <w:highlight w:val="none"/>
        </w:rPr>
        <w:t>万元，比上年预算增加</w:t>
      </w:r>
      <w:r>
        <w:rPr>
          <w:rFonts w:hint="eastAsia" w:ascii="仿宋" w:hAnsi="微软雅黑" w:eastAsia="仿宋" w:cs="Times New Roman"/>
          <w:sz w:val="28"/>
          <w:szCs w:val="28"/>
          <w:highlight w:val="none"/>
          <w:lang w:val="en-US" w:eastAsia="zh-CN"/>
        </w:rPr>
        <w:t>152.19</w:t>
      </w:r>
      <w:r>
        <w:rPr>
          <w:rFonts w:hint="eastAsia" w:ascii="仿宋" w:hAnsi="微软雅黑" w:eastAsia="仿宋" w:cs="Times New Roman"/>
          <w:sz w:val="28"/>
          <w:szCs w:val="28"/>
          <w:highlight w:val="none"/>
        </w:rPr>
        <w:t>万元，增长</w:t>
      </w:r>
      <w:r>
        <w:rPr>
          <w:rFonts w:hint="eastAsia" w:ascii="仿宋" w:hAnsi="微软雅黑" w:eastAsia="仿宋" w:cs="Times New Roman"/>
          <w:sz w:val="28"/>
          <w:szCs w:val="28"/>
          <w:highlight w:val="none"/>
          <w:lang w:val="en-US" w:eastAsia="zh-CN"/>
        </w:rPr>
        <w:t>10353.06</w:t>
      </w:r>
      <w:r>
        <w:rPr>
          <w:rFonts w:hint="eastAsia" w:ascii="仿宋" w:hAnsi="微软雅黑" w:eastAsia="仿宋" w:cs="Times New Roman"/>
          <w:sz w:val="28"/>
          <w:szCs w:val="28"/>
          <w:highlight w:val="none"/>
        </w:rPr>
        <w:t>%，主要原因是：</w:t>
      </w:r>
      <w:r>
        <w:rPr>
          <w:rFonts w:hint="eastAsia" w:ascii="仿宋" w:hAnsi="微软雅黑" w:eastAsia="仿宋" w:cs="Times New Roman"/>
          <w:sz w:val="28"/>
          <w:szCs w:val="28"/>
          <w:highlight w:val="none"/>
          <w:lang w:val="en-US" w:eastAsia="zh-CN"/>
        </w:rPr>
        <w:t>增加了2026年党报党刊征订</w:t>
      </w:r>
      <w:r>
        <w:rPr>
          <w:rFonts w:hint="eastAsia" w:ascii="仿宋" w:hAnsi="微软雅黑" w:eastAsia="仿宋" w:cs="Times New Roman"/>
          <w:sz w:val="28"/>
          <w:szCs w:val="28"/>
          <w:highlight w:val="none"/>
        </w:rPr>
        <w:t>经费</w:t>
      </w:r>
      <w:r>
        <w:rPr>
          <w:rFonts w:hint="eastAsia" w:ascii="仿宋" w:hAnsi="微软雅黑" w:eastAsia="仿宋" w:cs="Times New Roman"/>
          <w:sz w:val="28"/>
          <w:szCs w:val="28"/>
          <w:highlight w:val="none"/>
          <w:lang w:val="en-US" w:eastAsia="zh-CN"/>
        </w:rPr>
        <w:t>。</w:t>
      </w:r>
      <w:r>
        <w:rPr>
          <w:rFonts w:hint="eastAsia" w:ascii="仿宋" w:hAnsi="微软雅黑" w:eastAsia="仿宋" w:cs="Times New Roman"/>
          <w:sz w:val="28"/>
          <w:szCs w:val="28"/>
          <w:highlight w:val="none"/>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4</w:t>
      </w:r>
      <w:r>
        <w:rPr>
          <w:rFonts w:hint="eastAsia" w:ascii="仿宋" w:hAnsi="微软雅黑" w:eastAsia="仿宋" w:cs="Times New Roman"/>
          <w:sz w:val="28"/>
          <w:szCs w:val="28"/>
        </w:rPr>
        <w:t>.</w:t>
      </w:r>
      <w:r>
        <w:rPr>
          <w:rFonts w:hint="eastAsia" w:ascii="仿宋" w:hAnsi="微软雅黑" w:eastAsia="仿宋" w:cs="Times New Roman"/>
          <w:sz w:val="28"/>
          <w:szCs w:val="28"/>
          <w:lang w:val="en-US" w:eastAsia="zh-CN"/>
        </w:rPr>
        <w:t>文化旅游体育与传媒（类）其他文化旅游体育与传媒（款）其他文化旅游体育与传媒支出（项）：2025</w:t>
      </w:r>
      <w:r>
        <w:rPr>
          <w:rFonts w:hint="eastAsia" w:ascii="仿宋" w:hAnsi="微软雅黑" w:eastAsia="仿宋" w:cs="Times New Roman"/>
          <w:sz w:val="28"/>
          <w:szCs w:val="28"/>
        </w:rPr>
        <w:t>年预算数为</w:t>
      </w:r>
      <w:r>
        <w:rPr>
          <w:rFonts w:hint="eastAsia" w:ascii="仿宋" w:hAnsi="微软雅黑" w:eastAsia="仿宋" w:cs="Times New Roman"/>
          <w:sz w:val="28"/>
          <w:szCs w:val="28"/>
          <w:lang w:val="en-US" w:eastAsia="zh-CN"/>
        </w:rPr>
        <w:t>5.00</w:t>
      </w:r>
      <w:r>
        <w:rPr>
          <w:rFonts w:hint="eastAsia" w:ascii="仿宋" w:hAnsi="微软雅黑" w:eastAsia="仿宋" w:cs="Times New Roman"/>
          <w:sz w:val="28"/>
          <w:szCs w:val="28"/>
        </w:rPr>
        <w:t>万元，比上年预算</w:t>
      </w:r>
      <w:r>
        <w:rPr>
          <w:rFonts w:hint="eastAsia" w:ascii="仿宋" w:hAnsi="微软雅黑" w:eastAsia="仿宋" w:cs="Times New Roman"/>
          <w:sz w:val="28"/>
          <w:szCs w:val="28"/>
          <w:lang w:val="en-US" w:eastAsia="zh-CN"/>
        </w:rPr>
        <w:t>增加5</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增长100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2025年增加SM专项资金，故预算金额增加。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5.社会保障和就业支出（类）行政事业单位离退休（款）行政单位离退休（项）：2025年预算数4.47万元，比上年预算增加2.49万元，</w:t>
      </w:r>
      <w:r>
        <w:rPr>
          <w:rFonts w:hint="eastAsia" w:ascii="仿宋" w:hAnsi="微软雅黑" w:eastAsia="仿宋" w:cs="Times New Roman"/>
          <w:sz w:val="28"/>
          <w:szCs w:val="28"/>
          <w:highlight w:val="none"/>
          <w:lang w:val="en-US" w:eastAsia="zh-CN"/>
        </w:rPr>
        <w:t>增长125.76%，</w:t>
      </w:r>
      <w:r>
        <w:rPr>
          <w:rFonts w:hint="eastAsia" w:ascii="仿宋" w:hAnsi="微软雅黑" w:eastAsia="仿宋" w:cs="Times New Roman"/>
          <w:sz w:val="28"/>
          <w:szCs w:val="28"/>
          <w:lang w:val="en-US" w:eastAsia="zh-CN"/>
        </w:rPr>
        <w:t>主要原因是：行政退休人员退休人员基础绩效奖，退休人员公务员补助医疗，退休大病医疗，退休人员采暖补贴在2025年预算中纳入行政事业单位离退休（项）进行核算。</w:t>
      </w:r>
    </w:p>
    <w:p>
      <w:pPr>
        <w:widowControl/>
        <w:spacing w:line="560" w:lineRule="exact"/>
        <w:ind w:firstLine="560" w:firstLineChars="200"/>
        <w:rPr>
          <w:rFonts w:hint="eastAsia" w:ascii="仿宋" w:hAnsi="微软雅黑" w:eastAsia="仿宋" w:cs="Times New Roman"/>
          <w:sz w:val="28"/>
          <w:szCs w:val="28"/>
          <w:highlight w:val="cyan"/>
          <w:lang w:val="en-US" w:eastAsia="zh-CN"/>
        </w:rPr>
      </w:pPr>
      <w:r>
        <w:rPr>
          <w:rFonts w:hint="eastAsia" w:ascii="仿宋" w:hAnsi="微软雅黑" w:eastAsia="仿宋" w:cs="Times New Roman"/>
          <w:sz w:val="28"/>
          <w:szCs w:val="28"/>
          <w:lang w:val="en-US" w:eastAsia="zh-CN"/>
        </w:rPr>
        <w:t>6.社会保障和就业支出（类）行政事业单位养老支出（款）机关事业单位基本养老保险缴费支出（项）：2025年预算数43.17万元，</w:t>
      </w:r>
      <w:r>
        <w:rPr>
          <w:rFonts w:hint="eastAsia" w:ascii="仿宋" w:hAnsi="微软雅黑" w:eastAsia="仿宋" w:cs="Times New Roman"/>
          <w:sz w:val="28"/>
          <w:szCs w:val="28"/>
          <w:highlight w:val="none"/>
          <w:lang w:val="en-US" w:eastAsia="zh-CN"/>
        </w:rPr>
        <w:t>比上年预算减少5.59万元，下降11.46%，主要原因是：行政人员减少2名，事业人员减少1名</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7.卫生健康（类）行政事业单位医疗（款）行政单位医疗（项）：2025年预算数14.25万元，比上年预算增加2.18万元，增长18.06%，主要原因是：医疗保险基数调整，故预算数比去年有所增长。</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8.卫生健康（类）行政事业单位医疗（款）事业单位医疗（项）：2025年预算数10.88万元，比上年预算减少1.43万元，下降11.62%，主要原因是：行政人员减少2名，事业人员减少1名</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9.卫生健康（类）行政事业单位医疗（款）公务员医疗补助（项）：2025年预算数12.68万元，比上年预算增加5.98万元，增加89.25%，主要原因是：医疗保险基数上调，故预算数比去年有所增长</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rPr>
      </w:pPr>
      <w:r>
        <w:rPr>
          <w:rFonts w:hint="eastAsia" w:ascii="仿宋" w:hAnsi="微软雅黑" w:eastAsia="仿宋" w:cs="Times New Roman"/>
          <w:sz w:val="28"/>
          <w:szCs w:val="28"/>
          <w:highlight w:val="none"/>
          <w:lang w:val="en-US" w:eastAsia="zh-CN"/>
        </w:rPr>
        <w:t>10.卫生健康（类）行政事业单位医疗（款）其他行政事业单位医疗（项）：2025年预算数0.32万元，比上年预算增加0.13万元，增加68.42%，主要原因是：医疗保险基数上调，故预算数比去年有所增长</w:t>
      </w:r>
      <w:r>
        <w:rPr>
          <w:rFonts w:hint="eastAsia" w:ascii="仿宋" w:hAnsi="微软雅黑" w:eastAsia="仿宋" w:cs="Times New Roman"/>
          <w:sz w:val="28"/>
          <w:szCs w:val="28"/>
          <w:highlight w:val="none"/>
        </w:rPr>
        <w:t>。</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11.住房保障（类）住房改革（款）住房公积金（项）：2025年预算数35.92万元，比上年预算减少4.71万元，下降11.59%，主要原因是：行政人员减少2名，事业人员减少1名</w:t>
      </w:r>
      <w:r>
        <w:rPr>
          <w:rFonts w:hint="eastAsia" w:ascii="仿宋" w:hAnsi="微软雅黑" w:eastAsia="仿宋" w:cs="Times New Roman"/>
          <w:sz w:val="28"/>
          <w:szCs w:val="28"/>
          <w:highlight w:val="none"/>
        </w:rPr>
        <w:t>。</w:t>
      </w:r>
    </w:p>
    <w:p>
      <w:pPr>
        <w:widowControl/>
        <w:spacing w:line="560" w:lineRule="exact"/>
        <w:ind w:firstLine="562" w:firstLineChars="200"/>
        <w:rPr>
          <w:rFonts w:hint="eastAsia" w:ascii="仿宋" w:hAnsi="微软雅黑" w:eastAsia="仿宋" w:cs="Times New Roman"/>
          <w:sz w:val="28"/>
          <w:szCs w:val="28"/>
        </w:rPr>
      </w:pPr>
      <w:r>
        <w:rPr>
          <w:rFonts w:hint="eastAsia" w:ascii="仿宋" w:hAnsi="微软雅黑" w:eastAsia="仿宋" w:cs="Times New Roman"/>
          <w:b/>
          <w:bCs/>
          <w:sz w:val="28"/>
          <w:szCs w:val="28"/>
        </w:rPr>
        <w:t>六、关于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一般公共预算基本支出情况说明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中共呼图壁县委员会宣传部2025年一般公共预算基本支出 473.58万元， 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456.52万元，主要包括：基本工资、津贴补贴、奖金、绩效工资、机关事业单位基本养老保险缴费、职工基本医疗保险缴费、公务员医疗补助缴费、其他社会保障缴费、住房公积金、其他工资福利支出、退休费、生活补助、奖励金等。</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公用经费17.06万元，主要包括：办公费、印刷费、邮电费、物业管理费、差旅费、公务接待费、工会经费、公务用车运行维护费等。</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eastAsia="zh-CN"/>
        </w:rPr>
        <w:t>七、</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一般公共预算项目支出情况说明</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（一）项目名称：正版办公软件场地授权及软件管理系统续费（非定额）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设立的政策依据：昌州党宣传【2023】69号-关于做好自治区2023年推进作用正版软件核查工作的通知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预算安排规模：25.00万元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项目承担单位：中共呼图壁县委员会宣传部</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资金分配情况：全部用于正版软件核查工作办公费25万元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资金执行时间：2025年01月01日-2025年12月31日</w:t>
      </w:r>
    </w:p>
    <w:p>
      <w:pPr>
        <w:pStyle w:val="2"/>
        <w:rPr>
          <w:rFonts w:hint="eastAsia"/>
          <w:lang w:val="en-US" w:eastAsia="zh-CN"/>
        </w:rPr>
      </w:pP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（二）项目名称：呼图壁县2026年党报党刊征订费（非定额）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设立的政策依据：呼财预字【2025】8号-关于做好2025年度党报党刊发行工作严格规范报刊发行秩序的通知</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预算安排规模：160.00万元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项目承担单位：中共呼图壁县委员会宣传部</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资金分配情况：全部用于党报党刊征订办公费160.00万元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资金执行时间：2025年01月01日-2025年12月31日</w:t>
      </w:r>
    </w:p>
    <w:p>
      <w:pPr>
        <w:pStyle w:val="2"/>
        <w:rPr>
          <w:rFonts w:hint="eastAsia"/>
          <w:lang w:val="en-US" w:eastAsia="zh-CN"/>
        </w:rPr>
      </w:pP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（三）项目名称：文艺创作扶持奖励资金（非定额）</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设立的政策依据：呼财预字【2025】8号-文艺创作扶持奖励资金（非定额）</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预算安排规模：25.00万元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项目承担单位：中共呼图壁县委员会宣传部</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资金分配情况：全部用于文艺创作奖励金25.00万元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资金执行时间：2025年01月01日-2025年12月31日</w:t>
      </w:r>
    </w:p>
    <w:p>
      <w:pPr>
        <w:pStyle w:val="2"/>
        <w:rPr>
          <w:rFonts w:hint="eastAsia"/>
          <w:lang w:val="en-US" w:eastAsia="zh-CN"/>
        </w:rPr>
      </w:pP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（四）项目名称：特定目标5410007K</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设立的政策依据：完全不予公开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预算安排规模：5.00万元</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项目承担单位：呼图壁县融媒体中心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资金分配情况：完全不予公开</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资金执行时间：完全不予公开</w:t>
      </w:r>
    </w:p>
    <w:p>
      <w:pPr>
        <w:pStyle w:val="2"/>
        <w:rPr>
          <w:rFonts w:hint="eastAsia"/>
          <w:lang w:val="en-US" w:eastAsia="zh-CN"/>
        </w:rPr>
      </w:pP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val="en-US" w:eastAsia="zh-Hans"/>
        </w:rPr>
        <w:t>八</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政府性基金预算拨款情况说明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中共呼图壁县委员会宣传部2025</w:t>
      </w:r>
      <w:r>
        <w:rPr>
          <w:rFonts w:hint="eastAsia" w:ascii="仿宋" w:hAnsi="微软雅黑" w:eastAsia="仿宋" w:cs="Times New Roman"/>
          <w:sz w:val="28"/>
          <w:szCs w:val="28"/>
        </w:rPr>
        <w:t>年没有使用政府性基金预算拨款安排的支出，政府性基金预算支出情况表为空表。</w:t>
      </w:r>
    </w:p>
    <w:p>
      <w:pPr>
        <w:widowControl/>
        <w:spacing w:line="560" w:lineRule="exact"/>
        <w:ind w:firstLine="562" w:firstLineChars="200"/>
        <w:rPr>
          <w:rFonts w:hint="eastAsia" w:ascii="仿宋" w:hAnsi="微软雅黑" w:eastAsia="仿宋" w:cs="Times New Roman"/>
          <w:sz w:val="28"/>
          <w:szCs w:val="28"/>
        </w:rPr>
      </w:pPr>
      <w:r>
        <w:rPr>
          <w:rFonts w:hint="eastAsia" w:ascii="仿宋" w:hAnsi="微软雅黑" w:eastAsia="仿宋" w:cs="Times New Roman"/>
          <w:b/>
          <w:bCs/>
          <w:sz w:val="28"/>
          <w:szCs w:val="28"/>
          <w:lang w:val="en-US" w:eastAsia="zh-Hans"/>
        </w:rPr>
        <w:t>九、</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rPr>
        <w:t>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中共呼图壁县委员会宣传部2025</w:t>
      </w:r>
      <w:r>
        <w:rPr>
          <w:rFonts w:hint="eastAsia" w:ascii="仿宋" w:hAnsi="微软雅黑" w:eastAsia="仿宋" w:cs="Times New Roman"/>
          <w:sz w:val="28"/>
          <w:szCs w:val="28"/>
        </w:rPr>
        <w:t>年没有使用国有资本经营预算拨款安排的支出，国有资本经营预算支出情况表为空表。</w:t>
      </w:r>
    </w:p>
    <w:p>
      <w:pPr>
        <w:widowControl/>
        <w:spacing w:line="560" w:lineRule="exact"/>
        <w:ind w:firstLine="562" w:firstLineChars="200"/>
        <w:rPr>
          <w:rFonts w:hint="eastAsia" w:ascii="仿宋" w:hAnsi="微软雅黑" w:eastAsia="仿宋" w:cs="Times New Roman"/>
          <w:sz w:val="28"/>
          <w:szCs w:val="28"/>
        </w:rPr>
      </w:pPr>
      <w:r>
        <w:rPr>
          <w:rFonts w:hint="eastAsia" w:ascii="仿宋" w:hAnsi="微软雅黑" w:eastAsia="仿宋" w:cs="Times New Roman"/>
          <w:b/>
          <w:bCs/>
          <w:sz w:val="28"/>
          <w:szCs w:val="28"/>
          <w:lang w:val="en-US" w:eastAsia="zh-Hans"/>
        </w:rPr>
        <w:t>十</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lang w:val="en-US" w:eastAsia="zh-Hans"/>
        </w:rPr>
        <w:t>财政拨款</w:t>
      </w:r>
      <w:r>
        <w:rPr>
          <w:rFonts w:hint="eastAsia" w:ascii="仿宋" w:hAnsi="微软雅黑" w:eastAsia="仿宋" w:cs="Times New Roman"/>
          <w:b/>
          <w:bCs/>
          <w:sz w:val="28"/>
          <w:szCs w:val="28"/>
        </w:rPr>
        <w:t>“三公”经费预算情况说明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中共呼图壁县委员会宣传部2025年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“三公”经费数为6.90万元，其中：</w:t>
      </w:r>
      <w:r>
        <w:rPr>
          <w:rFonts w:hint="eastAsia" w:ascii="仿宋" w:hAnsi="微软雅黑" w:eastAsia="仿宋" w:cs="Times New Roman"/>
          <w:sz w:val="28"/>
          <w:szCs w:val="28"/>
        </w:rPr>
        <w:t>因公出国（境）费</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万元，公务用车购置</w:t>
      </w:r>
      <w:r>
        <w:rPr>
          <w:rFonts w:hint="eastAsia" w:ascii="仿宋" w:hAnsi="微软雅黑" w:eastAsia="仿宋" w:cs="Times New Roman"/>
          <w:sz w:val="28"/>
          <w:szCs w:val="28"/>
          <w:lang w:eastAsia="zh-CN"/>
        </w:rPr>
        <w:t>费</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公务用车运行费6.40万元，公务接待费0.50万元。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“三公”经费比上年</w:t>
      </w:r>
      <w:r>
        <w:rPr>
          <w:rFonts w:hint="eastAsia" w:ascii="仿宋" w:hAnsi="微软雅黑" w:eastAsia="仿宋" w:cs="Times New Roman"/>
          <w:sz w:val="28"/>
          <w:szCs w:val="28"/>
          <w:lang w:val="en-US" w:eastAsia="zh-Hans"/>
        </w:rPr>
        <w:t>预算</w:t>
      </w:r>
      <w:r>
        <w:rPr>
          <w:rFonts w:hint="eastAsia" w:ascii="仿宋" w:hAnsi="微软雅黑" w:eastAsia="仿宋" w:cs="Times New Roman"/>
          <w:sz w:val="28"/>
          <w:szCs w:val="28"/>
          <w:lang w:val="en-US" w:eastAsia="zh-CN"/>
        </w:rPr>
        <w:t>减少0.13万元，下降1.85%，其中：因公出国（境）费增加0.00万元，增长0.00%，主要原因是2024年及2025年我单位均未安排因公出国（境）经费预算；</w:t>
      </w:r>
      <w:r>
        <w:rPr>
          <w:rFonts w:hint="eastAsia" w:ascii="仿宋" w:hAnsi="微软雅黑" w:eastAsia="仿宋" w:cs="Times New Roman"/>
          <w:sz w:val="28"/>
          <w:szCs w:val="28"/>
        </w:rPr>
        <w:t>公务用车购置费增加</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0.00%，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2024年及2025年我单位均未安排</w:t>
      </w:r>
      <w:r>
        <w:rPr>
          <w:rFonts w:hint="eastAsia" w:ascii="仿宋" w:hAnsi="微软雅黑" w:eastAsia="仿宋" w:cs="Times New Roman"/>
          <w:sz w:val="28"/>
          <w:szCs w:val="28"/>
        </w:rPr>
        <w:t>公务用车购置</w:t>
      </w:r>
      <w:r>
        <w:rPr>
          <w:rFonts w:hint="eastAsia" w:ascii="仿宋" w:hAnsi="微软雅黑" w:eastAsia="仿宋" w:cs="Times New Roman"/>
          <w:sz w:val="28"/>
          <w:szCs w:val="28"/>
          <w:lang w:val="en-US" w:eastAsia="zh-CN"/>
        </w:rPr>
        <w:t>费预算</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公务用车运行费增加0.30万元，增长</w:t>
      </w:r>
      <w:r>
        <w:rPr>
          <w:rFonts w:hint="eastAsia" w:ascii="仿宋" w:hAnsi="微软雅黑" w:eastAsia="仿宋" w:cs="Times New Roman"/>
          <w:sz w:val="28"/>
          <w:szCs w:val="28"/>
          <w:highlight w:val="none"/>
          <w:lang w:val="en-US" w:eastAsia="zh-CN"/>
        </w:rPr>
        <w:t>4.92%，主要原因是2024年公务用车运行经费未按标准制定预算，2025年按照每辆1.6万元执行预算；</w:t>
      </w:r>
      <w:r>
        <w:rPr>
          <w:rFonts w:hint="eastAsia" w:ascii="仿宋" w:hAnsi="微软雅黑" w:eastAsia="仿宋" w:cs="Times New Roman"/>
          <w:sz w:val="28"/>
          <w:szCs w:val="28"/>
          <w:lang w:val="en-US" w:eastAsia="zh-CN"/>
        </w:rPr>
        <w:t>公务接待费减少0.43万元，下降46.24%，</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2025年公务接待费实际使用数减少，故预算金额减少</w:t>
      </w:r>
      <w:r>
        <w:rPr>
          <w:rFonts w:hint="eastAsia" w:ascii="仿宋" w:hAnsi="微软雅黑" w:eastAsia="仿宋" w:cs="Times New Roman"/>
          <w:sz w:val="28"/>
          <w:szCs w:val="28"/>
        </w:rPr>
        <w:t>。</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val="en-US" w:eastAsia="zh-Hans"/>
        </w:rPr>
        <w:t>十</w:t>
      </w:r>
      <w:r>
        <w:rPr>
          <w:rFonts w:hint="eastAsia" w:ascii="仿宋" w:hAnsi="微软雅黑" w:eastAsia="仿宋" w:cs="Times New Roman"/>
          <w:b/>
          <w:bCs/>
          <w:sz w:val="28"/>
          <w:szCs w:val="28"/>
          <w:lang w:val="en-US" w:eastAsia="zh-CN"/>
        </w:rPr>
        <w:t>一</w:t>
      </w:r>
      <w:r>
        <w:rPr>
          <w:rFonts w:hint="eastAsia" w:ascii="仿宋" w:hAnsi="微软雅黑" w:eastAsia="仿宋" w:cs="Times New Roman"/>
          <w:b/>
          <w:bCs/>
          <w:sz w:val="28"/>
          <w:szCs w:val="28"/>
        </w:rPr>
        <w:t>、关于</w:t>
      </w:r>
      <w:r>
        <w:rPr>
          <w:rFonts w:hint="eastAsia" w:ascii="仿宋" w:hAnsi="微软雅黑" w:eastAsia="仿宋" w:cs="Times New Roman"/>
          <w:b/>
          <w:bCs/>
          <w:sz w:val="28"/>
          <w:szCs w:val="28"/>
          <w:lang w:val="en-US" w:eastAsia="zh-CN"/>
        </w:rPr>
        <w:t>中共呼图壁县委员会宣传部</w:t>
      </w:r>
      <w:r>
        <w:rPr>
          <w:rFonts w:hint="eastAsia" w:ascii="仿宋" w:hAnsi="微软雅黑" w:eastAsia="仿宋" w:cs="Times New Roman"/>
          <w:b/>
          <w:bCs/>
          <w:sz w:val="28"/>
          <w:szCs w:val="28"/>
          <w:lang w:eastAsia="zh-CN"/>
        </w:rPr>
        <w:t>202</w:t>
      </w:r>
      <w:r>
        <w:rPr>
          <w:rFonts w:hint="eastAsia" w:ascii="仿宋" w:hAnsi="微软雅黑" w:eastAsia="仿宋" w:cs="Times New Roman"/>
          <w:b/>
          <w:bCs/>
          <w:sz w:val="28"/>
          <w:szCs w:val="28"/>
          <w:lang w:val="en-US" w:eastAsia="zh-CN"/>
        </w:rPr>
        <w:t>5</w:t>
      </w:r>
      <w:r>
        <w:rPr>
          <w:rFonts w:hint="eastAsia" w:ascii="仿宋" w:hAnsi="微软雅黑" w:eastAsia="仿宋" w:cs="Times New Roman"/>
          <w:b/>
          <w:bCs/>
          <w:sz w:val="28"/>
          <w:szCs w:val="28"/>
          <w:lang w:eastAsia="zh-CN"/>
        </w:rPr>
        <w:t>年</w:t>
      </w:r>
      <w:r>
        <w:rPr>
          <w:rFonts w:hint="eastAsia" w:ascii="仿宋" w:hAnsi="微软雅黑" w:eastAsia="仿宋" w:cs="Times New Roman"/>
          <w:b/>
          <w:bCs/>
          <w:sz w:val="28"/>
          <w:szCs w:val="28"/>
          <w:lang w:val="en-US" w:eastAsia="zh-CN"/>
        </w:rPr>
        <w:t>上年结转结余</w:t>
      </w:r>
      <w:r>
        <w:rPr>
          <w:rFonts w:hint="eastAsia" w:ascii="仿宋" w:hAnsi="微软雅黑" w:eastAsia="仿宋" w:cs="Times New Roman"/>
          <w:b/>
          <w:bCs/>
          <w:sz w:val="28"/>
          <w:szCs w:val="28"/>
        </w:rPr>
        <w:t>预算情况说明</w:t>
      </w:r>
    </w:p>
    <w:p>
      <w:pPr>
        <w:widowControl/>
        <w:spacing w:line="560" w:lineRule="exact"/>
        <w:ind w:firstLine="560" w:firstLineChars="200"/>
        <w:rPr>
          <w:rFonts w:hint="eastAsia" w:ascii="仿宋" w:hAnsi="微软雅黑" w:eastAsia="仿宋" w:cs="Times New Roman"/>
          <w:sz w:val="28"/>
          <w:szCs w:val="28"/>
          <w:highlight w:val="none"/>
          <w:lang w:eastAsia="zh-CN"/>
        </w:rPr>
      </w:pPr>
      <w:r>
        <w:rPr>
          <w:rFonts w:hint="eastAsia" w:ascii="仿宋" w:hAnsi="微软雅黑" w:eastAsia="仿宋" w:cs="Times New Roman"/>
          <w:sz w:val="28"/>
          <w:szCs w:val="28"/>
          <w:highlight w:val="none"/>
          <w:lang w:val="en-US" w:eastAsia="zh-CN"/>
        </w:rPr>
        <w:t>中共呼图壁县委员会宣传部2025</w:t>
      </w:r>
      <w:r>
        <w:rPr>
          <w:rFonts w:hint="eastAsia" w:ascii="仿宋" w:hAnsi="微软雅黑" w:eastAsia="仿宋" w:cs="Times New Roman"/>
          <w:sz w:val="28"/>
          <w:szCs w:val="28"/>
          <w:highlight w:val="none"/>
        </w:rPr>
        <w:t>年</w:t>
      </w:r>
      <w:r>
        <w:rPr>
          <w:rFonts w:hint="eastAsia" w:ascii="仿宋" w:hAnsi="微软雅黑" w:eastAsia="仿宋" w:cs="Times New Roman"/>
          <w:sz w:val="28"/>
          <w:szCs w:val="28"/>
          <w:highlight w:val="none"/>
          <w:lang w:val="en-US" w:eastAsia="zh-CN"/>
        </w:rPr>
        <w:t>上年结转结余</w:t>
      </w:r>
      <w:r>
        <w:rPr>
          <w:rFonts w:hint="eastAsia" w:ascii="仿宋" w:hAnsi="微软雅黑" w:eastAsia="仿宋" w:cs="Times New Roman"/>
          <w:sz w:val="28"/>
          <w:szCs w:val="28"/>
          <w:highlight w:val="none"/>
        </w:rPr>
        <w:t>预算</w:t>
      </w:r>
      <w:r>
        <w:rPr>
          <w:rFonts w:hint="eastAsia" w:ascii="仿宋" w:hAnsi="微软雅黑" w:eastAsia="仿宋" w:cs="Times New Roman"/>
          <w:sz w:val="28"/>
          <w:szCs w:val="28"/>
          <w:highlight w:val="none"/>
          <w:lang w:val="en-US" w:eastAsia="zh-CN"/>
        </w:rPr>
        <w:t>6.24万元，包括：财政拨款6.24万元</w:t>
      </w:r>
      <w:r>
        <w:rPr>
          <w:rFonts w:hint="eastAsia" w:ascii="仿宋" w:hAnsi="微软雅黑" w:eastAsia="仿宋" w:cs="Times New Roman"/>
          <w:sz w:val="28"/>
          <w:szCs w:val="28"/>
          <w:highlight w:val="none"/>
          <w:lang w:eastAsia="zh-CN"/>
        </w:rPr>
        <w:t>，</w:t>
      </w:r>
      <w:r>
        <w:rPr>
          <w:rFonts w:hint="eastAsia" w:ascii="仿宋" w:hAnsi="微软雅黑" w:eastAsia="仿宋" w:cs="Times New Roman"/>
          <w:sz w:val="28"/>
          <w:szCs w:val="28"/>
          <w:highlight w:val="none"/>
          <w:lang w:val="en-US" w:eastAsia="zh-CN"/>
        </w:rPr>
        <w:t>非财政拨款0万元，</w:t>
      </w:r>
      <w:r>
        <w:rPr>
          <w:rFonts w:hint="eastAsia" w:ascii="仿宋" w:hAnsi="微软雅黑" w:eastAsia="仿宋" w:cs="Times New Roman"/>
          <w:sz w:val="28"/>
          <w:szCs w:val="28"/>
          <w:highlight w:val="none"/>
          <w:lang w:eastAsia="zh-CN"/>
        </w:rPr>
        <w:t>其中：</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1.2024年访惠聚为民办实事1.50万元，主要用于：2025年访惠聚为民办实事项目。</w:t>
      </w:r>
    </w:p>
    <w:p>
      <w:pPr>
        <w:widowControl/>
        <w:spacing w:line="560" w:lineRule="exact"/>
        <w:ind w:firstLine="560" w:firstLineChars="200"/>
        <w:rPr>
          <w:rFonts w:hint="default"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2.2024年中央补助地方公共文化服务体系建设补助资金4.74万元，主要用于：2025年中央补助地方公共文化服务体系建设补助项目。</w:t>
      </w:r>
    </w:p>
    <w:p>
      <w:pPr>
        <w:widowControl/>
        <w:spacing w:line="560" w:lineRule="exact"/>
        <w:ind w:firstLine="562" w:firstLineChars="200"/>
        <w:rPr>
          <w:rFonts w:hint="eastAsia" w:ascii="仿宋" w:hAnsi="微软雅黑" w:eastAsia="仿宋" w:cs="Times New Roman"/>
          <w:b/>
          <w:bCs/>
          <w:sz w:val="28"/>
          <w:szCs w:val="28"/>
        </w:rPr>
      </w:pPr>
      <w:r>
        <w:rPr>
          <w:rFonts w:hint="eastAsia" w:ascii="仿宋" w:hAnsi="微软雅黑" w:eastAsia="仿宋" w:cs="Times New Roman"/>
          <w:b/>
          <w:bCs/>
          <w:sz w:val="28"/>
          <w:szCs w:val="28"/>
          <w:lang w:val="en-US" w:eastAsia="zh-Hans"/>
        </w:rPr>
        <w:t>十</w:t>
      </w:r>
      <w:r>
        <w:rPr>
          <w:rFonts w:hint="eastAsia" w:ascii="仿宋" w:hAnsi="微软雅黑" w:eastAsia="仿宋" w:cs="Times New Roman"/>
          <w:b/>
          <w:bCs/>
          <w:sz w:val="28"/>
          <w:szCs w:val="28"/>
          <w:lang w:val="en-US" w:eastAsia="zh-CN"/>
        </w:rPr>
        <w:t>二</w:t>
      </w:r>
      <w:r>
        <w:rPr>
          <w:rFonts w:hint="eastAsia" w:ascii="仿宋" w:hAnsi="微软雅黑" w:eastAsia="仿宋" w:cs="Times New Roman"/>
          <w:b/>
          <w:bCs/>
          <w:sz w:val="28"/>
          <w:szCs w:val="28"/>
        </w:rPr>
        <w:t>、其他重要事项的情况说明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rPr>
        <w:t>（一）</w:t>
      </w:r>
      <w:r>
        <w:rPr>
          <w:rFonts w:hint="eastAsia" w:ascii="仿宋" w:hAnsi="微软雅黑" w:eastAsia="仿宋" w:cs="Times New Roman"/>
          <w:sz w:val="28"/>
          <w:szCs w:val="28"/>
          <w:lang w:val="en-US" w:eastAsia="zh-CN"/>
        </w:rPr>
        <w:t>单位</w:t>
      </w:r>
      <w:r>
        <w:rPr>
          <w:rFonts w:hint="eastAsia" w:ascii="仿宋" w:hAnsi="微软雅黑" w:eastAsia="仿宋" w:cs="Times New Roman"/>
          <w:sz w:val="28"/>
          <w:szCs w:val="28"/>
        </w:rPr>
        <w:t>运行经费情况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lang w:eastAsia="zh-CN"/>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rPr>
        <w:t>的机关运行经费财政拨款预算</w:t>
      </w:r>
      <w:r>
        <w:rPr>
          <w:rFonts w:hint="eastAsia" w:ascii="仿宋" w:hAnsi="微软雅黑" w:eastAsia="仿宋" w:cs="Times New Roman"/>
          <w:sz w:val="28"/>
          <w:szCs w:val="28"/>
          <w:lang w:val="en-US" w:eastAsia="zh-CN"/>
        </w:rPr>
        <w:t>17.06</w:t>
      </w:r>
      <w:r>
        <w:rPr>
          <w:rFonts w:hint="eastAsia" w:ascii="仿宋" w:hAnsi="微软雅黑" w:eastAsia="仿宋" w:cs="Times New Roman"/>
          <w:sz w:val="28"/>
          <w:szCs w:val="28"/>
        </w:rPr>
        <w:t>万元，比上年预算增加</w:t>
      </w:r>
      <w:r>
        <w:rPr>
          <w:rFonts w:hint="eastAsia" w:ascii="仿宋" w:hAnsi="微软雅黑" w:eastAsia="仿宋" w:cs="Times New Roman"/>
          <w:sz w:val="28"/>
          <w:szCs w:val="28"/>
          <w:lang w:val="en-US" w:eastAsia="zh-CN"/>
        </w:rPr>
        <w:t>11.02</w:t>
      </w:r>
      <w:r>
        <w:rPr>
          <w:rFonts w:hint="eastAsia" w:ascii="仿宋" w:hAnsi="微软雅黑" w:eastAsia="仿宋" w:cs="Times New Roman"/>
          <w:sz w:val="28"/>
          <w:szCs w:val="28"/>
        </w:rPr>
        <w:t>万元，增长</w:t>
      </w:r>
      <w:r>
        <w:rPr>
          <w:rFonts w:hint="eastAsia" w:ascii="仿宋" w:hAnsi="微软雅黑" w:eastAsia="仿宋" w:cs="Times New Roman"/>
          <w:sz w:val="28"/>
          <w:szCs w:val="28"/>
          <w:lang w:val="en-US" w:eastAsia="zh-CN"/>
        </w:rPr>
        <w:t>182.45</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2025年在职人员增加，导致</w:t>
      </w:r>
      <w:bookmarkStart w:id="33" w:name="_GoBack"/>
      <w:bookmarkEnd w:id="33"/>
      <w:r>
        <w:rPr>
          <w:rFonts w:hint="eastAsia" w:ascii="仿宋" w:hAnsi="微软雅黑" w:eastAsia="仿宋" w:cs="Times New Roman"/>
          <w:sz w:val="28"/>
          <w:szCs w:val="28"/>
          <w:lang w:val="en-US" w:eastAsia="zh-CN"/>
        </w:rPr>
        <w:t>财政拨款预算增加</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（二）政府采购情况</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rPr>
        <w:t>年，</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rPr>
        <w:t>政府采购预算</w:t>
      </w:r>
      <w:r>
        <w:rPr>
          <w:rFonts w:hint="eastAsia" w:ascii="仿宋" w:hAnsi="微软雅黑" w:eastAsia="仿宋" w:cs="Times New Roman"/>
          <w:sz w:val="28"/>
          <w:szCs w:val="28"/>
          <w:lang w:val="en-US" w:eastAsia="zh-CN"/>
        </w:rPr>
        <w:t>423.05</w:t>
      </w:r>
      <w:r>
        <w:rPr>
          <w:rFonts w:hint="eastAsia" w:ascii="仿宋" w:hAnsi="微软雅黑" w:eastAsia="仿宋" w:cs="Times New Roman"/>
          <w:sz w:val="28"/>
          <w:szCs w:val="28"/>
        </w:rPr>
        <w:t>万元，其中：政府采购货物预算</w:t>
      </w:r>
      <w:r>
        <w:rPr>
          <w:rFonts w:hint="eastAsia" w:ascii="仿宋" w:hAnsi="微软雅黑" w:eastAsia="仿宋" w:cs="Times New Roman"/>
          <w:sz w:val="28"/>
          <w:szCs w:val="28"/>
          <w:lang w:val="en-US" w:eastAsia="zh-CN"/>
        </w:rPr>
        <w:t>102.37</w:t>
      </w:r>
      <w:r>
        <w:rPr>
          <w:rFonts w:hint="eastAsia" w:ascii="仿宋" w:hAnsi="微软雅黑" w:eastAsia="仿宋" w:cs="Times New Roman"/>
          <w:sz w:val="28"/>
          <w:szCs w:val="28"/>
        </w:rPr>
        <w:t>万元，政府采购工程预算</w:t>
      </w:r>
      <w:r>
        <w:rPr>
          <w:rFonts w:hint="eastAsia" w:ascii="仿宋" w:hAnsi="微软雅黑" w:eastAsia="仿宋" w:cs="Times New Roman"/>
          <w:sz w:val="28"/>
          <w:szCs w:val="28"/>
          <w:lang w:val="en-US" w:eastAsia="zh-CN"/>
        </w:rPr>
        <w:t>80.00</w:t>
      </w:r>
      <w:r>
        <w:rPr>
          <w:rFonts w:hint="eastAsia" w:ascii="仿宋" w:hAnsi="微软雅黑" w:eastAsia="仿宋" w:cs="Times New Roman"/>
          <w:sz w:val="28"/>
          <w:szCs w:val="28"/>
        </w:rPr>
        <w:t>万元，政府采购服务预算</w:t>
      </w:r>
      <w:r>
        <w:rPr>
          <w:rFonts w:hint="eastAsia" w:ascii="仿宋" w:hAnsi="微软雅黑" w:eastAsia="仿宋" w:cs="Times New Roman"/>
          <w:sz w:val="28"/>
          <w:szCs w:val="28"/>
          <w:lang w:val="en-US" w:eastAsia="zh-CN"/>
        </w:rPr>
        <w:t>240.68</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rPr>
        <w:t>202</w:t>
      </w:r>
      <w:r>
        <w:rPr>
          <w:rFonts w:hint="eastAsia" w:ascii="仿宋" w:hAnsi="微软雅黑" w:eastAsia="仿宋" w:cs="Times New Roman"/>
          <w:sz w:val="28"/>
          <w:szCs w:val="28"/>
          <w:lang w:val="en-US" w:eastAsia="zh-CN"/>
        </w:rPr>
        <w:t>5</w:t>
      </w:r>
      <w:r>
        <w:rPr>
          <w:rFonts w:hint="eastAsia" w:ascii="仿宋" w:hAnsi="微软雅黑" w:eastAsia="仿宋" w:cs="Times New Roman"/>
          <w:sz w:val="28"/>
          <w:szCs w:val="28"/>
        </w:rPr>
        <w:t>年，</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rPr>
        <w:t>面向中小企业预留政府采购项目预算金额</w:t>
      </w:r>
      <w:r>
        <w:rPr>
          <w:rFonts w:hint="eastAsia" w:ascii="仿宋" w:hAnsi="微软雅黑" w:eastAsia="仿宋" w:cs="Times New Roman"/>
          <w:sz w:val="28"/>
          <w:szCs w:val="28"/>
          <w:lang w:val="en-US" w:eastAsia="zh-CN"/>
        </w:rPr>
        <w:t>343.05</w:t>
      </w:r>
      <w:r>
        <w:rPr>
          <w:rFonts w:hint="eastAsia" w:ascii="仿宋" w:hAnsi="微软雅黑" w:eastAsia="仿宋" w:cs="Times New Roman"/>
          <w:sz w:val="28"/>
          <w:szCs w:val="28"/>
        </w:rPr>
        <w:t>万元，</w:t>
      </w:r>
      <w:r>
        <w:rPr>
          <w:rFonts w:hint="eastAsia" w:ascii="仿宋" w:hAnsi="微软雅黑" w:eastAsia="仿宋" w:cs="Times New Roman"/>
          <w:sz w:val="28"/>
          <w:szCs w:val="28"/>
          <w:lang w:val="en-US" w:eastAsia="zh-CN"/>
        </w:rPr>
        <w:t>小微</w:t>
      </w:r>
      <w:r>
        <w:rPr>
          <w:rFonts w:hint="eastAsia" w:ascii="仿宋" w:hAnsi="微软雅黑" w:eastAsia="仿宋" w:cs="Times New Roman"/>
          <w:sz w:val="28"/>
          <w:szCs w:val="28"/>
        </w:rPr>
        <w:t>企业预留政府采购项目预算金额</w:t>
      </w:r>
      <w:r>
        <w:rPr>
          <w:rFonts w:hint="eastAsia" w:ascii="仿宋" w:hAnsi="微软雅黑" w:eastAsia="仿宋" w:cs="Times New Roman"/>
          <w:sz w:val="28"/>
          <w:szCs w:val="28"/>
          <w:lang w:val="en-US" w:eastAsia="zh-CN"/>
        </w:rPr>
        <w:t>343.05</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（三）国有资产占用使用情况</w:t>
      </w:r>
    </w:p>
    <w:p>
      <w:pPr>
        <w:widowControl/>
        <w:spacing w:line="560" w:lineRule="exact"/>
        <w:ind w:firstLine="560" w:firstLineChars="200"/>
        <w:rPr>
          <w:rFonts w:hint="eastAsia" w:ascii="仿宋" w:hAnsi="微软雅黑" w:eastAsia="仿宋" w:cs="Times New Roman"/>
          <w:sz w:val="28"/>
          <w:szCs w:val="28"/>
          <w:lang w:eastAsia="zh-CN"/>
        </w:rPr>
      </w:pPr>
      <w:r>
        <w:rPr>
          <w:rFonts w:hint="eastAsia" w:ascii="仿宋" w:hAnsi="微软雅黑" w:eastAsia="仿宋" w:cs="Times New Roman"/>
          <w:sz w:val="28"/>
          <w:szCs w:val="28"/>
        </w:rPr>
        <w:t>截至</w:t>
      </w:r>
      <w:r>
        <w:rPr>
          <w:rFonts w:hint="eastAsia" w:ascii="仿宋" w:hAnsi="微软雅黑" w:eastAsia="仿宋" w:cs="Times New Roman"/>
          <w:sz w:val="28"/>
          <w:szCs w:val="28"/>
          <w:lang w:val="en-US" w:eastAsia="zh-CN"/>
        </w:rPr>
        <w:t>2024</w:t>
      </w:r>
      <w:r>
        <w:rPr>
          <w:rFonts w:hint="eastAsia" w:ascii="仿宋" w:hAnsi="微软雅黑" w:eastAsia="仿宋" w:cs="Times New Roman"/>
          <w:sz w:val="28"/>
          <w:szCs w:val="28"/>
        </w:rPr>
        <w:t>年底，</w:t>
      </w:r>
      <w:r>
        <w:rPr>
          <w:rFonts w:hint="eastAsia" w:ascii="仿宋" w:hAnsi="微软雅黑" w:eastAsia="仿宋" w:cs="Times New Roman"/>
          <w:sz w:val="28"/>
          <w:szCs w:val="28"/>
          <w:lang w:val="en-US" w:eastAsia="zh-CN"/>
        </w:rPr>
        <w:t>中共呼图壁县委员会宣传部</w:t>
      </w:r>
      <w:r>
        <w:rPr>
          <w:rFonts w:hint="eastAsia" w:ascii="仿宋" w:hAnsi="微软雅黑" w:eastAsia="仿宋" w:cs="Times New Roman"/>
          <w:sz w:val="28"/>
          <w:szCs w:val="28"/>
        </w:rPr>
        <w:t>占用使用国有资产总体情况为</w:t>
      </w:r>
      <w:r>
        <w:rPr>
          <w:rFonts w:hint="eastAsia" w:ascii="仿宋" w:hAnsi="微软雅黑" w:eastAsia="仿宋" w:cs="Times New Roman"/>
          <w:sz w:val="28"/>
          <w:szCs w:val="28"/>
          <w:lang w:eastAsia="zh-CN"/>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1.房屋</w:t>
      </w:r>
      <w:r>
        <w:rPr>
          <w:rFonts w:hint="eastAsia" w:ascii="仿宋" w:hAnsi="微软雅黑" w:eastAsia="仿宋" w:cs="Times New Roman"/>
          <w:sz w:val="28"/>
          <w:szCs w:val="28"/>
          <w:lang w:val="en-US" w:eastAsia="zh-CN"/>
        </w:rPr>
        <w:t>8208</w:t>
      </w:r>
      <w:r>
        <w:rPr>
          <w:rFonts w:hint="eastAsia" w:ascii="仿宋" w:hAnsi="微软雅黑" w:eastAsia="仿宋" w:cs="Times New Roman"/>
          <w:sz w:val="28"/>
          <w:szCs w:val="28"/>
        </w:rPr>
        <w:t>平方米，价值</w:t>
      </w:r>
      <w:r>
        <w:rPr>
          <w:rFonts w:hint="eastAsia" w:ascii="仿宋" w:hAnsi="微软雅黑" w:eastAsia="仿宋" w:cs="Times New Roman"/>
          <w:sz w:val="28"/>
          <w:szCs w:val="28"/>
          <w:lang w:val="en-US" w:eastAsia="zh-CN"/>
        </w:rPr>
        <w:t>917.34</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2.车辆</w:t>
      </w:r>
      <w:r>
        <w:rPr>
          <w:rFonts w:hint="eastAsia" w:ascii="仿宋" w:hAnsi="微软雅黑" w:eastAsia="仿宋" w:cs="Times New Roman"/>
          <w:sz w:val="28"/>
          <w:szCs w:val="28"/>
          <w:lang w:val="en-US" w:eastAsia="zh-CN"/>
        </w:rPr>
        <w:t>4</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74.47</w:t>
      </w:r>
      <w:r>
        <w:rPr>
          <w:rFonts w:hint="eastAsia" w:ascii="仿宋" w:hAnsi="微软雅黑" w:eastAsia="仿宋" w:cs="Times New Roman"/>
          <w:sz w:val="28"/>
          <w:szCs w:val="28"/>
        </w:rPr>
        <w:t>万元；其中：一般公务用车</w:t>
      </w:r>
      <w:r>
        <w:rPr>
          <w:rFonts w:hint="eastAsia" w:ascii="仿宋" w:hAnsi="微软雅黑" w:eastAsia="仿宋" w:cs="Times New Roman"/>
          <w:sz w:val="28"/>
          <w:szCs w:val="28"/>
          <w:lang w:val="en-US" w:eastAsia="zh-CN"/>
        </w:rPr>
        <w:t>3</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60.86</w:t>
      </w:r>
      <w:r>
        <w:rPr>
          <w:rFonts w:hint="eastAsia" w:ascii="仿宋" w:hAnsi="微软雅黑" w:eastAsia="仿宋" w:cs="Times New Roman"/>
          <w:sz w:val="28"/>
          <w:szCs w:val="28"/>
        </w:rPr>
        <w:t>万元；执法执勤用车</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万元；其他车辆</w:t>
      </w: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辆，价值</w:t>
      </w:r>
      <w:r>
        <w:rPr>
          <w:rFonts w:hint="eastAsia" w:ascii="仿宋" w:hAnsi="微软雅黑" w:eastAsia="仿宋" w:cs="Times New Roman"/>
          <w:sz w:val="28"/>
          <w:szCs w:val="28"/>
          <w:lang w:val="en-US" w:eastAsia="zh-CN"/>
        </w:rPr>
        <w:t>13.61</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3.办公家具价值</w:t>
      </w:r>
      <w:r>
        <w:rPr>
          <w:rFonts w:hint="eastAsia" w:ascii="仿宋" w:hAnsi="微软雅黑" w:eastAsia="仿宋" w:cs="Times New Roman"/>
          <w:sz w:val="28"/>
          <w:szCs w:val="28"/>
          <w:lang w:val="en-US" w:eastAsia="zh-CN"/>
        </w:rPr>
        <w:t>47.99</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4.其他资产价值</w:t>
      </w:r>
      <w:r>
        <w:rPr>
          <w:rFonts w:hint="eastAsia" w:ascii="仿宋" w:hAnsi="微软雅黑" w:eastAsia="仿宋" w:cs="Times New Roman"/>
          <w:sz w:val="28"/>
          <w:szCs w:val="28"/>
          <w:lang w:val="en-US" w:eastAsia="zh-CN"/>
        </w:rPr>
        <w:t>997.15</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价值50万元以上大型设备</w:t>
      </w:r>
      <w:r>
        <w:rPr>
          <w:rFonts w:hint="eastAsia" w:ascii="仿宋" w:hAnsi="微软雅黑" w:eastAsia="仿宋" w:cs="Times New Roman"/>
          <w:sz w:val="28"/>
          <w:szCs w:val="28"/>
          <w:lang w:val="en-US" w:eastAsia="zh-CN"/>
        </w:rPr>
        <w:t>3</w:t>
      </w:r>
      <w:r>
        <w:rPr>
          <w:rFonts w:hint="eastAsia" w:ascii="仿宋" w:hAnsi="微软雅黑" w:eastAsia="仿宋" w:cs="Times New Roman"/>
          <w:sz w:val="28"/>
          <w:szCs w:val="28"/>
        </w:rPr>
        <w:t>台，</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价值100万元以上大型设备</w:t>
      </w:r>
      <w:r>
        <w:rPr>
          <w:rFonts w:hint="eastAsia" w:ascii="仿宋" w:hAnsi="微软雅黑" w:eastAsia="仿宋" w:cs="Times New Roman"/>
          <w:sz w:val="28"/>
          <w:szCs w:val="28"/>
          <w:lang w:val="en-US" w:eastAsia="zh-CN"/>
        </w:rPr>
        <w:t>1</w:t>
      </w:r>
      <w:r>
        <w:rPr>
          <w:rFonts w:hint="eastAsia" w:ascii="仿宋" w:hAnsi="微软雅黑" w:eastAsia="仿宋" w:cs="Times New Roman"/>
          <w:sz w:val="28"/>
          <w:szCs w:val="28"/>
        </w:rPr>
        <w:t>台。</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2024年</w:t>
      </w:r>
      <w:r>
        <w:rPr>
          <w:rFonts w:hint="eastAsia" w:ascii="仿宋" w:hAnsi="微软雅黑" w:eastAsia="仿宋" w:cs="Times New Roman"/>
          <w:sz w:val="28"/>
          <w:szCs w:val="28"/>
          <w:lang w:val="en-US" w:eastAsia="zh-CN"/>
        </w:rPr>
        <w:t>部门</w:t>
      </w:r>
      <w:r>
        <w:rPr>
          <w:rFonts w:hint="eastAsia" w:ascii="仿宋" w:hAnsi="微软雅黑" w:eastAsia="仿宋" w:cs="Times New Roman"/>
          <w:sz w:val="28"/>
          <w:szCs w:val="28"/>
        </w:rPr>
        <w:t>预算未安排购置车辆经费，安排购置50万元以上大型设备</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台，单位价值100万元以上大型设备</w:t>
      </w:r>
      <w:r>
        <w:rPr>
          <w:rFonts w:hint="eastAsia" w:ascii="仿宋" w:hAnsi="微软雅黑" w:eastAsia="仿宋" w:cs="Times New Roman"/>
          <w:sz w:val="28"/>
          <w:szCs w:val="28"/>
          <w:lang w:val="en-US" w:eastAsia="zh-CN"/>
        </w:rPr>
        <w:t>0</w:t>
      </w:r>
      <w:r>
        <w:rPr>
          <w:rFonts w:hint="eastAsia" w:ascii="仿宋" w:hAnsi="微软雅黑" w:eastAsia="仿宋" w:cs="Times New Roman"/>
          <w:sz w:val="28"/>
          <w:szCs w:val="28"/>
        </w:rPr>
        <w:t>台。</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（四）</w:t>
      </w:r>
      <w:r>
        <w:rPr>
          <w:rFonts w:hint="eastAsia" w:ascii="仿宋" w:hAnsi="微软雅黑" w:eastAsia="仿宋" w:cs="Times New Roman"/>
          <w:sz w:val="28"/>
          <w:szCs w:val="28"/>
        </w:rPr>
        <w:t>预算绩效情况</w:t>
      </w:r>
    </w:p>
    <w:p>
      <w:pPr>
        <w:widowControl/>
        <w:spacing w:line="560" w:lineRule="exact"/>
        <w:ind w:firstLine="560" w:firstLineChars="200"/>
        <w:rPr>
          <w:rFonts w:hint="eastAsia" w:ascii="仿宋" w:hAnsi="微软雅黑" w:eastAsia="仿宋" w:cs="Times New Roman"/>
          <w:sz w:val="28"/>
          <w:szCs w:val="28"/>
          <w:lang w:eastAsia="zh-CN"/>
        </w:rPr>
      </w:pPr>
      <w:r>
        <w:rPr>
          <w:rFonts w:hint="default" w:ascii="仿宋" w:hAnsi="微软雅黑" w:eastAsia="仿宋" w:cs="Times New Roman"/>
          <w:sz w:val="28"/>
          <w:szCs w:val="28"/>
          <w:lang w:eastAsia="zh-CN"/>
        </w:rPr>
        <w:t>202</w:t>
      </w:r>
      <w:r>
        <w:rPr>
          <w:rFonts w:hint="default" w:ascii="仿宋" w:hAnsi="微软雅黑" w:eastAsia="仿宋" w:cs="Times New Roman"/>
          <w:sz w:val="28"/>
          <w:szCs w:val="28"/>
          <w:lang w:val="en-US" w:eastAsia="zh-CN"/>
        </w:rPr>
        <w:t>5</w:t>
      </w:r>
      <w:r>
        <w:rPr>
          <w:rFonts w:hint="eastAsia" w:ascii="仿宋" w:hAnsi="微软雅黑" w:eastAsia="仿宋" w:cs="Times New Roman"/>
          <w:sz w:val="28"/>
          <w:szCs w:val="28"/>
          <w:lang w:eastAsia="zh-CN"/>
        </w:rPr>
        <w:t>年，</w:t>
      </w:r>
      <w:r>
        <w:rPr>
          <w:rFonts w:hint="eastAsia" w:ascii="仿宋" w:hAnsi="微软雅黑" w:eastAsia="仿宋" w:cs="Times New Roman"/>
          <w:sz w:val="28"/>
          <w:szCs w:val="28"/>
          <w:lang w:val="en-US" w:eastAsia="zh-CN"/>
        </w:rPr>
        <w:t>本部门</w:t>
      </w:r>
      <w:r>
        <w:rPr>
          <w:rFonts w:hint="eastAsia" w:ascii="仿宋" w:hAnsi="微软雅黑" w:eastAsia="仿宋" w:cs="Times New Roman"/>
          <w:sz w:val="28"/>
          <w:szCs w:val="28"/>
          <w:lang w:eastAsia="zh-CN"/>
        </w:rPr>
        <w:t>预算绩效管理</w:t>
      </w:r>
      <w:r>
        <w:rPr>
          <w:rFonts w:hint="eastAsia" w:ascii="仿宋" w:hAnsi="微软雅黑" w:eastAsia="仿宋" w:cs="Times New Roman"/>
          <w:sz w:val="28"/>
          <w:szCs w:val="28"/>
          <w:lang w:val="en-US" w:eastAsia="zh-CN"/>
        </w:rPr>
        <w:t>整体预算绩效目标1个，涉及预算金额1294.57万元；当年预算安排项目共3个，其中:</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eastAsia="zh-CN"/>
        </w:rPr>
        <w:t>项目</w:t>
      </w:r>
      <w:r>
        <w:rPr>
          <w:rFonts w:hint="eastAsia" w:ascii="仿宋" w:hAnsi="微软雅黑" w:eastAsia="仿宋" w:cs="Times New Roman"/>
          <w:sz w:val="28"/>
          <w:szCs w:val="28"/>
          <w:lang w:val="en-US" w:eastAsia="zh-CN"/>
        </w:rPr>
        <w:t>涉及预算金额215万元；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eastAsia="zh-CN"/>
        </w:rPr>
        <w:t>涉及预算金额</w:t>
      </w:r>
      <w:r>
        <w:rPr>
          <w:rFonts w:hint="eastAsia" w:ascii="仿宋" w:hAnsi="微软雅黑" w:eastAsia="仿宋" w:cs="Times New Roman"/>
          <w:sz w:val="28"/>
          <w:szCs w:val="28"/>
          <w:lang w:val="en-US" w:eastAsia="zh-CN"/>
        </w:rPr>
        <w:t>490</w:t>
      </w:r>
      <w:r>
        <w:rPr>
          <w:rFonts w:hint="eastAsia" w:ascii="仿宋" w:hAnsi="微软雅黑" w:eastAsia="仿宋" w:cs="Times New Roman"/>
          <w:sz w:val="28"/>
          <w:szCs w:val="28"/>
          <w:lang w:eastAsia="zh-CN"/>
        </w:rPr>
        <w:t>万元。具体情况见下表：</w:t>
      </w:r>
      <w:r>
        <w:rPr>
          <w:rFonts w:hint="eastAsia" w:ascii="仿宋" w:hAnsi="微软雅黑" w:eastAsia="仿宋" w:cs="Times New Roman"/>
          <w:sz w:val="28"/>
          <w:szCs w:val="28"/>
          <w:lang w:val="en-US" w:eastAsia="zh-CN"/>
        </w:rPr>
        <w:t xml:space="preserve">  </w:t>
      </w:r>
    </w:p>
    <w:tbl>
      <w:tblPr>
        <w:tblStyle w:val="12"/>
        <w:tblpPr w:leftFromText="180" w:rightFromText="180" w:vertAnchor="text" w:horzAnchor="page" w:tblpX="1493" w:tblpY="-1252"/>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 w:hAnsi="Calibri" w:eastAsia="仿宋" w:cs="Times New Roman"/>
                <w:b/>
                <w:sz w:val="28"/>
                <w:szCs w:val="28"/>
                <w:lang w:val="en-US" w:eastAsia="zh-CN"/>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 w:hAnsi="Calibri" w:eastAsia="仿宋" w:cs="Times New Roman"/>
                <w:sz w:val="18"/>
                <w:szCs w:val="18"/>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sz w:val="18"/>
                <w:szCs w:val="18"/>
              </w:rPr>
            </w:pPr>
            <w:r>
              <w:rPr>
                <w:rFonts w:hint="eastAsia" w:ascii="Calibri" w:hAnsi="Calibri" w:eastAsia="宋体" w:cs="Times New Roman"/>
                <w:b/>
                <w:sz w:val="18"/>
                <w:szCs w:val="18"/>
                <w:lang w:val="en-US" w:eastAsia="zh-CN"/>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Calibri" w:hAnsi="Calibri" w:eastAsia="宋体" w:cs="Times New Roman"/>
                <w:sz w:val="18"/>
                <w:szCs w:val="18"/>
                <w:lang w:val="en-US" w:eastAsia="zh-CN"/>
              </w:rPr>
              <w:t>王安东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Calibri" w:hAnsi="Calibri" w:eastAsia="宋体" w:cs="Times New Roman"/>
                <w:b/>
                <w:sz w:val="18"/>
                <w:szCs w:val="18"/>
                <w:lang w:val="en-US" w:eastAsia="zh-CN"/>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Calibri" w:hAnsi="Calibri" w:eastAsia="宋体" w:cs="Times New Roman"/>
                <w:sz w:val="18"/>
                <w:szCs w:val="18"/>
                <w:lang w:val="en-US" w:eastAsia="zh-CN"/>
              </w:rPr>
              <w:t>4502352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br w:type="textWrapping"/>
            </w:r>
            <w:r>
              <w:rPr>
                <w:rFonts w:hint="eastAsia" w:ascii="Calibri" w:hAnsi="Calibri" w:eastAsia="宋体" w:cs="Times New Roman"/>
                <w:b/>
                <w:sz w:val="18"/>
                <w:szCs w:val="18"/>
                <w:lang w:val="en-US" w:eastAsia="zh-CN"/>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Calibri" w:hAnsi="Calibri" w:eastAsia="宋体" w:cs="Times New Roman"/>
                <w:sz w:val="18"/>
                <w:szCs w:val="18"/>
                <w:lang w:val="en-US" w:eastAsia="zh-CN"/>
              </w:rPr>
              <w:t>1、指导全县理论学习、理论宣传、理论研究工作；2、负责引导社会舆论，指导、协调新闻单位紧紧围绕党的中心任务和重点工作，组织战役性宣传；3、负责提出全县宣传思想文化事业发展的指导方针，指导宣传文化系统指定有关政策、法规，协调宣传文化系统各部门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1284.83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b/>
                <w:sz w:val="18"/>
                <w:szCs w:val="18"/>
                <w:lang w:val="en-US" w:eastAsia="zh-CN"/>
              </w:rPr>
            </w:pPr>
            <w:r>
              <w:rPr>
                <w:rFonts w:hint="eastAsia" w:ascii="Calibri" w:hAnsi="Calibri" w:eastAsia="宋体" w:cs="Times New Roman"/>
                <w:b/>
                <w:sz w:val="18"/>
                <w:szCs w:val="18"/>
                <w:lang w:val="en-US" w:eastAsia="zh-CN"/>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Calibri" w:hAnsi="Calibri" w:eastAsia="宋体" w:cs="Times New Roman"/>
                <w:sz w:val="18"/>
                <w:szCs w:val="18"/>
                <w:lang w:val="en-US" w:eastAsia="zh-CN"/>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管理效率</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开展新时代文明实践志愿服务活动数量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开展宣讲活动次数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&gt;=60场次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报送新闻线索数量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&gt;=24条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全民阅读活动场次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&gt;=4场次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学习强国活跃度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&gt;=75%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2025年宣传部工作计划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Calibri" w:hAnsi="Calibri" w:eastAsia="宋体" w:cs="Times New Roman"/>
                <w:sz w:val="18"/>
                <w:szCs w:val="18"/>
                <w:lang w:val="en-US" w:eastAsia="zh-CN"/>
              </w:rPr>
            </w:pPr>
          </w:p>
        </w:tc>
      </w:tr>
    </w:tbl>
    <w:tbl>
      <w:tblPr>
        <w:tblStyle w:val="12"/>
        <w:tblpPr w:leftFromText="180" w:rightFromText="180" w:vertAnchor="text" w:horzAnchor="page" w:tblpX="1376" w:tblpY="200"/>
        <w:tblOverlap w:val="never"/>
        <w:tblW w:w="94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1"/>
        <w:gridCol w:w="984"/>
        <w:gridCol w:w="1145"/>
        <w:gridCol w:w="1016"/>
        <w:gridCol w:w="1548"/>
        <w:gridCol w:w="823"/>
        <w:gridCol w:w="806"/>
        <w:gridCol w:w="1000"/>
        <w:gridCol w:w="1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03"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 w:hAnsi="Calibri" w:eastAsia="仿宋" w:cs="Times New Roman"/>
                <w:b/>
                <w:sz w:val="28"/>
                <w:szCs w:val="28"/>
                <w:lang w:val="en-US" w:eastAsia="zh-CN"/>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03"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仿宋" w:hAnsi="Calibri" w:eastAsia="仿宋" w:cs="Times New Roman"/>
                <w:sz w:val="18"/>
                <w:szCs w:val="18"/>
                <w:lang w:val="en-US" w:eastAsia="zh-Hans"/>
              </w:rPr>
              <w:t>（</w:t>
            </w:r>
            <w:r>
              <w:rPr>
                <w:rFonts w:hint="default" w:ascii="仿宋" w:hAnsi="Calibri" w:eastAsia="仿宋" w:cs="Times New Roman"/>
                <w:sz w:val="18"/>
                <w:szCs w:val="18"/>
                <w:lang w:val="en-US" w:eastAsia="zh-Hans"/>
              </w:rPr>
              <w:t>202</w:t>
            </w:r>
            <w:r>
              <w:rPr>
                <w:rFonts w:hint="eastAsia" w:ascii="仿宋" w:hAnsi="Calibri" w:eastAsia="仿宋" w:cs="Times New Roman"/>
                <w:sz w:val="18"/>
                <w:szCs w:val="18"/>
                <w:lang w:val="en-US" w:eastAsia="zh-CN"/>
              </w:rPr>
              <w:t>5</w:t>
            </w:r>
            <w:r>
              <w:rPr>
                <w:rFonts w:hint="eastAsia" w:ascii="仿宋" w:hAnsi="Calibri" w:eastAsia="仿宋" w:cs="Times New Roman"/>
                <w:sz w:val="18"/>
                <w:szCs w:val="18"/>
                <w:lang w:val="en-US" w:eastAsia="zh-Hans"/>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预算单位</w:t>
            </w:r>
          </w:p>
        </w:tc>
        <w:tc>
          <w:tcPr>
            <w:tcW w:w="7338"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项目名称</w:t>
            </w:r>
          </w:p>
        </w:tc>
        <w:tc>
          <w:tcPr>
            <w:tcW w:w="3709"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2025年正版办公软件场地授权费</w:t>
            </w:r>
          </w:p>
        </w:tc>
        <w:tc>
          <w:tcPr>
            <w:tcW w:w="162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项目负责人</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吴晨光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项目资金（万元）</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1548" w:type="dxa"/>
            <w:tcBorders>
              <w:top w:val="single" w:color="000000" w:sz="4" w:space="0"/>
              <w:left w:val="nil"/>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其中：财政拨款</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其他资金：</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06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项目总体目标</w:t>
            </w:r>
          </w:p>
        </w:tc>
        <w:tc>
          <w:tcPr>
            <w:tcW w:w="7338"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安装正版软件电脑3000台，资金支付及时率100%，良好提高我县软件正版化程度，安装正版软件电脑使用年限1年。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一级指标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二级指标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指标值设置依据</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上年完成值</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指标分值权重</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指标赋分规则</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产出指标</w:t>
            </w:r>
          </w:p>
        </w:tc>
        <w:tc>
          <w:tcPr>
            <w:tcW w:w="984" w:type="dxa"/>
            <w:vMerge w:val="restart"/>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安装正版软件电脑</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3000台</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4" w:hRule="atLeast"/>
        </w:trPr>
        <w:tc>
          <w:tcPr>
            <w:tcW w:w="1081" w:type="dxa"/>
            <w:vMerge w:val="continue"/>
            <w:tcBorders>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vMerge w:val="continue"/>
            <w:tcBorders>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使用年限</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1年</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安装覆盖率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vMerge w:val="restart"/>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时效指标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项目完成及时率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资金支出及时率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经济成本指标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成本控制率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社会成本指标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生态成本指标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restart"/>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效益指标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经济效益指标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提高我县软件正版化程度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良好</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8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生态效益指标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9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1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群众满意度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90%</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tbl>
      <w:tblPr>
        <w:tblStyle w:val="12"/>
        <w:tblpPr w:leftFromText="180" w:rightFromText="180" w:vertAnchor="text" w:horzAnchor="page" w:tblpX="1112" w:tblpY="200"/>
        <w:tblOverlap w:val="never"/>
        <w:tblW w:w="981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2"/>
        <w:gridCol w:w="1258"/>
        <w:gridCol w:w="1339"/>
        <w:gridCol w:w="1097"/>
        <w:gridCol w:w="1064"/>
        <w:gridCol w:w="935"/>
        <w:gridCol w:w="917"/>
        <w:gridCol w:w="1116"/>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13"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 w:hAnsi="Calibri" w:eastAsia="仿宋" w:cs="Times New Roman"/>
                <w:b/>
                <w:sz w:val="28"/>
                <w:szCs w:val="28"/>
                <w:lang w:val="en-US" w:eastAsia="zh-CN"/>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13"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仿宋" w:hAnsi="Calibri" w:eastAsia="仿宋" w:cs="Times New Roman"/>
                <w:sz w:val="18"/>
                <w:szCs w:val="18"/>
                <w:lang w:val="en-US" w:eastAsia="zh-Hans"/>
              </w:rPr>
              <w:t>（</w:t>
            </w:r>
            <w:r>
              <w:rPr>
                <w:rFonts w:hint="default" w:ascii="仿宋" w:hAnsi="Calibri" w:eastAsia="仿宋" w:cs="Times New Roman"/>
                <w:sz w:val="18"/>
                <w:szCs w:val="18"/>
                <w:lang w:val="en-US" w:eastAsia="zh-Hans"/>
              </w:rPr>
              <w:t>202</w:t>
            </w:r>
            <w:r>
              <w:rPr>
                <w:rFonts w:hint="eastAsia" w:ascii="仿宋" w:hAnsi="Calibri" w:eastAsia="仿宋" w:cs="Times New Roman"/>
                <w:sz w:val="18"/>
                <w:szCs w:val="18"/>
                <w:lang w:val="en-US" w:eastAsia="zh-CN"/>
              </w:rPr>
              <w:t>5</w:t>
            </w:r>
            <w:r>
              <w:rPr>
                <w:rFonts w:hint="eastAsia" w:ascii="仿宋" w:hAnsi="Calibri" w:eastAsia="仿宋" w:cs="Times New Roman"/>
                <w:sz w:val="18"/>
                <w:szCs w:val="18"/>
                <w:lang w:val="en-US" w:eastAsia="zh-Hans"/>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预算单位</w:t>
            </w:r>
          </w:p>
        </w:tc>
        <w:tc>
          <w:tcPr>
            <w:tcW w:w="7533"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项目名称</w:t>
            </w:r>
          </w:p>
        </w:tc>
        <w:tc>
          <w:tcPr>
            <w:tcW w:w="350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br w:type="textWrapping"/>
            </w:r>
            <w:r>
              <w:rPr>
                <w:rFonts w:hint="eastAsia" w:ascii="Calibri" w:hAnsi="Calibri" w:eastAsia="宋体" w:cs="Times New Roman"/>
                <w:sz w:val="18"/>
                <w:szCs w:val="18"/>
                <w:lang w:val="en-US" w:eastAsia="zh-CN"/>
              </w:rPr>
              <w:t>2026年党报党刊</w:t>
            </w:r>
          </w:p>
          <w:p>
            <w:pPr>
              <w:jc w:val="center"/>
              <w:rPr>
                <w:rFonts w:hint="eastAsia" w:ascii="Calibri" w:hAnsi="Calibri" w:eastAsia="宋体" w:cs="Times New Roman"/>
                <w:sz w:val="18"/>
                <w:szCs w:val="18"/>
                <w:lang w:val="en-US" w:eastAsia="zh-CN"/>
              </w:rPr>
            </w:pPr>
          </w:p>
        </w:tc>
        <w:tc>
          <w:tcPr>
            <w:tcW w:w="1852"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项目负责人</w:t>
            </w:r>
          </w:p>
        </w:tc>
        <w:tc>
          <w:tcPr>
            <w:tcW w:w="218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摆新海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项目资金（万元）</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年度预算总额：</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160</w:t>
            </w:r>
          </w:p>
        </w:tc>
        <w:tc>
          <w:tcPr>
            <w:tcW w:w="1064" w:type="dxa"/>
            <w:tcBorders>
              <w:top w:val="single" w:color="000000" w:sz="4" w:space="0"/>
              <w:left w:val="nil"/>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其中：财政拨款</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其他资金：</w:t>
            </w:r>
          </w:p>
        </w:tc>
        <w:tc>
          <w:tcPr>
            <w:tcW w:w="2181"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28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项目总体目标</w:t>
            </w:r>
          </w:p>
        </w:tc>
        <w:tc>
          <w:tcPr>
            <w:tcW w:w="7533"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本项目拟投入156.42万元，用于完成机关单位、学校、乡镇党报党刊征订内容，通过项目的实施，社会效益显著，促进助力党员干部提升政治素养、增强履职能力，完善推动基层群众紧跟党的步伐；改善文化效益，营造浓厚学习氛围，弘扬主流价值观，丰富精神文化生活；长期来看，能激发干事热情，提升社会凝聚力，为经济社会高质量发展提供强大的思想动力与舆论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一级指标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二级指标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三级指标</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指标值设置依据</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指标分值权重</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指标赋分规则</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产出指标</w:t>
            </w:r>
          </w:p>
        </w:tc>
        <w:tc>
          <w:tcPr>
            <w:tcW w:w="1258"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购买党报党刊数量</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10346本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购买党报党刊质量</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时效指标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购买党报党刊及时率</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14</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22"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成本指标</w:t>
            </w:r>
          </w:p>
        </w:tc>
        <w:tc>
          <w:tcPr>
            <w:tcW w:w="1258" w:type="dxa"/>
            <w:vMerge w:val="restart"/>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经济成本指标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人民日报成本标准</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288/1本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22" w:type="dxa"/>
            <w:vMerge w:val="continue"/>
            <w:tcBorders>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求是杂志成本标准</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264元/1本</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社会成本指标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生态成本指标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restart"/>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效益指标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经济效益指标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2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提升党员政治素养</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稳步提升</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22"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生态效益指标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2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25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3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各单位满意度</w:t>
            </w:r>
          </w:p>
        </w:tc>
        <w:tc>
          <w:tcPr>
            <w:tcW w:w="109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6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bl>
    <w:p>
      <w:pPr>
        <w:jc w:val="center"/>
        <w:rPr>
          <w:rFonts w:hint="eastAsia" w:ascii="Calibri" w:hAnsi="Calibri" w:eastAsia="宋体" w:cs="Times New Roman"/>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tbl>
      <w:tblPr>
        <w:tblStyle w:val="12"/>
        <w:tblpPr w:leftFromText="180" w:rightFromText="180" w:vertAnchor="text" w:horzAnchor="page" w:tblpX="1112" w:tblpY="200"/>
        <w:tblOverlap w:val="never"/>
        <w:tblW w:w="987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8"/>
        <w:gridCol w:w="1275"/>
        <w:gridCol w:w="2048"/>
        <w:gridCol w:w="790"/>
        <w:gridCol w:w="1049"/>
        <w:gridCol w:w="838"/>
        <w:gridCol w:w="839"/>
        <w:gridCol w:w="1000"/>
        <w:gridCol w:w="10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77"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 w:hAnsi="Calibri" w:eastAsia="仿宋" w:cs="Times New Roman"/>
                <w:b/>
                <w:sz w:val="28"/>
                <w:szCs w:val="28"/>
                <w:lang w:val="en-US" w:eastAsia="zh-CN"/>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77"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仿宋" w:hAnsi="Calibri" w:eastAsia="仿宋" w:cs="Times New Roman"/>
                <w:sz w:val="18"/>
                <w:szCs w:val="18"/>
                <w:lang w:val="en-US" w:eastAsia="zh-Hans"/>
              </w:rPr>
              <w:t>（</w:t>
            </w:r>
            <w:r>
              <w:rPr>
                <w:rFonts w:hint="default" w:ascii="仿宋" w:hAnsi="Calibri" w:eastAsia="仿宋" w:cs="Times New Roman"/>
                <w:sz w:val="18"/>
                <w:szCs w:val="18"/>
                <w:lang w:val="en-US" w:eastAsia="zh-Hans"/>
              </w:rPr>
              <w:t>202</w:t>
            </w:r>
            <w:r>
              <w:rPr>
                <w:rFonts w:hint="eastAsia" w:ascii="仿宋" w:hAnsi="Calibri" w:eastAsia="仿宋" w:cs="Times New Roman"/>
                <w:sz w:val="18"/>
                <w:szCs w:val="18"/>
                <w:lang w:val="en-US" w:eastAsia="zh-CN"/>
              </w:rPr>
              <w:t>5</w:t>
            </w:r>
            <w:r>
              <w:rPr>
                <w:rFonts w:hint="eastAsia" w:ascii="仿宋" w:hAnsi="Calibri" w:eastAsia="仿宋" w:cs="Times New Roman"/>
                <w:sz w:val="18"/>
                <w:szCs w:val="18"/>
                <w:lang w:val="en-US" w:eastAsia="zh-Hans"/>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预算单位</w:t>
            </w:r>
          </w:p>
        </w:tc>
        <w:tc>
          <w:tcPr>
            <w:tcW w:w="7564"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中共呼图壁县委员会宣传部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项目名称</w:t>
            </w:r>
          </w:p>
        </w:tc>
        <w:tc>
          <w:tcPr>
            <w:tcW w:w="3887"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br w:type="textWrapping"/>
            </w:r>
            <w:r>
              <w:rPr>
                <w:rFonts w:hint="eastAsia" w:ascii="Calibri" w:hAnsi="Calibri" w:eastAsia="宋体" w:cs="Times New Roman"/>
                <w:sz w:val="18"/>
                <w:szCs w:val="18"/>
                <w:lang w:val="en-US" w:eastAsia="zh-CN"/>
              </w:rPr>
              <w:t>文艺创作扶持奖励资金</w:t>
            </w:r>
          </w:p>
          <w:p>
            <w:pPr>
              <w:jc w:val="center"/>
              <w:rPr>
                <w:rFonts w:hint="eastAsia" w:ascii="Calibri" w:hAnsi="Calibri" w:eastAsia="宋体" w:cs="Times New Roman"/>
                <w:sz w:val="18"/>
                <w:szCs w:val="18"/>
                <w:lang w:val="en-US" w:eastAsia="zh-CN"/>
              </w:rPr>
            </w:pPr>
          </w:p>
        </w:tc>
        <w:tc>
          <w:tcPr>
            <w:tcW w:w="1677"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项目负责人</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摆新海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项目资金（万元）</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年度预算总额：</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1049" w:type="dxa"/>
            <w:tcBorders>
              <w:top w:val="single" w:color="000000" w:sz="4" w:space="0"/>
              <w:left w:val="nil"/>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其中：财政拨款</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b/>
                <w:bCs/>
                <w:sz w:val="18"/>
                <w:szCs w:val="18"/>
                <w:lang w:val="en-US" w:eastAsia="zh-CN"/>
              </w:rPr>
              <w:t>其他资金：</w:t>
            </w:r>
          </w:p>
        </w:tc>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23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项目总体目标</w:t>
            </w:r>
          </w:p>
        </w:tc>
        <w:tc>
          <w:tcPr>
            <w:tcW w:w="7564" w:type="dxa"/>
            <w:gridSpan w:val="7"/>
            <w:tcBorders>
              <w:top w:val="single" w:color="000000" w:sz="4" w:space="0"/>
              <w:left w:val="nil"/>
              <w:bottom w:val="single" w:color="000000" w:sz="4" w:space="0"/>
              <w:right w:val="single" w:color="000000" w:sz="4" w:space="0"/>
            </w:tcBorders>
            <w:noWrap w:val="0"/>
            <w:vAlign w:val="top"/>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在扶持下培育出更多具有地域特色与时代精神的文艺精品，挖掘并扶持本土文艺人才，提升本地文艺创作影响力，推动文艺事业迈向新高度，助力文化繁荣发展。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一级指标</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二级指标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三级指标</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指标值设置依据</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上年完成值</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指标分值权重</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指标赋分规则</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b/>
                <w:bCs/>
                <w:sz w:val="18"/>
                <w:szCs w:val="18"/>
                <w:lang w:val="en-US" w:eastAsia="zh-CN"/>
              </w:rPr>
            </w:pPr>
            <w:r>
              <w:rPr>
                <w:rFonts w:hint="eastAsia" w:ascii="Calibri" w:hAnsi="Calibri" w:eastAsia="宋体" w:cs="Times New Roman"/>
                <w:b/>
                <w:bCs/>
                <w:sz w:val="18"/>
                <w:szCs w:val="18"/>
                <w:lang w:val="en-US" w:eastAsia="zh-CN"/>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产出指标</w:t>
            </w:r>
          </w:p>
        </w:tc>
        <w:tc>
          <w:tcPr>
            <w:tcW w:w="1275"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数量指标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文艺创作扶持奖励数量</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1个</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质量指标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文艺作品达到《呼图壁县文艺创作扶持奖励办法（试行）》相关标准</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时效指标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文艺作品推广完成率</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038"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成本指标</w:t>
            </w:r>
          </w:p>
        </w:tc>
        <w:tc>
          <w:tcPr>
            <w:tcW w:w="1275" w:type="dxa"/>
            <w:tcBorders>
              <w:top w:val="single" w:color="000000" w:sz="4" w:space="0"/>
              <w:left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经济成本指标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文艺创作扶持奖励资金</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25万</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15</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社会成本指标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生态成本指标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38" w:type="dxa"/>
            <w:vMerge w:val="restart"/>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效益指标</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经济效益指标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1" w:hRule="atLeast"/>
        </w:trPr>
        <w:tc>
          <w:tcPr>
            <w:tcW w:w="103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社会效益指标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优质文艺作品有所增加，文化事业快速发展</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95%</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20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38"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生态效益指标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12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满意度指标</w:t>
            </w:r>
          </w:p>
        </w:tc>
        <w:tc>
          <w:tcPr>
            <w:tcW w:w="20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群众对文艺创作扶持奖励的满意度</w:t>
            </w:r>
          </w:p>
          <w:p>
            <w:pPr>
              <w:jc w:val="center"/>
              <w:rPr>
                <w:rFonts w:hint="eastAsia" w:ascii="Calibri" w:hAnsi="Calibri" w:eastAsia="宋体" w:cs="Times New Roman"/>
                <w:sz w:val="18"/>
                <w:szCs w:val="18"/>
                <w:lang w:val="en-US" w:eastAsia="zh-CN"/>
              </w:rPr>
            </w:pPr>
          </w:p>
        </w:tc>
        <w:tc>
          <w:tcPr>
            <w:tcW w:w="7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90%</w:t>
            </w:r>
          </w:p>
        </w:tc>
        <w:tc>
          <w:tcPr>
            <w:tcW w:w="10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计划标准</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p>
        </w:tc>
        <w:tc>
          <w:tcPr>
            <w:tcW w:w="8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10</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按照完成比例赋分</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Calibri" w:hAnsi="Calibri" w:eastAsia="宋体" w:cs="Times New Roman"/>
                <w:sz w:val="18"/>
                <w:szCs w:val="18"/>
                <w:lang w:val="en-US" w:eastAsia="zh-CN"/>
              </w:rPr>
            </w:pPr>
            <w:r>
              <w:rPr>
                <w:rFonts w:hint="eastAsia" w:ascii="Calibri" w:hAnsi="Calibri" w:eastAsia="宋体" w:cs="Times New Roman"/>
                <w:sz w:val="18"/>
                <w:szCs w:val="18"/>
                <w:lang w:val="en-US" w:eastAsia="zh-CN"/>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eastAsia="zh-CN"/>
        </w:rPr>
      </w:pPr>
    </w:p>
    <w:p>
      <w:pPr>
        <w:pStyle w:val="6"/>
        <w:numPr>
          <w:ilvl w:val="0"/>
          <w:numId w:val="0"/>
        </w:numPr>
        <w:spacing w:before="0" w:after="0" w:line="560" w:lineRule="exact"/>
        <w:rPr>
          <w:rFonts w:hint="eastAsia" w:ascii="楷体" w:eastAsia="楷体" w:cs="Times New Roman"/>
          <w:sz w:val="28"/>
          <w:szCs w:val="28"/>
        </w:rPr>
      </w:pPr>
      <w:r>
        <w:rPr>
          <w:rFonts w:hint="eastAsia" w:ascii="楷体" w:eastAsia="楷体" w:cs="Times New Roman"/>
          <w:sz w:val="28"/>
          <w:szCs w:val="28"/>
          <w:lang w:eastAsia="zh-CN"/>
        </w:rPr>
        <w:t>（</w:t>
      </w:r>
      <w:r>
        <w:rPr>
          <w:rFonts w:hint="eastAsia" w:ascii="楷体" w:eastAsia="楷体" w:cs="Times New Roman"/>
          <w:sz w:val="28"/>
          <w:szCs w:val="28"/>
          <w:lang w:val="en-US" w:eastAsia="zh-CN"/>
        </w:rPr>
        <w:t>五</w:t>
      </w:r>
      <w:r>
        <w:rPr>
          <w:rFonts w:hint="eastAsia" w:ascii="楷体" w:eastAsia="楷体" w:cs="Times New Roman"/>
          <w:sz w:val="28"/>
          <w:szCs w:val="28"/>
          <w:lang w:eastAsia="zh-CN"/>
        </w:rPr>
        <w:t>）</w:t>
      </w:r>
      <w:r>
        <w:rPr>
          <w:rFonts w:hint="eastAsia" w:ascii="楷体" w:eastAsia="楷体" w:cs="Times New Roman"/>
          <w:sz w:val="28"/>
          <w:szCs w:val="28"/>
        </w:rPr>
        <w:t>其他需说明的事项</w:t>
      </w:r>
    </w:p>
    <w:p>
      <w:pPr>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 xml:space="preserve">本部门涉及非财政拨款项目1个，涉及预算金额490万元，主要原因是用于2025年呼图壁县特色文化推广中心二期工程项目，不公开绩效目标表；当年财政拨款项目sm项目1个，涉及预算金额5万元，不公开绩效目标表。 </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一、财政拨款：</w:t>
      </w:r>
      <w:r>
        <w:rPr>
          <w:rFonts w:hint="eastAsia" w:ascii="仿宋" w:hAnsi="CIDFont+F4" w:eastAsia="仿宋" w:cs="Times New Roman"/>
          <w:b w:val="0"/>
          <w:bCs/>
          <w:color w:val="000000"/>
          <w:sz w:val="28"/>
          <w:szCs w:val="28"/>
        </w:rPr>
        <w:t>指由一般公共预算、政府性基金预算、国有资本经营预算安排的财政拨款数。</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二、一般公共预算：</w:t>
      </w:r>
      <w:r>
        <w:rPr>
          <w:rFonts w:hint="eastAsia" w:ascii="仿宋" w:hAnsi="CIDFont+F4" w:eastAsia="仿宋" w:cs="Times New Roman"/>
          <w:b w:val="0"/>
          <w:bCs/>
          <w:color w:val="000000"/>
          <w:sz w:val="28"/>
          <w:szCs w:val="28"/>
        </w:rPr>
        <w:t>包括公共财政拨款（补助）资金、专项收入。</w:t>
      </w:r>
    </w:p>
    <w:p>
      <w:pPr>
        <w:spacing w:line="560" w:lineRule="exact"/>
        <w:ind w:firstLine="562" w:firstLineChars="200"/>
        <w:rPr>
          <w:rFonts w:hint="eastAsia" w:ascii="仿宋" w:hAnsi="CIDFont+F4" w:eastAsia="仿宋" w:cs="Times New Roman"/>
          <w:b/>
          <w:color w:val="000000"/>
          <w:sz w:val="28"/>
          <w:szCs w:val="28"/>
        </w:rPr>
      </w:pPr>
      <w:r>
        <w:rPr>
          <w:rFonts w:hint="eastAsia" w:ascii="仿宋" w:hAnsi="CIDFont+F4" w:eastAsia="仿宋" w:cs="Times New Roman"/>
          <w:b/>
          <w:color w:val="000000"/>
          <w:sz w:val="28"/>
          <w:szCs w:val="28"/>
        </w:rPr>
        <w:t>三、财政专户管理资金：</w:t>
      </w:r>
      <w:r>
        <w:rPr>
          <w:rFonts w:hint="eastAsia" w:ascii="仿宋" w:hAnsi="CIDFont+F4" w:eastAsia="仿宋" w:cs="Times New Roman"/>
          <w:b w:val="0"/>
          <w:bCs/>
          <w:color w:val="000000"/>
          <w:sz w:val="28"/>
          <w:szCs w:val="28"/>
        </w:rPr>
        <w:t>包括专户管理行政事业性收费（主要是教育收费）、其他非税收入。</w:t>
      </w:r>
    </w:p>
    <w:p>
      <w:pPr>
        <w:spacing w:line="560" w:lineRule="exact"/>
        <w:ind w:firstLine="562" w:firstLineChars="200"/>
        <w:rPr>
          <w:rFonts w:hint="eastAsia" w:ascii="仿宋" w:hAnsi="CIDFont+F4" w:eastAsia="仿宋" w:cs="Times New Roman"/>
          <w:b/>
          <w:color w:val="000000"/>
          <w:sz w:val="28"/>
          <w:szCs w:val="28"/>
        </w:rPr>
      </w:pPr>
      <w:r>
        <w:rPr>
          <w:rFonts w:hint="eastAsia" w:ascii="仿宋" w:hAnsi="CIDFont+F4" w:eastAsia="仿宋" w:cs="Times New Roman"/>
          <w:b/>
          <w:color w:val="000000"/>
          <w:sz w:val="28"/>
          <w:szCs w:val="28"/>
        </w:rPr>
        <w:t>四、其他资金：</w:t>
      </w:r>
      <w:r>
        <w:rPr>
          <w:rFonts w:hint="eastAsia" w:ascii="仿宋" w:hAnsi="CIDFont+F4" w:eastAsia="仿宋" w:cs="Times New Roman"/>
          <w:b w:val="0"/>
          <w:bCs/>
          <w:color w:val="000000"/>
          <w:sz w:val="28"/>
          <w:szCs w:val="28"/>
        </w:rPr>
        <w:t>包括事业收入、事业经营收入、其他收入等。</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五、基本支出：</w:t>
      </w:r>
      <w:r>
        <w:rPr>
          <w:rFonts w:hint="eastAsia" w:ascii="仿宋" w:hAnsi="CIDFont+F4" w:eastAsia="仿宋" w:cs="Times New Roman"/>
          <w:b w:val="0"/>
          <w:bCs/>
          <w:color w:val="000000"/>
          <w:sz w:val="28"/>
          <w:szCs w:val="28"/>
        </w:rPr>
        <w:t>包括人员经费、公用经费（定额）。其中，人员经费包括工资福利支出、对个人和家庭的补助。</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六、项目支出：</w:t>
      </w:r>
      <w:r>
        <w:rPr>
          <w:rFonts w:hint="eastAsia" w:ascii="仿宋" w:hAnsi="CIDFont+F4" w:eastAsia="仿宋" w:cs="Times New Roman"/>
          <w:b w:val="0"/>
          <w:bCs/>
          <w:color w:val="000000"/>
          <w:sz w:val="28"/>
          <w:szCs w:val="28"/>
          <w:lang w:eastAsia="zh-CN"/>
        </w:rPr>
        <w:t>部门</w:t>
      </w:r>
      <w:r>
        <w:rPr>
          <w:rFonts w:hint="eastAsia" w:ascii="仿宋" w:hAnsi="CIDFont+F4" w:eastAsia="仿宋" w:cs="Times New Roman"/>
          <w:b w:val="0"/>
          <w:bCs/>
          <w:color w:val="000000"/>
          <w:sz w:val="28"/>
          <w:szCs w:val="28"/>
          <w:lang w:val="en-US" w:eastAsia="zh-CN"/>
        </w:rPr>
        <w:t>（单位）</w:t>
      </w:r>
      <w:r>
        <w:rPr>
          <w:rFonts w:hint="eastAsia" w:ascii="仿宋" w:hAnsi="CIDFont+F4" w:eastAsia="仿宋" w:cs="Times New Roman"/>
          <w:b w:val="0"/>
          <w:bCs/>
          <w:color w:val="000000"/>
          <w:sz w:val="28"/>
          <w:szCs w:val="28"/>
        </w:rPr>
        <w:t>支出预算的组成部分，是</w:t>
      </w:r>
      <w:r>
        <w:rPr>
          <w:rFonts w:hint="eastAsia" w:ascii="仿宋" w:hAnsi="CIDFont+F4" w:eastAsia="仿宋" w:cs="Times New Roman"/>
          <w:b w:val="0"/>
          <w:bCs/>
          <w:color w:val="000000"/>
          <w:sz w:val="28"/>
          <w:szCs w:val="28"/>
          <w:lang w:val="en-US" w:eastAsia="zh-Hans"/>
        </w:rPr>
        <w:t>各</w:t>
      </w:r>
      <w:r>
        <w:rPr>
          <w:rFonts w:hint="eastAsia" w:ascii="仿宋" w:hAnsi="CIDFont+F4" w:eastAsia="仿宋" w:cs="Times New Roman"/>
          <w:b w:val="0"/>
          <w:bCs/>
          <w:color w:val="000000"/>
          <w:sz w:val="28"/>
          <w:szCs w:val="28"/>
          <w:lang w:eastAsia="zh-CN"/>
        </w:rPr>
        <w:t>部门</w:t>
      </w:r>
      <w:r>
        <w:rPr>
          <w:rFonts w:hint="eastAsia" w:ascii="仿宋" w:hAnsi="CIDFont+F4" w:eastAsia="仿宋" w:cs="Times New Roman"/>
          <w:b w:val="0"/>
          <w:bCs/>
          <w:color w:val="000000"/>
          <w:sz w:val="28"/>
          <w:szCs w:val="28"/>
        </w:rPr>
        <w:t>为完成其特定的行政任务或事业发展目标，在基本支出预算之外编制的年度项目支出计划。</w:t>
      </w:r>
    </w:p>
    <w:p>
      <w:pPr>
        <w:spacing w:line="560" w:lineRule="exact"/>
        <w:ind w:firstLine="562" w:firstLineChars="200"/>
        <w:rPr>
          <w:rFonts w:hint="eastAsia" w:ascii="仿宋" w:hAnsi="CIDFont+F4" w:eastAsia="仿宋" w:cs="Times New Roman"/>
          <w:b w:val="0"/>
          <w:bCs/>
          <w:color w:val="000000"/>
          <w:sz w:val="28"/>
          <w:szCs w:val="28"/>
        </w:rPr>
      </w:pPr>
      <w:r>
        <w:rPr>
          <w:rFonts w:hint="eastAsia" w:ascii="仿宋" w:hAnsi="CIDFont+F4" w:eastAsia="仿宋" w:cs="Times New Roman"/>
          <w:b/>
          <w:color w:val="000000"/>
          <w:sz w:val="28"/>
          <w:szCs w:val="28"/>
        </w:rPr>
        <w:t>七、“三公”经费：</w:t>
      </w:r>
      <w:r>
        <w:rPr>
          <w:rFonts w:hint="eastAsia" w:ascii="仿宋" w:hAnsi="CIDFont+F4" w:eastAsia="仿宋" w:cs="Times New Roman"/>
          <w:b w:val="0"/>
          <w:bCs/>
          <w:color w:val="000000"/>
          <w:sz w:val="28"/>
          <w:szCs w:val="28"/>
        </w:rPr>
        <w:t>指</w:t>
      </w:r>
      <w:r>
        <w:rPr>
          <w:rFonts w:hint="eastAsia" w:ascii="仿宋" w:hAnsi="CIDFont+F4" w:eastAsia="仿宋" w:cs="Times New Roman"/>
          <w:b w:val="0"/>
          <w:bCs/>
          <w:color w:val="000000"/>
          <w:sz w:val="28"/>
          <w:szCs w:val="28"/>
          <w:lang w:val="en-US" w:eastAsia="zh-CN"/>
        </w:rPr>
        <w:t>部门（单位）</w:t>
      </w:r>
      <w:r>
        <w:rPr>
          <w:rFonts w:hint="eastAsia" w:ascii="仿宋" w:hAnsi="CIDFont+F4" w:eastAsia="仿宋" w:cs="Times New Roman"/>
          <w:b w:val="0"/>
          <w:bCs/>
          <w:color w:val="000000"/>
          <w:sz w:val="28"/>
          <w:szCs w:val="28"/>
        </w:rPr>
        <w:t>因公出国（境）费、公务用车购置及运行维护费和公务接待费</w:t>
      </w:r>
      <w:r>
        <w:rPr>
          <w:rFonts w:hint="eastAsia" w:ascii="仿宋" w:hAnsi="CIDFont+F4" w:eastAsia="仿宋" w:cs="Times New Roman"/>
          <w:b w:val="0"/>
          <w:bCs/>
          <w:color w:val="000000"/>
          <w:sz w:val="28"/>
          <w:szCs w:val="28"/>
          <w:lang w:eastAsia="zh-CN"/>
        </w:rPr>
        <w:t>，</w:t>
      </w:r>
      <w:r>
        <w:rPr>
          <w:rFonts w:hint="eastAsia" w:ascii="仿宋" w:hAnsi="CIDFont+F4" w:eastAsia="仿宋" w:cs="Times New Roman"/>
          <w:b w:val="0"/>
          <w:bCs/>
          <w:color w:val="000000"/>
          <w:sz w:val="28"/>
          <w:szCs w:val="28"/>
        </w:rPr>
        <w:t>其中</w:t>
      </w:r>
      <w:r>
        <w:rPr>
          <w:rFonts w:hint="eastAsia" w:ascii="仿宋" w:hAnsi="CIDFont+F4" w:eastAsia="仿宋" w:cs="Times New Roman"/>
          <w:b w:val="0"/>
          <w:bCs/>
          <w:color w:val="000000"/>
          <w:sz w:val="28"/>
          <w:szCs w:val="28"/>
          <w:lang w:eastAsia="zh-CN"/>
        </w:rPr>
        <w:t>：</w:t>
      </w:r>
      <w:r>
        <w:rPr>
          <w:rFonts w:hint="eastAsia" w:ascii="仿宋" w:hAnsi="CIDFont+F4" w:eastAsia="仿宋" w:cs="Times New Roman"/>
          <w:b w:val="0"/>
          <w:bCs/>
          <w:color w:val="000000"/>
          <w:sz w:val="28"/>
          <w:szCs w:val="28"/>
        </w:rPr>
        <w:t>因公出国（境）费反映</w:t>
      </w:r>
      <w:r>
        <w:rPr>
          <w:rFonts w:hint="eastAsia" w:ascii="仿宋" w:hAnsi="CIDFont+F4" w:eastAsia="仿宋" w:cs="Times New Roman"/>
          <w:b w:val="0"/>
          <w:bCs/>
          <w:color w:val="000000"/>
          <w:sz w:val="28"/>
          <w:szCs w:val="28"/>
          <w:lang w:val="en-US" w:eastAsia="zh-CN"/>
        </w:rPr>
        <w:t>机关和参公事业单位公务出国（境）的国际旅费、国外城市间交通费、住宿费、伙食费、培训费、公杂费等支出</w:t>
      </w:r>
      <w:r>
        <w:rPr>
          <w:rFonts w:hint="eastAsia" w:ascii="仿宋" w:hAnsi="CIDFont+F4" w:eastAsia="仿宋" w:cs="Times New Roman"/>
          <w:b w:val="0"/>
          <w:bCs/>
          <w:color w:val="000000"/>
          <w:sz w:val="28"/>
          <w:szCs w:val="28"/>
        </w:rPr>
        <w:t>；</w:t>
      </w:r>
      <w:r>
        <w:rPr>
          <w:rFonts w:hint="eastAsia" w:ascii="仿宋" w:hAnsi="CIDFont+F4" w:eastAsia="仿宋" w:cs="Times New Roman"/>
          <w:b w:val="0"/>
          <w:bCs/>
          <w:color w:val="000000"/>
          <w:sz w:val="28"/>
          <w:szCs w:val="28"/>
          <w:lang w:val="en-US" w:eastAsia="zh-CN"/>
        </w:rPr>
        <w:t>公务用车购置反映机关和参公事业单位公务用车购置支出（含车辆购置税、牌照费）；</w:t>
      </w:r>
      <w:r>
        <w:rPr>
          <w:rFonts w:hint="eastAsia" w:ascii="仿宋" w:hAnsi="CIDFont+F4" w:eastAsia="仿宋" w:cs="Times New Roman"/>
          <w:b w:val="0"/>
          <w:bCs/>
          <w:color w:val="000000"/>
          <w:sz w:val="28"/>
          <w:szCs w:val="28"/>
        </w:rPr>
        <w:t>公务用车运行维护费反映</w:t>
      </w:r>
      <w:r>
        <w:rPr>
          <w:rFonts w:hint="eastAsia" w:ascii="仿宋" w:hAnsi="CIDFont+F4" w:eastAsia="仿宋" w:cs="Times New Roman"/>
          <w:b w:val="0"/>
          <w:bCs/>
          <w:color w:val="000000"/>
          <w:sz w:val="28"/>
          <w:szCs w:val="28"/>
          <w:lang w:val="en-US" w:eastAsia="zh-CN"/>
        </w:rPr>
        <w:t>机关和参公事业单位按规定保留的公务用车燃料费、新能源汽车充电费、维修费、过桥过路费、保险费、安全奖励费用等支出</w:t>
      </w:r>
      <w:r>
        <w:rPr>
          <w:rFonts w:hint="eastAsia" w:ascii="仿宋" w:hAnsi="CIDFont+F4" w:eastAsia="仿宋" w:cs="Times New Roman"/>
          <w:b w:val="0"/>
          <w:bCs/>
          <w:color w:val="000000"/>
          <w:sz w:val="28"/>
          <w:szCs w:val="28"/>
        </w:rPr>
        <w:t>；公务接待费反映</w:t>
      </w:r>
      <w:r>
        <w:rPr>
          <w:rFonts w:hint="eastAsia" w:ascii="仿宋" w:hAnsi="CIDFont+F4" w:eastAsia="仿宋" w:cs="Times New Roman"/>
          <w:b w:val="0"/>
          <w:bCs/>
          <w:color w:val="000000"/>
          <w:sz w:val="28"/>
          <w:szCs w:val="28"/>
          <w:lang w:val="en-US" w:eastAsia="zh-CN"/>
        </w:rPr>
        <w:t>机关和参公事业单位</w:t>
      </w:r>
      <w:r>
        <w:rPr>
          <w:rFonts w:hint="eastAsia" w:ascii="仿宋" w:hAnsi="CIDFont+F4" w:eastAsia="仿宋" w:cs="Times New Roman"/>
          <w:b w:val="0"/>
          <w:bCs/>
          <w:color w:val="000000"/>
          <w:sz w:val="28"/>
          <w:szCs w:val="28"/>
        </w:rPr>
        <w:t>按规定开支的各类公务接待（含外宾接待）</w:t>
      </w:r>
      <w:r>
        <w:rPr>
          <w:rFonts w:hint="eastAsia" w:ascii="仿宋" w:hAnsi="CIDFont+F4" w:eastAsia="仿宋" w:cs="Times New Roman"/>
          <w:b w:val="0"/>
          <w:bCs/>
          <w:color w:val="000000"/>
          <w:sz w:val="28"/>
          <w:szCs w:val="28"/>
          <w:lang w:val="en-US" w:eastAsia="zh-CN"/>
        </w:rPr>
        <w:t>费用</w:t>
      </w:r>
      <w:r>
        <w:rPr>
          <w:rFonts w:hint="eastAsia" w:ascii="仿宋" w:hAnsi="CIDFont+F4" w:eastAsia="仿宋" w:cs="Times New Roman"/>
          <w:b w:val="0"/>
          <w:bCs/>
          <w:color w:val="000000"/>
          <w:sz w:val="28"/>
          <w:szCs w:val="28"/>
        </w:rPr>
        <w:t>。</w:t>
      </w:r>
    </w:p>
    <w:p>
      <w:pPr>
        <w:spacing w:line="560" w:lineRule="exact"/>
        <w:ind w:firstLine="562" w:firstLineChars="200"/>
        <w:rPr>
          <w:rFonts w:hint="default" w:ascii="仿宋" w:hAnsi="CIDFont+F4" w:eastAsia="仿宋" w:cs="Times New Roman"/>
          <w:b w:val="0"/>
          <w:bCs/>
          <w:color w:val="000000"/>
          <w:sz w:val="28"/>
          <w:szCs w:val="28"/>
          <w:lang w:val="en-US" w:eastAsia="zh-CN"/>
        </w:rPr>
      </w:pPr>
      <w:r>
        <w:rPr>
          <w:rFonts w:hint="eastAsia" w:ascii="仿宋" w:hAnsi="CIDFont+F4" w:eastAsia="仿宋" w:cs="Times New Roman"/>
          <w:b/>
          <w:color w:val="000000"/>
          <w:sz w:val="28"/>
          <w:szCs w:val="28"/>
        </w:rPr>
        <w:t>八、机关运行经费：</w:t>
      </w:r>
      <w:r>
        <w:rPr>
          <w:rFonts w:hint="eastAsia" w:ascii="仿宋" w:hAnsi="CIDFont+F4" w:eastAsia="仿宋" w:cs="Times New Roman"/>
          <w:b w:val="0"/>
          <w:bCs/>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b w:val="0"/>
          <w:bCs/>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CIDFont+F6" w:eastAsia="仿宋" w:cs="Times New Roman"/>
          <w:color w:val="000000"/>
          <w:sz w:val="28"/>
          <w:szCs w:val="28"/>
          <w:lang w:eastAsia="zh-CN"/>
        </w:rPr>
      </w:pPr>
      <w:r>
        <w:rPr>
          <w:rFonts w:hint="eastAsia" w:ascii="仿宋_GB2312" w:hAnsi="宋体" w:eastAsia="仿宋_GB2312" w:cs="宋体"/>
          <w:kern w:val="0"/>
          <w:sz w:val="32"/>
          <w:szCs w:val="32"/>
          <w:highlight w:val="none"/>
        </w:rPr>
        <w:t xml:space="preserve">                      </w:t>
      </w:r>
      <w:r>
        <w:rPr>
          <w:rFonts w:hint="eastAsia" w:ascii="仿宋" w:hAnsi="CIDFont+F6" w:eastAsia="仿宋" w:cs="Times New Roman"/>
          <w:color w:val="000000"/>
          <w:sz w:val="28"/>
          <w:szCs w:val="28"/>
          <w:lang w:eastAsia="zh-CN"/>
        </w:rPr>
        <w:t>中共呼图壁县委员会宣传部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 w:hAnsi="CIDFont+F6" w:eastAsia="仿宋" w:cs="Times New Roman"/>
          <w:color w:val="000000"/>
          <w:sz w:val="28"/>
          <w:szCs w:val="28"/>
          <w:lang w:val="en-US" w:eastAsia="zh-CN"/>
        </w:rPr>
        <w:t>2025</w:t>
      </w:r>
      <w:r>
        <w:rPr>
          <w:rFonts w:hint="eastAsia" w:ascii="仿宋" w:hAnsi="CIDFont+F6" w:eastAsia="仿宋" w:cs="Times New Roman"/>
          <w:color w:val="000000"/>
          <w:sz w:val="28"/>
          <w:szCs w:val="28"/>
          <w:lang w:eastAsia="zh-CN"/>
        </w:rPr>
        <w:t>年</w:t>
      </w:r>
      <w:r>
        <w:rPr>
          <w:rFonts w:hint="eastAsia" w:ascii="仿宋" w:hAnsi="CIDFont+F6" w:eastAsia="仿宋" w:cs="Times New Roman"/>
          <w:color w:val="000000"/>
          <w:sz w:val="28"/>
          <w:szCs w:val="28"/>
          <w:lang w:val="en-US" w:eastAsia="zh-CN"/>
        </w:rPr>
        <w:t>2</w:t>
      </w:r>
      <w:r>
        <w:rPr>
          <w:rFonts w:hint="eastAsia" w:ascii="仿宋" w:hAnsi="CIDFont+F6" w:eastAsia="仿宋" w:cs="Times New Roman"/>
          <w:color w:val="000000"/>
          <w:sz w:val="28"/>
          <w:szCs w:val="28"/>
          <w:lang w:eastAsia="zh-CN"/>
        </w:rPr>
        <w:t>月</w:t>
      </w:r>
      <w:r>
        <w:rPr>
          <w:rFonts w:hint="eastAsia" w:ascii="仿宋" w:hAnsi="CIDFont+F6" w:eastAsia="仿宋" w:cs="Times New Roman"/>
          <w:color w:val="000000"/>
          <w:sz w:val="28"/>
          <w:szCs w:val="28"/>
          <w:lang w:val="en-US" w:eastAsia="zh-CN"/>
        </w:rPr>
        <w:t>12</w:t>
      </w:r>
      <w:r>
        <w:rPr>
          <w:rFonts w:hint="eastAsia" w:ascii="仿宋" w:hAnsi="CIDFont+F6" w:eastAsia="仿宋" w:cs="Times New Roman"/>
          <w:color w:val="000000"/>
          <w:sz w:val="28"/>
          <w:szCs w:val="28"/>
          <w:lang w:eastAsia="zh-CN"/>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E"/>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ArialUnicodeMS">
    <w:altName w:val="Times New Roman"/>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IDFont+F4">
    <w:altName w:val="Times New Roman"/>
    <w:panose1 w:val="00000000000000000000"/>
    <w:charset w:val="00"/>
    <w:family w:val="auto"/>
    <w:pitch w:val="default"/>
    <w:sig w:usb0="00000000" w:usb1="00000000" w:usb2="00000000" w:usb3="00000000" w:csb0="00000000" w:csb1="00000000"/>
  </w:font>
  <w:font w:name="CIDFont+F6">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- 1 -</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p>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8"/>
                    </w:pPr>
                  </w:p>
                  <w:p>
                    <w:pPr>
                      <w:pStyle w:val="8"/>
                    </w:pPr>
                    <w:r>
                      <w:fldChar w:fldCharType="begin"/>
                    </w:r>
                    <w:r>
                      <w:instrText xml:space="preserve"> PAGE  \* MERGEFORMAT </w:instrText>
                    </w:r>
                    <w:r>
                      <w:fldChar w:fldCharType="separate"/>
                    </w:r>
                    <w:r>
                      <w:t>4</w:t>
                    </w:r>
                    <w:r>
                      <w:fldChar w:fldCharType="end"/>
                    </w:r>
                  </w:p>
                </w:txbxContent>
              </v:textbox>
            </v:shape>
          </w:pict>
        </mc:Fallback>
      </mc:AlternateContent>
    </w:r>
  </w:p>
  <w:p>
    <w:pPr>
      <w:pStyle w:val="8"/>
      <w:jc w:val="right"/>
      <w:rPr>
        <w:rFonts w:ascii="宋体" w:hAnsi="宋体" w:eastAsia="宋体"/>
        <w:sz w:val="28"/>
        <w:szCs w:val="28"/>
      </w:rPr>
    </w:pP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732CD0"/>
    <w:rsid w:val="00E41A1F"/>
    <w:rsid w:val="017B2F92"/>
    <w:rsid w:val="01A251BB"/>
    <w:rsid w:val="020E507E"/>
    <w:rsid w:val="02732F8E"/>
    <w:rsid w:val="02B86BE2"/>
    <w:rsid w:val="02CB7F49"/>
    <w:rsid w:val="037800D1"/>
    <w:rsid w:val="038012CE"/>
    <w:rsid w:val="04267087"/>
    <w:rsid w:val="04267B2D"/>
    <w:rsid w:val="044C330C"/>
    <w:rsid w:val="04B55E47"/>
    <w:rsid w:val="04EB0842"/>
    <w:rsid w:val="05397FD9"/>
    <w:rsid w:val="057A487B"/>
    <w:rsid w:val="057A5F58"/>
    <w:rsid w:val="058948B4"/>
    <w:rsid w:val="059B3DB5"/>
    <w:rsid w:val="05CA273A"/>
    <w:rsid w:val="070E6657"/>
    <w:rsid w:val="0785151D"/>
    <w:rsid w:val="080E3E4F"/>
    <w:rsid w:val="084451C2"/>
    <w:rsid w:val="08450B28"/>
    <w:rsid w:val="08762705"/>
    <w:rsid w:val="088F5575"/>
    <w:rsid w:val="08E81855"/>
    <w:rsid w:val="09B1624A"/>
    <w:rsid w:val="09D7525B"/>
    <w:rsid w:val="0A4168EC"/>
    <w:rsid w:val="0AD672A7"/>
    <w:rsid w:val="0B247F12"/>
    <w:rsid w:val="0B46538C"/>
    <w:rsid w:val="0B7C3034"/>
    <w:rsid w:val="0B841FFD"/>
    <w:rsid w:val="0BD56A2F"/>
    <w:rsid w:val="0C0A3890"/>
    <w:rsid w:val="0C105847"/>
    <w:rsid w:val="0C3367E1"/>
    <w:rsid w:val="0CD20198"/>
    <w:rsid w:val="0CEC568C"/>
    <w:rsid w:val="0D6E5FD0"/>
    <w:rsid w:val="0E320E7D"/>
    <w:rsid w:val="0E9208E7"/>
    <w:rsid w:val="0EBD0D7F"/>
    <w:rsid w:val="0F416AE4"/>
    <w:rsid w:val="0FC3664F"/>
    <w:rsid w:val="104F2E4F"/>
    <w:rsid w:val="10587512"/>
    <w:rsid w:val="105D0E37"/>
    <w:rsid w:val="10916BDA"/>
    <w:rsid w:val="11036B00"/>
    <w:rsid w:val="1112244F"/>
    <w:rsid w:val="11301FEB"/>
    <w:rsid w:val="11B6451D"/>
    <w:rsid w:val="121E62E8"/>
    <w:rsid w:val="124E1097"/>
    <w:rsid w:val="130C4781"/>
    <w:rsid w:val="167C7BC2"/>
    <w:rsid w:val="1697741D"/>
    <w:rsid w:val="16E148EB"/>
    <w:rsid w:val="19A215AC"/>
    <w:rsid w:val="1A132B78"/>
    <w:rsid w:val="1AC437A4"/>
    <w:rsid w:val="1B153D26"/>
    <w:rsid w:val="1B2E0584"/>
    <w:rsid w:val="1BEB54C3"/>
    <w:rsid w:val="1C3C6084"/>
    <w:rsid w:val="1C872CDB"/>
    <w:rsid w:val="1C8C02F2"/>
    <w:rsid w:val="1D3E1AFE"/>
    <w:rsid w:val="1D9336EB"/>
    <w:rsid w:val="1E0B4BF0"/>
    <w:rsid w:val="1E6432D4"/>
    <w:rsid w:val="1E89232D"/>
    <w:rsid w:val="1EAD4BE7"/>
    <w:rsid w:val="1EB61656"/>
    <w:rsid w:val="1F6C3E55"/>
    <w:rsid w:val="20407429"/>
    <w:rsid w:val="20CF3CE4"/>
    <w:rsid w:val="20DD55C0"/>
    <w:rsid w:val="21365394"/>
    <w:rsid w:val="21851752"/>
    <w:rsid w:val="223728B2"/>
    <w:rsid w:val="226E6C73"/>
    <w:rsid w:val="22922CB8"/>
    <w:rsid w:val="22DB78DD"/>
    <w:rsid w:val="22E61751"/>
    <w:rsid w:val="238826AD"/>
    <w:rsid w:val="244D65B8"/>
    <w:rsid w:val="2471282D"/>
    <w:rsid w:val="2492221D"/>
    <w:rsid w:val="24B42D8E"/>
    <w:rsid w:val="250855AF"/>
    <w:rsid w:val="258B383C"/>
    <w:rsid w:val="25F35B50"/>
    <w:rsid w:val="263B7010"/>
    <w:rsid w:val="26B4291F"/>
    <w:rsid w:val="26BD282A"/>
    <w:rsid w:val="26E769FA"/>
    <w:rsid w:val="276121F0"/>
    <w:rsid w:val="286D65BC"/>
    <w:rsid w:val="288F421B"/>
    <w:rsid w:val="28D9041B"/>
    <w:rsid w:val="293B2E83"/>
    <w:rsid w:val="293D2FBC"/>
    <w:rsid w:val="2A0D6C0A"/>
    <w:rsid w:val="2A1B7225"/>
    <w:rsid w:val="2AFC4894"/>
    <w:rsid w:val="2B3A05DE"/>
    <w:rsid w:val="2B6901C6"/>
    <w:rsid w:val="2D480265"/>
    <w:rsid w:val="2D977453"/>
    <w:rsid w:val="2DC367B0"/>
    <w:rsid w:val="2E2943BA"/>
    <w:rsid w:val="2EF22236"/>
    <w:rsid w:val="2F193507"/>
    <w:rsid w:val="2F533D12"/>
    <w:rsid w:val="2FAF3347"/>
    <w:rsid w:val="2FED29FE"/>
    <w:rsid w:val="300E1D4A"/>
    <w:rsid w:val="30B05F05"/>
    <w:rsid w:val="31061FC9"/>
    <w:rsid w:val="310F3573"/>
    <w:rsid w:val="32D560F7"/>
    <w:rsid w:val="32EC3FEC"/>
    <w:rsid w:val="33A76F60"/>
    <w:rsid w:val="341E7629"/>
    <w:rsid w:val="34540805"/>
    <w:rsid w:val="35216F4D"/>
    <w:rsid w:val="35F117C8"/>
    <w:rsid w:val="3607629B"/>
    <w:rsid w:val="36461BDE"/>
    <w:rsid w:val="369110B2"/>
    <w:rsid w:val="37A45917"/>
    <w:rsid w:val="38284F1B"/>
    <w:rsid w:val="39B0409D"/>
    <w:rsid w:val="3BE45FB7"/>
    <w:rsid w:val="3BF21AC7"/>
    <w:rsid w:val="3C013037"/>
    <w:rsid w:val="3D437887"/>
    <w:rsid w:val="3D7D423E"/>
    <w:rsid w:val="3E461BCD"/>
    <w:rsid w:val="3FDF4D23"/>
    <w:rsid w:val="3FFE3893"/>
    <w:rsid w:val="400233E9"/>
    <w:rsid w:val="401D15BF"/>
    <w:rsid w:val="41083B3B"/>
    <w:rsid w:val="410D4CCD"/>
    <w:rsid w:val="41270465"/>
    <w:rsid w:val="41DB2FFE"/>
    <w:rsid w:val="428D0572"/>
    <w:rsid w:val="42F779C3"/>
    <w:rsid w:val="43502DA9"/>
    <w:rsid w:val="43C26223"/>
    <w:rsid w:val="43D8307E"/>
    <w:rsid w:val="44507CD3"/>
    <w:rsid w:val="446103F9"/>
    <w:rsid w:val="44997ADF"/>
    <w:rsid w:val="44AF5181"/>
    <w:rsid w:val="455A018C"/>
    <w:rsid w:val="4590612D"/>
    <w:rsid w:val="45B408EB"/>
    <w:rsid w:val="46B02CAB"/>
    <w:rsid w:val="46CE3131"/>
    <w:rsid w:val="47735FCE"/>
    <w:rsid w:val="47BF2105"/>
    <w:rsid w:val="48033854"/>
    <w:rsid w:val="493059DD"/>
    <w:rsid w:val="494F7907"/>
    <w:rsid w:val="4ADF73DC"/>
    <w:rsid w:val="4B1B26BD"/>
    <w:rsid w:val="4B315A3D"/>
    <w:rsid w:val="4C0055E5"/>
    <w:rsid w:val="4C1936DB"/>
    <w:rsid w:val="4C3677AE"/>
    <w:rsid w:val="4C674A76"/>
    <w:rsid w:val="4C706B3A"/>
    <w:rsid w:val="4C9121DC"/>
    <w:rsid w:val="4E3528C7"/>
    <w:rsid w:val="4F3B332E"/>
    <w:rsid w:val="4FA62177"/>
    <w:rsid w:val="51C15CED"/>
    <w:rsid w:val="52285DEB"/>
    <w:rsid w:val="525D0D9B"/>
    <w:rsid w:val="52AD62F0"/>
    <w:rsid w:val="5305229D"/>
    <w:rsid w:val="53A94D0A"/>
    <w:rsid w:val="546308FE"/>
    <w:rsid w:val="54922ECD"/>
    <w:rsid w:val="54CD74CA"/>
    <w:rsid w:val="55A044FD"/>
    <w:rsid w:val="56FE59C9"/>
    <w:rsid w:val="570D735E"/>
    <w:rsid w:val="571B2674"/>
    <w:rsid w:val="579E7148"/>
    <w:rsid w:val="589917F1"/>
    <w:rsid w:val="58C830A3"/>
    <w:rsid w:val="592145B9"/>
    <w:rsid w:val="593C45C4"/>
    <w:rsid w:val="59A60812"/>
    <w:rsid w:val="59B241EC"/>
    <w:rsid w:val="5A161CA8"/>
    <w:rsid w:val="5A5E27F6"/>
    <w:rsid w:val="5A704801"/>
    <w:rsid w:val="5A8C5E4D"/>
    <w:rsid w:val="5AED2A9A"/>
    <w:rsid w:val="5C201030"/>
    <w:rsid w:val="5D2E4F87"/>
    <w:rsid w:val="5D4D50B9"/>
    <w:rsid w:val="5D9302F4"/>
    <w:rsid w:val="5D9E1657"/>
    <w:rsid w:val="5E225DE5"/>
    <w:rsid w:val="5E257683"/>
    <w:rsid w:val="5E7802BC"/>
    <w:rsid w:val="5EB94577"/>
    <w:rsid w:val="5EE078B0"/>
    <w:rsid w:val="5F0D5523"/>
    <w:rsid w:val="5F2346ED"/>
    <w:rsid w:val="60EE661A"/>
    <w:rsid w:val="61086613"/>
    <w:rsid w:val="611A5952"/>
    <w:rsid w:val="612E0F92"/>
    <w:rsid w:val="61311D71"/>
    <w:rsid w:val="61686204"/>
    <w:rsid w:val="62917095"/>
    <w:rsid w:val="630E06E5"/>
    <w:rsid w:val="63937C6D"/>
    <w:rsid w:val="6408782B"/>
    <w:rsid w:val="65251F01"/>
    <w:rsid w:val="65322CBF"/>
    <w:rsid w:val="65B35574"/>
    <w:rsid w:val="65C658ED"/>
    <w:rsid w:val="666508AC"/>
    <w:rsid w:val="671B29F3"/>
    <w:rsid w:val="68C20303"/>
    <w:rsid w:val="68CC52CB"/>
    <w:rsid w:val="68DE4FFE"/>
    <w:rsid w:val="691B0000"/>
    <w:rsid w:val="694B58D7"/>
    <w:rsid w:val="69CE4E15"/>
    <w:rsid w:val="6AD77F57"/>
    <w:rsid w:val="6B347990"/>
    <w:rsid w:val="6B3E7E06"/>
    <w:rsid w:val="6B7F3246"/>
    <w:rsid w:val="6BF904A6"/>
    <w:rsid w:val="6C6372B5"/>
    <w:rsid w:val="6CB5251A"/>
    <w:rsid w:val="6CD429A0"/>
    <w:rsid w:val="6D8166EB"/>
    <w:rsid w:val="6EF07839"/>
    <w:rsid w:val="6F63000B"/>
    <w:rsid w:val="6FCF0C72"/>
    <w:rsid w:val="70AE0926"/>
    <w:rsid w:val="70C12509"/>
    <w:rsid w:val="71500A63"/>
    <w:rsid w:val="717C1858"/>
    <w:rsid w:val="71D05492"/>
    <w:rsid w:val="72083853"/>
    <w:rsid w:val="72B56DCF"/>
    <w:rsid w:val="72E964BC"/>
    <w:rsid w:val="735C7C42"/>
    <w:rsid w:val="73FB346A"/>
    <w:rsid w:val="74150381"/>
    <w:rsid w:val="74D07EF1"/>
    <w:rsid w:val="75B570E6"/>
    <w:rsid w:val="75BF3AC1"/>
    <w:rsid w:val="76680B4D"/>
    <w:rsid w:val="76B30C4A"/>
    <w:rsid w:val="7706409E"/>
    <w:rsid w:val="77237C27"/>
    <w:rsid w:val="7797777E"/>
    <w:rsid w:val="7801148A"/>
    <w:rsid w:val="780A1873"/>
    <w:rsid w:val="787D11B8"/>
    <w:rsid w:val="78A771BA"/>
    <w:rsid w:val="78AC6820"/>
    <w:rsid w:val="792C5912"/>
    <w:rsid w:val="795124C5"/>
    <w:rsid w:val="7AD00398"/>
    <w:rsid w:val="7CBA4FE2"/>
    <w:rsid w:val="7D06612B"/>
    <w:rsid w:val="7D8620CE"/>
    <w:rsid w:val="7E880152"/>
    <w:rsid w:val="7E8B30DA"/>
    <w:rsid w:val="7F2A4366"/>
    <w:rsid w:val="7F5C772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5">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7">
    <w:name w:val="annotation text"/>
    <w:basedOn w:val="1"/>
    <w:qFormat/>
    <w:uiPriority w:val="0"/>
    <w:pPr>
      <w:jc w:val="left"/>
    </w:pPr>
  </w:style>
  <w:style w:type="paragraph" w:styleId="8">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note text"/>
    <w:basedOn w:val="1"/>
    <w:qFormat/>
    <w:uiPriority w:val="0"/>
    <w:pPr>
      <w:snapToGrid w:val="0"/>
      <w:jc w:val="left"/>
    </w:pPr>
    <w:rPr>
      <w:sz w:val="18"/>
    </w:r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11"/>
    <w:basedOn w:val="14"/>
    <w:qFormat/>
    <w:uiPriority w:val="0"/>
    <w:rPr>
      <w:rFonts w:hint="eastAsia" w:ascii="宋体" w:hAnsi="宋体" w:eastAsia="宋体" w:cs="宋体"/>
      <w:color w:val="000000"/>
      <w:sz w:val="24"/>
      <w:szCs w:val="24"/>
      <w:u w:val="none"/>
    </w:rPr>
  </w:style>
  <w:style w:type="character" w:customStyle="1" w:styleId="16">
    <w:name w:val="font51"/>
    <w:basedOn w:val="14"/>
    <w:qFormat/>
    <w:uiPriority w:val="0"/>
    <w:rPr>
      <w:rFonts w:hint="default" w:ascii="Times New Roman" w:hAnsi="Times New Roman" w:cs="Times New Roman"/>
      <w:color w:val="000000"/>
      <w:sz w:val="24"/>
      <w:szCs w:val="24"/>
      <w:u w:val="none"/>
    </w:rPr>
  </w:style>
  <w:style w:type="paragraph" w:customStyle="1" w:styleId="1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1610</Words>
  <Characters>1670</Characters>
  <Lines>0</Lines>
  <Paragraphs>0</Paragraphs>
  <TotalTime>22</TotalTime>
  <ScaleCrop>false</ScaleCrop>
  <LinksUpToDate>false</LinksUpToDate>
  <CharactersWithSpaces>1737</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2025-07-16T14:05:15Z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C83B460F37E54752B2877844E2E4E4D9_13</vt:lpwstr>
  </property>
  <property fmtid="{D5CDD505-2E9C-101B-9397-08002B2CF9AE}" pid="4" name="KSOTemplateDocerSaveRecord">
    <vt:lpwstr>eyJoZGlkIjoiN2EyMTIxNTJlMjY2NjM5NjdjYmYwZjVhYjA4ZGEwODEiLCJ1c2VySWQiOiI0MjYzNjAxNTMifQ==</vt:lpwstr>
  </property>
</Properties>
</file>