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昌吉州青少年示范性综合实践基地服务中心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2025年部门预算公开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default" w:ascii="黑体" w:hAnsi="黑体" w:eastAsia="黑体"/>
          <w:color w:val="auto"/>
          <w:kern w:val="0"/>
          <w:sz w:val="36"/>
          <w:szCs w:val="32"/>
          <w:highlight w:val="none"/>
          <w:lang w:val="en-US" w:eastAsia="zh-CN"/>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宋体" w:eastAsia="仿宋_GB2312"/>
          <w:b/>
          <w:color w:val="auto"/>
          <w:kern w:val="0"/>
          <w:sz w:val="32"/>
          <w:szCs w:val="32"/>
        </w:rPr>
        <w:t>昌吉州青少年示范性综合实践基地</w:t>
      </w:r>
      <w:r>
        <w:rPr>
          <w:rFonts w:hint="eastAsia" w:ascii="仿宋_GB2312" w:hAnsi="宋体" w:eastAsia="仿宋_GB2312"/>
          <w:b/>
          <w:color w:val="auto"/>
          <w:kern w:val="0"/>
          <w:sz w:val="32"/>
          <w:szCs w:val="32"/>
          <w:lang w:val="en-US" w:eastAsia="zh-CN"/>
        </w:rPr>
        <w:t>服务</w:t>
      </w:r>
      <w:r>
        <w:rPr>
          <w:rFonts w:hint="eastAsia" w:ascii="仿宋_GB2312" w:hAnsi="宋体" w:eastAsia="仿宋_GB2312"/>
          <w:b/>
          <w:color w:val="auto"/>
          <w:kern w:val="0"/>
          <w:sz w:val="32"/>
          <w:szCs w:val="32"/>
        </w:rPr>
        <w:t>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both"/>
        <w:textAlignment w:val="auto"/>
        <w:outlineLvl w:val="1"/>
        <w:rPr>
          <w:rFonts w:hint="eastAsia" w:ascii="仿宋_GB2312" w:hAnsi="宋体" w:eastAsia="仿宋_GB2312"/>
          <w:b/>
          <w:color w:val="auto"/>
          <w:kern w:val="0"/>
          <w:sz w:val="28"/>
          <w:szCs w:val="28"/>
        </w:rPr>
      </w:pP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28"/>
          <w:szCs w:val="28"/>
          <w:highlight w:val="none"/>
          <w:lang w:val="en-US" w:eastAsia="zh-CN"/>
        </w:rPr>
        <w:t>2</w:t>
      </w:r>
      <w:r>
        <w:rPr>
          <w:rFonts w:hint="eastAsia" w:ascii="仿宋_GB2312" w:hAnsi="仿宋_GB2312" w:eastAsia="仿宋_GB2312" w:cs="仿宋_GB2312"/>
          <w:b/>
          <w:color w:val="auto"/>
          <w:kern w:val="0"/>
          <w:sz w:val="28"/>
          <w:szCs w:val="28"/>
          <w:highlight w:val="none"/>
          <w:lang w:eastAsia="zh-CN"/>
        </w:rPr>
        <w:t>02</w:t>
      </w:r>
      <w:r>
        <w:rPr>
          <w:rFonts w:hint="eastAsia" w:ascii="仿宋_GB2312" w:hAnsi="仿宋_GB2312" w:eastAsia="仿宋_GB2312" w:cs="仿宋_GB2312"/>
          <w:b/>
          <w:color w:val="auto"/>
          <w:kern w:val="0"/>
          <w:sz w:val="28"/>
          <w:szCs w:val="28"/>
          <w:highlight w:val="none"/>
          <w:lang w:val="en-US" w:eastAsia="zh-CN"/>
        </w:rPr>
        <w:t>5</w:t>
      </w:r>
      <w:r>
        <w:rPr>
          <w:rFonts w:hint="eastAsia" w:ascii="仿宋_GB2312" w:hAnsi="仿宋_GB2312" w:eastAsia="仿宋_GB2312" w:cs="仿宋_GB2312"/>
          <w:b/>
          <w:color w:val="auto"/>
          <w:kern w:val="0"/>
          <w:sz w:val="28"/>
          <w:szCs w:val="28"/>
          <w:highlight w:val="none"/>
          <w:lang w:eastAsia="zh-CN"/>
        </w:rPr>
        <w:t>年</w:t>
      </w:r>
      <w:r>
        <w:rPr>
          <w:rFonts w:hint="eastAsia" w:ascii="仿宋_GB2312" w:hAnsi="宋体" w:eastAsia="仿宋_GB2312"/>
          <w:b/>
          <w:color w:val="auto"/>
          <w:kern w:val="0"/>
          <w:sz w:val="28"/>
          <w:szCs w:val="28"/>
        </w:rPr>
        <w:t>昌吉州青少年示范性综合实践基地</w:t>
      </w:r>
      <w:r>
        <w:rPr>
          <w:rFonts w:hint="eastAsia" w:ascii="仿宋_GB2312" w:hAnsi="宋体" w:eastAsia="仿宋_GB2312"/>
          <w:b/>
          <w:color w:val="auto"/>
          <w:kern w:val="0"/>
          <w:sz w:val="28"/>
          <w:szCs w:val="28"/>
          <w:lang w:val="en-US" w:eastAsia="zh-CN"/>
        </w:rPr>
        <w:t>服务</w:t>
      </w:r>
      <w:r>
        <w:rPr>
          <w:rFonts w:hint="eastAsia" w:ascii="仿宋_GB2312" w:hAnsi="宋体" w:eastAsia="仿宋_GB2312"/>
          <w:b/>
          <w:color w:val="auto"/>
          <w:kern w:val="0"/>
          <w:sz w:val="28"/>
          <w:szCs w:val="28"/>
        </w:rPr>
        <w:t>中心</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28"/>
          <w:szCs w:val="28"/>
          <w:highlight w:val="none"/>
        </w:rPr>
      </w:pPr>
      <w:r>
        <w:rPr>
          <w:rFonts w:hint="eastAsia" w:ascii="仿宋_GB2312" w:hAnsi="宋体" w:eastAsia="仿宋_GB2312"/>
          <w:b/>
          <w:color w:val="auto"/>
          <w:kern w:val="0"/>
          <w:sz w:val="28"/>
          <w:szCs w:val="28"/>
          <w:lang w:eastAsia="zh-CN"/>
        </w:rPr>
        <w:t>部门</w:t>
      </w:r>
      <w:r>
        <w:rPr>
          <w:rFonts w:hint="eastAsia" w:ascii="仿宋_GB2312" w:hAnsi="宋体" w:eastAsia="仿宋_GB2312"/>
          <w:b/>
          <w:color w:val="auto"/>
          <w:kern w:val="0"/>
          <w:sz w:val="28"/>
          <w:szCs w:val="28"/>
        </w:rPr>
        <w:t>概</w:t>
      </w:r>
      <w:r>
        <w:rPr>
          <w:rFonts w:hint="eastAsia" w:ascii="黑体" w:hAnsi="黑体" w:eastAsia="黑体"/>
          <w:color w:val="auto"/>
          <w:kern w:val="0"/>
          <w:sz w:val="28"/>
          <w:szCs w:val="28"/>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560" w:lineRule="exact"/>
        <w:ind w:firstLine="640" w:firstLineChars="200"/>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 w:hAnsi="仿宋" w:eastAsia="仿宋" w:cs="仿宋_GB2312"/>
          <w:color w:val="auto"/>
          <w:kern w:val="0"/>
          <w:sz w:val="32"/>
          <w:szCs w:val="32"/>
          <w:shd w:val="clear" w:color="auto" w:fill="FFFFFF"/>
          <w:lang w:bidi="ar"/>
        </w:rPr>
        <w:t>负责昌吉州、呼图壁周边县市小学综合实践活动的组织、协调和服务保障工作</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开展学工、学农、学军、科普和技术创新教育、生命安全教育、环保和可持续发展教育等综合实践教育活动</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管理和指导呼图壁县和周边县市各中小学开展社会实践活动</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 xml:space="preserve">负责实践课程资源的开发、教材的选定或编写以及活动项目实施规程的制定和实践效果评估等工作。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color w:val="auto"/>
          <w:kern w:val="0"/>
          <w:sz w:val="32"/>
          <w:szCs w:val="32"/>
        </w:rPr>
      </w:pPr>
      <w:r>
        <w:rPr>
          <w:rFonts w:hint="eastAsia" w:ascii="仿宋" w:hAnsi="仿宋" w:eastAsia="仿宋" w:cs="仿宋"/>
          <w:bCs/>
          <w:color w:val="auto"/>
          <w:sz w:val="32"/>
          <w:szCs w:val="32"/>
        </w:rPr>
        <w:t>昌吉州青少年示范性综合实践基地</w:t>
      </w:r>
      <w:r>
        <w:rPr>
          <w:rFonts w:hint="eastAsia" w:ascii="仿宋" w:hAnsi="仿宋" w:eastAsia="仿宋" w:cs="仿宋"/>
          <w:bCs/>
          <w:color w:val="auto"/>
          <w:sz w:val="32"/>
          <w:szCs w:val="32"/>
          <w:lang w:val="en-US" w:eastAsia="zh-CN"/>
        </w:rPr>
        <w:t>服务</w:t>
      </w:r>
      <w:r>
        <w:rPr>
          <w:rFonts w:hint="eastAsia" w:ascii="仿宋" w:hAnsi="仿宋" w:eastAsia="仿宋" w:cs="仿宋"/>
          <w:bCs/>
          <w:color w:val="auto"/>
          <w:sz w:val="32"/>
          <w:szCs w:val="32"/>
        </w:rPr>
        <w:t>中心</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4</w:t>
      </w:r>
      <w:r>
        <w:rPr>
          <w:rFonts w:hint="eastAsia" w:ascii="仿宋_GB2312" w:hAnsi="黑体" w:eastAsia="仿宋_GB2312" w:cs="宋体"/>
          <w:bCs/>
          <w:color w:val="auto"/>
          <w:kern w:val="0"/>
          <w:sz w:val="32"/>
          <w:szCs w:val="32"/>
        </w:rPr>
        <w:t>个处室，分别是：</w:t>
      </w:r>
      <w:r>
        <w:rPr>
          <w:rFonts w:hint="eastAsia" w:ascii="仿宋_GB2312" w:hAnsi="宋体" w:eastAsia="仿宋_GB2312" w:cs="宋体"/>
          <w:color w:val="auto"/>
          <w:kern w:val="0"/>
          <w:sz w:val="32"/>
          <w:szCs w:val="32"/>
        </w:rPr>
        <w:t>综合办公</w:t>
      </w:r>
      <w:r>
        <w:rPr>
          <w:rFonts w:hint="eastAsia" w:ascii="仿宋_GB2312" w:hAnsi="宋体" w:eastAsia="仿宋_GB2312" w:cs="宋体"/>
          <w:color w:val="auto"/>
          <w:kern w:val="0"/>
          <w:sz w:val="32"/>
          <w:szCs w:val="32"/>
          <w:lang w:eastAsia="zh-CN"/>
        </w:rPr>
        <w:t>室、教务处、</w:t>
      </w:r>
      <w:r>
        <w:rPr>
          <w:rFonts w:hint="eastAsia" w:ascii="仿宋_GB2312" w:hAnsi="宋体" w:eastAsia="仿宋_GB2312" w:cs="宋体"/>
          <w:color w:val="auto"/>
          <w:kern w:val="0"/>
          <w:sz w:val="32"/>
          <w:szCs w:val="32"/>
        </w:rPr>
        <w:t>总务室、</w:t>
      </w:r>
      <w:r>
        <w:rPr>
          <w:rFonts w:hint="eastAsia" w:ascii="仿宋_GB2312" w:hAnsi="宋体" w:eastAsia="仿宋_GB2312" w:cs="宋体"/>
          <w:color w:val="auto"/>
          <w:kern w:val="0"/>
          <w:sz w:val="32"/>
          <w:szCs w:val="32"/>
          <w:lang w:val="en-US" w:eastAsia="zh-CN"/>
        </w:rPr>
        <w:t>安全办</w:t>
      </w:r>
      <w:r>
        <w:rPr>
          <w:rFonts w:hint="eastAsia" w:ascii="仿宋_GB2312" w:hAnsi="宋体" w:eastAsia="仿宋_GB2312" w:cs="宋体"/>
          <w:color w:val="auto"/>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 w:hAnsi="仿宋" w:eastAsia="仿宋" w:cs="仿宋"/>
          <w:bCs/>
          <w:color w:val="auto"/>
          <w:sz w:val="32"/>
          <w:szCs w:val="32"/>
        </w:rPr>
        <w:t>昌吉州青少年示范性综合实践基地</w:t>
      </w:r>
      <w:r>
        <w:rPr>
          <w:rFonts w:hint="eastAsia" w:ascii="仿宋" w:hAnsi="仿宋" w:eastAsia="仿宋" w:cs="仿宋"/>
          <w:bCs/>
          <w:color w:val="auto"/>
          <w:sz w:val="32"/>
          <w:szCs w:val="32"/>
          <w:lang w:val="en-US" w:eastAsia="zh-CN"/>
        </w:rPr>
        <w:t>服务</w:t>
      </w:r>
      <w:r>
        <w:rPr>
          <w:rFonts w:hint="eastAsia" w:ascii="仿宋" w:hAnsi="仿宋" w:eastAsia="仿宋" w:cs="仿宋"/>
          <w:bCs/>
          <w:color w:val="auto"/>
          <w:sz w:val="32"/>
          <w:szCs w:val="32"/>
        </w:rPr>
        <w:t>中心</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8人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编制</w:t>
      </w:r>
      <w:r>
        <w:rPr>
          <w:rFonts w:hint="eastAsia" w:ascii="仿宋_GB2312" w:hAnsi="宋体" w:eastAsia="仿宋_GB2312" w:cs="宋体"/>
          <w:color w:val="auto"/>
          <w:kern w:val="0"/>
          <w:sz w:val="18"/>
          <w:szCs w:val="18"/>
          <w:highlight w:val="none"/>
          <w:shd w:val="clear" w:color="auto" w:fill="auto"/>
          <w:lang w:eastAsia="zh-CN"/>
        </w:rPr>
        <w:t>部门</w:t>
      </w:r>
      <w:r>
        <w:rPr>
          <w:rFonts w:hint="eastAsia" w:ascii="仿宋_GB2312" w:hAnsi="宋体" w:eastAsia="仿宋_GB2312" w:cs="宋体"/>
          <w:color w:val="auto"/>
          <w:kern w:val="0"/>
          <w:sz w:val="18"/>
          <w:szCs w:val="18"/>
          <w:highlight w:val="none"/>
          <w:shd w:val="clear" w:color="auto" w:fill="auto"/>
        </w:rPr>
        <w:t>：昌吉州青少年示范性综合实践基地</w:t>
      </w:r>
      <w:r>
        <w:rPr>
          <w:rFonts w:hint="eastAsia" w:ascii="仿宋_GB2312" w:hAnsi="宋体" w:eastAsia="仿宋_GB2312" w:cs="宋体"/>
          <w:color w:val="auto"/>
          <w:kern w:val="0"/>
          <w:sz w:val="18"/>
          <w:szCs w:val="18"/>
          <w:highlight w:val="none"/>
          <w:shd w:val="clear" w:color="auto" w:fill="auto"/>
          <w:lang w:val="en-US" w:eastAsia="zh-CN"/>
        </w:rPr>
        <w:t>服务</w:t>
      </w:r>
      <w:r>
        <w:rPr>
          <w:rFonts w:hint="eastAsia" w:ascii="仿宋_GB2312" w:hAnsi="宋体" w:eastAsia="仿宋_GB2312" w:cs="宋体"/>
          <w:color w:val="auto"/>
          <w:kern w:val="0"/>
          <w:sz w:val="18"/>
          <w:szCs w:val="18"/>
          <w:highlight w:val="none"/>
          <w:shd w:val="clear" w:color="auto" w:fill="auto"/>
        </w:rPr>
        <w:t xml:space="preserve">中心                                  </w:t>
      </w:r>
      <w:r>
        <w:rPr>
          <w:rFonts w:hint="eastAsia" w:ascii="仿宋_GB2312" w:hAnsi="宋体" w:eastAsia="仿宋_GB2312" w:cs="宋体"/>
          <w:color w:val="auto"/>
          <w:kern w:val="0"/>
          <w:sz w:val="18"/>
          <w:szCs w:val="18"/>
          <w:highlight w:val="none"/>
          <w:shd w:val="clear" w:color="auto" w:fill="auto"/>
          <w:lang w:val="en-US" w:eastAsia="zh-CN"/>
        </w:rPr>
        <w:t xml:space="preserve"> </w:t>
      </w:r>
      <w:r>
        <w:rPr>
          <w:rFonts w:hint="eastAsia" w:ascii="仿宋_GB2312" w:hAnsi="宋体" w:eastAsia="仿宋_GB2312" w:cs="宋体"/>
          <w:color w:val="auto"/>
          <w:kern w:val="0"/>
          <w:sz w:val="18"/>
          <w:szCs w:val="18"/>
          <w:highlight w:val="none"/>
          <w:shd w:val="clear" w:color="auto" w:fill="auto"/>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w:t>
            </w: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u w:val="none"/>
                <w:lang w:val="en-US" w:eastAsia="zh-CN" w:bidi="ar"/>
              </w:rPr>
              <w:t>299.48</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u w:val="none"/>
                <w:lang w:val="en-US" w:eastAsia="zh-CN" w:bidi="ar"/>
              </w:rPr>
              <w:t>299.48</w:t>
            </w:r>
            <w:r>
              <w:rPr>
                <w:rFonts w:hint="eastAsia" w:ascii="仿宋" w:hAnsi="仿宋" w:eastAsia="仿宋" w:cs="仿宋"/>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仿宋_GB2312" w:hAnsi="仿宋_GB2312" w:eastAsia="仿宋_GB2312" w:cs="仿宋_GB2312"/>
          <w:b/>
          <w:bCs w:val="0"/>
          <w:color w:val="auto"/>
          <w:kern w:val="0"/>
          <w:sz w:val="32"/>
          <w:szCs w:val="32"/>
          <w:highlight w:val="none"/>
          <w:lang w:eastAsia="zh-CN"/>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pStyle w:val="2"/>
        <w:rPr>
          <w:rFonts w:hint="eastAsia"/>
          <w:lang w:eastAsia="zh-CN"/>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 xml:space="preserve">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969" w:tblpY="321"/>
        <w:tblOverlap w:val="never"/>
        <w:tblW w:w="14497" w:type="dxa"/>
        <w:tblInd w:w="0" w:type="dxa"/>
        <w:tblLayout w:type="fixed"/>
        <w:tblCellMar>
          <w:top w:w="0" w:type="dxa"/>
          <w:left w:w="108" w:type="dxa"/>
          <w:bottom w:w="0" w:type="dxa"/>
          <w:right w:w="108" w:type="dxa"/>
        </w:tblCellMar>
      </w:tblPr>
      <w:tblGrid>
        <w:gridCol w:w="704"/>
        <w:gridCol w:w="750"/>
        <w:gridCol w:w="768"/>
        <w:gridCol w:w="1947"/>
        <w:gridCol w:w="1170"/>
        <w:gridCol w:w="1138"/>
        <w:gridCol w:w="1207"/>
        <w:gridCol w:w="786"/>
        <w:gridCol w:w="766"/>
        <w:gridCol w:w="805"/>
        <w:gridCol w:w="938"/>
        <w:gridCol w:w="847"/>
        <w:gridCol w:w="575"/>
        <w:gridCol w:w="1035"/>
        <w:gridCol w:w="463"/>
        <w:gridCol w:w="598"/>
      </w:tblGrid>
      <w:tr>
        <w:tblPrEx>
          <w:tblCellMar>
            <w:top w:w="0" w:type="dxa"/>
            <w:left w:w="108" w:type="dxa"/>
            <w:bottom w:w="0" w:type="dxa"/>
            <w:right w:w="108" w:type="dxa"/>
          </w:tblCellMar>
        </w:tblPrEx>
        <w:trPr>
          <w:trHeight w:val="722" w:hRule="atLeast"/>
        </w:trPr>
        <w:tc>
          <w:tcPr>
            <w:tcW w:w="222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4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17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487"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3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3"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9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166" w:hRule="atLeast"/>
        </w:trPr>
        <w:tc>
          <w:tcPr>
            <w:tcW w:w="704"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5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768"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4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7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8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6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3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463"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598"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7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rPr>
              <w:t>　</w:t>
            </w:r>
          </w:p>
        </w:tc>
        <w:tc>
          <w:tcPr>
            <w:tcW w:w="11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普通教育</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967"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99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其他普通教育支出</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95"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6000" w:hanging="6000" w:hangingChars="25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中心           单位：万元</w:t>
      </w:r>
    </w:p>
    <w:tbl>
      <w:tblPr>
        <w:tblStyle w:val="9"/>
        <w:tblW w:w="18835" w:type="dxa"/>
        <w:tblInd w:w="-240" w:type="dxa"/>
        <w:tblLayout w:type="fixed"/>
        <w:tblCellMar>
          <w:top w:w="0" w:type="dxa"/>
          <w:left w:w="108" w:type="dxa"/>
          <w:bottom w:w="0" w:type="dxa"/>
          <w:right w:w="108" w:type="dxa"/>
        </w:tblCellMar>
      </w:tblPr>
      <w:tblGrid>
        <w:gridCol w:w="526"/>
        <w:gridCol w:w="450"/>
        <w:gridCol w:w="425"/>
        <w:gridCol w:w="2437"/>
        <w:gridCol w:w="1844"/>
        <w:gridCol w:w="1845"/>
        <w:gridCol w:w="1386"/>
        <w:gridCol w:w="1852"/>
        <w:gridCol w:w="1345"/>
        <w:gridCol w:w="1345"/>
        <w:gridCol w:w="1345"/>
        <w:gridCol w:w="1345"/>
        <w:gridCol w:w="1345"/>
        <w:gridCol w:w="1345"/>
      </w:tblGrid>
      <w:tr>
        <w:tblPrEx>
          <w:tblCellMar>
            <w:top w:w="0" w:type="dxa"/>
            <w:left w:w="108" w:type="dxa"/>
            <w:bottom w:w="0" w:type="dxa"/>
            <w:right w:w="108" w:type="dxa"/>
          </w:tblCellMar>
        </w:tblPrEx>
        <w:trPr>
          <w:gridAfter w:val="7"/>
          <w:wAfter w:w="9922" w:type="dxa"/>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075"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gridAfter w:val="7"/>
          <w:wAfter w:w="9922" w:type="dxa"/>
          <w:trHeight w:val="480" w:hRule="atLeast"/>
        </w:trPr>
        <w:tc>
          <w:tcPr>
            <w:tcW w:w="14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386"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gridAfter w:val="7"/>
          <w:wAfter w:w="9922" w:type="dxa"/>
          <w:trHeight w:val="270"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386"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普通教育</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99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其他普通教育支出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4"/>
                <w:highlight w:val="none"/>
              </w:rPr>
            </w:pPr>
          </w:p>
        </w:tc>
      </w:tr>
    </w:tbl>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bidi="ar"/>
        </w:rPr>
      </w:pPr>
    </w:p>
    <w:p>
      <w:pPr>
        <w:widowControl/>
        <w:outlineLvl w:val="1"/>
        <w:rPr>
          <w:rFonts w:hint="eastAsia" w:ascii="仿宋_GB2312" w:hAnsi="宋体" w:eastAsia="仿宋_GB2312"/>
          <w:b/>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20" w:beforeLines="50" w:line="240" w:lineRule="atLeast"/>
        <w:jc w:val="center"/>
        <w:textAlignment w:val="auto"/>
        <w:outlineLvl w:val="1"/>
        <w:rPr>
          <w:rFonts w:hint="eastAsia" w:ascii="仿宋_GB2312" w:hAnsi="宋体" w:eastAsia="仿宋_GB2312" w:cs="宋体"/>
          <w:color w:val="auto"/>
          <w:kern w:val="0"/>
          <w:sz w:val="24"/>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rPr>
        <w:t>单位：万元</w:t>
      </w:r>
    </w:p>
    <w:tbl>
      <w:tblPr>
        <w:tblStyle w:val="9"/>
        <w:tblpPr w:leftFromText="180" w:rightFromText="180" w:vertAnchor="text" w:horzAnchor="page" w:tblpX="864" w:tblpY="291"/>
        <w:tblOverlap w:val="never"/>
        <w:tblW w:w="9449" w:type="dxa"/>
        <w:tblInd w:w="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9"/>
        <w:tblpPr w:leftFromText="180" w:rightFromText="180" w:vertAnchor="text" w:horzAnchor="page" w:tblpX="979" w:tblpY="303"/>
        <w:tblOverlap w:val="never"/>
        <w:tblW w:w="9214" w:type="dxa"/>
        <w:tblInd w:w="0" w:type="dxa"/>
        <w:tblLayout w:type="fixed"/>
        <w:tblCellMar>
          <w:top w:w="0" w:type="dxa"/>
          <w:left w:w="108" w:type="dxa"/>
          <w:bottom w:w="0" w:type="dxa"/>
          <w:right w:w="108" w:type="dxa"/>
        </w:tblCellMar>
      </w:tblPr>
      <w:tblGrid>
        <w:gridCol w:w="620"/>
        <w:gridCol w:w="538"/>
        <w:gridCol w:w="475"/>
        <w:gridCol w:w="2354"/>
        <w:gridCol w:w="1684"/>
        <w:gridCol w:w="674"/>
        <w:gridCol w:w="1168"/>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447" w:hRule="atLeast"/>
        </w:trPr>
        <w:tc>
          <w:tcPr>
            <w:tcW w:w="6345"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highlight w:val="none"/>
              </w:rPr>
              <w:t xml:space="preserve">  </w:t>
            </w:r>
          </w:p>
        </w:tc>
        <w:tc>
          <w:tcPr>
            <w:tcW w:w="286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33"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5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hAnsi="宋体" w:eastAsia="仿宋_GB2312" w:cs="宋体"/>
                <w:b/>
                <w:color w:val="auto"/>
                <w:kern w:val="0"/>
                <w:sz w:val="20"/>
                <w:szCs w:val="20"/>
                <w:highlight w:val="none"/>
                <w:lang w:eastAsia="zh-CN"/>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rPr>
              <w:t>　</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普通教育</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99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其他普通教育支出</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25"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bl>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lang w:val="en-US" w:eastAsia="zh-CN"/>
        </w:rPr>
      </w:pPr>
      <w:r>
        <w:rPr>
          <w:rFonts w:hint="eastAsia" w:ascii="宋体" w:hAnsi="宋体" w:eastAsia="宋体" w:cs="宋体"/>
          <w:i w:val="0"/>
          <w:color w:val="auto"/>
          <w:kern w:val="0"/>
          <w:sz w:val="20"/>
          <w:szCs w:val="20"/>
          <w:highlight w:val="none"/>
          <w:u w:val="none"/>
          <w:lang w:val="en-US" w:eastAsia="zh-CN" w:bidi="ar"/>
        </w:rPr>
        <w:t>表6</w:t>
      </w:r>
    </w:p>
    <w:tbl>
      <w:tblPr>
        <w:tblStyle w:val="9"/>
        <w:tblpPr w:leftFromText="180" w:rightFromText="180" w:vertAnchor="text" w:horzAnchor="page" w:tblpX="1204" w:tblpY="333"/>
        <w:tblOverlap w:val="never"/>
        <w:tblW w:w="9328" w:type="dxa"/>
        <w:tblInd w:w="0"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rPr>
              <w:t>工资福利支出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147.05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147.05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 xml:space="preserve">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基本工资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43.90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43.90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津贴补贴</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11.14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11.14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奖金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28.10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28.10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 xml:space="preserve"> </w:t>
            </w:r>
            <w:r>
              <w:rPr>
                <w:rFonts w:hint="eastAsia" w:ascii="仿宋_GB2312" w:hAnsi="宋体" w:eastAsia="仿宋_GB2312" w:cs="宋体"/>
                <w:color w:val="auto"/>
                <w:kern w:val="0"/>
                <w:sz w:val="20"/>
                <w:szCs w:val="20"/>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绩效工资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22.94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22.94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机关事业单位基本养老保险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15.58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15.58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城镇</w:t>
            </w:r>
            <w:r>
              <w:rPr>
                <w:rFonts w:hint="eastAsia" w:ascii="仿宋_GB2312" w:hAnsi="宋体" w:eastAsia="仿宋_GB2312" w:cs="宋体"/>
                <w:color w:val="auto"/>
                <w:kern w:val="0"/>
                <w:sz w:val="20"/>
                <w:szCs w:val="20"/>
              </w:rPr>
              <w:t>职工基本医疗保险缴费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7.79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公务员医疗补助缴费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3.89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3.89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其他社会保障缴费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0.97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0.97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住房公积金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12.73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12.73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default" w:ascii="仿宋_GB2312" w:hAnsi="宋体" w:eastAsia="仿宋_GB2312" w:cs="宋体"/>
                <w:color w:val="auto"/>
                <w:kern w:val="0"/>
                <w:sz w:val="20"/>
                <w:szCs w:val="20"/>
              </w:rPr>
              <w:t>商品和服务支出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color w:val="auto"/>
                <w:kern w:val="0"/>
                <w:sz w:val="20"/>
                <w:szCs w:val="20"/>
                <w:highlight w:val="none"/>
                <w:lang w:val="en-US" w:eastAsia="zh-CN"/>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color w:val="auto"/>
                <w:kern w:val="0"/>
                <w:sz w:val="20"/>
                <w:szCs w:val="20"/>
                <w:highlight w:val="none"/>
                <w:lang w:val="en-US" w:eastAsia="zh-CN"/>
              </w:rPr>
              <w:t>77.9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办公费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w:t>
            </w:r>
            <w:r>
              <w:rPr>
                <w:rFonts w:hint="eastAsia" w:ascii="仿宋_GB2312" w:hAnsi="宋体" w:eastAsia="仿宋_GB2312" w:cs="宋体"/>
                <w:color w:val="auto"/>
                <w:kern w:val="0"/>
                <w:sz w:val="20"/>
                <w:szCs w:val="20"/>
                <w:lang w:val="en-US" w:eastAsia="zh-CN"/>
              </w:rPr>
              <w:t>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eastAsia="zh-CN"/>
              </w:rPr>
              <w:t>邮电费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取暖费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68.97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68.97</w:t>
            </w:r>
          </w:p>
        </w:tc>
      </w:tr>
      <w:tr>
        <w:tblPrEx>
          <w:tblCellMar>
            <w:top w:w="0" w:type="dxa"/>
            <w:left w:w="108" w:type="dxa"/>
            <w:bottom w:w="0" w:type="dxa"/>
            <w:right w:w="108" w:type="dxa"/>
          </w:tblCellMar>
        </w:tblPrEx>
        <w:trPr>
          <w:trHeight w:val="35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差旅费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公务接待费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劳务费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5.53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5.53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default" w:ascii="仿宋_GB2312" w:hAnsi="宋体" w:eastAsia="仿宋_GB2312" w:cs="宋体"/>
                <w:color w:val="auto"/>
                <w:kern w:val="0"/>
                <w:sz w:val="20"/>
                <w:szCs w:val="20"/>
                <w:lang w:val="en-US" w:eastAsia="zh-CN"/>
              </w:rPr>
              <w:t>工会经费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1.87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对个人和家庭的补助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1.09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1.09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退休费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奖励金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0.36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0.36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226.03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148.13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77.90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pPr w:leftFromText="180" w:rightFromText="180" w:vertAnchor="text" w:horzAnchor="page" w:tblpX="919" w:tblpY="216"/>
        <w:tblOverlap w:val="never"/>
        <w:tblW w:w="9540" w:type="dxa"/>
        <w:tblInd w:w="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590" w:hRule="atLeast"/>
        </w:trPr>
        <w:tc>
          <w:tcPr>
            <w:tcW w:w="9455"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60" w:hRule="atLeast"/>
        </w:trPr>
        <w:tc>
          <w:tcPr>
            <w:tcW w:w="6976" w:type="dxa"/>
            <w:gridSpan w:val="11"/>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rPr>
            </w:pP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color w:val="auto"/>
          <w:kern w:val="0"/>
          <w:sz w:val="20"/>
          <w:szCs w:val="20"/>
          <w:lang w:val="en-US" w:eastAsia="zh-CN"/>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仿宋_GB2312" w:eastAsia="仿宋_GB2312" w:cs="仿宋_GB2312"/>
          <w:color w:val="auto"/>
          <w:sz w:val="20"/>
          <w:szCs w:val="20"/>
        </w:rPr>
        <w:t>202</w:t>
      </w:r>
      <w:r>
        <w:rPr>
          <w:rFonts w:hint="eastAsia" w:ascii="仿宋_GB2312" w:hAnsi="仿宋_GB2312" w:eastAsia="仿宋_GB2312" w:cs="仿宋_GB2312"/>
          <w:color w:val="auto"/>
          <w:sz w:val="20"/>
          <w:szCs w:val="20"/>
          <w:lang w:val="en-US" w:eastAsia="zh-CN"/>
        </w:rPr>
        <w:t>5</w:t>
      </w:r>
      <w:r>
        <w:rPr>
          <w:rFonts w:hint="eastAsia" w:ascii="仿宋_GB2312" w:hAnsi="仿宋_GB2312" w:eastAsia="仿宋_GB2312" w:cs="仿宋_GB2312"/>
          <w:color w:val="auto"/>
          <w:sz w:val="20"/>
          <w:szCs w:val="20"/>
        </w:rPr>
        <w:t>年无一般公共预算项目支出</w:t>
      </w:r>
      <w:r>
        <w:rPr>
          <w:rFonts w:hint="eastAsia" w:ascii="仿宋_GB2312" w:hAnsi="仿宋_GB2312" w:eastAsia="仿宋_GB2312" w:cs="仿宋_GB2312"/>
          <w:color w:val="auto"/>
          <w:sz w:val="20"/>
          <w:szCs w:val="20"/>
          <w:lang w:val="en-US" w:eastAsia="zh-CN"/>
        </w:rPr>
        <w:t>,</w:t>
      </w:r>
      <w:r>
        <w:rPr>
          <w:rFonts w:hint="eastAsia" w:ascii="仿宋_GB2312" w:hAnsi="仿宋_GB2312" w:eastAsia="仿宋_GB2312" w:cs="仿宋_GB2312"/>
          <w:color w:val="auto"/>
          <w:sz w:val="20"/>
          <w:szCs w:val="20"/>
        </w:rPr>
        <w:t>一般公共预算项目支出情况表</w:t>
      </w:r>
      <w:r>
        <w:rPr>
          <w:rFonts w:hint="eastAsia" w:ascii="仿宋_GB2312" w:hAnsi="仿宋_GB2312" w:eastAsia="仿宋_GB2312" w:cs="仿宋_GB2312"/>
          <w:color w:val="auto"/>
          <w:sz w:val="20"/>
          <w:szCs w:val="20"/>
          <w:lang w:val="en-US"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09" w:tblpY="418"/>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bidi w:val="0"/>
        <w:jc w:val="left"/>
        <w:rPr>
          <w:rFonts w:hint="eastAsia"/>
        </w:rPr>
      </w:pPr>
    </w:p>
    <w:p>
      <w:pPr>
        <w:widowControl/>
        <w:outlineLvl w:val="1"/>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昌吉州青少年示范性综合实践基地</w:t>
      </w:r>
      <w:r>
        <w:rPr>
          <w:rFonts w:hint="eastAsia" w:ascii="仿宋_GB2312" w:hAnsi="仿宋_GB2312" w:eastAsia="仿宋_GB2312" w:cs="仿宋_GB2312"/>
          <w:color w:val="auto"/>
          <w:sz w:val="20"/>
          <w:szCs w:val="20"/>
          <w:lang w:val="en-US" w:eastAsia="zh-CN"/>
        </w:rPr>
        <w:t>服务</w:t>
      </w:r>
      <w:r>
        <w:rPr>
          <w:rFonts w:hint="eastAsia" w:ascii="仿宋_GB2312" w:hAnsi="仿宋_GB2312" w:eastAsia="仿宋_GB2312" w:cs="仿宋_GB2312"/>
          <w:color w:val="auto"/>
          <w:sz w:val="20"/>
          <w:szCs w:val="20"/>
        </w:rPr>
        <w:t>中心</w:t>
      </w:r>
      <w:r>
        <w:rPr>
          <w:rFonts w:hint="eastAsia" w:ascii="仿宋_GB2312" w:hAnsi="仿宋_GB2312" w:eastAsia="仿宋_GB2312" w:cs="仿宋_GB2312"/>
          <w:color w:val="auto"/>
          <w:sz w:val="20"/>
          <w:szCs w:val="20"/>
          <w:lang w:val="en-US" w:eastAsia="zh-CN"/>
        </w:rPr>
        <w:t>2025年无政府性基金预算支出，政府性基金预算支出情况表为空表。</w:t>
      </w:r>
    </w:p>
    <w:p>
      <w:pPr>
        <w:widowControl/>
        <w:spacing w:line="280" w:lineRule="exact"/>
        <w:outlineLvl w:val="1"/>
        <w:rPr>
          <w:rFonts w:hint="eastAsia" w:ascii="仿宋_GB2312" w:hAnsi="宋体" w:eastAsia="仿宋_GB2312"/>
          <w:b w:val="0"/>
          <w:bCs/>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b w:val="0"/>
          <w:bCs/>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84" w:tblpY="385"/>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宋体" w:eastAsia="仿宋_GB2312" w:cs="宋体"/>
          <w:color w:val="auto"/>
          <w:kern w:val="0"/>
          <w:sz w:val="20"/>
          <w:szCs w:val="20"/>
          <w:lang w:val="en-US" w:eastAsia="zh-CN"/>
        </w:rPr>
        <w:t>2025年没有安排国有资本经营预算</w:t>
      </w:r>
      <w:r>
        <w:rPr>
          <w:rFonts w:hint="eastAsia" w:ascii="仿宋_GB2312" w:hAnsi="宋体" w:eastAsia="仿宋_GB2312" w:cs="宋体"/>
          <w:color w:val="auto"/>
          <w:kern w:val="0"/>
          <w:sz w:val="20"/>
          <w:szCs w:val="20"/>
          <w:lang w:eastAsia="zh-CN"/>
        </w:rPr>
        <w:t>支出，</w:t>
      </w:r>
      <w:r>
        <w:rPr>
          <w:rFonts w:hint="eastAsia" w:ascii="仿宋_GB2312" w:hAnsi="宋体" w:eastAsia="仿宋_GB2312" w:cs="宋体"/>
          <w:color w:val="auto"/>
          <w:kern w:val="0"/>
          <w:sz w:val="20"/>
          <w:szCs w:val="20"/>
          <w:lang w:val="en-US" w:eastAsia="zh-CN"/>
        </w:rPr>
        <w:t>国有资本经营预算支出情况表</w:t>
      </w:r>
      <w:r>
        <w:rPr>
          <w:rFonts w:hint="eastAsia" w:ascii="仿宋_GB2312" w:hAnsi="宋体" w:eastAsia="仿宋_GB2312" w:cs="宋体"/>
          <w:color w:val="auto"/>
          <w:kern w:val="0"/>
          <w:sz w:val="20"/>
          <w:szCs w:val="20"/>
          <w:lang w:eastAsia="zh-CN"/>
        </w:rPr>
        <w:t>为空表。</w:t>
      </w: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789" w:tblpY="416"/>
        <w:tblOverlap w:val="never"/>
        <w:tblW w:w="9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spacing w:line="240" w:lineRule="auto"/>
        <w:jc w:val="left"/>
        <w:rPr>
          <w:rFonts w:hint="eastAsia" w:ascii="仿宋_GB2312" w:hAnsi="宋体" w:eastAsia="仿宋_GB2312"/>
          <w:b w:val="0"/>
          <w:bCs/>
          <w:color w:val="auto"/>
          <w:kern w:val="0"/>
          <w:sz w:val="28"/>
          <w:szCs w:val="32"/>
          <w:lang w:val="en-US" w:eastAsia="zh-CN"/>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宋体" w:eastAsia="仿宋_GB2312" w:cs="宋体"/>
          <w:color w:val="auto"/>
          <w:kern w:val="0"/>
          <w:sz w:val="20"/>
          <w:szCs w:val="20"/>
          <w:lang w:eastAsia="zh-CN"/>
        </w:rPr>
        <w:t>，202</w:t>
      </w:r>
      <w:r>
        <w:rPr>
          <w:rFonts w:hint="eastAsia" w:ascii="仿宋_GB2312" w:hAnsi="宋体" w:eastAsia="仿宋_GB2312" w:cs="宋体"/>
          <w:color w:val="auto"/>
          <w:kern w:val="0"/>
          <w:sz w:val="20"/>
          <w:szCs w:val="20"/>
          <w:lang w:val="en-US" w:eastAsia="zh-CN"/>
        </w:rPr>
        <w:t>5</w:t>
      </w:r>
      <w:r>
        <w:rPr>
          <w:rFonts w:hint="eastAsia" w:ascii="仿宋_GB2312" w:hAnsi="宋体" w:eastAsia="仿宋_GB2312" w:cs="宋体"/>
          <w:color w:val="auto"/>
          <w:kern w:val="0"/>
          <w:sz w:val="20"/>
          <w:szCs w:val="20"/>
          <w:lang w:eastAsia="zh-CN"/>
        </w:rPr>
        <w:t>年没有</w:t>
      </w:r>
      <w:r>
        <w:rPr>
          <w:rFonts w:hint="eastAsia" w:ascii="仿宋_GB2312" w:hAnsi="宋体" w:eastAsia="仿宋_GB2312" w:cs="宋体"/>
          <w:color w:val="auto"/>
          <w:kern w:val="0"/>
          <w:sz w:val="20"/>
          <w:szCs w:val="20"/>
          <w:lang w:val="en-US" w:eastAsia="zh-CN"/>
        </w:rPr>
        <w:t>上年结转结余情况</w:t>
      </w:r>
      <w:r>
        <w:rPr>
          <w:rFonts w:hint="eastAsia" w:ascii="仿宋_GB2312" w:hAnsi="宋体" w:eastAsia="仿宋_GB2312" w:cs="宋体"/>
          <w:color w:val="auto"/>
          <w:kern w:val="0"/>
          <w:sz w:val="20"/>
          <w:szCs w:val="20"/>
          <w:lang w:eastAsia="zh-CN"/>
        </w:rPr>
        <w:t>，</w:t>
      </w:r>
      <w:r>
        <w:rPr>
          <w:rFonts w:hint="eastAsia" w:ascii="仿宋_GB2312" w:hAnsi="宋体" w:eastAsia="仿宋_GB2312" w:cs="宋体"/>
          <w:color w:val="auto"/>
          <w:kern w:val="0"/>
          <w:sz w:val="20"/>
          <w:szCs w:val="20"/>
          <w:lang w:val="en-US" w:eastAsia="zh-Hans"/>
        </w:rPr>
        <w:t>上年结转</w:t>
      </w:r>
      <w:r>
        <w:rPr>
          <w:rFonts w:hint="eastAsia" w:ascii="仿宋_GB2312" w:hAnsi="宋体" w:eastAsia="仿宋_GB2312" w:cs="宋体"/>
          <w:color w:val="auto"/>
          <w:kern w:val="0"/>
          <w:sz w:val="20"/>
          <w:szCs w:val="20"/>
          <w:lang w:val="en-US" w:eastAsia="zh-CN"/>
        </w:rPr>
        <w:t>结余</w:t>
      </w:r>
      <w:r>
        <w:rPr>
          <w:rFonts w:hint="eastAsia" w:ascii="仿宋_GB2312" w:hAnsi="宋体" w:eastAsia="仿宋_GB2312" w:cs="宋体"/>
          <w:color w:val="auto"/>
          <w:kern w:val="0"/>
          <w:sz w:val="20"/>
          <w:szCs w:val="20"/>
          <w:lang w:val="en-US" w:eastAsia="zh-Hans"/>
        </w:rPr>
        <w:t>情况明细表</w:t>
      </w:r>
      <w:r>
        <w:rPr>
          <w:rFonts w:hint="eastAsia" w:ascii="仿宋_GB2312" w:hAnsi="宋体" w:eastAsia="仿宋_GB2312" w:cs="宋体"/>
          <w:color w:val="auto"/>
          <w:kern w:val="0"/>
          <w:sz w:val="20"/>
          <w:szCs w:val="20"/>
          <w:lang w:val="en-US" w:eastAsia="zh-CN"/>
        </w:rPr>
        <w:t>为空表。</w:t>
      </w:r>
      <w:r>
        <w:rPr>
          <w:rFonts w:hint="eastAsia" w:ascii="仿宋_GB2312" w:hAnsi="宋体" w:eastAsia="仿宋_GB2312"/>
          <w:b w:val="0"/>
          <w:bCs/>
          <w:color w:val="auto"/>
          <w:kern w:val="0"/>
          <w:sz w:val="28"/>
          <w:szCs w:val="32"/>
          <w:lang w:val="en-US" w:eastAsia="zh-CN"/>
        </w:rPr>
        <w:t xml:space="preserve">    </w:t>
      </w:r>
    </w:p>
    <w:p>
      <w:pPr>
        <w:widowControl/>
        <w:outlineLvl w:val="1"/>
        <w:rPr>
          <w:rFonts w:hint="eastAsia" w:ascii="仿宋_GB2312" w:hAnsi="宋体" w:eastAsia="仿宋_GB2312"/>
          <w:b/>
          <w:color w:val="auto"/>
          <w:kern w:val="0"/>
          <w:sz w:val="28"/>
          <w:szCs w:val="32"/>
          <w:lang w:eastAsia="zh-CN"/>
        </w:rPr>
      </w:pPr>
    </w:p>
    <w:p>
      <w:pPr>
        <w:widowControl/>
        <w:outlineLvl w:val="1"/>
        <w:rPr>
          <w:rFonts w:hint="eastAsia" w:ascii="仿宋_GB2312" w:hAnsi="宋体" w:eastAsia="仿宋_GB2312"/>
          <w:b/>
          <w:color w:val="auto"/>
          <w:kern w:val="0"/>
          <w:sz w:val="28"/>
          <w:szCs w:val="32"/>
          <w:lang w:eastAsia="zh-CN"/>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widowControl/>
        <w:ind w:firstLine="1920" w:firstLineChars="600"/>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75.47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58.04%，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73.45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 xml:space="preserve">24.53 </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15.25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17.19%，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2025年研学活动经费较上年减少，所以单位资金比上年预算减少15.25万元。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 xml:space="preserve"> 299.48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67.76</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2024年和2025年我部门均未安排项目支出预算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bCs/>
          <w:color w:val="auto"/>
          <w:sz w:val="32"/>
          <w:szCs w:val="32"/>
        </w:rPr>
        <w:t>教育</w:t>
      </w:r>
      <w:r>
        <w:rPr>
          <w:rFonts w:hint="eastAsia" w:ascii="仿宋_GB2312" w:hAnsi="仿宋_GB2312" w:eastAsia="仿宋_GB2312" w:cs="仿宋_GB2312"/>
          <w:color w:val="auto"/>
          <w:sz w:val="32"/>
          <w:szCs w:val="32"/>
        </w:rPr>
        <w:t>支出</w:t>
      </w:r>
      <w:r>
        <w:rPr>
          <w:rFonts w:hint="eastAsia" w:ascii="仿宋_GB2312" w:hAnsi="宋体" w:eastAsia="仿宋_GB2312" w:cs="宋体"/>
          <w:color w:val="auto"/>
          <w:kern w:val="0"/>
          <w:sz w:val="32"/>
          <w:szCs w:val="32"/>
          <w:lang w:val="en-US" w:eastAsia="zh-CN"/>
        </w:rPr>
        <w:t>226.03</w:t>
      </w:r>
      <w:r>
        <w:rPr>
          <w:rFonts w:hint="eastAsia" w:ascii="仿宋_GB2312" w:hAnsi="宋体" w:eastAsia="仿宋_GB2312" w:cs="宋体"/>
          <w:color w:val="auto"/>
          <w:kern w:val="0"/>
          <w:sz w:val="32"/>
          <w:szCs w:val="32"/>
        </w:rPr>
        <w:t>万元，主要用于支付</w:t>
      </w:r>
      <w:r>
        <w:rPr>
          <w:rFonts w:hint="eastAsia" w:ascii="仿宋_GB2312" w:hAnsi="宋体" w:eastAsia="仿宋_GB2312" w:cs="宋体"/>
          <w:color w:val="auto"/>
          <w:kern w:val="0"/>
          <w:sz w:val="32"/>
          <w:szCs w:val="32"/>
          <w:lang w:eastAsia="zh-CN"/>
        </w:rPr>
        <w:t>工资、</w:t>
      </w:r>
      <w:r>
        <w:rPr>
          <w:rFonts w:hint="eastAsia" w:ascii="仿宋_GB2312" w:hAnsi="宋体" w:eastAsia="仿宋_GB2312" w:cs="宋体"/>
          <w:color w:val="auto"/>
          <w:kern w:val="0"/>
          <w:sz w:val="32"/>
          <w:szCs w:val="32"/>
        </w:rPr>
        <w:t>办公经费</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 xml:space="preserve">  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83.01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58.04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2024年和2025年我部门均未安排项目支出预算。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color w:val="auto"/>
          <w:kern w:val="0"/>
          <w:sz w:val="32"/>
          <w:szCs w:val="32"/>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color w:val="auto"/>
          <w:kern w:val="0"/>
          <w:sz w:val="32"/>
          <w:szCs w:val="32"/>
        </w:rPr>
        <w:t>教育支出（类）</w:t>
      </w:r>
      <w:r>
        <w:rPr>
          <w:rFonts w:hint="eastAsia" w:ascii="仿宋_GB2312" w:hAnsi="宋体" w:eastAsia="仿宋_GB2312" w:cs="宋体"/>
          <w:color w:val="auto"/>
          <w:kern w:val="0"/>
          <w:sz w:val="32"/>
          <w:szCs w:val="32"/>
          <w:lang w:val="en-US" w:eastAsia="zh-CN"/>
        </w:rPr>
        <w:t>226.03</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bCs/>
          <w:color w:val="auto"/>
          <w:kern w:val="0"/>
          <w:sz w:val="32"/>
          <w:szCs w:val="32"/>
          <w:highlight w:val="none"/>
        </w:rPr>
        <w:t>教育支出（类）普通教育（款）</w:t>
      </w:r>
      <w:r>
        <w:rPr>
          <w:rFonts w:hint="eastAsia" w:ascii="仿宋_GB2312" w:hAnsi="宋体" w:eastAsia="仿宋_GB2312" w:cs="宋体"/>
          <w:bCs/>
          <w:color w:val="auto"/>
          <w:kern w:val="0"/>
          <w:sz w:val="32"/>
          <w:szCs w:val="32"/>
          <w:highlight w:val="none"/>
          <w:lang w:val="en-US" w:eastAsia="zh-CN"/>
        </w:rPr>
        <w:t>其他普通教育支出</w:t>
      </w:r>
      <w:r>
        <w:rPr>
          <w:rFonts w:hint="eastAsia" w:ascii="仿宋_GB2312" w:hAnsi="宋体" w:eastAsia="仿宋_GB2312" w:cs="宋体"/>
          <w:bCs/>
          <w:color w:val="auto"/>
          <w:kern w:val="0"/>
          <w:sz w:val="32"/>
          <w:szCs w:val="32"/>
          <w:highlight w:val="none"/>
        </w:rPr>
        <w:t>（项）</w:t>
      </w:r>
      <w:r>
        <w:rPr>
          <w:rFonts w:hint="eastAsia" w:ascii="仿宋_GB2312" w:hAnsi="宋体" w:eastAsia="仿宋_GB2312" w:cs="宋体"/>
          <w:bCs/>
          <w:color w:val="auto"/>
          <w:kern w:val="0"/>
          <w:sz w:val="32"/>
          <w:szCs w:val="32"/>
          <w:highlight w:val="none"/>
          <w:lang w:val="en-US" w:eastAsia="zh-CN"/>
        </w:rPr>
        <w:t>226.03</w:t>
      </w:r>
      <w:r>
        <w:rPr>
          <w:rFonts w:hint="eastAsia" w:ascii="仿宋_GB2312" w:hAnsi="宋体" w:eastAsia="仿宋_GB2312" w:cs="宋体"/>
          <w:bCs/>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比上年预算数</w:t>
      </w:r>
      <w:r>
        <w:rPr>
          <w:rFonts w:hint="eastAsia" w:ascii="仿宋_GB2312" w:hAnsi="宋体" w:eastAsia="仿宋_GB2312" w:cs="宋体"/>
          <w:color w:val="auto"/>
          <w:kern w:val="0"/>
          <w:sz w:val="32"/>
          <w:szCs w:val="32"/>
          <w:highlight w:val="none"/>
          <w:lang w:val="en-US" w:eastAsia="zh-CN"/>
        </w:rPr>
        <w:t>增加83.01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增长58.04</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226.03</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148.13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77.9</w:t>
      </w:r>
      <w:r>
        <w:rPr>
          <w:rFonts w:hint="eastAsia" w:ascii="仿宋_GB2312" w:hAnsi="宋体" w:eastAsia="仿宋_GB2312" w:cs="宋体"/>
          <w:color w:val="auto"/>
          <w:kern w:val="0"/>
          <w:sz w:val="32"/>
          <w:szCs w:val="32"/>
          <w:highlight w:val="none"/>
        </w:rPr>
        <w:t>万元，主要包括：办公费、电费、邮电费、取暖费、差旅费、公务接待费、劳务费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工会经费。</w:t>
      </w:r>
    </w:p>
    <w:p>
      <w:pPr>
        <w:pStyle w:val="8"/>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预算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2024年及2025年本部门均未安排</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昌吉州青少年示范性综合实践基地服务中心2</w:t>
      </w:r>
      <w:r>
        <w:rPr>
          <w:rFonts w:hint="eastAsia" w:ascii="仿宋_GB2312" w:hAnsi="仿宋_GB2312" w:eastAsia="仿宋_GB2312" w:cs="仿宋_GB2312"/>
          <w:color w:val="auto"/>
          <w:kern w:val="0"/>
          <w:sz w:val="32"/>
          <w:szCs w:val="32"/>
          <w:highlight w:val="none"/>
          <w:lang w:eastAsia="zh-CN"/>
        </w:rPr>
        <w:t>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77.9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69.09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784.22</w:t>
      </w:r>
      <w:bookmarkStart w:id="1" w:name="_GoBack"/>
      <w:bookmarkEnd w:id="1"/>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昌吉州青少年示范性综合实践基地服务中心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21110.66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4645.54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66.82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617.37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整体预算绩效目标1个，涉及预算金额299.48万元；当年预算安排项目共0个，其中: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昌吉州青少年示范性综合实践基地服务中心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朱英辉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13909972009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sz w:val="15"/>
                <w:szCs w:val="15"/>
              </w:rPr>
            </w:pPr>
            <w:r>
              <w:rPr>
                <w:rFonts w:hint="eastAsia"/>
                <w:sz w:val="15"/>
                <w:szCs w:val="15"/>
              </w:rPr>
              <w:t>通过开展冰雪运动暨研学冬令营活动、2025年主题综合实践活动、“让爱飞扬·助你成长”2025年福建宁德援疆资助呼图壁县各乡镇农牧区学校公益研学活动、“弘扬优秀文化 争做时代少年”暑期研学综合实践活动、“大手拉小手 快乐迎新春”2025——2026学年寒假亲子研学实践暨开放日活动、呼图壁县速滑、篮球、排球运动特长生培训等活动，积极推进基地运营模式转变，更大发挥育人职能，保障各类综合实践教育课程正常开展及场馆的日常管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综合实践活动参加平均人数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&gt;=200人/次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开展公益活动次数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&lt;=10次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开展活动及时率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综合实践活动合格率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b/>
          <w:kern w:val="0"/>
          <w:sz w:val="32"/>
          <w:szCs w:val="32"/>
          <w:highlight w:val="none"/>
        </w:rPr>
      </w:pPr>
      <w:r>
        <w:rPr>
          <w:rFonts w:hint="eastAsia" w:ascii="仿宋_GB2312" w:eastAsia="仿宋_GB2312"/>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楷体_GB2312" w:eastAsia="楷体_GB2312" w:cs="楷体_GB2312"/>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昌吉州青少年示范性综合实践基地服务中心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637A68"/>
    <w:multiLevelType w:val="singleLevel"/>
    <w:tmpl w:val="4B637A68"/>
    <w:lvl w:ilvl="0" w:tentative="0">
      <w:start w:val="1"/>
      <w:numFmt w:val="chineseCounting"/>
      <w:suff w:val="space"/>
      <w:lvlText w:val="第%1部分"/>
      <w:lvlJc w:val="left"/>
      <w:rPr>
        <w:rFonts w:hint="eastAsia"/>
      </w:rPr>
    </w:lvl>
  </w:abstractNum>
  <w:abstractNum w:abstractNumId="1">
    <w:nsid w:val="67A6F01B"/>
    <w:multiLevelType w:val="singleLevel"/>
    <w:tmpl w:val="67A6F01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360284"/>
    <w:rsid w:val="00E41A1F"/>
    <w:rsid w:val="010D7B19"/>
    <w:rsid w:val="017B2F92"/>
    <w:rsid w:val="01EF05E9"/>
    <w:rsid w:val="020E507E"/>
    <w:rsid w:val="02732F8E"/>
    <w:rsid w:val="02CB7F49"/>
    <w:rsid w:val="037800D1"/>
    <w:rsid w:val="03FA1968"/>
    <w:rsid w:val="04267087"/>
    <w:rsid w:val="04267B2D"/>
    <w:rsid w:val="044C330C"/>
    <w:rsid w:val="04852F8B"/>
    <w:rsid w:val="05397FD9"/>
    <w:rsid w:val="057A5F58"/>
    <w:rsid w:val="05CA273A"/>
    <w:rsid w:val="070E6657"/>
    <w:rsid w:val="080E3E4F"/>
    <w:rsid w:val="084451C2"/>
    <w:rsid w:val="08450B28"/>
    <w:rsid w:val="086C161E"/>
    <w:rsid w:val="08762705"/>
    <w:rsid w:val="088F5575"/>
    <w:rsid w:val="08C27E11"/>
    <w:rsid w:val="08E81855"/>
    <w:rsid w:val="0A4168EC"/>
    <w:rsid w:val="0AD527FC"/>
    <w:rsid w:val="0AD672A7"/>
    <w:rsid w:val="0B247F12"/>
    <w:rsid w:val="0B7C3034"/>
    <w:rsid w:val="0B841FFD"/>
    <w:rsid w:val="0BD56A2F"/>
    <w:rsid w:val="0C0A3890"/>
    <w:rsid w:val="0CD20198"/>
    <w:rsid w:val="0CEC568C"/>
    <w:rsid w:val="0D09225C"/>
    <w:rsid w:val="0D153D19"/>
    <w:rsid w:val="0D6E5FD0"/>
    <w:rsid w:val="0E252C91"/>
    <w:rsid w:val="0E320E7D"/>
    <w:rsid w:val="0E9208E7"/>
    <w:rsid w:val="0F483C40"/>
    <w:rsid w:val="10587512"/>
    <w:rsid w:val="105D0E37"/>
    <w:rsid w:val="10916BDA"/>
    <w:rsid w:val="11036B00"/>
    <w:rsid w:val="11301FEB"/>
    <w:rsid w:val="11B6451D"/>
    <w:rsid w:val="121E62E8"/>
    <w:rsid w:val="151E0C51"/>
    <w:rsid w:val="158C3991"/>
    <w:rsid w:val="15FA1762"/>
    <w:rsid w:val="1697741D"/>
    <w:rsid w:val="1929359D"/>
    <w:rsid w:val="19A215AC"/>
    <w:rsid w:val="1A132B78"/>
    <w:rsid w:val="1A740CA5"/>
    <w:rsid w:val="1AA43FC8"/>
    <w:rsid w:val="1AC437A4"/>
    <w:rsid w:val="1B153D26"/>
    <w:rsid w:val="1BEB54C3"/>
    <w:rsid w:val="1C3C6084"/>
    <w:rsid w:val="1C8C02F2"/>
    <w:rsid w:val="1CA73AE4"/>
    <w:rsid w:val="1CE65F0A"/>
    <w:rsid w:val="1D3E1AFE"/>
    <w:rsid w:val="1E6432D4"/>
    <w:rsid w:val="1E89232D"/>
    <w:rsid w:val="1EB61656"/>
    <w:rsid w:val="20407429"/>
    <w:rsid w:val="20CF3CE4"/>
    <w:rsid w:val="20DD55C0"/>
    <w:rsid w:val="21A57DB5"/>
    <w:rsid w:val="21BF1163"/>
    <w:rsid w:val="221F5B28"/>
    <w:rsid w:val="224A5D17"/>
    <w:rsid w:val="22922CB8"/>
    <w:rsid w:val="22DB78DD"/>
    <w:rsid w:val="22FD2C88"/>
    <w:rsid w:val="244D65B8"/>
    <w:rsid w:val="2492221D"/>
    <w:rsid w:val="24B42D8E"/>
    <w:rsid w:val="250855AF"/>
    <w:rsid w:val="25291474"/>
    <w:rsid w:val="258B383C"/>
    <w:rsid w:val="263B7010"/>
    <w:rsid w:val="265342DE"/>
    <w:rsid w:val="26756E67"/>
    <w:rsid w:val="26B4291F"/>
    <w:rsid w:val="26BD282A"/>
    <w:rsid w:val="26E769FA"/>
    <w:rsid w:val="274E16A2"/>
    <w:rsid w:val="27C03F8F"/>
    <w:rsid w:val="27D1326D"/>
    <w:rsid w:val="27D7683A"/>
    <w:rsid w:val="28657610"/>
    <w:rsid w:val="286D65BC"/>
    <w:rsid w:val="28D9041B"/>
    <w:rsid w:val="293B2E83"/>
    <w:rsid w:val="29F02766"/>
    <w:rsid w:val="29FE0BC7"/>
    <w:rsid w:val="2A147884"/>
    <w:rsid w:val="2A6D16BD"/>
    <w:rsid w:val="2A8C69F9"/>
    <w:rsid w:val="2AFC4894"/>
    <w:rsid w:val="2B0F140D"/>
    <w:rsid w:val="2B3A05DE"/>
    <w:rsid w:val="2B6901C6"/>
    <w:rsid w:val="2C73023A"/>
    <w:rsid w:val="2D480265"/>
    <w:rsid w:val="2D977453"/>
    <w:rsid w:val="2DCC7165"/>
    <w:rsid w:val="2DF36F3C"/>
    <w:rsid w:val="2E216FBC"/>
    <w:rsid w:val="2E2943BA"/>
    <w:rsid w:val="2E420637"/>
    <w:rsid w:val="2EF148C9"/>
    <w:rsid w:val="2EF22236"/>
    <w:rsid w:val="2F25563A"/>
    <w:rsid w:val="2FEC51AE"/>
    <w:rsid w:val="2FED29FE"/>
    <w:rsid w:val="300E1D4A"/>
    <w:rsid w:val="30B05F05"/>
    <w:rsid w:val="310F3573"/>
    <w:rsid w:val="32D560F7"/>
    <w:rsid w:val="33A76F60"/>
    <w:rsid w:val="341E7629"/>
    <w:rsid w:val="35F117C8"/>
    <w:rsid w:val="360626D9"/>
    <w:rsid w:val="363A281C"/>
    <w:rsid w:val="38284F1B"/>
    <w:rsid w:val="393D1C22"/>
    <w:rsid w:val="39B0409D"/>
    <w:rsid w:val="3AAE3718"/>
    <w:rsid w:val="3AF6657F"/>
    <w:rsid w:val="3BE45FB7"/>
    <w:rsid w:val="3BF21AC7"/>
    <w:rsid w:val="3C013037"/>
    <w:rsid w:val="3C3F6D2B"/>
    <w:rsid w:val="3D821840"/>
    <w:rsid w:val="3DE15672"/>
    <w:rsid w:val="3DFB7018"/>
    <w:rsid w:val="3F8C4C9F"/>
    <w:rsid w:val="3FDF4D23"/>
    <w:rsid w:val="40C05B62"/>
    <w:rsid w:val="41083B3B"/>
    <w:rsid w:val="41270465"/>
    <w:rsid w:val="41DB2FFE"/>
    <w:rsid w:val="427F2B20"/>
    <w:rsid w:val="42F779C3"/>
    <w:rsid w:val="43502DA9"/>
    <w:rsid w:val="43C26223"/>
    <w:rsid w:val="43D8307E"/>
    <w:rsid w:val="44507CD3"/>
    <w:rsid w:val="44AF5181"/>
    <w:rsid w:val="45100899"/>
    <w:rsid w:val="455A018C"/>
    <w:rsid w:val="45C238C0"/>
    <w:rsid w:val="461C5174"/>
    <w:rsid w:val="462B087B"/>
    <w:rsid w:val="46B02CAB"/>
    <w:rsid w:val="46CE3131"/>
    <w:rsid w:val="47092D79"/>
    <w:rsid w:val="47BE0CF6"/>
    <w:rsid w:val="493059DD"/>
    <w:rsid w:val="493F2589"/>
    <w:rsid w:val="494F7907"/>
    <w:rsid w:val="49520162"/>
    <w:rsid w:val="496A1F74"/>
    <w:rsid w:val="4A981A3E"/>
    <w:rsid w:val="4ADF73DC"/>
    <w:rsid w:val="4B1B26BD"/>
    <w:rsid w:val="4B315A3D"/>
    <w:rsid w:val="4B5F3CD8"/>
    <w:rsid w:val="4BA844A7"/>
    <w:rsid w:val="4BE60691"/>
    <w:rsid w:val="4C0055E5"/>
    <w:rsid w:val="4C2000FA"/>
    <w:rsid w:val="4C3677AE"/>
    <w:rsid w:val="4C706B3A"/>
    <w:rsid w:val="4CDC3A6E"/>
    <w:rsid w:val="4F3B332E"/>
    <w:rsid w:val="4F4F1577"/>
    <w:rsid w:val="4FA57764"/>
    <w:rsid w:val="51586F9D"/>
    <w:rsid w:val="51B36EA4"/>
    <w:rsid w:val="51C15CED"/>
    <w:rsid w:val="52285DEB"/>
    <w:rsid w:val="52AD62F0"/>
    <w:rsid w:val="52CE513F"/>
    <w:rsid w:val="52F328C0"/>
    <w:rsid w:val="532B1EEB"/>
    <w:rsid w:val="53415884"/>
    <w:rsid w:val="536A5DDE"/>
    <w:rsid w:val="53A94D0A"/>
    <w:rsid w:val="546308FE"/>
    <w:rsid w:val="547D1722"/>
    <w:rsid w:val="54FC0BB3"/>
    <w:rsid w:val="551932B0"/>
    <w:rsid w:val="56FE59C9"/>
    <w:rsid w:val="570D735E"/>
    <w:rsid w:val="571B2674"/>
    <w:rsid w:val="589917F1"/>
    <w:rsid w:val="58A52B43"/>
    <w:rsid w:val="58B94F39"/>
    <w:rsid w:val="59B241EC"/>
    <w:rsid w:val="59C573FE"/>
    <w:rsid w:val="5A5E27F6"/>
    <w:rsid w:val="5A704801"/>
    <w:rsid w:val="5A8C5E4D"/>
    <w:rsid w:val="5AED2A9A"/>
    <w:rsid w:val="5BA44784"/>
    <w:rsid w:val="5C0514CA"/>
    <w:rsid w:val="5C567704"/>
    <w:rsid w:val="5D1671FB"/>
    <w:rsid w:val="5D3A29E9"/>
    <w:rsid w:val="5D9E1657"/>
    <w:rsid w:val="5DB85D3B"/>
    <w:rsid w:val="5E225DE5"/>
    <w:rsid w:val="5E257683"/>
    <w:rsid w:val="5E7802BC"/>
    <w:rsid w:val="5EE078B0"/>
    <w:rsid w:val="5F0D5523"/>
    <w:rsid w:val="5F2346ED"/>
    <w:rsid w:val="61086613"/>
    <w:rsid w:val="615B2249"/>
    <w:rsid w:val="61686204"/>
    <w:rsid w:val="6208276C"/>
    <w:rsid w:val="62636358"/>
    <w:rsid w:val="62917095"/>
    <w:rsid w:val="62A36819"/>
    <w:rsid w:val="630E06E5"/>
    <w:rsid w:val="6408782B"/>
    <w:rsid w:val="64EF4C48"/>
    <w:rsid w:val="65322CBF"/>
    <w:rsid w:val="65710A1C"/>
    <w:rsid w:val="65B35574"/>
    <w:rsid w:val="65C658ED"/>
    <w:rsid w:val="673C0E0A"/>
    <w:rsid w:val="68CC52CB"/>
    <w:rsid w:val="68DE4FFE"/>
    <w:rsid w:val="691B0000"/>
    <w:rsid w:val="694B58D7"/>
    <w:rsid w:val="69CE4E15"/>
    <w:rsid w:val="6A8232BF"/>
    <w:rsid w:val="6B3E7E06"/>
    <w:rsid w:val="6B7F3246"/>
    <w:rsid w:val="6BBE3934"/>
    <w:rsid w:val="6BE62F83"/>
    <w:rsid w:val="6BF904A6"/>
    <w:rsid w:val="6CA653FF"/>
    <w:rsid w:val="6CB5251A"/>
    <w:rsid w:val="6CD429A0"/>
    <w:rsid w:val="6E915473"/>
    <w:rsid w:val="6EF07839"/>
    <w:rsid w:val="6EF36998"/>
    <w:rsid w:val="6F63000B"/>
    <w:rsid w:val="6FCF0C72"/>
    <w:rsid w:val="6FF36F16"/>
    <w:rsid w:val="6FF877BF"/>
    <w:rsid w:val="707637F4"/>
    <w:rsid w:val="711E2B50"/>
    <w:rsid w:val="71500A63"/>
    <w:rsid w:val="717C1858"/>
    <w:rsid w:val="71AB404A"/>
    <w:rsid w:val="72495E0D"/>
    <w:rsid w:val="72B56DCF"/>
    <w:rsid w:val="72E964BC"/>
    <w:rsid w:val="735246A6"/>
    <w:rsid w:val="735C7C42"/>
    <w:rsid w:val="74027B12"/>
    <w:rsid w:val="74D07EF1"/>
    <w:rsid w:val="7507425C"/>
    <w:rsid w:val="75B00DE3"/>
    <w:rsid w:val="75B570E6"/>
    <w:rsid w:val="75BF3AC1"/>
    <w:rsid w:val="76510710"/>
    <w:rsid w:val="76E109A6"/>
    <w:rsid w:val="7706409E"/>
    <w:rsid w:val="7757596E"/>
    <w:rsid w:val="7797777E"/>
    <w:rsid w:val="77C35AA9"/>
    <w:rsid w:val="780A1873"/>
    <w:rsid w:val="783978AD"/>
    <w:rsid w:val="787D11B8"/>
    <w:rsid w:val="78A771BA"/>
    <w:rsid w:val="78AC6820"/>
    <w:rsid w:val="792C5912"/>
    <w:rsid w:val="7AB8083C"/>
    <w:rsid w:val="7CBA4FE2"/>
    <w:rsid w:val="7D06612B"/>
    <w:rsid w:val="7D2C22A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note text"/>
    <w:basedOn w:val="1"/>
    <w:link w:val="14"/>
    <w:qFormat/>
    <w:uiPriority w:val="0"/>
    <w:pPr>
      <w:snapToGrid w:val="0"/>
      <w:jc w:val="left"/>
    </w:pPr>
    <w:rPr>
      <w:sz w:val="18"/>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脚注文本 字符"/>
    <w:basedOn w:val="11"/>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6415</Words>
  <Characters>7519</Characters>
  <Lines>0</Lines>
  <Paragraphs>0</Paragraphs>
  <TotalTime>0</TotalTime>
  <ScaleCrop>false</ScaleCrop>
  <LinksUpToDate>false</LinksUpToDate>
  <CharactersWithSpaces>8729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2025-07-17T03:18:14Z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26EF80DDF83249758FBE57B6CC817EFD_13</vt:lpwstr>
  </property>
  <property fmtid="{D5CDD505-2E9C-101B-9397-08002B2CF9AE}" pid="4" name="KSOTemplateDocerSaveRecord">
    <vt:lpwstr>eyJoZGlkIjoiNjY2NzEwZWVhMWZlNDZlMTE3NDBlNzBjOTU5NDMxNTEiLCJ1c2VySWQiOiI2NTM1MTIyMzEifQ==</vt:lpwstr>
  </property>
</Properties>
</file>