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5"/>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w:t>
      </w:r>
      <w:r>
        <w:rPr>
          <w:rFonts w:hint="eastAsia" w:ascii="方正小标宋_GBK" w:hAnsi="宋体" w:eastAsia="方正小标宋_GBK"/>
          <w:kern w:val="0"/>
          <w:sz w:val="44"/>
          <w:szCs w:val="44"/>
          <w:lang w:eastAsia="zh-CN"/>
        </w:rPr>
        <w:t>二十里店镇</w:t>
      </w:r>
      <w:r>
        <w:rPr>
          <w:rFonts w:hint="eastAsia" w:ascii="方正小标宋_GBK" w:hAnsi="宋体" w:eastAsia="方正小标宋_GBK"/>
          <w:color w:val="auto"/>
          <w:kern w:val="0"/>
          <w:sz w:val="44"/>
          <w:szCs w:val="44"/>
          <w:highlight w:val="none"/>
          <w:lang w:eastAsia="zh-CN"/>
        </w:rPr>
        <w:t>中心幼儿园</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2025年呼图壁县二十里店镇中心幼儿园</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w:t>
      </w:r>
      <w:r>
        <w:rPr>
          <w:rFonts w:hint="eastAsia" w:ascii="仿宋" w:hAnsi="仿宋" w:eastAsia="仿宋" w:cs="仿宋"/>
          <w:color w:val="auto"/>
          <w:kern w:val="0"/>
          <w:sz w:val="32"/>
          <w:szCs w:val="32"/>
          <w:highlight w:val="none"/>
          <w:lang w:eastAsia="zh-CN"/>
        </w:rPr>
        <w:t>部门</w:t>
      </w:r>
      <w:r>
        <w:rPr>
          <w:rFonts w:hint="eastAsia" w:ascii="仿宋" w:hAnsi="仿宋" w:eastAsia="仿宋" w:cs="仿宋"/>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二、</w:t>
      </w:r>
      <w:r>
        <w:rPr>
          <w:rFonts w:hint="eastAsia" w:ascii="仿宋" w:hAnsi="仿宋" w:eastAsia="仿宋" w:cs="仿宋"/>
          <w:color w:val="auto"/>
          <w:kern w:val="0"/>
          <w:sz w:val="32"/>
          <w:szCs w:val="32"/>
          <w:highlight w:val="none"/>
          <w:lang w:eastAsia="zh-CN"/>
        </w:rPr>
        <w:t>部门</w:t>
      </w:r>
      <w:r>
        <w:rPr>
          <w:rFonts w:hint="eastAsia" w:ascii="仿宋" w:hAnsi="仿宋" w:eastAsia="仿宋" w:cs="仿宋"/>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三、</w:t>
      </w:r>
      <w:r>
        <w:rPr>
          <w:rFonts w:hint="eastAsia" w:ascii="仿宋" w:hAnsi="仿宋" w:eastAsia="仿宋" w:cs="仿宋"/>
          <w:color w:val="auto"/>
          <w:kern w:val="0"/>
          <w:sz w:val="32"/>
          <w:szCs w:val="32"/>
          <w:highlight w:val="none"/>
          <w:lang w:eastAsia="zh-CN"/>
        </w:rPr>
        <w:t>部门</w:t>
      </w:r>
      <w:r>
        <w:rPr>
          <w:rFonts w:hint="eastAsia" w:ascii="仿宋" w:hAnsi="仿宋" w:eastAsia="仿宋" w:cs="仿宋"/>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四、财政拨款收支</w:t>
      </w:r>
      <w:r>
        <w:rPr>
          <w:rFonts w:hint="eastAsia" w:ascii="仿宋" w:hAnsi="仿宋" w:eastAsia="仿宋" w:cs="仿宋"/>
          <w:color w:val="auto"/>
          <w:kern w:val="0"/>
          <w:sz w:val="32"/>
          <w:szCs w:val="32"/>
          <w:highlight w:val="none"/>
          <w:lang w:val="en-US" w:eastAsia="zh-CN"/>
        </w:rPr>
        <w:t>预算</w:t>
      </w:r>
      <w:r>
        <w:rPr>
          <w:rFonts w:hint="eastAsia" w:ascii="仿宋" w:hAnsi="仿宋" w:eastAsia="仿宋" w:cs="仿宋"/>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七、一般公共预算项目支出情况表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八</w:t>
      </w:r>
      <w:r>
        <w:rPr>
          <w:rFonts w:hint="eastAsia" w:ascii="仿宋" w:hAnsi="仿宋" w:eastAsia="仿宋" w:cs="仿宋"/>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九、</w:t>
      </w:r>
      <w:r>
        <w:rPr>
          <w:rFonts w:hint="eastAsia" w:ascii="仿宋" w:hAnsi="仿宋" w:eastAsia="仿宋" w:cs="仿宋"/>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Hans"/>
        </w:rPr>
      </w:pPr>
      <w:r>
        <w:rPr>
          <w:rFonts w:hint="eastAsia" w:ascii="仿宋" w:hAnsi="仿宋" w:eastAsia="仿宋" w:cs="仿宋"/>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十一、</w:t>
      </w:r>
      <w:r>
        <w:rPr>
          <w:rFonts w:hint="eastAsia" w:ascii="仿宋" w:hAnsi="仿宋" w:eastAsia="仿宋" w:cs="仿宋"/>
          <w:color w:val="auto"/>
          <w:kern w:val="0"/>
          <w:sz w:val="32"/>
          <w:szCs w:val="32"/>
          <w:highlight w:val="none"/>
          <w:lang w:val="en-US" w:eastAsia="zh-Hans"/>
        </w:rPr>
        <w:t>上年结转</w:t>
      </w:r>
      <w:r>
        <w:rPr>
          <w:rFonts w:hint="eastAsia" w:ascii="仿宋" w:hAnsi="仿宋" w:eastAsia="仿宋" w:cs="仿宋"/>
          <w:color w:val="auto"/>
          <w:kern w:val="0"/>
          <w:sz w:val="32"/>
          <w:szCs w:val="32"/>
          <w:highlight w:val="none"/>
          <w:lang w:val="en-US" w:eastAsia="zh-CN"/>
        </w:rPr>
        <w:t>结余</w:t>
      </w:r>
      <w:r>
        <w:rPr>
          <w:rFonts w:hint="eastAsia" w:ascii="仿宋" w:hAnsi="仿宋" w:eastAsia="仿宋" w:cs="仿宋"/>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一、关于</w:t>
      </w:r>
      <w:r>
        <w:rPr>
          <w:rFonts w:hint="eastAsia" w:ascii="仿宋" w:hAnsi="仿宋" w:eastAsia="仿宋" w:cs="仿宋"/>
          <w:color w:val="auto"/>
          <w:kern w:val="0"/>
          <w:sz w:val="32"/>
          <w:szCs w:val="32"/>
          <w:highlight w:val="none"/>
          <w:lang w:eastAsia="zh-CN"/>
        </w:rPr>
        <w:t>呼图壁县二十里店镇中心幼儿园202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二、关于</w:t>
      </w:r>
      <w:r>
        <w:rPr>
          <w:rFonts w:hint="eastAsia" w:ascii="仿宋" w:hAnsi="仿宋" w:eastAsia="仿宋" w:cs="仿宋"/>
          <w:color w:val="auto"/>
          <w:kern w:val="0"/>
          <w:sz w:val="32"/>
          <w:szCs w:val="32"/>
          <w:highlight w:val="none"/>
          <w:lang w:eastAsia="zh-CN"/>
        </w:rPr>
        <w:t>呼图壁县二十里店镇中心幼儿园202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三、关于</w:t>
      </w:r>
      <w:r>
        <w:rPr>
          <w:rFonts w:hint="eastAsia" w:ascii="仿宋" w:hAnsi="仿宋" w:eastAsia="仿宋" w:cs="仿宋"/>
          <w:color w:val="auto"/>
          <w:kern w:val="0"/>
          <w:sz w:val="32"/>
          <w:szCs w:val="32"/>
          <w:highlight w:val="none"/>
          <w:lang w:eastAsia="zh-CN"/>
        </w:rPr>
        <w:t>呼图壁县二十里店镇中心幼儿园202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四、关于</w:t>
      </w:r>
      <w:r>
        <w:rPr>
          <w:rFonts w:hint="eastAsia" w:ascii="仿宋" w:hAnsi="仿宋" w:eastAsia="仿宋" w:cs="仿宋"/>
          <w:color w:val="auto"/>
          <w:kern w:val="0"/>
          <w:sz w:val="32"/>
          <w:szCs w:val="32"/>
          <w:highlight w:val="none"/>
          <w:lang w:eastAsia="zh-CN"/>
        </w:rPr>
        <w:t>呼图壁县二十里店镇中心幼儿园202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五、关于</w:t>
      </w:r>
      <w:r>
        <w:rPr>
          <w:rFonts w:hint="eastAsia" w:ascii="仿宋" w:hAnsi="仿宋" w:eastAsia="仿宋" w:cs="仿宋"/>
          <w:color w:val="auto"/>
          <w:kern w:val="0"/>
          <w:sz w:val="32"/>
          <w:szCs w:val="32"/>
          <w:highlight w:val="none"/>
          <w:lang w:eastAsia="zh-CN"/>
        </w:rPr>
        <w:t>呼图壁县二十里店镇中心幼儿园202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六、关于</w:t>
      </w:r>
      <w:r>
        <w:rPr>
          <w:rFonts w:hint="eastAsia" w:ascii="仿宋" w:hAnsi="仿宋" w:eastAsia="仿宋" w:cs="仿宋"/>
          <w:color w:val="auto"/>
          <w:kern w:val="0"/>
          <w:sz w:val="32"/>
          <w:szCs w:val="32"/>
          <w:highlight w:val="none"/>
          <w:lang w:eastAsia="zh-CN"/>
        </w:rPr>
        <w:t>呼图壁县二十里店镇中心幼儿园202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七、关于</w:t>
      </w:r>
      <w:r>
        <w:rPr>
          <w:rFonts w:hint="eastAsia" w:ascii="仿宋" w:hAnsi="仿宋" w:eastAsia="仿宋" w:cs="仿宋"/>
          <w:color w:val="auto"/>
          <w:kern w:val="0"/>
          <w:sz w:val="32"/>
          <w:szCs w:val="32"/>
          <w:highlight w:val="none"/>
          <w:lang w:eastAsia="zh-CN"/>
        </w:rPr>
        <w:t>呼图壁县二十里店镇中心幼儿园202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八</w:t>
      </w:r>
      <w:r>
        <w:rPr>
          <w:rFonts w:hint="eastAsia" w:ascii="仿宋" w:hAnsi="仿宋" w:eastAsia="仿宋" w:cs="仿宋"/>
          <w:color w:val="auto"/>
          <w:kern w:val="0"/>
          <w:sz w:val="32"/>
          <w:szCs w:val="32"/>
          <w:highlight w:val="none"/>
        </w:rPr>
        <w:t>、关于</w:t>
      </w:r>
      <w:r>
        <w:rPr>
          <w:rFonts w:hint="eastAsia" w:ascii="仿宋" w:hAnsi="仿宋" w:eastAsia="仿宋" w:cs="仿宋"/>
          <w:color w:val="auto"/>
          <w:kern w:val="0"/>
          <w:sz w:val="32"/>
          <w:szCs w:val="32"/>
          <w:highlight w:val="none"/>
          <w:lang w:eastAsia="zh-CN"/>
        </w:rPr>
        <w:t>呼图壁县二十里店镇中心幼儿园202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九、</w:t>
      </w:r>
      <w:r>
        <w:rPr>
          <w:rFonts w:hint="eastAsia" w:ascii="仿宋" w:hAnsi="仿宋" w:eastAsia="仿宋" w:cs="仿宋"/>
          <w:color w:val="auto"/>
          <w:kern w:val="0"/>
          <w:sz w:val="32"/>
          <w:szCs w:val="32"/>
          <w:highlight w:val="none"/>
        </w:rPr>
        <w:t>关于</w:t>
      </w:r>
      <w:r>
        <w:rPr>
          <w:rFonts w:hint="eastAsia" w:ascii="仿宋" w:hAnsi="仿宋" w:eastAsia="仿宋" w:cs="仿宋"/>
          <w:color w:val="auto"/>
          <w:kern w:val="0"/>
          <w:sz w:val="32"/>
          <w:szCs w:val="32"/>
          <w:highlight w:val="none"/>
          <w:lang w:eastAsia="zh-CN"/>
        </w:rPr>
        <w:t>呼图壁县二十里店镇中心幼儿园202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Hans"/>
        </w:rPr>
      </w:pPr>
      <w:r>
        <w:rPr>
          <w:rFonts w:hint="eastAsia" w:ascii="仿宋" w:hAnsi="仿宋" w:eastAsia="仿宋" w:cs="仿宋"/>
          <w:color w:val="auto"/>
          <w:kern w:val="0"/>
          <w:sz w:val="32"/>
          <w:szCs w:val="32"/>
          <w:highlight w:val="none"/>
          <w:lang w:val="en-US" w:eastAsia="zh-Hans"/>
        </w:rPr>
        <w:t>十</w:t>
      </w:r>
      <w:r>
        <w:rPr>
          <w:rFonts w:hint="eastAsia" w:ascii="仿宋" w:hAnsi="仿宋" w:eastAsia="仿宋" w:cs="仿宋"/>
          <w:color w:val="auto"/>
          <w:kern w:val="0"/>
          <w:sz w:val="32"/>
          <w:szCs w:val="32"/>
          <w:highlight w:val="none"/>
        </w:rPr>
        <w:t>、关于</w:t>
      </w:r>
      <w:r>
        <w:rPr>
          <w:rFonts w:hint="eastAsia" w:ascii="仿宋" w:hAnsi="仿宋" w:eastAsia="仿宋" w:cs="仿宋"/>
          <w:color w:val="auto"/>
          <w:kern w:val="0"/>
          <w:sz w:val="32"/>
          <w:szCs w:val="32"/>
          <w:highlight w:val="none"/>
          <w:lang w:eastAsia="zh-CN"/>
        </w:rPr>
        <w:t>呼图壁县二十里店镇中心幼儿园202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年</w:t>
      </w:r>
      <w:r>
        <w:rPr>
          <w:rFonts w:hint="eastAsia" w:ascii="仿宋" w:hAnsi="仿宋" w:eastAsia="仿宋" w:cs="仿宋"/>
          <w:color w:val="auto"/>
          <w:kern w:val="0"/>
          <w:sz w:val="32"/>
          <w:szCs w:val="32"/>
          <w:highlight w:val="none"/>
          <w:lang w:val="en-US" w:eastAsia="zh-Hans"/>
        </w:rPr>
        <w:t>财政拨款</w:t>
      </w:r>
      <w:r>
        <w:rPr>
          <w:rFonts w:hint="eastAsia" w:ascii="仿宋" w:hAnsi="仿宋" w:eastAsia="仿宋" w:cs="仿宋"/>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十</w:t>
      </w:r>
      <w:r>
        <w:rPr>
          <w:rFonts w:hint="eastAsia" w:ascii="仿宋" w:hAnsi="仿宋" w:eastAsia="仿宋" w:cs="仿宋"/>
          <w:color w:val="auto"/>
          <w:kern w:val="0"/>
          <w:sz w:val="32"/>
          <w:szCs w:val="32"/>
          <w:highlight w:val="none"/>
          <w:lang w:val="en-US" w:eastAsia="zh-Hans"/>
        </w:rPr>
        <w:t>一</w:t>
      </w:r>
      <w:r>
        <w:rPr>
          <w:rFonts w:hint="eastAsia" w:ascii="仿宋" w:hAnsi="仿宋" w:eastAsia="仿宋" w:cs="仿宋"/>
          <w:color w:val="auto"/>
          <w:kern w:val="0"/>
          <w:sz w:val="32"/>
          <w:szCs w:val="32"/>
          <w:highlight w:val="none"/>
        </w:rPr>
        <w:t>、关于</w:t>
      </w:r>
      <w:r>
        <w:rPr>
          <w:rFonts w:hint="eastAsia" w:ascii="仿宋" w:hAnsi="仿宋" w:eastAsia="仿宋" w:cs="仿宋"/>
          <w:color w:val="auto"/>
          <w:kern w:val="0"/>
          <w:sz w:val="32"/>
          <w:szCs w:val="32"/>
          <w:highlight w:val="none"/>
          <w:lang w:eastAsia="zh-CN"/>
        </w:rPr>
        <w:t>呼图壁县二十里店镇中心幼儿园202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年</w:t>
      </w:r>
      <w:r>
        <w:rPr>
          <w:rFonts w:hint="eastAsia" w:ascii="仿宋" w:hAnsi="仿宋" w:eastAsia="仿宋" w:cs="仿宋"/>
          <w:color w:val="auto"/>
          <w:kern w:val="0"/>
          <w:sz w:val="32"/>
          <w:szCs w:val="32"/>
          <w:highlight w:val="none"/>
          <w:lang w:val="en-US" w:eastAsia="zh-CN"/>
        </w:rPr>
        <w:t>上年结转结余</w:t>
      </w:r>
      <w:r>
        <w:rPr>
          <w:rFonts w:hint="eastAsia" w:ascii="仿宋" w:hAnsi="仿宋" w:eastAsia="仿宋" w:cs="仿宋"/>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十二、</w:t>
      </w:r>
      <w:r>
        <w:rPr>
          <w:rFonts w:hint="eastAsia" w:ascii="仿宋" w:hAnsi="仿宋" w:eastAsia="仿宋" w:cs="仿宋"/>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呼图壁县二十里店镇中心幼儿园2025年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6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kern w:val="0"/>
          <w:sz w:val="32"/>
          <w:szCs w:val="32"/>
          <w:lang w:eastAsia="zh-CN"/>
        </w:rPr>
      </w:pPr>
      <w:r>
        <w:rPr>
          <w:rFonts w:hint="eastAsia" w:ascii="仿宋" w:hAnsi="仿宋" w:eastAsia="仿宋" w:cs="仿宋"/>
          <w:bCs/>
          <w:kern w:val="0"/>
          <w:sz w:val="32"/>
          <w:szCs w:val="32"/>
          <w:lang w:eastAsia="zh-CN"/>
        </w:rPr>
        <w:t>为学龄前儿童提供教育</w:t>
      </w:r>
      <w:r>
        <w:rPr>
          <w:rFonts w:hint="eastAsia" w:ascii="仿宋" w:hAnsi="仿宋" w:eastAsia="仿宋" w:cs="仿宋"/>
          <w:bCs/>
          <w:kern w:val="0"/>
          <w:sz w:val="32"/>
          <w:szCs w:val="32"/>
        </w:rPr>
        <w:t>幼儿园保育及幼儿教育</w:t>
      </w:r>
      <w:r>
        <w:rPr>
          <w:rFonts w:hint="eastAsia" w:ascii="仿宋" w:hAnsi="仿宋" w:eastAsia="仿宋" w:cs="仿宋"/>
          <w:bCs/>
          <w:kern w:val="0"/>
          <w:sz w:val="32"/>
          <w:szCs w:val="32"/>
          <w:lang w:eastAsia="zh-CN"/>
        </w:rPr>
        <w:t>，实行保育与教育相结合的原则，对幼儿实施德、智、体、美方面全面发展的教育，管理幼儿生活活动，保护幼儿在幼儿园的安全。在园长的领导下，协助园长完成幼儿园各项工作。做好家长沟通交流工作。抓好保健工作，做好计划免疫和疾病的防治工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color w:val="auto"/>
          <w:kern w:val="0"/>
          <w:sz w:val="32"/>
          <w:szCs w:val="32"/>
          <w:highlight w:val="none"/>
        </w:rPr>
      </w:pPr>
      <w:r>
        <w:rPr>
          <w:rFonts w:hint="eastAsia" w:ascii="仿宋" w:hAnsi="仿宋" w:eastAsia="仿宋" w:cs="仿宋"/>
          <w:bCs/>
          <w:kern w:val="0"/>
          <w:sz w:val="32"/>
          <w:szCs w:val="32"/>
          <w:lang w:eastAsia="zh-CN"/>
        </w:rPr>
        <w:t>呼图壁县</w:t>
      </w:r>
      <w:r>
        <w:rPr>
          <w:rFonts w:hint="eastAsia" w:ascii="仿宋" w:hAnsi="仿宋" w:eastAsia="仿宋" w:cs="仿宋"/>
          <w:bCs/>
          <w:color w:val="auto"/>
          <w:kern w:val="0"/>
          <w:sz w:val="32"/>
          <w:szCs w:val="32"/>
          <w:lang w:val="en-US" w:eastAsia="zh-CN"/>
        </w:rPr>
        <w:t>二十里店镇</w:t>
      </w:r>
      <w:r>
        <w:rPr>
          <w:rFonts w:hint="eastAsia" w:ascii="仿宋" w:hAnsi="仿宋" w:eastAsia="仿宋" w:cs="仿宋"/>
          <w:bCs/>
          <w:kern w:val="0"/>
          <w:sz w:val="32"/>
          <w:szCs w:val="32"/>
          <w:lang w:eastAsia="zh-CN"/>
        </w:rPr>
        <w:t>中心</w:t>
      </w:r>
      <w:r>
        <w:rPr>
          <w:rFonts w:hint="eastAsia" w:ascii="仿宋" w:hAnsi="仿宋" w:eastAsia="仿宋" w:cs="仿宋"/>
          <w:bCs/>
          <w:kern w:val="0"/>
          <w:sz w:val="32"/>
          <w:szCs w:val="32"/>
        </w:rPr>
        <w:t>幼儿园</w:t>
      </w:r>
      <w:r>
        <w:rPr>
          <w:rFonts w:hint="eastAsia" w:ascii="仿宋" w:hAnsi="仿宋" w:eastAsia="仿宋" w:cs="仿宋"/>
          <w:bCs/>
          <w:kern w:val="0"/>
          <w:sz w:val="32"/>
          <w:szCs w:val="32"/>
          <w:lang w:eastAsia="zh-CN"/>
        </w:rPr>
        <w:t>隶属于呼图壁县教育局管理。</w:t>
      </w:r>
    </w:p>
    <w:p>
      <w:pPr>
        <w:keepNext w:val="0"/>
        <w:keepLines w:val="0"/>
        <w:pageBreakBefore w:val="0"/>
        <w:widowControl/>
        <w:kinsoku/>
        <w:wordWrap/>
        <w:overflowPunct/>
        <w:topLinePunct w:val="0"/>
        <w:autoSpaceDE/>
        <w:autoSpaceDN/>
        <w:bidi w:val="0"/>
        <w:adjustRightInd/>
        <w:snapToGrid/>
        <w:spacing w:beforeLines="0" w:line="56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kern w:val="0"/>
          <w:sz w:val="32"/>
          <w:szCs w:val="32"/>
          <w:lang w:eastAsia="zh-CN"/>
        </w:rPr>
      </w:pPr>
      <w:r>
        <w:rPr>
          <w:rFonts w:hint="eastAsia" w:ascii="仿宋" w:hAnsi="仿宋" w:eastAsia="仿宋" w:cs="仿宋"/>
          <w:bCs/>
          <w:kern w:val="0"/>
          <w:sz w:val="32"/>
          <w:szCs w:val="32"/>
          <w:lang w:eastAsia="zh-CN"/>
        </w:rPr>
        <w:t>呼图壁县</w:t>
      </w:r>
      <w:r>
        <w:rPr>
          <w:rFonts w:hint="eastAsia" w:ascii="仿宋" w:hAnsi="仿宋" w:eastAsia="仿宋" w:cs="仿宋"/>
          <w:bCs/>
          <w:kern w:val="0"/>
          <w:sz w:val="32"/>
          <w:szCs w:val="32"/>
          <w:lang w:val="en-US" w:eastAsia="zh-CN"/>
        </w:rPr>
        <w:t>二十里店</w:t>
      </w:r>
      <w:r>
        <w:rPr>
          <w:rFonts w:hint="eastAsia" w:ascii="仿宋" w:hAnsi="仿宋" w:eastAsia="仿宋" w:cs="仿宋"/>
          <w:bCs/>
          <w:kern w:val="0"/>
          <w:sz w:val="32"/>
          <w:szCs w:val="32"/>
          <w:lang w:eastAsia="zh-CN"/>
        </w:rPr>
        <w:t>镇中心幼儿园无下属预算单位，下设</w:t>
      </w:r>
      <w:r>
        <w:rPr>
          <w:rFonts w:hint="eastAsia" w:ascii="仿宋" w:hAnsi="仿宋" w:eastAsia="仿宋" w:cs="仿宋"/>
          <w:bCs/>
          <w:kern w:val="0"/>
          <w:sz w:val="32"/>
          <w:szCs w:val="32"/>
          <w:lang w:val="en-US" w:eastAsia="zh-CN"/>
        </w:rPr>
        <w:t>6</w:t>
      </w:r>
      <w:r>
        <w:rPr>
          <w:rFonts w:hint="eastAsia" w:ascii="仿宋" w:hAnsi="仿宋" w:eastAsia="仿宋" w:cs="仿宋"/>
          <w:bCs/>
          <w:kern w:val="0"/>
          <w:sz w:val="32"/>
          <w:szCs w:val="32"/>
          <w:lang w:eastAsia="zh-CN"/>
        </w:rPr>
        <w:t>个处室，分别是：园长办公室、党建办公室、总务办公室、德育（教务）办公室、卫生保健办公室、财务室。</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kern w:val="0"/>
          <w:sz w:val="32"/>
          <w:szCs w:val="32"/>
          <w:lang w:eastAsia="zh-CN"/>
        </w:rPr>
      </w:pPr>
      <w:r>
        <w:rPr>
          <w:rFonts w:hint="eastAsia" w:ascii="仿宋" w:hAnsi="仿宋" w:eastAsia="仿宋" w:cs="仿宋"/>
          <w:bCs/>
          <w:kern w:val="0"/>
          <w:sz w:val="32"/>
          <w:szCs w:val="32"/>
          <w:lang w:eastAsia="zh-CN"/>
        </w:rPr>
        <w:t>呼图壁县二十里店镇中心幼儿园编制数</w:t>
      </w:r>
      <w:r>
        <w:rPr>
          <w:rFonts w:hint="eastAsia" w:ascii="仿宋" w:hAnsi="仿宋" w:eastAsia="仿宋" w:cs="仿宋"/>
          <w:bCs/>
          <w:kern w:val="0"/>
          <w:sz w:val="32"/>
          <w:szCs w:val="32"/>
          <w:lang w:val="en-US" w:eastAsia="zh-CN"/>
        </w:rPr>
        <w:t>13人</w:t>
      </w:r>
      <w:r>
        <w:rPr>
          <w:rFonts w:hint="eastAsia" w:ascii="仿宋" w:hAnsi="仿宋" w:eastAsia="仿宋" w:cs="仿宋"/>
          <w:bCs/>
          <w:kern w:val="0"/>
          <w:sz w:val="32"/>
          <w:szCs w:val="32"/>
          <w:lang w:eastAsia="zh-CN"/>
        </w:rPr>
        <w:t>，实有人数</w:t>
      </w:r>
      <w:r>
        <w:rPr>
          <w:rFonts w:hint="eastAsia" w:ascii="仿宋" w:hAnsi="仿宋" w:eastAsia="仿宋" w:cs="仿宋"/>
          <w:bCs/>
          <w:kern w:val="0"/>
          <w:sz w:val="32"/>
          <w:szCs w:val="32"/>
          <w:lang w:val="en-US" w:eastAsia="zh-CN"/>
        </w:rPr>
        <w:t>13</w:t>
      </w:r>
      <w:r>
        <w:rPr>
          <w:rFonts w:hint="eastAsia" w:ascii="仿宋" w:hAnsi="仿宋" w:eastAsia="仿宋" w:cs="仿宋"/>
          <w:bCs/>
          <w:kern w:val="0"/>
          <w:sz w:val="32"/>
          <w:szCs w:val="32"/>
          <w:lang w:eastAsia="zh-CN"/>
        </w:rPr>
        <w:t>人，其中：在职</w:t>
      </w:r>
      <w:r>
        <w:rPr>
          <w:rFonts w:hint="eastAsia" w:ascii="仿宋" w:hAnsi="仿宋" w:eastAsia="仿宋" w:cs="仿宋"/>
          <w:bCs/>
          <w:kern w:val="0"/>
          <w:sz w:val="32"/>
          <w:szCs w:val="32"/>
          <w:lang w:val="en-US" w:eastAsia="zh-CN"/>
        </w:rPr>
        <w:t>13</w:t>
      </w:r>
      <w:r>
        <w:rPr>
          <w:rFonts w:hint="eastAsia" w:ascii="仿宋" w:hAnsi="仿宋" w:eastAsia="仿宋" w:cs="仿宋"/>
          <w:bCs/>
          <w:kern w:val="0"/>
          <w:sz w:val="32"/>
          <w:szCs w:val="32"/>
          <w:lang w:eastAsia="zh-CN"/>
        </w:rPr>
        <w:t>人，增加</w:t>
      </w:r>
      <w:r>
        <w:rPr>
          <w:rFonts w:hint="eastAsia" w:ascii="仿宋" w:hAnsi="仿宋" w:eastAsia="仿宋" w:cs="仿宋"/>
          <w:bCs/>
          <w:kern w:val="0"/>
          <w:sz w:val="32"/>
          <w:szCs w:val="32"/>
          <w:lang w:val="en-US" w:eastAsia="zh-CN"/>
        </w:rPr>
        <w:t>0</w:t>
      </w:r>
      <w:r>
        <w:rPr>
          <w:rFonts w:hint="eastAsia" w:ascii="仿宋" w:hAnsi="仿宋" w:eastAsia="仿宋" w:cs="仿宋"/>
          <w:bCs/>
          <w:kern w:val="0"/>
          <w:sz w:val="32"/>
          <w:szCs w:val="32"/>
          <w:lang w:eastAsia="zh-CN"/>
        </w:rPr>
        <w:t>人；退休</w:t>
      </w:r>
      <w:r>
        <w:rPr>
          <w:rFonts w:hint="eastAsia" w:ascii="仿宋" w:hAnsi="仿宋" w:eastAsia="仿宋" w:cs="仿宋"/>
          <w:bCs/>
          <w:kern w:val="0"/>
          <w:sz w:val="32"/>
          <w:szCs w:val="32"/>
          <w:lang w:val="en-US" w:eastAsia="zh-CN"/>
        </w:rPr>
        <w:t>0</w:t>
      </w:r>
      <w:r>
        <w:rPr>
          <w:rFonts w:hint="eastAsia" w:ascii="仿宋" w:hAnsi="仿宋" w:eastAsia="仿宋" w:cs="仿宋"/>
          <w:bCs/>
          <w:kern w:val="0"/>
          <w:sz w:val="32"/>
          <w:szCs w:val="32"/>
          <w:lang w:eastAsia="zh-CN"/>
        </w:rPr>
        <w:t>人，增加</w:t>
      </w:r>
      <w:r>
        <w:rPr>
          <w:rFonts w:hint="eastAsia" w:ascii="仿宋" w:hAnsi="仿宋" w:eastAsia="仿宋" w:cs="仿宋"/>
          <w:bCs/>
          <w:kern w:val="0"/>
          <w:sz w:val="32"/>
          <w:szCs w:val="32"/>
          <w:lang w:val="en-US" w:eastAsia="zh-CN"/>
        </w:rPr>
        <w:t>0</w:t>
      </w:r>
      <w:r>
        <w:rPr>
          <w:rFonts w:hint="eastAsia" w:ascii="仿宋" w:hAnsi="仿宋" w:eastAsia="仿宋" w:cs="仿宋"/>
          <w:bCs/>
          <w:kern w:val="0"/>
          <w:sz w:val="32"/>
          <w:szCs w:val="32"/>
          <w:lang w:eastAsia="zh-CN"/>
        </w:rPr>
        <w:t>人；离休</w:t>
      </w:r>
      <w:r>
        <w:rPr>
          <w:rFonts w:hint="eastAsia" w:ascii="仿宋" w:hAnsi="仿宋" w:eastAsia="仿宋" w:cs="仿宋"/>
          <w:bCs/>
          <w:kern w:val="0"/>
          <w:sz w:val="32"/>
          <w:szCs w:val="32"/>
          <w:lang w:val="en-US" w:eastAsia="zh-CN"/>
        </w:rPr>
        <w:t>0</w:t>
      </w:r>
      <w:r>
        <w:rPr>
          <w:rFonts w:hint="eastAsia" w:ascii="仿宋" w:hAnsi="仿宋" w:eastAsia="仿宋" w:cs="仿宋"/>
          <w:bCs/>
          <w:kern w:val="0"/>
          <w:sz w:val="32"/>
          <w:szCs w:val="32"/>
          <w:lang w:eastAsia="zh-CN"/>
        </w:rPr>
        <w:t>人，增加</w:t>
      </w:r>
      <w:r>
        <w:rPr>
          <w:rFonts w:hint="eastAsia" w:ascii="仿宋" w:hAnsi="仿宋" w:eastAsia="仿宋" w:cs="仿宋"/>
          <w:bCs/>
          <w:kern w:val="0"/>
          <w:sz w:val="32"/>
          <w:szCs w:val="32"/>
          <w:lang w:val="en-US" w:eastAsia="zh-CN"/>
        </w:rPr>
        <w:t>0</w:t>
      </w:r>
      <w:r>
        <w:rPr>
          <w:rFonts w:hint="eastAsia" w:ascii="仿宋" w:hAnsi="仿宋" w:eastAsia="仿宋" w:cs="仿宋"/>
          <w:bCs/>
          <w:kern w:val="0"/>
          <w:sz w:val="32"/>
          <w:szCs w:val="32"/>
          <w:lang w:eastAsia="zh-CN"/>
        </w:rPr>
        <w:t>人。</w:t>
      </w:r>
    </w:p>
    <w:p>
      <w:pPr>
        <w:keepNext w:val="0"/>
        <w:keepLines w:val="0"/>
        <w:pageBreakBefore w:val="0"/>
        <w:widowControl/>
        <w:kinsoku/>
        <w:wordWrap/>
        <w:overflowPunct/>
        <w:topLinePunct w:val="0"/>
        <w:autoSpaceDE/>
        <w:autoSpaceDN/>
        <w:bidi w:val="0"/>
        <w:adjustRightInd/>
        <w:snapToGrid/>
        <w:spacing w:before="0" w:beforeLines="0" w:line="56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56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56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56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56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val="en-US" w:eastAsia="zh-CN"/>
        </w:rPr>
        <w:t>2025年部门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keepNext w:val="0"/>
        <w:keepLines w:val="0"/>
        <w:pageBreakBefore w:val="0"/>
        <w:widowControl/>
        <w:kinsoku/>
        <w:wordWrap/>
        <w:overflowPunct/>
        <w:topLinePunct w:val="0"/>
        <w:autoSpaceDE/>
        <w:autoSpaceDN/>
        <w:bidi w:val="0"/>
        <w:adjustRightInd/>
        <w:snapToGrid/>
        <w:spacing w:line="280" w:lineRule="exact"/>
        <w:jc w:val="left"/>
        <w:textAlignment w:val="auto"/>
        <w:outlineLvl w:val="1"/>
        <w:rPr>
          <w:rFonts w:ascii="仿宋_GB2312" w:hAnsi="宋体" w:eastAsia="仿宋_GB2312"/>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w:t>
      </w:r>
      <w:r>
        <w:rPr>
          <w:rFonts w:hint="eastAsia" w:ascii="仿宋" w:hAnsi="仿宋" w:eastAsia="仿宋" w:cs="仿宋"/>
          <w:color w:val="auto"/>
          <w:kern w:val="0"/>
          <w:sz w:val="24"/>
          <w:lang w:eastAsia="zh-CN"/>
        </w:rPr>
        <w:t>二十里店镇</w:t>
      </w:r>
      <w:r>
        <w:rPr>
          <w:rFonts w:hint="eastAsia" w:ascii="仿宋" w:hAnsi="仿宋" w:eastAsia="仿宋" w:cs="仿宋"/>
          <w:color w:val="auto"/>
          <w:kern w:val="0"/>
          <w:sz w:val="24"/>
          <w:highlight w:val="none"/>
          <w:lang w:eastAsia="zh-CN"/>
        </w:rPr>
        <w:t>中心幼儿园</w:t>
      </w:r>
      <w:r>
        <w:rPr>
          <w:rFonts w:hint="eastAsia" w:ascii="仿宋" w:hAnsi="仿宋" w:eastAsia="仿宋" w:cs="仿宋"/>
          <w:color w:val="auto"/>
          <w:kern w:val="0"/>
          <w:sz w:val="24"/>
          <w:highlight w:val="none"/>
        </w:rPr>
        <w:t xml:space="preserve"> </w:t>
      </w:r>
      <w:r>
        <w:rPr>
          <w:rFonts w:hint="eastAsia" w:ascii="仿宋_GB2312" w:hAnsi="宋体" w:eastAsia="仿宋_GB2312"/>
          <w:color w:val="auto"/>
          <w:kern w:val="0"/>
          <w:sz w:val="24"/>
          <w:highlight w:val="none"/>
        </w:rPr>
        <w:t xml:space="preserve">                       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28"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hd w:val="clear"/>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hd w:val="clear"/>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18"/>
                <w:szCs w:val="18"/>
                <w:highlight w:val="none"/>
                <w:shd w:val="clear" w:color="auto" w:fill="auto"/>
                <w:lang w:val="en-US" w:eastAsia="zh-CN"/>
              </w:rPr>
            </w:pPr>
            <w:r>
              <w:rPr>
                <w:rFonts w:hint="eastAsia" w:ascii="仿宋" w:hAnsi="仿宋" w:eastAsia="仿宋" w:cs="仿宋"/>
                <w:b/>
                <w:bCs/>
                <w:color w:val="auto"/>
                <w:kern w:val="0"/>
                <w:sz w:val="18"/>
                <w:szCs w:val="18"/>
                <w:highlight w:val="none"/>
                <w:shd w:val="clear" w:color="auto" w:fill="auto"/>
                <w:lang w:val="en-US" w:eastAsia="zh-CN"/>
              </w:rPr>
              <w:t>473.67</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r>
              <w:rPr>
                <w:rFonts w:hint="eastAsia" w:ascii="仿宋" w:hAnsi="仿宋" w:eastAsia="仿宋" w:cs="仿宋"/>
                <w:color w:val="auto"/>
                <w:kern w:val="0"/>
                <w:sz w:val="18"/>
                <w:szCs w:val="18"/>
                <w:highlight w:val="none"/>
                <w:shd w:val="clear" w:color="auto" w:fill="auto"/>
                <w:lang w:val="en-US" w:eastAsia="zh-CN"/>
              </w:rPr>
              <w:t>339.41</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r>
              <w:rPr>
                <w:rFonts w:hint="eastAsia" w:ascii="仿宋" w:hAnsi="仿宋" w:eastAsia="仿宋" w:cs="仿宋"/>
                <w:color w:val="auto"/>
                <w:kern w:val="0"/>
                <w:sz w:val="18"/>
                <w:szCs w:val="18"/>
                <w:highlight w:val="none"/>
                <w:shd w:val="clear" w:color="auto" w:fill="auto"/>
                <w:lang w:val="en-US" w:eastAsia="zh-CN"/>
              </w:rPr>
              <w:t>323.21</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r>
              <w:rPr>
                <w:rFonts w:hint="eastAsia" w:ascii="仿宋" w:hAnsi="仿宋" w:eastAsia="仿宋" w:cs="仿宋"/>
                <w:color w:val="auto"/>
                <w:kern w:val="0"/>
                <w:sz w:val="18"/>
                <w:szCs w:val="18"/>
                <w:highlight w:val="none"/>
                <w:shd w:val="clear" w:color="auto" w:fill="auto"/>
                <w:lang w:val="en-US" w:eastAsia="zh-CN"/>
              </w:rPr>
              <w:t>16.20</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lang w:eastAsia="zh-CN"/>
              </w:rPr>
            </w:pPr>
            <w:r>
              <w:rPr>
                <w:rFonts w:hint="eastAsia" w:ascii="仿宋" w:hAnsi="仿宋" w:eastAsia="仿宋" w:cs="仿宋"/>
                <w:color w:val="auto"/>
                <w:kern w:val="0"/>
                <w:sz w:val="18"/>
                <w:szCs w:val="18"/>
                <w:highlight w:val="none"/>
                <w:shd w:val="clear" w:color="auto" w:fill="auto"/>
              </w:rPr>
              <w:t>2.</w:t>
            </w:r>
            <w:r>
              <w:rPr>
                <w:rFonts w:hint="eastAsia" w:ascii="仿宋" w:hAnsi="仿宋" w:eastAsia="仿宋" w:cs="仿宋"/>
                <w:color w:val="auto"/>
                <w:kern w:val="0"/>
                <w:sz w:val="18"/>
                <w:szCs w:val="18"/>
                <w:highlight w:val="none"/>
                <w:shd w:val="clear" w:color="auto" w:fill="auto"/>
                <w:lang w:val="en-US" w:eastAsia="zh-CN"/>
              </w:rPr>
              <w:t>政府性</w:t>
            </w:r>
            <w:r>
              <w:rPr>
                <w:rFonts w:hint="eastAsia" w:ascii="仿宋" w:hAnsi="仿宋" w:eastAsia="仿宋" w:cs="仿宋"/>
                <w:color w:val="auto"/>
                <w:kern w:val="0"/>
                <w:sz w:val="18"/>
                <w:szCs w:val="18"/>
                <w:highlight w:val="none"/>
                <w:shd w:val="clear" w:color="auto" w:fill="auto"/>
              </w:rPr>
              <w:t>基金预算拨款</w:t>
            </w:r>
            <w:r>
              <w:rPr>
                <w:rFonts w:hint="eastAsia" w:ascii="仿宋" w:hAnsi="仿宋" w:eastAsia="仿宋" w:cs="仿宋"/>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r>
              <w:rPr>
                <w:rFonts w:hint="eastAsia" w:ascii="仿宋" w:hAnsi="仿宋" w:eastAsia="仿宋" w:cs="仿宋"/>
                <w:color w:val="auto"/>
                <w:kern w:val="0"/>
                <w:sz w:val="18"/>
                <w:szCs w:val="18"/>
                <w:highlight w:val="none"/>
                <w:shd w:val="clear" w:color="auto" w:fill="auto"/>
                <w:lang w:val="en-US" w:eastAsia="zh-CN"/>
              </w:rPr>
              <w:t>484.25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25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210</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r>
              <w:rPr>
                <w:rFonts w:hint="eastAsia" w:ascii="仿宋" w:hAnsi="仿宋" w:eastAsia="仿宋" w:cs="仿宋"/>
                <w:color w:val="auto"/>
                <w:kern w:val="0"/>
                <w:sz w:val="18"/>
                <w:szCs w:val="18"/>
                <w:highlight w:val="none"/>
                <w:shd w:val="clear" w:color="auto" w:fill="auto"/>
                <w:lang w:val="en-US" w:eastAsia="zh-CN"/>
              </w:rPr>
              <w:t>134.26</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215 资源勘探</w:t>
            </w:r>
            <w:r>
              <w:rPr>
                <w:rFonts w:hint="eastAsia" w:ascii="仿宋" w:hAnsi="仿宋" w:eastAsia="仿宋" w:cs="仿宋"/>
                <w:color w:val="auto"/>
                <w:kern w:val="0"/>
                <w:sz w:val="18"/>
                <w:szCs w:val="18"/>
                <w:highlight w:val="none"/>
                <w:lang w:val="en-US" w:eastAsia="zh-Hans"/>
              </w:rPr>
              <w:t>工业</w:t>
            </w:r>
            <w:r>
              <w:rPr>
                <w:rFonts w:hint="eastAsia" w:ascii="仿宋" w:hAnsi="仿宋" w:eastAsia="仿宋" w:cs="仿宋"/>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lang w:val="en-US" w:eastAsia="zh-CN"/>
              </w:rPr>
              <w:t>134.26</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lang w:val="en-US" w:eastAsia="zh-CN"/>
              </w:rPr>
              <w:t>10.58</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lang w:val="en-US" w:eastAsia="zh-CN"/>
              </w:rPr>
              <w:t>10.58</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lang w:val="en-US" w:eastAsia="zh-CN"/>
              </w:rPr>
              <w:t>10.58</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lang w:val="en-US" w:eastAsia="zh-CN"/>
              </w:rPr>
              <w:t>政府性</w:t>
            </w:r>
            <w:r>
              <w:rPr>
                <w:rFonts w:hint="eastAsia" w:ascii="仿宋" w:hAnsi="仿宋" w:eastAsia="仿宋" w:cs="仿宋"/>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224</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230</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 w:hAnsi="仿宋" w:eastAsia="仿宋" w:cs="仿宋"/>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39"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收  入  总  计</w:t>
            </w:r>
          </w:p>
        </w:tc>
        <w:tc>
          <w:tcPr>
            <w:tcW w:w="1103"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18"/>
                <w:szCs w:val="18"/>
                <w:highlight w:val="none"/>
                <w:shd w:val="clear" w:color="auto" w:fill="auto"/>
                <w:lang w:val="en-US" w:eastAsia="zh-CN"/>
              </w:rPr>
            </w:pPr>
            <w:r>
              <w:rPr>
                <w:rFonts w:hint="eastAsia" w:ascii="仿宋" w:hAnsi="仿宋" w:eastAsia="仿宋" w:cs="仿宋"/>
                <w:b/>
                <w:bCs/>
                <w:color w:val="auto"/>
                <w:kern w:val="0"/>
                <w:sz w:val="18"/>
                <w:szCs w:val="18"/>
                <w:highlight w:val="none"/>
                <w:shd w:val="clear" w:color="auto" w:fill="auto"/>
                <w:lang w:val="en-US" w:eastAsia="zh-CN"/>
              </w:rPr>
              <w:t>484.25</w:t>
            </w:r>
          </w:p>
        </w:tc>
        <w:tc>
          <w:tcPr>
            <w:tcW w:w="2693" w:type="dxa"/>
            <w:tcBorders>
              <w:top w:val="nil"/>
              <w:left w:val="nil"/>
              <w:bottom w:val="single" w:color="auto" w:sz="4" w:space="0"/>
              <w:right w:val="nil"/>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支  出  总  计</w:t>
            </w:r>
          </w:p>
        </w:tc>
        <w:tc>
          <w:tcPr>
            <w:tcW w:w="1701"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18"/>
                <w:szCs w:val="18"/>
                <w:highlight w:val="none"/>
                <w:shd w:val="clear" w:color="auto" w:fill="auto"/>
                <w:lang w:val="en-US" w:eastAsia="zh-CN"/>
              </w:rPr>
            </w:pPr>
            <w:r>
              <w:rPr>
                <w:rFonts w:hint="eastAsia" w:ascii="仿宋" w:hAnsi="仿宋" w:eastAsia="仿宋" w:cs="仿宋"/>
                <w:b/>
                <w:bCs/>
                <w:color w:val="auto"/>
                <w:kern w:val="0"/>
                <w:sz w:val="18"/>
                <w:szCs w:val="18"/>
                <w:highlight w:val="none"/>
                <w:shd w:val="clear" w:color="auto" w:fill="auto"/>
                <w:lang w:val="en-US" w:eastAsia="zh-CN"/>
              </w:rPr>
              <w:t>484.25</w:t>
            </w:r>
          </w:p>
        </w:tc>
      </w:tr>
    </w:tbl>
    <w:p>
      <w:pPr>
        <w:keepNext w:val="0"/>
        <w:keepLines w:val="0"/>
        <w:widowControl/>
        <w:suppressLineNumbers w:val="0"/>
        <w:jc w:val="left"/>
        <w:textAlignment w:val="bottom"/>
        <w:rPr>
          <w:rFonts w:hint="eastAsia" w:ascii="仿宋" w:hAnsi="仿宋" w:eastAsia="仿宋" w:cs="仿宋"/>
          <w:i w:val="0"/>
          <w:color w:val="auto"/>
          <w:kern w:val="0"/>
          <w:sz w:val="18"/>
          <w:szCs w:val="18"/>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宋体" w:eastAsia="仿宋_GB2312"/>
          <w:b/>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w:t>
      </w:r>
      <w:r>
        <w:rPr>
          <w:rFonts w:hint="eastAsia" w:ascii="仿宋" w:hAnsi="仿宋" w:eastAsia="仿宋" w:cs="仿宋"/>
          <w:color w:val="auto"/>
          <w:kern w:val="0"/>
          <w:sz w:val="24"/>
          <w:lang w:eastAsia="zh-CN"/>
        </w:rPr>
        <w:t>二十里店镇</w:t>
      </w:r>
      <w:r>
        <w:rPr>
          <w:rFonts w:hint="eastAsia" w:ascii="仿宋" w:hAnsi="仿宋" w:eastAsia="仿宋" w:cs="仿宋"/>
          <w:color w:val="auto"/>
          <w:kern w:val="0"/>
          <w:sz w:val="24"/>
          <w:highlight w:val="none"/>
          <w:lang w:eastAsia="zh-CN"/>
        </w:rPr>
        <w:t>中心幼儿园</w:t>
      </w:r>
      <w:r>
        <w:rPr>
          <w:rFonts w:hint="eastAsia" w:ascii="仿宋" w:hAnsi="仿宋" w:eastAsia="仿宋" w:cs="仿宋"/>
          <w:color w:val="auto"/>
          <w:kern w:val="0"/>
          <w:sz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 w:hAnsi="仿宋" w:eastAsia="仿宋" w:cs="仿宋"/>
          <w:color w:val="auto"/>
          <w:kern w:val="0"/>
          <w:sz w:val="24"/>
          <w:highlight w:val="none"/>
        </w:rPr>
        <w:t xml:space="preserve"> 单位：万元</w:t>
      </w:r>
    </w:p>
    <w:tbl>
      <w:tblPr>
        <w:tblStyle w:val="7"/>
        <w:tblW w:w="13316" w:type="dxa"/>
        <w:tblInd w:w="-450" w:type="dxa"/>
        <w:tblLayout w:type="fixed"/>
        <w:tblCellMar>
          <w:top w:w="0" w:type="dxa"/>
          <w:left w:w="108" w:type="dxa"/>
          <w:bottom w:w="0" w:type="dxa"/>
          <w:right w:w="108" w:type="dxa"/>
        </w:tblCellMar>
      </w:tblPr>
      <w:tblGrid>
        <w:gridCol w:w="551"/>
        <w:gridCol w:w="666"/>
        <w:gridCol w:w="474"/>
        <w:gridCol w:w="1320"/>
        <w:gridCol w:w="990"/>
        <w:gridCol w:w="960"/>
        <w:gridCol w:w="990"/>
        <w:gridCol w:w="1020"/>
        <w:gridCol w:w="660"/>
        <w:gridCol w:w="724"/>
        <w:gridCol w:w="641"/>
        <w:gridCol w:w="780"/>
        <w:gridCol w:w="690"/>
        <w:gridCol w:w="855"/>
        <w:gridCol w:w="990"/>
        <w:gridCol w:w="1005"/>
      </w:tblGrid>
      <w:tr>
        <w:tblPrEx>
          <w:tblCellMar>
            <w:top w:w="0" w:type="dxa"/>
            <w:left w:w="108" w:type="dxa"/>
            <w:bottom w:w="0" w:type="dxa"/>
            <w:right w:w="108" w:type="dxa"/>
          </w:tblCellMar>
        </w:tblPrEx>
        <w:trPr>
          <w:trHeight w:val="736" w:hRule="atLeast"/>
        </w:trPr>
        <w:tc>
          <w:tcPr>
            <w:tcW w:w="1691" w:type="dxa"/>
            <w:gridSpan w:val="3"/>
            <w:tcBorders>
              <w:top w:val="single" w:color="auto" w:sz="4" w:space="0"/>
              <w:left w:val="single" w:color="auto" w:sz="4" w:space="0"/>
              <w:bottom w:val="single" w:color="auto" w:sz="4" w:space="0"/>
              <w:right w:val="single" w:color="auto" w:sz="4" w:space="0"/>
            </w:tcBorders>
            <w:noWrap w:val="0"/>
            <w:vAlign w:val="center"/>
          </w:tcPr>
          <w:p>
            <w:pPr>
              <w:shd w:val="clear"/>
              <w:jc w:val="center"/>
              <w:rPr>
                <w:rFonts w:hint="eastAsia" w:ascii="仿宋" w:hAnsi="仿宋" w:eastAsia="仿宋" w:cs="仿宋"/>
                <w:b/>
                <w:color w:val="auto"/>
                <w:sz w:val="18"/>
                <w:szCs w:val="18"/>
                <w:highlight w:val="none"/>
              </w:rPr>
            </w:pPr>
            <w:r>
              <w:rPr>
                <w:rFonts w:hint="eastAsia" w:ascii="仿宋" w:hAnsi="仿宋" w:eastAsia="仿宋" w:cs="仿宋"/>
                <w:b/>
                <w:color w:val="auto"/>
                <w:sz w:val="18"/>
                <w:szCs w:val="18"/>
                <w:highlight w:val="none"/>
              </w:rPr>
              <w:t>功能分类科目编码</w:t>
            </w:r>
          </w:p>
        </w:tc>
        <w:tc>
          <w:tcPr>
            <w:tcW w:w="1320"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color w:val="auto"/>
                <w:sz w:val="18"/>
                <w:szCs w:val="18"/>
                <w:highlight w:val="none"/>
              </w:rPr>
            </w:pPr>
            <w:r>
              <w:rPr>
                <w:rFonts w:hint="eastAsia" w:ascii="仿宋" w:hAnsi="仿宋" w:eastAsia="仿宋" w:cs="仿宋"/>
                <w:b/>
                <w:color w:val="auto"/>
                <w:sz w:val="18"/>
                <w:szCs w:val="18"/>
                <w:highlight w:val="none"/>
              </w:rPr>
              <w:t>功能分类科目名称</w:t>
            </w:r>
          </w:p>
        </w:tc>
        <w:tc>
          <w:tcPr>
            <w:tcW w:w="990"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bCs w:val="0"/>
                <w:color w:val="auto"/>
                <w:sz w:val="18"/>
                <w:szCs w:val="18"/>
                <w:highlight w:val="none"/>
              </w:rPr>
            </w:pPr>
            <w:r>
              <w:rPr>
                <w:rFonts w:hint="eastAsia" w:ascii="仿宋" w:hAnsi="仿宋" w:eastAsia="仿宋" w:cs="仿宋"/>
                <w:b/>
                <w:bCs w:val="0"/>
                <w:color w:val="auto"/>
                <w:sz w:val="18"/>
                <w:szCs w:val="18"/>
                <w:highlight w:val="none"/>
              </w:rPr>
              <w:t>总  计</w:t>
            </w:r>
          </w:p>
        </w:tc>
        <w:tc>
          <w:tcPr>
            <w:tcW w:w="5775" w:type="dxa"/>
            <w:gridSpan w:val="7"/>
            <w:tcBorders>
              <w:top w:val="single" w:color="auto" w:sz="4" w:space="0"/>
              <w:left w:val="single" w:color="auto" w:sz="4" w:space="0"/>
              <w:bottom w:val="single" w:color="auto" w:sz="4" w:space="0"/>
              <w:right w:val="single" w:color="auto" w:sz="4" w:space="0"/>
            </w:tcBorders>
            <w:noWrap w:val="0"/>
            <w:vAlign w:val="center"/>
          </w:tcPr>
          <w:p>
            <w:pPr>
              <w:shd w:val="clear"/>
              <w:jc w:val="center"/>
              <w:rPr>
                <w:rFonts w:hint="eastAsia" w:ascii="仿宋" w:hAnsi="仿宋" w:eastAsia="仿宋" w:cs="仿宋"/>
                <w:b/>
                <w:bCs w:val="0"/>
                <w:color w:val="auto"/>
                <w:sz w:val="18"/>
                <w:szCs w:val="18"/>
                <w:highlight w:val="none"/>
              </w:rPr>
            </w:pPr>
            <w:r>
              <w:rPr>
                <w:rFonts w:hint="eastAsia" w:ascii="仿宋" w:hAnsi="仿宋" w:eastAsia="仿宋" w:cs="仿宋"/>
                <w:b/>
                <w:bCs w:val="0"/>
                <w:color w:val="auto"/>
                <w:sz w:val="18"/>
                <w:szCs w:val="18"/>
                <w:highlight w:val="none"/>
              </w:rPr>
              <w:t>财  政  拨  款  (  补  助  )</w:t>
            </w:r>
          </w:p>
        </w:tc>
        <w:tc>
          <w:tcPr>
            <w:tcW w:w="690"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bCs w:val="0"/>
                <w:color w:val="auto"/>
                <w:sz w:val="18"/>
                <w:szCs w:val="18"/>
                <w:highlight w:val="none"/>
              </w:rPr>
            </w:pPr>
            <w:r>
              <w:rPr>
                <w:rFonts w:hint="eastAsia" w:ascii="仿宋" w:hAnsi="仿宋" w:eastAsia="仿宋" w:cs="仿宋"/>
                <w:b/>
                <w:bCs w:val="0"/>
                <w:color w:val="auto"/>
                <w:sz w:val="18"/>
                <w:szCs w:val="18"/>
                <w:highlight w:val="none"/>
              </w:rPr>
              <w:t>财政专户（教育收费）</w:t>
            </w:r>
          </w:p>
        </w:tc>
        <w:tc>
          <w:tcPr>
            <w:tcW w:w="855"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color w:val="auto"/>
                <w:sz w:val="18"/>
                <w:szCs w:val="18"/>
                <w:highlight w:val="none"/>
              </w:rPr>
            </w:pPr>
            <w:r>
              <w:rPr>
                <w:rFonts w:hint="eastAsia" w:ascii="仿宋" w:hAnsi="仿宋" w:eastAsia="仿宋" w:cs="仿宋"/>
                <w:b/>
                <w:color w:val="auto"/>
                <w:sz w:val="18"/>
                <w:szCs w:val="18"/>
                <w:highlight w:val="none"/>
              </w:rPr>
              <w:t>单位资金</w:t>
            </w:r>
          </w:p>
        </w:tc>
        <w:tc>
          <w:tcPr>
            <w:tcW w:w="990"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color w:val="auto"/>
                <w:sz w:val="18"/>
                <w:szCs w:val="18"/>
                <w:highlight w:val="none"/>
              </w:rPr>
            </w:pPr>
            <w:r>
              <w:rPr>
                <w:rFonts w:hint="eastAsia" w:ascii="仿宋" w:hAnsi="仿宋" w:eastAsia="仿宋" w:cs="仿宋"/>
                <w:b/>
                <w:color w:val="auto"/>
                <w:sz w:val="18"/>
                <w:szCs w:val="18"/>
                <w:highlight w:val="none"/>
              </w:rPr>
              <w:t>财政拨款结转</w:t>
            </w:r>
          </w:p>
        </w:tc>
        <w:tc>
          <w:tcPr>
            <w:tcW w:w="1005"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color w:val="auto"/>
                <w:sz w:val="18"/>
                <w:szCs w:val="18"/>
                <w:highlight w:val="none"/>
              </w:rPr>
            </w:pPr>
            <w:r>
              <w:rPr>
                <w:rFonts w:hint="eastAsia" w:ascii="仿宋" w:hAnsi="仿宋" w:eastAsia="仿宋" w:cs="仿宋"/>
                <w:b/>
                <w:color w:val="auto"/>
                <w:sz w:val="18"/>
                <w:szCs w:val="18"/>
                <w:highlight w:val="none"/>
              </w:rPr>
              <w:t>非财政拨款结转结余</w:t>
            </w:r>
          </w:p>
        </w:tc>
      </w:tr>
      <w:tr>
        <w:tblPrEx>
          <w:tblCellMar>
            <w:top w:w="0" w:type="dxa"/>
            <w:left w:w="108" w:type="dxa"/>
            <w:bottom w:w="0" w:type="dxa"/>
            <w:right w:w="108" w:type="dxa"/>
          </w:tblCellMar>
        </w:tblPrEx>
        <w:trPr>
          <w:trHeight w:val="90" w:hRule="atLeast"/>
        </w:trPr>
        <w:tc>
          <w:tcPr>
            <w:tcW w:w="551" w:type="dxa"/>
            <w:tcBorders>
              <w:left w:val="single" w:color="auto" w:sz="4" w:space="0"/>
              <w:bottom w:val="single" w:color="auto" w:sz="4" w:space="0"/>
              <w:right w:val="single" w:color="auto" w:sz="4" w:space="0"/>
            </w:tcBorders>
            <w:noWrap w:val="0"/>
            <w:vAlign w:val="center"/>
          </w:tcPr>
          <w:p>
            <w:pPr>
              <w:shd w:val="clear"/>
              <w:jc w:val="center"/>
              <w:rPr>
                <w:rFonts w:hint="eastAsia" w:ascii="仿宋" w:hAnsi="仿宋" w:eastAsia="仿宋" w:cs="仿宋"/>
                <w:b/>
                <w:color w:val="auto"/>
                <w:sz w:val="18"/>
                <w:szCs w:val="18"/>
                <w:highlight w:val="none"/>
                <w:lang w:val="en-US" w:eastAsia="zh-Hans"/>
              </w:rPr>
            </w:pPr>
            <w:r>
              <w:rPr>
                <w:rFonts w:hint="eastAsia" w:ascii="仿宋" w:hAnsi="仿宋" w:eastAsia="仿宋" w:cs="仿宋"/>
                <w:b/>
                <w:color w:val="auto"/>
                <w:sz w:val="18"/>
                <w:szCs w:val="18"/>
                <w:highlight w:val="none"/>
                <w:lang w:val="en-US" w:eastAsia="zh-Hans"/>
              </w:rPr>
              <w:t>类</w:t>
            </w:r>
          </w:p>
        </w:tc>
        <w:tc>
          <w:tcPr>
            <w:tcW w:w="666" w:type="dxa"/>
            <w:tcBorders>
              <w:left w:val="nil"/>
              <w:bottom w:val="single" w:color="auto" w:sz="4" w:space="0"/>
              <w:right w:val="single" w:color="auto" w:sz="4" w:space="0"/>
            </w:tcBorders>
            <w:noWrap w:val="0"/>
            <w:vAlign w:val="center"/>
          </w:tcPr>
          <w:p>
            <w:pPr>
              <w:shd w:val="clear"/>
              <w:jc w:val="center"/>
              <w:rPr>
                <w:rFonts w:hint="eastAsia" w:ascii="仿宋" w:hAnsi="仿宋" w:eastAsia="仿宋" w:cs="仿宋"/>
                <w:b/>
                <w:color w:val="auto"/>
                <w:sz w:val="18"/>
                <w:szCs w:val="18"/>
                <w:highlight w:val="none"/>
                <w:lang w:val="en-US" w:eastAsia="zh-Hans"/>
              </w:rPr>
            </w:pPr>
            <w:r>
              <w:rPr>
                <w:rFonts w:hint="eastAsia" w:ascii="仿宋" w:hAnsi="仿宋" w:eastAsia="仿宋" w:cs="仿宋"/>
                <w:b/>
                <w:color w:val="auto"/>
                <w:sz w:val="18"/>
                <w:szCs w:val="18"/>
                <w:highlight w:val="none"/>
                <w:lang w:val="en-US" w:eastAsia="zh-Hans"/>
              </w:rPr>
              <w:t>款</w:t>
            </w:r>
          </w:p>
        </w:tc>
        <w:tc>
          <w:tcPr>
            <w:tcW w:w="474" w:type="dxa"/>
            <w:tcBorders>
              <w:left w:val="nil"/>
              <w:bottom w:val="single" w:color="auto" w:sz="4" w:space="0"/>
              <w:right w:val="single" w:color="auto" w:sz="4" w:space="0"/>
            </w:tcBorders>
            <w:noWrap w:val="0"/>
            <w:vAlign w:val="center"/>
          </w:tcPr>
          <w:p>
            <w:pPr>
              <w:shd w:val="clear"/>
              <w:jc w:val="center"/>
              <w:rPr>
                <w:rFonts w:hint="eastAsia" w:ascii="仿宋" w:hAnsi="仿宋" w:eastAsia="仿宋" w:cs="仿宋"/>
                <w:b/>
                <w:color w:val="auto"/>
                <w:sz w:val="18"/>
                <w:szCs w:val="18"/>
                <w:highlight w:val="none"/>
                <w:lang w:val="en-US" w:eastAsia="zh-Hans"/>
              </w:rPr>
            </w:pPr>
            <w:r>
              <w:rPr>
                <w:rFonts w:hint="eastAsia" w:ascii="仿宋" w:hAnsi="仿宋" w:eastAsia="仿宋" w:cs="仿宋"/>
                <w:b/>
                <w:color w:val="auto"/>
                <w:sz w:val="18"/>
                <w:szCs w:val="18"/>
                <w:highlight w:val="none"/>
                <w:lang w:val="en-US" w:eastAsia="zh-Hans"/>
              </w:rPr>
              <w:t>项</w:t>
            </w:r>
          </w:p>
        </w:tc>
        <w:tc>
          <w:tcPr>
            <w:tcW w:w="1320" w:type="dxa"/>
            <w:vMerge w:val="continue"/>
            <w:tcBorders>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rPr>
            </w:pPr>
          </w:p>
        </w:tc>
        <w:tc>
          <w:tcPr>
            <w:tcW w:w="990" w:type="dxa"/>
            <w:vMerge w:val="continue"/>
            <w:tcBorders>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rPr>
            </w:pPr>
          </w:p>
        </w:tc>
        <w:tc>
          <w:tcPr>
            <w:tcW w:w="960"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财政拨款(补助)小计</w:t>
            </w:r>
          </w:p>
        </w:tc>
        <w:tc>
          <w:tcPr>
            <w:tcW w:w="990"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一般公共预算</w:t>
            </w:r>
          </w:p>
        </w:tc>
        <w:tc>
          <w:tcPr>
            <w:tcW w:w="1020"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上级一般公共预算安排的转移支付</w:t>
            </w:r>
          </w:p>
        </w:tc>
        <w:tc>
          <w:tcPr>
            <w:tcW w:w="660"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政府性基金预算</w:t>
            </w:r>
          </w:p>
        </w:tc>
        <w:tc>
          <w:tcPr>
            <w:tcW w:w="724"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上级政府性基金安排的转移支付</w:t>
            </w:r>
          </w:p>
        </w:tc>
        <w:tc>
          <w:tcPr>
            <w:tcW w:w="641"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国有资本经营预算</w:t>
            </w:r>
          </w:p>
        </w:tc>
        <w:tc>
          <w:tcPr>
            <w:tcW w:w="780"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上级国有资本经营预算安排的转移支付</w:t>
            </w:r>
          </w:p>
        </w:tc>
        <w:tc>
          <w:tcPr>
            <w:tcW w:w="690" w:type="dxa"/>
            <w:vMerge w:val="continue"/>
            <w:tcBorders>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rPr>
            </w:pPr>
          </w:p>
        </w:tc>
        <w:tc>
          <w:tcPr>
            <w:tcW w:w="855" w:type="dxa"/>
            <w:vMerge w:val="continue"/>
            <w:tcBorders>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rPr>
            </w:pPr>
          </w:p>
        </w:tc>
        <w:tc>
          <w:tcPr>
            <w:tcW w:w="990" w:type="dxa"/>
            <w:vMerge w:val="continue"/>
            <w:tcBorders>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rPr>
            </w:pPr>
          </w:p>
        </w:tc>
        <w:tc>
          <w:tcPr>
            <w:tcW w:w="1005" w:type="dxa"/>
            <w:vMerge w:val="continue"/>
            <w:tcBorders>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880" w:hRule="atLeast"/>
        </w:trPr>
        <w:tc>
          <w:tcPr>
            <w:tcW w:w="551" w:type="dxa"/>
            <w:tcBorders>
              <w:top w:val="nil"/>
              <w:left w:val="single" w:color="auto" w:sz="4" w:space="0"/>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205</w:t>
            </w:r>
          </w:p>
        </w:tc>
        <w:tc>
          <w:tcPr>
            <w:tcW w:w="666"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lang w:eastAsia="zh-CN"/>
              </w:rPr>
            </w:pPr>
          </w:p>
        </w:tc>
        <w:tc>
          <w:tcPr>
            <w:tcW w:w="474"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lang w:eastAsia="zh-CN"/>
              </w:rPr>
            </w:pPr>
          </w:p>
        </w:tc>
        <w:tc>
          <w:tcPr>
            <w:tcW w:w="1320" w:type="dxa"/>
            <w:tcBorders>
              <w:top w:val="nil"/>
              <w:left w:val="nil"/>
              <w:bottom w:val="single" w:color="auto" w:sz="4" w:space="0"/>
              <w:right w:val="single" w:color="auto" w:sz="4" w:space="0"/>
            </w:tcBorders>
            <w:shd w:val="clear" w:color="auto" w:fill="auto"/>
            <w:noWrap w:val="0"/>
            <w:vAlign w:val="center"/>
          </w:tcPr>
          <w:p>
            <w:pPr>
              <w:shd w:val="clear"/>
              <w:jc w:val="both"/>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eastAsia="zh-CN"/>
              </w:rPr>
              <w:t>教育支出</w:t>
            </w:r>
          </w:p>
        </w:tc>
        <w:tc>
          <w:tcPr>
            <w:tcW w:w="99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shd w:val="clear" w:color="auto" w:fill="auto"/>
                <w:lang w:val="en-US" w:eastAsia="zh-CN"/>
              </w:rPr>
            </w:pPr>
            <w:r>
              <w:rPr>
                <w:rFonts w:hint="eastAsia" w:ascii="仿宋" w:hAnsi="仿宋" w:eastAsia="仿宋" w:cs="仿宋"/>
                <w:color w:val="auto"/>
                <w:sz w:val="18"/>
                <w:szCs w:val="18"/>
                <w:highlight w:val="none"/>
                <w:shd w:val="clear" w:color="auto" w:fill="auto"/>
                <w:lang w:val="en-US" w:eastAsia="zh-CN"/>
              </w:rPr>
              <w:t>484.25</w:t>
            </w:r>
          </w:p>
        </w:tc>
        <w:tc>
          <w:tcPr>
            <w:tcW w:w="96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shd w:val="clear" w:color="auto" w:fill="auto"/>
                <w:lang w:eastAsia="zh-CN"/>
              </w:rPr>
            </w:pPr>
            <w:r>
              <w:rPr>
                <w:rFonts w:hint="eastAsia" w:ascii="仿宋" w:hAnsi="仿宋" w:eastAsia="仿宋" w:cs="仿宋"/>
                <w:color w:val="auto"/>
                <w:sz w:val="18"/>
                <w:szCs w:val="18"/>
                <w:highlight w:val="none"/>
                <w:shd w:val="clear" w:color="auto" w:fill="auto"/>
                <w:lang w:val="en-US" w:eastAsia="zh-CN"/>
              </w:rPr>
              <w:t>339.41</w:t>
            </w:r>
          </w:p>
        </w:tc>
        <w:tc>
          <w:tcPr>
            <w:tcW w:w="99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shd w:val="clear" w:color="auto" w:fill="auto"/>
                <w:lang w:eastAsia="zh-CN"/>
              </w:rPr>
            </w:pPr>
            <w:r>
              <w:rPr>
                <w:rFonts w:hint="eastAsia" w:ascii="仿宋" w:hAnsi="仿宋" w:eastAsia="仿宋" w:cs="仿宋"/>
                <w:color w:val="auto"/>
                <w:sz w:val="18"/>
                <w:szCs w:val="18"/>
                <w:highlight w:val="none"/>
                <w:shd w:val="clear" w:color="auto" w:fill="auto"/>
                <w:lang w:val="en-US" w:eastAsia="zh-CN"/>
              </w:rPr>
              <w:t>323.21</w:t>
            </w:r>
          </w:p>
        </w:tc>
        <w:tc>
          <w:tcPr>
            <w:tcW w:w="102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shd w:val="clear" w:color="auto" w:fill="auto"/>
                <w:lang w:eastAsia="zh-CN"/>
              </w:rPr>
            </w:pPr>
            <w:r>
              <w:rPr>
                <w:rFonts w:hint="eastAsia" w:ascii="仿宋" w:hAnsi="仿宋" w:eastAsia="仿宋" w:cs="仿宋"/>
                <w:color w:val="auto"/>
                <w:sz w:val="18"/>
                <w:szCs w:val="18"/>
                <w:highlight w:val="none"/>
                <w:shd w:val="clear" w:color="auto" w:fill="auto"/>
                <w:lang w:val="en-US" w:eastAsia="zh-CN"/>
              </w:rPr>
              <w:t>16.20</w:t>
            </w:r>
          </w:p>
        </w:tc>
        <w:tc>
          <w:tcPr>
            <w:tcW w:w="66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shd w:val="clear" w:color="auto" w:fill="auto"/>
                <w:lang w:eastAsia="zh-CN"/>
              </w:rPr>
            </w:pPr>
          </w:p>
        </w:tc>
        <w:tc>
          <w:tcPr>
            <w:tcW w:w="724"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shd w:val="clear" w:color="auto" w:fill="auto"/>
                <w:lang w:eastAsia="zh-CN"/>
              </w:rPr>
            </w:pPr>
          </w:p>
        </w:tc>
        <w:tc>
          <w:tcPr>
            <w:tcW w:w="641"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shd w:val="clear" w:color="auto" w:fill="auto"/>
                <w:lang w:eastAsia="zh-CN"/>
              </w:rPr>
            </w:pPr>
          </w:p>
        </w:tc>
        <w:tc>
          <w:tcPr>
            <w:tcW w:w="78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shd w:val="clear" w:color="auto" w:fill="auto"/>
                <w:lang w:eastAsia="zh-CN"/>
              </w:rPr>
            </w:pPr>
          </w:p>
        </w:tc>
        <w:tc>
          <w:tcPr>
            <w:tcW w:w="690" w:type="dxa"/>
            <w:tcBorders>
              <w:top w:val="nil"/>
              <w:left w:val="single" w:color="auto" w:sz="4" w:space="0"/>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shd w:val="clear" w:color="auto" w:fill="auto"/>
                <w:lang w:eastAsia="zh-CN"/>
              </w:rPr>
            </w:pPr>
          </w:p>
        </w:tc>
        <w:tc>
          <w:tcPr>
            <w:tcW w:w="855" w:type="dxa"/>
            <w:tcBorders>
              <w:top w:val="nil"/>
              <w:left w:val="single" w:color="auto" w:sz="4" w:space="0"/>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shd w:val="clear" w:color="auto" w:fill="auto"/>
                <w:lang w:eastAsia="zh-CN"/>
              </w:rPr>
            </w:pPr>
            <w:r>
              <w:rPr>
                <w:rFonts w:hint="eastAsia" w:ascii="仿宋" w:hAnsi="仿宋" w:eastAsia="仿宋" w:cs="仿宋"/>
                <w:color w:val="auto"/>
                <w:sz w:val="18"/>
                <w:szCs w:val="18"/>
                <w:highlight w:val="none"/>
                <w:shd w:val="clear" w:color="auto" w:fill="auto"/>
                <w:lang w:val="en-US" w:eastAsia="zh-CN"/>
              </w:rPr>
              <w:t>134.26</w:t>
            </w:r>
          </w:p>
        </w:tc>
        <w:tc>
          <w:tcPr>
            <w:tcW w:w="990" w:type="dxa"/>
            <w:tcBorders>
              <w:top w:val="nil"/>
              <w:left w:val="single" w:color="auto" w:sz="4" w:space="0"/>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shd w:val="clear" w:color="auto" w:fill="auto"/>
                <w:lang w:eastAsia="zh-CN"/>
              </w:rPr>
            </w:pPr>
            <w:r>
              <w:rPr>
                <w:rFonts w:hint="eastAsia" w:ascii="仿宋" w:hAnsi="仿宋" w:eastAsia="仿宋" w:cs="仿宋"/>
                <w:color w:val="auto"/>
                <w:sz w:val="18"/>
                <w:szCs w:val="18"/>
                <w:highlight w:val="none"/>
                <w:shd w:val="clear" w:color="auto" w:fill="auto"/>
                <w:lang w:val="en-US" w:eastAsia="zh-CN"/>
              </w:rPr>
              <w:t>10.58</w:t>
            </w:r>
          </w:p>
        </w:tc>
        <w:tc>
          <w:tcPr>
            <w:tcW w:w="1005" w:type="dxa"/>
            <w:tcBorders>
              <w:top w:val="nil"/>
              <w:left w:val="single" w:color="auto" w:sz="4" w:space="0"/>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shd w:val="clear" w:color="auto" w:fill="auto"/>
                <w:lang w:eastAsia="zh-CN"/>
              </w:rPr>
            </w:pPr>
          </w:p>
        </w:tc>
      </w:tr>
      <w:tr>
        <w:tblPrEx>
          <w:tblCellMar>
            <w:top w:w="0" w:type="dxa"/>
            <w:left w:w="108" w:type="dxa"/>
            <w:bottom w:w="0" w:type="dxa"/>
            <w:right w:w="108" w:type="dxa"/>
          </w:tblCellMar>
        </w:tblPrEx>
        <w:trPr>
          <w:trHeight w:val="820" w:hRule="atLeast"/>
        </w:trPr>
        <w:tc>
          <w:tcPr>
            <w:tcW w:w="551"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205</w:t>
            </w:r>
          </w:p>
        </w:tc>
        <w:tc>
          <w:tcPr>
            <w:tcW w:w="666"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02</w:t>
            </w:r>
          </w:p>
        </w:tc>
        <w:tc>
          <w:tcPr>
            <w:tcW w:w="474"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p>
        </w:tc>
        <w:tc>
          <w:tcPr>
            <w:tcW w:w="132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普通教育</w:t>
            </w:r>
          </w:p>
        </w:tc>
        <w:tc>
          <w:tcPr>
            <w:tcW w:w="99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484.25</w:t>
            </w:r>
          </w:p>
        </w:tc>
        <w:tc>
          <w:tcPr>
            <w:tcW w:w="96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339.41</w:t>
            </w:r>
          </w:p>
        </w:tc>
        <w:tc>
          <w:tcPr>
            <w:tcW w:w="99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323.21</w:t>
            </w:r>
          </w:p>
        </w:tc>
        <w:tc>
          <w:tcPr>
            <w:tcW w:w="102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16.20</w:t>
            </w:r>
          </w:p>
        </w:tc>
        <w:tc>
          <w:tcPr>
            <w:tcW w:w="66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p>
        </w:tc>
        <w:tc>
          <w:tcPr>
            <w:tcW w:w="724"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p>
        </w:tc>
        <w:tc>
          <w:tcPr>
            <w:tcW w:w="641"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p>
        </w:tc>
        <w:tc>
          <w:tcPr>
            <w:tcW w:w="78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p>
        </w:tc>
        <w:tc>
          <w:tcPr>
            <w:tcW w:w="69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p>
        </w:tc>
        <w:tc>
          <w:tcPr>
            <w:tcW w:w="85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134.26</w:t>
            </w:r>
          </w:p>
        </w:tc>
        <w:tc>
          <w:tcPr>
            <w:tcW w:w="99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10.58</w:t>
            </w:r>
          </w:p>
        </w:tc>
        <w:tc>
          <w:tcPr>
            <w:tcW w:w="10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p>
        </w:tc>
      </w:tr>
      <w:tr>
        <w:tblPrEx>
          <w:tblCellMar>
            <w:top w:w="0" w:type="dxa"/>
            <w:left w:w="108" w:type="dxa"/>
            <w:bottom w:w="0" w:type="dxa"/>
            <w:right w:w="108" w:type="dxa"/>
          </w:tblCellMar>
        </w:tblPrEx>
        <w:trPr>
          <w:trHeight w:val="805" w:hRule="atLeast"/>
        </w:trPr>
        <w:tc>
          <w:tcPr>
            <w:tcW w:w="551"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205</w:t>
            </w:r>
          </w:p>
        </w:tc>
        <w:tc>
          <w:tcPr>
            <w:tcW w:w="666"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02</w:t>
            </w:r>
          </w:p>
        </w:tc>
        <w:tc>
          <w:tcPr>
            <w:tcW w:w="474"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01</w:t>
            </w:r>
          </w:p>
        </w:tc>
        <w:tc>
          <w:tcPr>
            <w:tcW w:w="132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 xml:space="preserve">   学前教育</w:t>
            </w:r>
          </w:p>
        </w:tc>
        <w:tc>
          <w:tcPr>
            <w:tcW w:w="99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484.25</w:t>
            </w:r>
          </w:p>
        </w:tc>
        <w:tc>
          <w:tcPr>
            <w:tcW w:w="96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339.41</w:t>
            </w:r>
          </w:p>
        </w:tc>
        <w:tc>
          <w:tcPr>
            <w:tcW w:w="99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323.21</w:t>
            </w:r>
          </w:p>
        </w:tc>
        <w:tc>
          <w:tcPr>
            <w:tcW w:w="102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16.20</w:t>
            </w:r>
          </w:p>
        </w:tc>
        <w:tc>
          <w:tcPr>
            <w:tcW w:w="66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p>
        </w:tc>
        <w:tc>
          <w:tcPr>
            <w:tcW w:w="724"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p>
        </w:tc>
        <w:tc>
          <w:tcPr>
            <w:tcW w:w="641"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p>
        </w:tc>
        <w:tc>
          <w:tcPr>
            <w:tcW w:w="78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p>
        </w:tc>
        <w:tc>
          <w:tcPr>
            <w:tcW w:w="69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p>
        </w:tc>
        <w:tc>
          <w:tcPr>
            <w:tcW w:w="85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134.26</w:t>
            </w:r>
          </w:p>
        </w:tc>
        <w:tc>
          <w:tcPr>
            <w:tcW w:w="99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val="en-US" w:eastAsia="zh-CN"/>
              </w:rPr>
              <w:t>10.58</w:t>
            </w:r>
          </w:p>
        </w:tc>
        <w:tc>
          <w:tcPr>
            <w:tcW w:w="10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p>
        </w:tc>
      </w:tr>
      <w:tr>
        <w:tblPrEx>
          <w:tblCellMar>
            <w:top w:w="0" w:type="dxa"/>
            <w:left w:w="108" w:type="dxa"/>
            <w:bottom w:w="0" w:type="dxa"/>
            <w:right w:w="108" w:type="dxa"/>
          </w:tblCellMar>
        </w:tblPrEx>
        <w:trPr>
          <w:trHeight w:val="560" w:hRule="atLeast"/>
        </w:trPr>
        <w:tc>
          <w:tcPr>
            <w:tcW w:w="551"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p>
        </w:tc>
        <w:tc>
          <w:tcPr>
            <w:tcW w:w="666"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p>
        </w:tc>
        <w:tc>
          <w:tcPr>
            <w:tcW w:w="474"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eastAsia="zh-CN"/>
              </w:rPr>
            </w:pPr>
          </w:p>
        </w:tc>
        <w:tc>
          <w:tcPr>
            <w:tcW w:w="132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lang w:eastAsia="zh-CN"/>
              </w:rPr>
            </w:pPr>
            <w:r>
              <w:rPr>
                <w:rFonts w:hint="eastAsia" w:ascii="仿宋" w:hAnsi="仿宋" w:eastAsia="仿宋" w:cs="仿宋"/>
                <w:b/>
                <w:bCs/>
                <w:color w:val="auto"/>
                <w:sz w:val="18"/>
                <w:szCs w:val="18"/>
                <w:highlight w:val="none"/>
                <w:lang w:eastAsia="zh-CN"/>
              </w:rPr>
              <w:t>合  计</w:t>
            </w:r>
          </w:p>
        </w:tc>
        <w:tc>
          <w:tcPr>
            <w:tcW w:w="99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484.25</w:t>
            </w:r>
          </w:p>
        </w:tc>
        <w:tc>
          <w:tcPr>
            <w:tcW w:w="96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339.41</w:t>
            </w:r>
          </w:p>
        </w:tc>
        <w:tc>
          <w:tcPr>
            <w:tcW w:w="99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323.21</w:t>
            </w:r>
          </w:p>
        </w:tc>
        <w:tc>
          <w:tcPr>
            <w:tcW w:w="102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16.20</w:t>
            </w:r>
          </w:p>
        </w:tc>
        <w:tc>
          <w:tcPr>
            <w:tcW w:w="66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b/>
                <w:bCs/>
                <w:color w:val="auto"/>
                <w:sz w:val="18"/>
                <w:szCs w:val="18"/>
                <w:highlight w:val="none"/>
                <w:lang w:val="en-US" w:eastAsia="zh-CN"/>
              </w:rPr>
            </w:pPr>
          </w:p>
        </w:tc>
        <w:tc>
          <w:tcPr>
            <w:tcW w:w="724"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b/>
                <w:bCs/>
                <w:color w:val="auto"/>
                <w:sz w:val="18"/>
                <w:szCs w:val="18"/>
                <w:highlight w:val="none"/>
                <w:lang w:val="en-US" w:eastAsia="zh-CN"/>
              </w:rPr>
            </w:pPr>
          </w:p>
        </w:tc>
        <w:tc>
          <w:tcPr>
            <w:tcW w:w="641"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b/>
                <w:bCs/>
                <w:color w:val="auto"/>
                <w:sz w:val="18"/>
                <w:szCs w:val="18"/>
                <w:highlight w:val="none"/>
                <w:lang w:val="en-US" w:eastAsia="zh-CN"/>
              </w:rPr>
            </w:pPr>
          </w:p>
        </w:tc>
        <w:tc>
          <w:tcPr>
            <w:tcW w:w="78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b/>
                <w:bCs/>
                <w:color w:val="auto"/>
                <w:sz w:val="18"/>
                <w:szCs w:val="18"/>
                <w:highlight w:val="none"/>
                <w:lang w:val="en-US" w:eastAsia="zh-CN"/>
              </w:rPr>
            </w:pPr>
          </w:p>
        </w:tc>
        <w:tc>
          <w:tcPr>
            <w:tcW w:w="690" w:type="dxa"/>
            <w:tcBorders>
              <w:top w:val="nil"/>
              <w:left w:val="single" w:color="auto" w:sz="4" w:space="0"/>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b/>
                <w:bCs/>
                <w:color w:val="auto"/>
                <w:sz w:val="18"/>
                <w:szCs w:val="18"/>
                <w:highlight w:val="none"/>
                <w:lang w:val="en-US" w:eastAsia="zh-CN"/>
              </w:rPr>
            </w:pPr>
          </w:p>
        </w:tc>
        <w:tc>
          <w:tcPr>
            <w:tcW w:w="855" w:type="dxa"/>
            <w:tcBorders>
              <w:top w:val="nil"/>
              <w:left w:val="single" w:color="auto" w:sz="4" w:space="0"/>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134.26</w:t>
            </w:r>
          </w:p>
        </w:tc>
        <w:tc>
          <w:tcPr>
            <w:tcW w:w="990" w:type="dxa"/>
            <w:tcBorders>
              <w:top w:val="nil"/>
              <w:left w:val="single" w:color="auto" w:sz="4" w:space="0"/>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10.58</w:t>
            </w:r>
          </w:p>
        </w:tc>
        <w:tc>
          <w:tcPr>
            <w:tcW w:w="1005" w:type="dxa"/>
            <w:tcBorders>
              <w:top w:val="nil"/>
              <w:left w:val="single" w:color="auto" w:sz="4" w:space="0"/>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b/>
                <w:bCs/>
                <w:color w:val="auto"/>
                <w:sz w:val="18"/>
                <w:szCs w:val="18"/>
                <w:highlight w:val="none"/>
                <w:lang w:val="en-US" w:eastAsia="zh-CN"/>
              </w:rPr>
            </w:pPr>
          </w:p>
        </w:tc>
      </w:tr>
    </w:tbl>
    <w:p>
      <w:pPr>
        <w:keepNext w:val="0"/>
        <w:keepLines w:val="0"/>
        <w:widowControl/>
        <w:suppressLineNumbers w:val="0"/>
        <w:shd w:val="clear"/>
        <w:jc w:val="left"/>
        <w:textAlignment w:val="bottom"/>
        <w:rPr>
          <w:rFonts w:hint="eastAsia" w:ascii="仿宋" w:hAnsi="仿宋" w:eastAsia="仿宋" w:cs="仿宋"/>
          <w:i w:val="0"/>
          <w:color w:val="auto"/>
          <w:kern w:val="0"/>
          <w:sz w:val="18"/>
          <w:szCs w:val="18"/>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lef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w:t>
      </w:r>
      <w:r>
        <w:rPr>
          <w:rFonts w:hint="eastAsia" w:ascii="仿宋" w:hAnsi="仿宋" w:eastAsia="仿宋" w:cs="仿宋"/>
          <w:color w:val="auto"/>
          <w:kern w:val="0"/>
          <w:sz w:val="24"/>
          <w:lang w:eastAsia="zh-CN"/>
        </w:rPr>
        <w:t>二十里店镇</w:t>
      </w:r>
      <w:r>
        <w:rPr>
          <w:rFonts w:hint="eastAsia" w:ascii="仿宋" w:hAnsi="仿宋" w:eastAsia="仿宋" w:cs="仿宋"/>
          <w:color w:val="auto"/>
          <w:kern w:val="0"/>
          <w:sz w:val="24"/>
          <w:highlight w:val="none"/>
          <w:lang w:eastAsia="zh-CN"/>
        </w:rPr>
        <w:t>中心幼儿园</w:t>
      </w:r>
      <w:r>
        <w:rPr>
          <w:rFonts w:hint="eastAsia" w:ascii="仿宋" w:hAnsi="仿宋" w:eastAsia="仿宋" w:cs="仿宋"/>
          <w:color w:val="auto"/>
          <w:kern w:val="0"/>
          <w:sz w:val="24"/>
          <w:highlight w:val="none"/>
        </w:rPr>
        <w:t xml:space="preserve">                          单位：万元</w:t>
      </w:r>
    </w:p>
    <w:tbl>
      <w:tblPr>
        <w:tblStyle w:val="7"/>
        <w:tblW w:w="9525" w:type="dxa"/>
        <w:tblInd w:w="-345" w:type="dxa"/>
        <w:tblLayout w:type="fixed"/>
        <w:tblCellMar>
          <w:top w:w="0" w:type="dxa"/>
          <w:left w:w="108" w:type="dxa"/>
          <w:bottom w:w="0" w:type="dxa"/>
          <w:right w:w="108" w:type="dxa"/>
        </w:tblCellMar>
      </w:tblPr>
      <w:tblGrid>
        <w:gridCol w:w="591"/>
        <w:gridCol w:w="417"/>
        <w:gridCol w:w="417"/>
        <w:gridCol w:w="2560"/>
        <w:gridCol w:w="1830"/>
        <w:gridCol w:w="1831"/>
        <w:gridCol w:w="1879"/>
      </w:tblGrid>
      <w:tr>
        <w:tblPrEx>
          <w:tblCellMar>
            <w:top w:w="0" w:type="dxa"/>
            <w:left w:w="108" w:type="dxa"/>
            <w:bottom w:w="0" w:type="dxa"/>
            <w:right w:w="108" w:type="dxa"/>
          </w:tblCellMar>
        </w:tblPrEx>
        <w:trPr>
          <w:trHeight w:val="328" w:hRule="atLeast"/>
        </w:trPr>
        <w:tc>
          <w:tcPr>
            <w:tcW w:w="3985" w:type="dxa"/>
            <w:gridSpan w:val="4"/>
            <w:tcBorders>
              <w:top w:val="single" w:color="auto" w:sz="4" w:space="0"/>
              <w:left w:val="single" w:color="auto" w:sz="4" w:space="0"/>
              <w:bottom w:val="single" w:color="auto"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科    目</w:t>
            </w:r>
          </w:p>
        </w:tc>
        <w:tc>
          <w:tcPr>
            <w:tcW w:w="5540" w:type="dxa"/>
            <w:gridSpan w:val="3"/>
            <w:tcBorders>
              <w:top w:val="single" w:color="auto" w:sz="4" w:space="0"/>
              <w:left w:val="nil"/>
              <w:bottom w:val="single" w:color="auto" w:sz="4" w:space="0"/>
              <w:right w:val="single" w:color="000000" w:sz="4" w:space="0"/>
            </w:tcBorders>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支出预算</w:t>
            </w:r>
          </w:p>
        </w:tc>
      </w:tr>
      <w:tr>
        <w:tblPrEx>
          <w:tblCellMar>
            <w:top w:w="0" w:type="dxa"/>
            <w:left w:w="108" w:type="dxa"/>
            <w:bottom w:w="0" w:type="dxa"/>
            <w:right w:w="108" w:type="dxa"/>
          </w:tblCellMar>
        </w:tblPrEx>
        <w:trPr>
          <w:trHeight w:val="480" w:hRule="atLeast"/>
        </w:trPr>
        <w:tc>
          <w:tcPr>
            <w:tcW w:w="1425" w:type="dxa"/>
            <w:gridSpan w:val="3"/>
            <w:tcBorders>
              <w:top w:val="single" w:color="auto" w:sz="4" w:space="0"/>
              <w:left w:val="single" w:color="auto" w:sz="4" w:space="0"/>
              <w:bottom w:val="single" w:color="auto"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功能分类科目编码</w:t>
            </w:r>
          </w:p>
        </w:tc>
        <w:tc>
          <w:tcPr>
            <w:tcW w:w="2560" w:type="dxa"/>
            <w:vMerge w:val="restart"/>
            <w:tcBorders>
              <w:top w:val="nil"/>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功能分类科目名称</w:t>
            </w:r>
          </w:p>
        </w:tc>
        <w:tc>
          <w:tcPr>
            <w:tcW w:w="1830" w:type="dxa"/>
            <w:vMerge w:val="restart"/>
            <w:tcBorders>
              <w:top w:val="nil"/>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合  计</w:t>
            </w:r>
          </w:p>
        </w:tc>
        <w:tc>
          <w:tcPr>
            <w:tcW w:w="1831" w:type="dxa"/>
            <w:vMerge w:val="restart"/>
            <w:tcBorders>
              <w:top w:val="nil"/>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基本支出</w:t>
            </w:r>
          </w:p>
        </w:tc>
        <w:tc>
          <w:tcPr>
            <w:tcW w:w="1879" w:type="dxa"/>
            <w:vMerge w:val="restart"/>
            <w:tcBorders>
              <w:top w:val="nil"/>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项目支出</w:t>
            </w:r>
          </w:p>
        </w:tc>
      </w:tr>
      <w:tr>
        <w:tblPrEx>
          <w:tblCellMar>
            <w:top w:w="0" w:type="dxa"/>
            <w:left w:w="108" w:type="dxa"/>
            <w:bottom w:w="0" w:type="dxa"/>
            <w:right w:w="108" w:type="dxa"/>
          </w:tblCellMar>
        </w:tblPrEx>
        <w:trPr>
          <w:trHeight w:val="270" w:hRule="atLeast"/>
        </w:trPr>
        <w:tc>
          <w:tcPr>
            <w:tcW w:w="591"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类</w:t>
            </w:r>
          </w:p>
        </w:tc>
        <w:tc>
          <w:tcPr>
            <w:tcW w:w="417"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款</w:t>
            </w:r>
          </w:p>
        </w:tc>
        <w:tc>
          <w:tcPr>
            <w:tcW w:w="417"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项</w:t>
            </w:r>
          </w:p>
        </w:tc>
        <w:tc>
          <w:tcPr>
            <w:tcW w:w="2560" w:type="dxa"/>
            <w:vMerge w:val="continue"/>
            <w:tcBorders>
              <w:top w:val="nil"/>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lang w:val="en-US" w:eastAsia="zh-CN"/>
              </w:rPr>
            </w:pPr>
          </w:p>
        </w:tc>
        <w:tc>
          <w:tcPr>
            <w:tcW w:w="1830" w:type="dxa"/>
            <w:vMerge w:val="continue"/>
            <w:tcBorders>
              <w:top w:val="nil"/>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lang w:val="en-US" w:eastAsia="zh-CN"/>
              </w:rPr>
            </w:pPr>
          </w:p>
        </w:tc>
        <w:tc>
          <w:tcPr>
            <w:tcW w:w="1831" w:type="dxa"/>
            <w:vMerge w:val="continue"/>
            <w:tcBorders>
              <w:top w:val="nil"/>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lang w:val="en-US" w:eastAsia="zh-CN"/>
              </w:rPr>
            </w:pPr>
          </w:p>
        </w:tc>
        <w:tc>
          <w:tcPr>
            <w:tcW w:w="1879" w:type="dxa"/>
            <w:vMerge w:val="continue"/>
            <w:tcBorders>
              <w:top w:val="nil"/>
              <w:left w:val="single" w:color="auto" w:sz="4" w:space="0"/>
              <w:bottom w:val="single" w:color="000000"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shd w:val="clear"/>
              <w:jc w:val="center"/>
              <w:rPr>
                <w:rFonts w:hint="default"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val="en-US" w:eastAsia="zh-CN"/>
              </w:rPr>
            </w:pPr>
          </w:p>
        </w:tc>
        <w:tc>
          <w:tcPr>
            <w:tcW w:w="256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教育支出　</w:t>
            </w:r>
          </w:p>
        </w:tc>
        <w:tc>
          <w:tcPr>
            <w:tcW w:w="183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484.25</w:t>
            </w:r>
          </w:p>
        </w:tc>
        <w:tc>
          <w:tcPr>
            <w:tcW w:w="1831"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452.33</w:t>
            </w:r>
          </w:p>
        </w:tc>
        <w:tc>
          <w:tcPr>
            <w:tcW w:w="1879"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31.92</w:t>
            </w:r>
          </w:p>
        </w:tc>
      </w:tr>
      <w:tr>
        <w:tblPrEx>
          <w:tblCellMar>
            <w:top w:w="0" w:type="dxa"/>
            <w:left w:w="108" w:type="dxa"/>
            <w:bottom w:w="0" w:type="dxa"/>
            <w:right w:w="108" w:type="dxa"/>
          </w:tblCellMar>
        </w:tblPrEx>
        <w:trPr>
          <w:trHeight w:val="396" w:hRule="atLeast"/>
        </w:trPr>
        <w:tc>
          <w:tcPr>
            <w:tcW w:w="591" w:type="dxa"/>
            <w:tcBorders>
              <w:top w:val="nil"/>
              <w:left w:val="single" w:color="auto" w:sz="4" w:space="0"/>
              <w:bottom w:val="single" w:color="auto" w:sz="4" w:space="0"/>
              <w:right w:val="single" w:color="auto" w:sz="4" w:space="0"/>
            </w:tcBorders>
            <w:noWrap w:val="0"/>
            <w:vAlign w:val="center"/>
          </w:tcPr>
          <w:p>
            <w:pPr>
              <w:shd w:val="clear"/>
              <w:jc w:val="center"/>
              <w:rPr>
                <w:rFonts w:hint="default"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shd w:val="clear"/>
              <w:jc w:val="center"/>
              <w:rPr>
                <w:rFonts w:hint="default"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val="en-US" w:eastAsia="zh-CN"/>
              </w:rPr>
            </w:pPr>
          </w:p>
        </w:tc>
        <w:tc>
          <w:tcPr>
            <w:tcW w:w="256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普通教育　</w:t>
            </w:r>
          </w:p>
        </w:tc>
        <w:tc>
          <w:tcPr>
            <w:tcW w:w="183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484.25</w:t>
            </w:r>
          </w:p>
        </w:tc>
        <w:tc>
          <w:tcPr>
            <w:tcW w:w="1831"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452.33</w:t>
            </w:r>
          </w:p>
        </w:tc>
        <w:tc>
          <w:tcPr>
            <w:tcW w:w="1879"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31.92</w:t>
            </w: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shd w:val="clear"/>
              <w:jc w:val="center"/>
              <w:rPr>
                <w:rFonts w:hint="default"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shd w:val="clear"/>
              <w:jc w:val="center"/>
              <w:rPr>
                <w:rFonts w:hint="default"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shd w:val="clear"/>
              <w:jc w:val="center"/>
              <w:rPr>
                <w:rFonts w:hint="default"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01</w:t>
            </w:r>
          </w:p>
        </w:tc>
        <w:tc>
          <w:tcPr>
            <w:tcW w:w="256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学前教育　</w:t>
            </w:r>
          </w:p>
        </w:tc>
        <w:tc>
          <w:tcPr>
            <w:tcW w:w="183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484.25</w:t>
            </w:r>
          </w:p>
        </w:tc>
        <w:tc>
          <w:tcPr>
            <w:tcW w:w="1831"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452.33</w:t>
            </w:r>
          </w:p>
        </w:tc>
        <w:tc>
          <w:tcPr>
            <w:tcW w:w="1879"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31.92</w:t>
            </w: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25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18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　</w:t>
            </w:r>
          </w:p>
        </w:tc>
        <w:tc>
          <w:tcPr>
            <w:tcW w:w="2560" w:type="dxa"/>
            <w:tcBorders>
              <w:top w:val="nil"/>
              <w:left w:val="nil"/>
              <w:bottom w:val="single" w:color="auto" w:sz="4" w:space="0"/>
              <w:right w:val="single" w:color="auto" w:sz="4" w:space="0"/>
            </w:tcBorders>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合  计</w:t>
            </w:r>
          </w:p>
        </w:tc>
        <w:tc>
          <w:tcPr>
            <w:tcW w:w="183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484.25</w:t>
            </w:r>
          </w:p>
        </w:tc>
        <w:tc>
          <w:tcPr>
            <w:tcW w:w="1831"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452.33</w:t>
            </w:r>
          </w:p>
        </w:tc>
        <w:tc>
          <w:tcPr>
            <w:tcW w:w="1879"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31.92</w:t>
            </w:r>
          </w:p>
        </w:tc>
      </w:tr>
    </w:tbl>
    <w:p>
      <w:pPr>
        <w:jc w:val="center"/>
        <w:rPr>
          <w:rFonts w:hint="eastAsia" w:ascii="仿宋_GB2312" w:hAnsi="宋体" w:eastAsia="仿宋_GB2312" w:cs="宋体"/>
          <w:color w:val="auto"/>
          <w:sz w:val="18"/>
          <w:szCs w:val="18"/>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both"/>
        <w:outlineLvl w:val="1"/>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编制</w:t>
      </w:r>
      <w:r>
        <w:rPr>
          <w:rFonts w:hint="eastAsia" w:ascii="仿宋" w:hAnsi="仿宋" w:eastAsia="仿宋" w:cs="仿宋"/>
          <w:color w:val="auto"/>
          <w:kern w:val="0"/>
          <w:sz w:val="24"/>
          <w:szCs w:val="24"/>
          <w:highlight w:val="none"/>
          <w:lang w:eastAsia="zh-CN"/>
        </w:rPr>
        <w:t>部门</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highlight w:val="none"/>
          <w:lang w:eastAsia="zh-CN"/>
        </w:rPr>
        <w:t>呼图壁县</w:t>
      </w:r>
      <w:r>
        <w:rPr>
          <w:rFonts w:hint="eastAsia" w:ascii="仿宋" w:hAnsi="仿宋" w:eastAsia="仿宋" w:cs="仿宋"/>
          <w:color w:val="auto"/>
          <w:kern w:val="0"/>
          <w:sz w:val="24"/>
          <w:lang w:eastAsia="zh-CN"/>
        </w:rPr>
        <w:t>二十里店镇</w:t>
      </w:r>
      <w:r>
        <w:rPr>
          <w:rFonts w:hint="eastAsia" w:ascii="仿宋" w:hAnsi="仿宋" w:eastAsia="仿宋" w:cs="仿宋"/>
          <w:color w:val="auto"/>
          <w:kern w:val="0"/>
          <w:sz w:val="24"/>
          <w:highlight w:val="none"/>
          <w:lang w:eastAsia="zh-CN"/>
        </w:rPr>
        <w:t>中心幼儿园</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项    目</w:t>
            </w:r>
          </w:p>
        </w:tc>
        <w:tc>
          <w:tcPr>
            <w:tcW w:w="91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合  计</w:t>
            </w:r>
          </w:p>
        </w:tc>
        <w:tc>
          <w:tcPr>
            <w:tcW w:w="25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功  能  分  类</w:t>
            </w:r>
          </w:p>
        </w:tc>
        <w:tc>
          <w:tcPr>
            <w:tcW w:w="90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合 计</w:t>
            </w:r>
          </w:p>
        </w:tc>
        <w:tc>
          <w:tcPr>
            <w:tcW w:w="851"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一般公共预算</w:t>
            </w:r>
          </w:p>
        </w:tc>
        <w:tc>
          <w:tcPr>
            <w:tcW w:w="11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政府性基金预算</w:t>
            </w:r>
          </w:p>
        </w:tc>
        <w:tc>
          <w:tcPr>
            <w:tcW w:w="11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Hans"/>
              </w:rPr>
              <w:t>一、</w:t>
            </w:r>
            <w:r>
              <w:rPr>
                <w:rFonts w:hint="eastAsia" w:ascii="仿宋" w:hAnsi="仿宋" w:eastAsia="仿宋" w:cs="仿宋"/>
                <w:color w:val="auto"/>
                <w:sz w:val="18"/>
                <w:szCs w:val="18"/>
                <w:highlight w:val="none"/>
                <w:lang w:val="en-US" w:eastAsia="zh-CN"/>
              </w:rPr>
              <w:t>财政拨款（补助）</w:t>
            </w:r>
          </w:p>
        </w:tc>
        <w:tc>
          <w:tcPr>
            <w:tcW w:w="91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339.41</w:t>
            </w: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201 一般公共服务支出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xml:space="preserve"> 一般公共预算</w:t>
            </w:r>
          </w:p>
        </w:tc>
        <w:tc>
          <w:tcPr>
            <w:tcW w:w="91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339.41</w:t>
            </w: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202 外交支出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xml:space="preserve">   政府性基金预算</w:t>
            </w:r>
          </w:p>
        </w:tc>
        <w:tc>
          <w:tcPr>
            <w:tcW w:w="91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203 国防支出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xml:space="preserve">   国有资本经营预算</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204 公共安全支出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205 教育支出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339.41</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339.41</w:t>
            </w: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206 科学技术支出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207 文化旅游体育与传媒支出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208 社会保障和就业支出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xml:space="preserve">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209 社会保险基金支出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210 卫生健康支出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211 节能环保支出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212 城乡社区支出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213 农林水支出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214 交通运输支出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215 资源勘探</w:t>
            </w:r>
            <w:r>
              <w:rPr>
                <w:rFonts w:hint="eastAsia" w:ascii="仿宋" w:hAnsi="仿宋" w:eastAsia="仿宋" w:cs="仿宋"/>
                <w:color w:val="auto"/>
                <w:sz w:val="18"/>
                <w:szCs w:val="18"/>
                <w:highlight w:val="none"/>
                <w:lang w:val="en-US" w:eastAsia="zh-Hans"/>
              </w:rPr>
              <w:t>工业</w:t>
            </w:r>
            <w:r>
              <w:rPr>
                <w:rFonts w:hint="eastAsia" w:ascii="仿宋" w:hAnsi="仿宋" w:eastAsia="仿宋" w:cs="仿宋"/>
                <w:color w:val="auto"/>
                <w:sz w:val="18"/>
                <w:szCs w:val="18"/>
                <w:highlight w:val="none"/>
                <w:lang w:val="en-US" w:eastAsia="zh-CN"/>
              </w:rPr>
              <w:t>信息等支出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216 商业服务业等支出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217 金融支出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219 援助其他地区支出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220 自然资源海洋气象等支出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221 住房保障支出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222 粮油物资储备支出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223 国有资本经营预算支出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224 灾害防治及应急管理支出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227 预备费</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229 其他支出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230 转移性支出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231 债务还本支出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232 债务付息支出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233 债务发行费用支出</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914" w:type="dxa"/>
            <w:tcBorders>
              <w:top w:val="nil"/>
              <w:left w:val="nil"/>
              <w:bottom w:val="single" w:color="auto" w:sz="4" w:space="0"/>
              <w:right w:val="single" w:color="auto" w:sz="4" w:space="0"/>
            </w:tcBorders>
            <w:noWrap w:val="0"/>
            <w:vAlign w:val="bottom"/>
          </w:tcPr>
          <w:p>
            <w:pPr>
              <w:jc w:val="left"/>
              <w:rPr>
                <w:rFonts w:hint="eastAsia" w:ascii="仿宋" w:hAnsi="仿宋" w:eastAsia="仿宋" w:cs="仿宋"/>
                <w:color w:val="auto"/>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auto"/>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收  入  总  计</w:t>
            </w:r>
          </w:p>
        </w:tc>
        <w:tc>
          <w:tcPr>
            <w:tcW w:w="914" w:type="dxa"/>
            <w:tcBorders>
              <w:top w:val="nil"/>
              <w:left w:val="nil"/>
              <w:bottom w:val="single" w:color="auto" w:sz="4" w:space="0"/>
              <w:right w:val="single" w:color="auto" w:sz="4" w:space="0"/>
            </w:tcBorders>
            <w:shd w:val="clear" w:color="auto" w:fill="auto"/>
            <w:noWrap w:val="0"/>
            <w:vAlign w:val="center"/>
          </w:tcPr>
          <w:p>
            <w:pPr>
              <w:jc w:val="left"/>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339.41</w:t>
            </w:r>
          </w:p>
        </w:tc>
        <w:tc>
          <w:tcPr>
            <w:tcW w:w="25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支  出  总  计</w:t>
            </w:r>
          </w:p>
        </w:tc>
        <w:tc>
          <w:tcPr>
            <w:tcW w:w="9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339.41</w:t>
            </w:r>
          </w:p>
        </w:tc>
        <w:tc>
          <w:tcPr>
            <w:tcW w:w="851"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339.41</w:t>
            </w:r>
          </w:p>
        </w:tc>
        <w:tc>
          <w:tcPr>
            <w:tcW w:w="2268" w:type="dxa"/>
            <w:gridSpan w:val="2"/>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sz w:val="18"/>
                <w:szCs w:val="18"/>
                <w:highlight w:val="none"/>
                <w:lang w:val="en-US" w:eastAsia="zh-CN"/>
              </w:rPr>
            </w:pP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519"/>
        <w:gridCol w:w="499"/>
        <w:gridCol w:w="502"/>
        <w:gridCol w:w="2732"/>
        <w:gridCol w:w="418"/>
        <w:gridCol w:w="1018"/>
        <w:gridCol w:w="216"/>
        <w:gridCol w:w="1617"/>
        <w:gridCol w:w="1693"/>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670" w:type="dxa"/>
            <w:gridSpan w:val="5"/>
            <w:tcBorders>
              <w:top w:val="nil"/>
              <w:left w:val="nil"/>
              <w:bottom w:val="nil"/>
              <w:right w:val="nil"/>
            </w:tcBorders>
            <w:noWrap w:val="0"/>
            <w:vAlign w:val="center"/>
          </w:tcPr>
          <w:p>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w:t>
            </w:r>
            <w:r>
              <w:rPr>
                <w:rFonts w:hint="eastAsia" w:ascii="仿宋" w:hAnsi="仿宋" w:eastAsia="仿宋" w:cs="仿宋"/>
                <w:color w:val="auto"/>
                <w:kern w:val="0"/>
                <w:sz w:val="24"/>
                <w:lang w:eastAsia="zh-CN"/>
              </w:rPr>
              <w:t>二十里店镇</w:t>
            </w:r>
            <w:r>
              <w:rPr>
                <w:rFonts w:hint="eastAsia" w:ascii="仿宋" w:hAnsi="仿宋" w:eastAsia="仿宋" w:cs="仿宋"/>
                <w:color w:val="auto"/>
                <w:kern w:val="0"/>
                <w:sz w:val="24"/>
                <w:highlight w:val="none"/>
                <w:lang w:eastAsia="zh-CN"/>
              </w:rPr>
              <w:t>中心幼儿园</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szCs w:val="24"/>
                <w:highlight w:val="none"/>
              </w:rPr>
              <w:t xml:space="preserve">  </w:t>
            </w:r>
          </w:p>
        </w:tc>
        <w:tc>
          <w:tcPr>
            <w:tcW w:w="1234" w:type="dxa"/>
            <w:gridSpan w:val="2"/>
            <w:tcBorders>
              <w:top w:val="nil"/>
              <w:left w:val="nil"/>
              <w:bottom w:val="nil"/>
              <w:right w:val="nil"/>
            </w:tcBorders>
            <w:noWrap w:val="0"/>
            <w:vAlign w:val="center"/>
          </w:tcPr>
          <w:p>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p>
        </w:tc>
        <w:tc>
          <w:tcPr>
            <w:tcW w:w="3310" w:type="dxa"/>
            <w:gridSpan w:val="2"/>
            <w:tcBorders>
              <w:top w:val="nil"/>
              <w:left w:val="nil"/>
              <w:bottom w:val="nil"/>
              <w:right w:val="nil"/>
            </w:tcBorders>
            <w:noWrap w:val="0"/>
            <w:vAlign w:val="center"/>
          </w:tcPr>
          <w:p>
            <w:pPr>
              <w:widowControl/>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252"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科</w:t>
            </w:r>
            <w:r>
              <w:rPr>
                <w:rFonts w:hint="eastAsia" w:ascii="仿宋" w:hAnsi="仿宋" w:eastAsia="仿宋" w:cs="仿宋"/>
                <w:b/>
                <w:bCs/>
                <w:color w:val="auto"/>
                <w:kern w:val="0"/>
                <w:sz w:val="18"/>
                <w:szCs w:val="18"/>
                <w:highlight w:val="none"/>
              </w:rPr>
              <w:t xml:space="preserve">  目</w:t>
            </w:r>
          </w:p>
        </w:tc>
        <w:tc>
          <w:tcPr>
            <w:tcW w:w="4962" w:type="dxa"/>
            <w:gridSpan w:val="5"/>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一般公共预算支出</w:t>
            </w:r>
          </w:p>
        </w:tc>
      </w:tr>
      <w:tr>
        <w:tblPrEx>
          <w:tblCellMar>
            <w:top w:w="0" w:type="dxa"/>
            <w:left w:w="108" w:type="dxa"/>
            <w:bottom w:w="0" w:type="dxa"/>
            <w:right w:w="108" w:type="dxa"/>
          </w:tblCellMar>
        </w:tblPrEx>
        <w:trPr>
          <w:trHeight w:val="465" w:hRule="atLeast"/>
        </w:trPr>
        <w:tc>
          <w:tcPr>
            <w:tcW w:w="1520"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功能分类科目编码</w:t>
            </w:r>
          </w:p>
        </w:tc>
        <w:tc>
          <w:tcPr>
            <w:tcW w:w="273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功能分类科目名称</w:t>
            </w:r>
          </w:p>
        </w:tc>
        <w:tc>
          <w:tcPr>
            <w:tcW w:w="1436"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1833"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基本支出</w:t>
            </w:r>
          </w:p>
        </w:tc>
        <w:tc>
          <w:tcPr>
            <w:tcW w:w="169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项目支出</w:t>
            </w:r>
          </w:p>
        </w:tc>
      </w:tr>
      <w:tr>
        <w:tblPrEx>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项</w:t>
            </w:r>
          </w:p>
        </w:tc>
        <w:tc>
          <w:tcPr>
            <w:tcW w:w="273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b/>
                <w:bCs/>
                <w:color w:val="auto"/>
                <w:kern w:val="0"/>
                <w:sz w:val="18"/>
                <w:szCs w:val="18"/>
                <w:highlight w:val="none"/>
              </w:rPr>
            </w:pPr>
          </w:p>
        </w:tc>
        <w:tc>
          <w:tcPr>
            <w:tcW w:w="1436"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b/>
                <w:bCs/>
                <w:color w:val="auto"/>
                <w:kern w:val="0"/>
                <w:sz w:val="18"/>
                <w:szCs w:val="18"/>
                <w:highlight w:val="none"/>
              </w:rPr>
            </w:pPr>
          </w:p>
        </w:tc>
        <w:tc>
          <w:tcPr>
            <w:tcW w:w="183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b/>
                <w:bCs/>
                <w:color w:val="auto"/>
                <w:kern w:val="0"/>
                <w:sz w:val="18"/>
                <w:szCs w:val="18"/>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教育支出</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lang w:val="en-US"/>
              </w:rPr>
            </w:pPr>
            <w:r>
              <w:rPr>
                <w:rFonts w:hint="eastAsia" w:ascii="仿宋" w:hAnsi="仿宋" w:eastAsia="仿宋" w:cs="仿宋"/>
                <w:b w:val="0"/>
                <w:bCs w:val="0"/>
                <w:color w:val="auto"/>
                <w:kern w:val="0"/>
                <w:sz w:val="18"/>
                <w:szCs w:val="18"/>
                <w:highlight w:val="none"/>
                <w:lang w:val="en-US" w:eastAsia="zh-CN"/>
              </w:rPr>
              <w:t>339.41</w:t>
            </w:r>
          </w:p>
        </w:tc>
        <w:tc>
          <w:tcPr>
            <w:tcW w:w="1833"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318.07</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21.35</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普通教育</w:t>
            </w:r>
            <w:r>
              <w:rPr>
                <w:rFonts w:hint="eastAsia" w:ascii="仿宋" w:hAnsi="仿宋" w:eastAsia="仿宋" w:cs="仿宋"/>
                <w:b w:val="0"/>
                <w:bCs w:val="0"/>
                <w:color w:val="auto"/>
                <w:kern w:val="0"/>
                <w:sz w:val="18"/>
                <w:szCs w:val="18"/>
                <w:highlight w:val="none"/>
                <w:lang w:eastAsia="zh-CN"/>
              </w:rPr>
              <w:t>　</w:t>
            </w:r>
          </w:p>
        </w:tc>
        <w:tc>
          <w:tcPr>
            <w:tcW w:w="1436"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339.41</w:t>
            </w:r>
          </w:p>
        </w:tc>
        <w:tc>
          <w:tcPr>
            <w:tcW w:w="1833"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318.07</w:t>
            </w:r>
          </w:p>
        </w:tc>
        <w:tc>
          <w:tcPr>
            <w:tcW w:w="16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21.35</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01</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学前教育</w:t>
            </w:r>
          </w:p>
        </w:tc>
        <w:tc>
          <w:tcPr>
            <w:tcW w:w="1436"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339.41</w:t>
            </w:r>
          </w:p>
        </w:tc>
        <w:tc>
          <w:tcPr>
            <w:tcW w:w="1833"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318.07</w:t>
            </w:r>
          </w:p>
        </w:tc>
        <w:tc>
          <w:tcPr>
            <w:tcW w:w="16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21.35</w:t>
            </w: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273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1436"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339.41</w:t>
            </w:r>
          </w:p>
        </w:tc>
        <w:tc>
          <w:tcPr>
            <w:tcW w:w="1833"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318.07</w:t>
            </w:r>
          </w:p>
        </w:tc>
        <w:tc>
          <w:tcPr>
            <w:tcW w:w="16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21.35</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w:t>
            </w:r>
            <w:r>
              <w:rPr>
                <w:rFonts w:hint="eastAsia" w:ascii="仿宋" w:hAnsi="仿宋" w:eastAsia="仿宋" w:cs="仿宋"/>
                <w:color w:val="auto"/>
                <w:kern w:val="0"/>
                <w:sz w:val="24"/>
                <w:lang w:eastAsia="zh-CN"/>
              </w:rPr>
              <w:t>二十里店镇</w:t>
            </w:r>
            <w:r>
              <w:rPr>
                <w:rFonts w:hint="eastAsia" w:ascii="仿宋" w:hAnsi="仿宋" w:eastAsia="仿宋" w:cs="仿宋"/>
                <w:color w:val="auto"/>
                <w:kern w:val="0"/>
                <w:sz w:val="24"/>
                <w:highlight w:val="none"/>
                <w:lang w:eastAsia="zh-CN"/>
              </w:rPr>
              <w:t>中心幼儿园</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szCs w:val="24"/>
                <w:highlight w:val="none"/>
              </w:rPr>
              <w:t xml:space="preserve">  </w:t>
            </w:r>
          </w:p>
        </w:tc>
        <w:tc>
          <w:tcPr>
            <w:tcW w:w="1682" w:type="dxa"/>
            <w:gridSpan w:val="2"/>
            <w:tcBorders>
              <w:top w:val="nil"/>
              <w:left w:val="nil"/>
              <w:bottom w:val="nil"/>
              <w:right w:val="nil"/>
            </w:tcBorders>
            <w:noWrap w:val="0"/>
            <w:vAlign w:val="center"/>
          </w:tcPr>
          <w:p>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 xml:space="preserve">科  </w:t>
            </w:r>
            <w:r>
              <w:rPr>
                <w:rFonts w:hint="eastAsia" w:ascii="仿宋" w:hAnsi="仿宋" w:eastAsia="仿宋" w:cs="仿宋"/>
                <w:b/>
                <w:bCs/>
                <w:color w:val="auto"/>
                <w:kern w:val="0"/>
                <w:sz w:val="18"/>
                <w:szCs w:val="18"/>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类</w:t>
            </w:r>
          </w:p>
        </w:tc>
        <w:tc>
          <w:tcPr>
            <w:tcW w:w="5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default"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default" w:ascii="仿宋" w:hAnsi="仿宋" w:eastAsia="仿宋" w:cs="仿宋"/>
                <w:color w:val="auto"/>
                <w:kern w:val="0"/>
                <w:sz w:val="18"/>
                <w:szCs w:val="18"/>
                <w:highlight w:val="none"/>
                <w:lang w:val="en-US" w:eastAsia="zh-CN"/>
              </w:rPr>
              <w:t>工资福利支出</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192.38</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192.38</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default"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基本工资</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46.90</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46.90</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default"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津贴补贴</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19.23</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19.23</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default"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奖金</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40.66</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40.66</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default"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绩效工资</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32.71</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32.71</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default"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机关事业单位基本养老保险缴费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19.97</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19.97</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default"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职工基本医疗保险缴费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9.99</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9.99</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default"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公务员医疗补助缴费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4.99</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4.99</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default"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其他社会保障缴费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1.25</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1.25</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default"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13</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住房公积金</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16.68</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16.68</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商品和服务支出</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125.69</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125.69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办公费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0.30</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邮电费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1.45</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1.45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取暖费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3.77</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3.77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09</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物业管理费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0.10</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13</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维修（护）费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0.08</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0.08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16</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培训费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0.38</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26</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劳务费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117.14</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117.14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27</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委托业务费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0.05</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0.05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26</w:t>
            </w: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工会经费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2.42</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2.42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color w:val="auto"/>
                <w:kern w:val="0"/>
                <w:sz w:val="18"/>
                <w:szCs w:val="18"/>
                <w:highlight w:val="none"/>
                <w:lang w:val="en-US"/>
              </w:rPr>
            </w:pP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合计</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318.07</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192.38</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125.69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13158" w:type="dxa"/>
        <w:tblInd w:w="-360" w:type="dxa"/>
        <w:tblLayout w:type="fixed"/>
        <w:tblCellMar>
          <w:top w:w="0" w:type="dxa"/>
          <w:left w:w="108" w:type="dxa"/>
          <w:bottom w:w="0" w:type="dxa"/>
          <w:right w:w="108" w:type="dxa"/>
        </w:tblCellMar>
      </w:tblPr>
      <w:tblGrid>
        <w:gridCol w:w="12"/>
        <w:gridCol w:w="484"/>
        <w:gridCol w:w="413"/>
        <w:gridCol w:w="452"/>
        <w:gridCol w:w="1260"/>
        <w:gridCol w:w="2573"/>
        <w:gridCol w:w="817"/>
        <w:gridCol w:w="789"/>
        <w:gridCol w:w="891"/>
        <w:gridCol w:w="735"/>
        <w:gridCol w:w="690"/>
        <w:gridCol w:w="675"/>
        <w:gridCol w:w="690"/>
        <w:gridCol w:w="660"/>
        <w:gridCol w:w="690"/>
        <w:gridCol w:w="735"/>
        <w:gridCol w:w="488"/>
        <w:gridCol w:w="104"/>
      </w:tblGrid>
      <w:tr>
        <w:tblPrEx>
          <w:tblCellMar>
            <w:top w:w="0" w:type="dxa"/>
            <w:left w:w="108" w:type="dxa"/>
            <w:bottom w:w="0" w:type="dxa"/>
            <w:right w:w="108" w:type="dxa"/>
          </w:tblCellMar>
        </w:tblPrEx>
        <w:trPr>
          <w:gridBefore w:val="1"/>
          <w:gridAfter w:val="1"/>
          <w:wBefore w:w="12" w:type="dxa"/>
          <w:wAfter w:w="104" w:type="dxa"/>
          <w:trHeight w:val="409" w:hRule="atLeast"/>
        </w:trPr>
        <w:tc>
          <w:tcPr>
            <w:tcW w:w="13042"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2" w:type="dxa"/>
          <w:wAfter w:w="104" w:type="dxa"/>
          <w:trHeight w:val="399" w:hRule="atLeast"/>
        </w:trPr>
        <w:tc>
          <w:tcPr>
            <w:tcW w:w="7679" w:type="dxa"/>
            <w:gridSpan w:val="8"/>
            <w:tcBorders>
              <w:top w:val="nil"/>
              <w:left w:val="nil"/>
              <w:bottom w:val="nil"/>
              <w:right w:val="nil"/>
            </w:tcBorders>
            <w:noWrap w:val="0"/>
            <w:vAlign w:val="center"/>
          </w:tcPr>
          <w:p>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w:t>
            </w:r>
            <w:r>
              <w:rPr>
                <w:rFonts w:hint="eastAsia" w:ascii="仿宋" w:hAnsi="仿宋" w:eastAsia="仿宋" w:cs="仿宋"/>
                <w:color w:val="auto"/>
                <w:kern w:val="0"/>
                <w:sz w:val="24"/>
                <w:lang w:eastAsia="zh-CN"/>
              </w:rPr>
              <w:t>二十里店镇</w:t>
            </w:r>
            <w:r>
              <w:rPr>
                <w:rFonts w:hint="eastAsia" w:ascii="仿宋" w:hAnsi="仿宋" w:eastAsia="仿宋" w:cs="仿宋"/>
                <w:color w:val="auto"/>
                <w:kern w:val="0"/>
                <w:sz w:val="24"/>
                <w:highlight w:val="none"/>
                <w:lang w:eastAsia="zh-CN"/>
              </w:rPr>
              <w:t>中心幼儿园</w:t>
            </w:r>
          </w:p>
        </w:tc>
        <w:tc>
          <w:tcPr>
            <w:tcW w:w="1425" w:type="dxa"/>
            <w:gridSpan w:val="2"/>
            <w:tcBorders>
              <w:top w:val="nil"/>
              <w:left w:val="nil"/>
              <w:bottom w:val="nil"/>
              <w:right w:val="nil"/>
            </w:tcBorders>
            <w:noWrap w:val="0"/>
            <w:vAlign w:val="center"/>
          </w:tcPr>
          <w:p>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p>
        </w:tc>
        <w:tc>
          <w:tcPr>
            <w:tcW w:w="3938" w:type="dxa"/>
            <w:gridSpan w:val="6"/>
            <w:tcBorders>
              <w:top w:val="nil"/>
              <w:left w:val="nil"/>
              <w:bottom w:val="nil"/>
              <w:right w:val="nil"/>
            </w:tcBorders>
            <w:noWrap w:val="0"/>
            <w:vAlign w:val="center"/>
          </w:tcPr>
          <w:p>
            <w:pPr>
              <w:widowControl/>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361" w:type="dxa"/>
            <w:gridSpan w:val="4"/>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科 目 编 码</w:t>
            </w:r>
          </w:p>
        </w:tc>
        <w:tc>
          <w:tcPr>
            <w:tcW w:w="1260" w:type="dxa"/>
            <w:vMerge w:val="restart"/>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科目</w:t>
            </w:r>
          </w:p>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名称</w:t>
            </w:r>
          </w:p>
        </w:tc>
        <w:tc>
          <w:tcPr>
            <w:tcW w:w="2573" w:type="dxa"/>
            <w:vMerge w:val="restart"/>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项目名称</w:t>
            </w:r>
          </w:p>
        </w:tc>
        <w:tc>
          <w:tcPr>
            <w:tcW w:w="817" w:type="dxa"/>
            <w:vMerge w:val="restart"/>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项目支出合计</w:t>
            </w:r>
          </w:p>
        </w:tc>
        <w:tc>
          <w:tcPr>
            <w:tcW w:w="789" w:type="dxa"/>
            <w:vMerge w:val="restart"/>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工资福利支出</w:t>
            </w:r>
          </w:p>
        </w:tc>
        <w:tc>
          <w:tcPr>
            <w:tcW w:w="891" w:type="dxa"/>
            <w:vMerge w:val="restart"/>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商品和服务支出</w:t>
            </w:r>
          </w:p>
        </w:tc>
        <w:tc>
          <w:tcPr>
            <w:tcW w:w="735" w:type="dxa"/>
            <w:vMerge w:val="restart"/>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对个人和家庭的补助</w:t>
            </w:r>
          </w:p>
        </w:tc>
        <w:tc>
          <w:tcPr>
            <w:tcW w:w="690" w:type="dxa"/>
            <w:vMerge w:val="restart"/>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债务利息及费用支出</w:t>
            </w:r>
          </w:p>
        </w:tc>
        <w:tc>
          <w:tcPr>
            <w:tcW w:w="675" w:type="dxa"/>
            <w:vMerge w:val="restart"/>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资本性支出（基本建设）</w:t>
            </w:r>
          </w:p>
        </w:tc>
        <w:tc>
          <w:tcPr>
            <w:tcW w:w="690" w:type="dxa"/>
            <w:vMerge w:val="restart"/>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资本性支出</w:t>
            </w:r>
          </w:p>
        </w:tc>
        <w:tc>
          <w:tcPr>
            <w:tcW w:w="660" w:type="dxa"/>
            <w:vMerge w:val="restart"/>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对企业补助（基本建设）</w:t>
            </w:r>
          </w:p>
        </w:tc>
        <w:tc>
          <w:tcPr>
            <w:tcW w:w="690" w:type="dxa"/>
            <w:vMerge w:val="restart"/>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对企业补助</w:t>
            </w:r>
          </w:p>
        </w:tc>
        <w:tc>
          <w:tcPr>
            <w:tcW w:w="735" w:type="dxa"/>
            <w:vMerge w:val="restart"/>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对社会保障基金补助</w:t>
            </w:r>
          </w:p>
        </w:tc>
        <w:tc>
          <w:tcPr>
            <w:tcW w:w="592" w:type="dxa"/>
            <w:gridSpan w:val="2"/>
            <w:vMerge w:val="restart"/>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496" w:type="dxa"/>
            <w:gridSpan w:val="2"/>
            <w:tcBorders>
              <w:bottom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类</w:t>
            </w:r>
          </w:p>
        </w:tc>
        <w:tc>
          <w:tcPr>
            <w:tcW w:w="413" w:type="dxa"/>
            <w:tcBorders>
              <w:bottom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款</w:t>
            </w:r>
          </w:p>
        </w:tc>
        <w:tc>
          <w:tcPr>
            <w:tcW w:w="452" w:type="dxa"/>
            <w:tcBorders>
              <w:bottom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项</w:t>
            </w:r>
          </w:p>
        </w:tc>
        <w:tc>
          <w:tcPr>
            <w:tcW w:w="1260" w:type="dxa"/>
            <w:vMerge w:val="continue"/>
            <w:tcBorders>
              <w:bottom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2573" w:type="dxa"/>
            <w:vMerge w:val="continue"/>
            <w:tcBorders>
              <w:bottom w:val="single" w:color="auto" w:sz="4" w:space="0"/>
            </w:tcBorders>
            <w:noWrap w:val="0"/>
            <w:vAlign w:val="top"/>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817" w:type="dxa"/>
            <w:vMerge w:val="continue"/>
            <w:tcBorders>
              <w:bottom w:val="single" w:color="auto" w:sz="4" w:space="0"/>
            </w:tcBorders>
            <w:noWrap w:val="0"/>
            <w:vAlign w:val="top"/>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789" w:type="dxa"/>
            <w:vMerge w:val="continue"/>
            <w:tcBorders>
              <w:bottom w:val="single" w:color="auto" w:sz="4" w:space="0"/>
            </w:tcBorders>
            <w:noWrap w:val="0"/>
            <w:vAlign w:val="top"/>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891" w:type="dxa"/>
            <w:vMerge w:val="continue"/>
            <w:tcBorders>
              <w:bottom w:val="single" w:color="auto" w:sz="4" w:space="0"/>
            </w:tcBorders>
            <w:noWrap w:val="0"/>
            <w:vAlign w:val="top"/>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735" w:type="dxa"/>
            <w:vMerge w:val="continue"/>
            <w:tcBorders>
              <w:bottom w:val="single" w:color="auto" w:sz="4" w:space="0"/>
            </w:tcBorders>
            <w:noWrap w:val="0"/>
            <w:vAlign w:val="top"/>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690" w:type="dxa"/>
            <w:vMerge w:val="continue"/>
            <w:tcBorders>
              <w:bottom w:val="single" w:color="auto" w:sz="4" w:space="0"/>
            </w:tcBorders>
            <w:noWrap w:val="0"/>
            <w:vAlign w:val="top"/>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675" w:type="dxa"/>
            <w:vMerge w:val="continue"/>
            <w:tcBorders>
              <w:bottom w:val="single" w:color="auto" w:sz="4" w:space="0"/>
            </w:tcBorders>
            <w:noWrap w:val="0"/>
            <w:vAlign w:val="top"/>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690" w:type="dxa"/>
            <w:vMerge w:val="continue"/>
            <w:tcBorders>
              <w:bottom w:val="single" w:color="auto" w:sz="4" w:space="0"/>
            </w:tcBorders>
            <w:noWrap w:val="0"/>
            <w:vAlign w:val="top"/>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660" w:type="dxa"/>
            <w:vMerge w:val="continue"/>
            <w:tcBorders>
              <w:bottom w:val="single" w:color="auto" w:sz="4" w:space="0"/>
            </w:tcBorders>
            <w:noWrap w:val="0"/>
            <w:vAlign w:val="top"/>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690" w:type="dxa"/>
            <w:vMerge w:val="continue"/>
            <w:tcBorders>
              <w:bottom w:val="single" w:color="auto" w:sz="4" w:space="0"/>
            </w:tcBorders>
            <w:noWrap w:val="0"/>
            <w:vAlign w:val="top"/>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735" w:type="dxa"/>
            <w:vMerge w:val="continue"/>
            <w:tcBorders>
              <w:bottom w:val="single" w:color="auto" w:sz="4" w:space="0"/>
            </w:tcBorders>
            <w:noWrap w:val="0"/>
            <w:vAlign w:val="top"/>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592" w:type="dxa"/>
            <w:gridSpan w:val="2"/>
            <w:vMerge w:val="continue"/>
            <w:tcBorders>
              <w:bottom w:val="single" w:color="auto" w:sz="4" w:space="0"/>
            </w:tcBorders>
            <w:noWrap w:val="0"/>
            <w:vAlign w:val="top"/>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496" w:type="dxa"/>
            <w:gridSpan w:val="2"/>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205</w:t>
            </w:r>
          </w:p>
        </w:tc>
        <w:tc>
          <w:tcPr>
            <w:tcW w:w="413" w:type="dxa"/>
            <w:shd w:val="clear" w:color="auto" w:fill="auto"/>
            <w:noWrap w:val="0"/>
            <w:vAlign w:val="center"/>
          </w:tcPr>
          <w:p>
            <w:pPr>
              <w:widowControl/>
              <w:spacing w:line="280" w:lineRule="exact"/>
              <w:jc w:val="both"/>
              <w:rPr>
                <w:rFonts w:hint="eastAsia" w:ascii="仿宋" w:hAnsi="仿宋" w:eastAsia="仿宋" w:cs="仿宋"/>
                <w:color w:val="auto"/>
                <w:kern w:val="0"/>
                <w:sz w:val="18"/>
                <w:szCs w:val="18"/>
                <w:highlight w:val="none"/>
                <w:lang w:val="en-US" w:eastAsia="zh-Hans"/>
              </w:rPr>
            </w:pPr>
          </w:p>
        </w:tc>
        <w:tc>
          <w:tcPr>
            <w:tcW w:w="452"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1260"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default" w:ascii="仿宋" w:hAnsi="仿宋" w:eastAsia="仿宋" w:cs="仿宋"/>
                <w:color w:val="auto"/>
                <w:kern w:val="0"/>
                <w:sz w:val="18"/>
                <w:szCs w:val="18"/>
                <w:highlight w:val="none"/>
                <w:lang w:val="en-US" w:eastAsia="zh-CN"/>
              </w:rPr>
              <w:t>教育支出</w:t>
            </w:r>
          </w:p>
        </w:tc>
        <w:tc>
          <w:tcPr>
            <w:tcW w:w="2573"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817"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21.35</w:t>
            </w:r>
          </w:p>
        </w:tc>
        <w:tc>
          <w:tcPr>
            <w:tcW w:w="789"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891"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11.34</w:t>
            </w:r>
          </w:p>
        </w:tc>
        <w:tc>
          <w:tcPr>
            <w:tcW w:w="735"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10.01</w:t>
            </w:r>
          </w:p>
        </w:tc>
        <w:tc>
          <w:tcPr>
            <w:tcW w:w="69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75"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9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6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9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735"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592" w:type="dxa"/>
            <w:gridSpan w:val="2"/>
            <w:noWrap w:val="0"/>
            <w:vAlign w:val="center"/>
          </w:tcPr>
          <w:p>
            <w:pPr>
              <w:keepNext w:val="0"/>
              <w:keepLines w:val="0"/>
              <w:pageBreakBefore w:val="0"/>
              <w:widowControl/>
              <w:kinsoku/>
              <w:wordWrap/>
              <w:overflowPunct/>
              <w:topLinePunct w:val="0"/>
              <w:autoSpaceDE/>
              <w:autoSpaceDN/>
              <w:bidi w:val="0"/>
              <w:adjustRightInd/>
              <w:snapToGrid/>
              <w:spacing w:line="180" w:lineRule="exact"/>
              <w:jc w:val="center"/>
              <w:textAlignment w:val="auto"/>
              <w:outlineLvl w:val="1"/>
              <w:rPr>
                <w:rFonts w:hint="default" w:ascii="仿宋_GB2312" w:hAnsi="宋体" w:eastAsia="仿宋_GB2312"/>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496" w:type="dxa"/>
            <w:gridSpan w:val="2"/>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205</w:t>
            </w:r>
          </w:p>
        </w:tc>
        <w:tc>
          <w:tcPr>
            <w:tcW w:w="413"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452"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1260"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default" w:ascii="仿宋" w:hAnsi="仿宋" w:eastAsia="仿宋" w:cs="仿宋"/>
                <w:color w:val="auto"/>
                <w:kern w:val="0"/>
                <w:sz w:val="18"/>
                <w:szCs w:val="18"/>
                <w:highlight w:val="none"/>
                <w:lang w:val="en-US" w:eastAsia="zh-CN"/>
              </w:rPr>
              <w:t>普通教育</w:t>
            </w:r>
          </w:p>
        </w:tc>
        <w:tc>
          <w:tcPr>
            <w:tcW w:w="2573"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817"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21.35</w:t>
            </w:r>
          </w:p>
        </w:tc>
        <w:tc>
          <w:tcPr>
            <w:tcW w:w="789"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891"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11.34</w:t>
            </w:r>
          </w:p>
        </w:tc>
        <w:tc>
          <w:tcPr>
            <w:tcW w:w="735"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10.01</w:t>
            </w:r>
          </w:p>
        </w:tc>
        <w:tc>
          <w:tcPr>
            <w:tcW w:w="69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75"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9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6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9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735"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592" w:type="dxa"/>
            <w:gridSpan w:val="2"/>
            <w:noWrap w:val="0"/>
            <w:vAlign w:val="center"/>
          </w:tcPr>
          <w:p>
            <w:pPr>
              <w:keepNext w:val="0"/>
              <w:keepLines w:val="0"/>
              <w:pageBreakBefore w:val="0"/>
              <w:widowControl/>
              <w:kinsoku/>
              <w:wordWrap/>
              <w:overflowPunct/>
              <w:topLinePunct w:val="0"/>
              <w:autoSpaceDE/>
              <w:autoSpaceDN/>
              <w:bidi w:val="0"/>
              <w:adjustRightInd/>
              <w:snapToGrid/>
              <w:spacing w:line="180" w:lineRule="exact"/>
              <w:jc w:val="center"/>
              <w:textAlignment w:val="auto"/>
              <w:outlineLvl w:val="1"/>
              <w:rPr>
                <w:rFonts w:hint="default" w:ascii="仿宋_GB2312" w:hAnsi="宋体" w:eastAsia="仿宋_GB2312"/>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496" w:type="dxa"/>
            <w:gridSpan w:val="2"/>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205</w:t>
            </w:r>
          </w:p>
        </w:tc>
        <w:tc>
          <w:tcPr>
            <w:tcW w:w="413"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452"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1260"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学前教育</w:t>
            </w:r>
          </w:p>
        </w:tc>
        <w:tc>
          <w:tcPr>
            <w:tcW w:w="2573"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default" w:ascii="仿宋" w:hAnsi="仿宋" w:eastAsia="仿宋" w:cs="仿宋"/>
                <w:color w:val="auto"/>
                <w:kern w:val="0"/>
                <w:sz w:val="18"/>
                <w:szCs w:val="18"/>
                <w:highlight w:val="none"/>
                <w:lang w:val="en-US" w:eastAsia="zh-CN"/>
              </w:rPr>
              <w:t>2025年新疆西藏等地区教育特殊补助资金</w:t>
            </w:r>
          </w:p>
        </w:tc>
        <w:tc>
          <w:tcPr>
            <w:tcW w:w="817"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7.74</w:t>
            </w:r>
          </w:p>
        </w:tc>
        <w:tc>
          <w:tcPr>
            <w:tcW w:w="789"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891"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2.87</w:t>
            </w:r>
          </w:p>
        </w:tc>
        <w:tc>
          <w:tcPr>
            <w:tcW w:w="735"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4.87</w:t>
            </w:r>
          </w:p>
        </w:tc>
        <w:tc>
          <w:tcPr>
            <w:tcW w:w="69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75"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9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6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9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735"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592" w:type="dxa"/>
            <w:gridSpan w:val="2"/>
            <w:noWrap w:val="0"/>
            <w:vAlign w:val="center"/>
          </w:tcPr>
          <w:p>
            <w:pPr>
              <w:keepNext w:val="0"/>
              <w:keepLines w:val="0"/>
              <w:pageBreakBefore w:val="0"/>
              <w:widowControl/>
              <w:kinsoku/>
              <w:wordWrap/>
              <w:overflowPunct/>
              <w:topLinePunct w:val="0"/>
              <w:autoSpaceDE/>
              <w:autoSpaceDN/>
              <w:bidi w:val="0"/>
              <w:adjustRightInd/>
              <w:snapToGrid/>
              <w:spacing w:line="180" w:lineRule="exact"/>
              <w:jc w:val="center"/>
              <w:textAlignment w:val="auto"/>
              <w:outlineLvl w:val="1"/>
              <w:rPr>
                <w:rFonts w:hint="default" w:ascii="仿宋_GB2312" w:hAnsi="宋体" w:eastAsia="仿宋_GB2312"/>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96" w:type="dxa"/>
            <w:gridSpan w:val="2"/>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205</w:t>
            </w:r>
          </w:p>
        </w:tc>
        <w:tc>
          <w:tcPr>
            <w:tcW w:w="413"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452"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1260"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学前教育</w:t>
            </w:r>
          </w:p>
        </w:tc>
        <w:tc>
          <w:tcPr>
            <w:tcW w:w="2573"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2025年生均公用经费-保民生</w:t>
            </w:r>
          </w:p>
        </w:tc>
        <w:tc>
          <w:tcPr>
            <w:tcW w:w="817"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5.14</w:t>
            </w:r>
          </w:p>
        </w:tc>
        <w:tc>
          <w:tcPr>
            <w:tcW w:w="789"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891"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735"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5.14</w:t>
            </w:r>
          </w:p>
        </w:tc>
        <w:tc>
          <w:tcPr>
            <w:tcW w:w="69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75"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9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6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9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735"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592" w:type="dxa"/>
            <w:gridSpan w:val="2"/>
            <w:noWrap w:val="0"/>
            <w:vAlign w:val="center"/>
          </w:tcPr>
          <w:p>
            <w:pPr>
              <w:keepNext w:val="0"/>
              <w:keepLines w:val="0"/>
              <w:pageBreakBefore w:val="0"/>
              <w:widowControl/>
              <w:kinsoku/>
              <w:wordWrap/>
              <w:overflowPunct/>
              <w:topLinePunct w:val="0"/>
              <w:autoSpaceDE/>
              <w:autoSpaceDN/>
              <w:bidi w:val="0"/>
              <w:adjustRightInd/>
              <w:snapToGrid/>
              <w:spacing w:line="180" w:lineRule="exact"/>
              <w:jc w:val="center"/>
              <w:textAlignment w:val="auto"/>
              <w:outlineLvl w:val="1"/>
              <w:rPr>
                <w:rFonts w:hint="default" w:ascii="仿宋_GB2312" w:hAnsi="宋体" w:eastAsia="仿宋_GB2312"/>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96" w:type="dxa"/>
            <w:gridSpan w:val="2"/>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205</w:t>
            </w:r>
          </w:p>
        </w:tc>
        <w:tc>
          <w:tcPr>
            <w:tcW w:w="413"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452"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1260" w:type="dxa"/>
            <w:shd w:val="clear" w:color="auto" w:fill="auto"/>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学前教育</w:t>
            </w:r>
          </w:p>
        </w:tc>
        <w:tc>
          <w:tcPr>
            <w:tcW w:w="2573"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2025年教育补助项目经费-自聘教师工资补助</w:t>
            </w:r>
          </w:p>
        </w:tc>
        <w:tc>
          <w:tcPr>
            <w:tcW w:w="817"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8.47</w:t>
            </w:r>
          </w:p>
        </w:tc>
        <w:tc>
          <w:tcPr>
            <w:tcW w:w="789"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891"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8.47</w:t>
            </w:r>
          </w:p>
        </w:tc>
        <w:tc>
          <w:tcPr>
            <w:tcW w:w="735"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9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75"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9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6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690"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735" w:type="dxa"/>
            <w:noWrap w:val="0"/>
            <w:vAlign w:val="center"/>
          </w:tcPr>
          <w:p>
            <w:pPr>
              <w:widowControl/>
              <w:spacing w:line="280" w:lineRule="exact"/>
              <w:jc w:val="both"/>
              <w:rPr>
                <w:rFonts w:hint="default" w:ascii="仿宋" w:hAnsi="仿宋" w:eastAsia="仿宋" w:cs="仿宋"/>
                <w:color w:val="auto"/>
                <w:kern w:val="0"/>
                <w:sz w:val="18"/>
                <w:szCs w:val="18"/>
                <w:highlight w:val="none"/>
                <w:lang w:val="en-US" w:eastAsia="zh-CN"/>
              </w:rPr>
            </w:pPr>
          </w:p>
        </w:tc>
        <w:tc>
          <w:tcPr>
            <w:tcW w:w="592" w:type="dxa"/>
            <w:gridSpan w:val="2"/>
            <w:noWrap w:val="0"/>
            <w:vAlign w:val="center"/>
          </w:tcPr>
          <w:p>
            <w:pPr>
              <w:keepNext w:val="0"/>
              <w:keepLines w:val="0"/>
              <w:pageBreakBefore w:val="0"/>
              <w:widowControl/>
              <w:kinsoku/>
              <w:wordWrap/>
              <w:overflowPunct/>
              <w:topLinePunct w:val="0"/>
              <w:autoSpaceDE/>
              <w:autoSpaceDN/>
              <w:bidi w:val="0"/>
              <w:adjustRightInd/>
              <w:snapToGrid/>
              <w:spacing w:line="180" w:lineRule="exact"/>
              <w:jc w:val="center"/>
              <w:textAlignment w:val="auto"/>
              <w:outlineLvl w:val="1"/>
              <w:rPr>
                <w:rFonts w:hint="default" w:ascii="仿宋_GB2312" w:hAnsi="宋体" w:eastAsia="仿宋_GB2312"/>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96" w:type="dxa"/>
            <w:gridSpan w:val="2"/>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p>
        </w:tc>
        <w:tc>
          <w:tcPr>
            <w:tcW w:w="413" w:type="dxa"/>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p>
        </w:tc>
        <w:tc>
          <w:tcPr>
            <w:tcW w:w="452" w:type="dxa"/>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p>
        </w:tc>
        <w:tc>
          <w:tcPr>
            <w:tcW w:w="1260" w:type="dxa"/>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p>
        </w:tc>
        <w:tc>
          <w:tcPr>
            <w:tcW w:w="2573" w:type="dxa"/>
            <w:noWrap w:val="0"/>
            <w:vAlign w:val="center"/>
          </w:tcPr>
          <w:p>
            <w:pPr>
              <w:widowControl/>
              <w:spacing w:line="280" w:lineRule="exact"/>
              <w:jc w:val="left"/>
              <w:rPr>
                <w:rFonts w:hint="default"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合 计</w:t>
            </w:r>
          </w:p>
        </w:tc>
        <w:tc>
          <w:tcPr>
            <w:tcW w:w="817" w:type="dxa"/>
            <w:noWrap w:val="0"/>
            <w:vAlign w:val="center"/>
          </w:tcPr>
          <w:p>
            <w:pPr>
              <w:widowControl/>
              <w:spacing w:line="280" w:lineRule="exact"/>
              <w:jc w:val="left"/>
              <w:rPr>
                <w:rFonts w:hint="default"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21.35</w:t>
            </w:r>
          </w:p>
        </w:tc>
        <w:tc>
          <w:tcPr>
            <w:tcW w:w="789" w:type="dxa"/>
            <w:noWrap w:val="0"/>
            <w:vAlign w:val="center"/>
          </w:tcPr>
          <w:p>
            <w:pPr>
              <w:widowControl/>
              <w:spacing w:line="280" w:lineRule="exact"/>
              <w:jc w:val="left"/>
              <w:rPr>
                <w:rFonts w:hint="default" w:ascii="仿宋" w:hAnsi="仿宋" w:eastAsia="仿宋" w:cs="仿宋"/>
                <w:b/>
                <w:bCs/>
                <w:color w:val="auto"/>
                <w:kern w:val="0"/>
                <w:sz w:val="18"/>
                <w:szCs w:val="18"/>
                <w:highlight w:val="none"/>
                <w:lang w:val="en-US" w:eastAsia="zh-CN"/>
              </w:rPr>
            </w:pPr>
          </w:p>
        </w:tc>
        <w:tc>
          <w:tcPr>
            <w:tcW w:w="891" w:type="dxa"/>
            <w:noWrap w:val="0"/>
            <w:vAlign w:val="center"/>
          </w:tcPr>
          <w:p>
            <w:pPr>
              <w:widowControl/>
              <w:spacing w:line="280" w:lineRule="exact"/>
              <w:jc w:val="left"/>
              <w:rPr>
                <w:rFonts w:hint="default"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11.34</w:t>
            </w:r>
          </w:p>
        </w:tc>
        <w:tc>
          <w:tcPr>
            <w:tcW w:w="735" w:type="dxa"/>
            <w:noWrap w:val="0"/>
            <w:vAlign w:val="center"/>
          </w:tcPr>
          <w:p>
            <w:pPr>
              <w:widowControl/>
              <w:spacing w:line="280" w:lineRule="exact"/>
              <w:jc w:val="left"/>
              <w:rPr>
                <w:rFonts w:hint="default"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10.01</w:t>
            </w:r>
          </w:p>
        </w:tc>
        <w:tc>
          <w:tcPr>
            <w:tcW w:w="690" w:type="dxa"/>
            <w:noWrap w:val="0"/>
            <w:vAlign w:val="center"/>
          </w:tcPr>
          <w:p>
            <w:pPr>
              <w:widowControl/>
              <w:spacing w:line="280" w:lineRule="exact"/>
              <w:jc w:val="left"/>
              <w:rPr>
                <w:rFonts w:hint="default" w:ascii="仿宋" w:hAnsi="仿宋" w:eastAsia="仿宋" w:cs="仿宋"/>
                <w:b/>
                <w:bCs/>
                <w:color w:val="auto"/>
                <w:kern w:val="0"/>
                <w:sz w:val="18"/>
                <w:szCs w:val="18"/>
                <w:highlight w:val="none"/>
                <w:lang w:val="en-US" w:eastAsia="zh-CN"/>
              </w:rPr>
            </w:pPr>
          </w:p>
        </w:tc>
        <w:tc>
          <w:tcPr>
            <w:tcW w:w="675" w:type="dxa"/>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p>
        </w:tc>
        <w:tc>
          <w:tcPr>
            <w:tcW w:w="690" w:type="dxa"/>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p>
        </w:tc>
        <w:tc>
          <w:tcPr>
            <w:tcW w:w="660" w:type="dxa"/>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p>
        </w:tc>
        <w:tc>
          <w:tcPr>
            <w:tcW w:w="690" w:type="dxa"/>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p>
        </w:tc>
        <w:tc>
          <w:tcPr>
            <w:tcW w:w="735" w:type="dxa"/>
            <w:noWrap w:val="0"/>
            <w:vAlign w:val="center"/>
          </w:tcPr>
          <w:p>
            <w:pPr>
              <w:widowControl/>
              <w:spacing w:line="280" w:lineRule="exact"/>
              <w:jc w:val="left"/>
              <w:rPr>
                <w:rFonts w:hint="default" w:ascii="仿宋" w:hAnsi="仿宋" w:eastAsia="仿宋" w:cs="仿宋"/>
                <w:color w:val="auto"/>
                <w:kern w:val="0"/>
                <w:sz w:val="18"/>
                <w:szCs w:val="18"/>
                <w:highlight w:val="none"/>
                <w:lang w:val="en-US" w:eastAsia="zh-CN"/>
              </w:rPr>
            </w:pPr>
          </w:p>
        </w:tc>
        <w:tc>
          <w:tcPr>
            <w:tcW w:w="592" w:type="dxa"/>
            <w:gridSpan w:val="2"/>
            <w:noWrap w:val="0"/>
            <w:vAlign w:val="center"/>
          </w:tcPr>
          <w:p>
            <w:pPr>
              <w:keepNext w:val="0"/>
              <w:keepLines w:val="0"/>
              <w:pageBreakBefore w:val="0"/>
              <w:widowControl/>
              <w:kinsoku/>
              <w:wordWrap/>
              <w:overflowPunct/>
              <w:topLinePunct w:val="0"/>
              <w:autoSpaceDE/>
              <w:autoSpaceDN/>
              <w:bidi w:val="0"/>
              <w:adjustRightInd/>
              <w:snapToGrid/>
              <w:spacing w:line="180" w:lineRule="exact"/>
              <w:jc w:val="center"/>
              <w:textAlignment w:val="auto"/>
              <w:outlineLvl w:val="1"/>
              <w:rPr>
                <w:rFonts w:hint="default" w:ascii="仿宋_GB2312" w:hAnsi="宋体" w:eastAsia="仿宋_GB2312"/>
                <w:b/>
                <w:bCs/>
                <w:color w:val="auto"/>
                <w:kern w:val="0"/>
                <w:sz w:val="18"/>
                <w:szCs w:val="18"/>
                <w:highlight w:val="none"/>
                <w:lang w:val="en-US" w:eastAsia="zh-CN"/>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编制</w:t>
      </w:r>
      <w:r>
        <w:rPr>
          <w:rFonts w:hint="eastAsia" w:ascii="仿宋" w:hAnsi="仿宋" w:eastAsia="仿宋" w:cs="仿宋"/>
          <w:color w:val="auto"/>
          <w:kern w:val="0"/>
          <w:sz w:val="18"/>
          <w:szCs w:val="18"/>
          <w:highlight w:val="none"/>
          <w:lang w:eastAsia="zh-CN"/>
        </w:rPr>
        <w:t>部门</w:t>
      </w:r>
      <w:r>
        <w:rPr>
          <w:rFonts w:hint="eastAsia" w:ascii="仿宋" w:hAnsi="仿宋" w:eastAsia="仿宋" w:cs="仿宋"/>
          <w:color w:val="auto"/>
          <w:kern w:val="0"/>
          <w:sz w:val="18"/>
          <w:szCs w:val="18"/>
          <w:highlight w:val="none"/>
        </w:rPr>
        <w:t>：</w:t>
      </w:r>
      <w:r>
        <w:rPr>
          <w:rFonts w:hint="eastAsia" w:ascii="仿宋" w:hAnsi="仿宋" w:eastAsia="仿宋" w:cs="仿宋"/>
          <w:color w:val="auto"/>
          <w:kern w:val="0"/>
          <w:sz w:val="18"/>
          <w:szCs w:val="18"/>
          <w:highlight w:val="none"/>
          <w:lang w:eastAsia="zh-CN"/>
        </w:rPr>
        <w:t>呼图壁县</w:t>
      </w:r>
      <w:r>
        <w:rPr>
          <w:rFonts w:hint="eastAsia" w:ascii="仿宋" w:hAnsi="仿宋" w:eastAsia="仿宋" w:cs="仿宋"/>
          <w:color w:val="auto"/>
          <w:kern w:val="0"/>
          <w:sz w:val="18"/>
          <w:szCs w:val="18"/>
          <w:lang w:eastAsia="zh-CN"/>
        </w:rPr>
        <w:t>二十里店镇</w:t>
      </w:r>
      <w:r>
        <w:rPr>
          <w:rFonts w:hint="eastAsia" w:ascii="仿宋" w:hAnsi="仿宋" w:eastAsia="仿宋" w:cs="仿宋"/>
          <w:color w:val="auto"/>
          <w:kern w:val="0"/>
          <w:sz w:val="18"/>
          <w:szCs w:val="18"/>
          <w:highlight w:val="none"/>
          <w:lang w:eastAsia="zh-CN"/>
        </w:rPr>
        <w:t>中心幼儿园</w:t>
      </w:r>
      <w:r>
        <w:rPr>
          <w:rFonts w:hint="eastAsia" w:ascii="仿宋" w:hAnsi="仿宋" w:eastAsia="仿宋" w:cs="仿宋"/>
          <w:color w:val="auto"/>
          <w:kern w:val="0"/>
          <w:sz w:val="18"/>
          <w:szCs w:val="18"/>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科</w:t>
            </w:r>
            <w:r>
              <w:rPr>
                <w:rFonts w:hint="eastAsia" w:ascii="仿宋" w:hAnsi="仿宋" w:eastAsia="仿宋" w:cs="仿宋"/>
                <w:b/>
                <w:bCs/>
                <w:color w:val="auto"/>
                <w:kern w:val="0"/>
                <w:sz w:val="18"/>
                <w:szCs w:val="18"/>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政府性基金预算</w:t>
            </w:r>
            <w:r>
              <w:rPr>
                <w:rFonts w:hint="eastAsia" w:ascii="仿宋" w:hAnsi="仿宋" w:eastAsia="仿宋" w:cs="仿宋"/>
                <w:b/>
                <w:bCs/>
                <w:color w:val="auto"/>
                <w:kern w:val="0"/>
                <w:sz w:val="18"/>
                <w:szCs w:val="18"/>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功能分类科目名称</w:t>
            </w:r>
          </w:p>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项目支出</w:t>
            </w:r>
          </w:p>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r>
      <w:tr>
        <w:tblPrEx>
          <w:tblCellMar>
            <w:top w:w="0" w:type="dxa"/>
            <w:left w:w="108" w:type="dxa"/>
            <w:bottom w:w="0" w:type="dxa"/>
            <w:right w:w="108" w:type="dxa"/>
          </w:tblCellMar>
        </w:tblPrEx>
        <w:trPr>
          <w:trHeight w:val="705"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类</w:t>
            </w:r>
          </w:p>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款</w:t>
            </w:r>
          </w:p>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项</w:t>
            </w:r>
          </w:p>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人员经费</w:t>
            </w:r>
            <w:r>
              <w:rPr>
                <w:rFonts w:hint="eastAsia" w:ascii="仿宋" w:hAnsi="仿宋" w:eastAsia="仿宋" w:cs="仿宋"/>
                <w:b/>
                <w:bCs/>
                <w:color w:val="auto"/>
                <w:kern w:val="0"/>
                <w:sz w:val="18"/>
                <w:szCs w:val="18"/>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bl>
    <w:p>
      <w:pPr>
        <w:widowControl/>
        <w:spacing w:line="280" w:lineRule="exact"/>
        <w:outlineLvl w:val="1"/>
        <w:rPr>
          <w:rFonts w:hint="eastAsia" w:ascii="仿宋" w:hAnsi="仿宋" w:eastAsia="仿宋" w:cs="仿宋"/>
          <w:b/>
          <w:color w:val="auto"/>
          <w:kern w:val="0"/>
          <w:sz w:val="18"/>
          <w:szCs w:val="18"/>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 w:hAnsi="仿宋" w:eastAsia="仿宋" w:cs="仿宋"/>
          <w:b/>
          <w:kern w:val="0"/>
          <w:sz w:val="21"/>
          <w:szCs w:val="21"/>
        </w:rPr>
      </w:pPr>
      <w:r>
        <w:rPr>
          <w:rFonts w:hint="eastAsia" w:ascii="仿宋" w:hAnsi="仿宋" w:eastAsia="仿宋" w:cs="仿宋"/>
          <w:b/>
          <w:kern w:val="0"/>
          <w:sz w:val="21"/>
          <w:szCs w:val="21"/>
          <w:lang w:eastAsia="zh-CN"/>
        </w:rPr>
        <w:t>呼图壁县二十里店镇中心幼儿园</w:t>
      </w:r>
      <w:r>
        <w:rPr>
          <w:rFonts w:hint="eastAsia" w:ascii="仿宋" w:hAnsi="仿宋" w:eastAsia="仿宋" w:cs="仿宋"/>
          <w:b/>
          <w:kern w:val="0"/>
          <w:sz w:val="21"/>
          <w:szCs w:val="21"/>
          <w:lang w:val="en-US" w:eastAsia="zh-CN"/>
        </w:rPr>
        <w:t>2025年未安排政府性基金预算支出，政府性基金预算支出表为空表</w:t>
      </w:r>
      <w:r>
        <w:rPr>
          <w:rFonts w:hint="eastAsia" w:ascii="仿宋" w:hAnsi="仿宋" w:eastAsia="仿宋" w:cs="仿宋"/>
          <w:b/>
          <w:kern w:val="0"/>
          <w:sz w:val="21"/>
          <w:szCs w:val="21"/>
        </w:rPr>
        <w:t>。</w:t>
      </w:r>
    </w:p>
    <w:p>
      <w:pPr>
        <w:widowControl/>
        <w:spacing w:line="280" w:lineRule="exact"/>
        <w:outlineLvl w:val="1"/>
        <w:rPr>
          <w:rFonts w:hint="eastAsia" w:ascii="仿宋_GB2312" w:hAnsi="宋体" w:eastAsia="仿宋_GB2312"/>
          <w:b/>
          <w:color w:val="FF0000"/>
          <w:kern w:val="0"/>
          <w:sz w:val="36"/>
          <w:szCs w:val="40"/>
          <w:highlight w:val="none"/>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w:t>
      </w:r>
      <w:r>
        <w:rPr>
          <w:rFonts w:hint="eastAsia" w:ascii="仿宋" w:hAnsi="仿宋" w:eastAsia="仿宋" w:cs="仿宋"/>
          <w:color w:val="auto"/>
          <w:kern w:val="0"/>
          <w:sz w:val="24"/>
          <w:lang w:eastAsia="zh-CN"/>
        </w:rPr>
        <w:t>二十里店镇</w:t>
      </w:r>
      <w:r>
        <w:rPr>
          <w:rFonts w:hint="eastAsia" w:ascii="仿宋" w:hAnsi="仿宋" w:eastAsia="仿宋" w:cs="仿宋"/>
          <w:color w:val="auto"/>
          <w:kern w:val="0"/>
          <w:sz w:val="24"/>
          <w:highlight w:val="none"/>
          <w:lang w:eastAsia="zh-CN"/>
        </w:rPr>
        <w:t>中心幼儿园</w:t>
      </w:r>
      <w:r>
        <w:rPr>
          <w:rFonts w:hint="eastAsia" w:ascii="仿宋" w:hAnsi="仿宋" w:eastAsia="仿宋" w:cs="仿宋"/>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科</w:t>
            </w:r>
            <w:r>
              <w:rPr>
                <w:rFonts w:hint="eastAsia" w:ascii="仿宋" w:hAnsi="仿宋" w:eastAsia="仿宋" w:cs="仿宋"/>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szCs w:val="24"/>
                <w:highlight w:val="none"/>
                <w:lang w:val="en-US" w:eastAsia="zh-CN"/>
              </w:rPr>
              <w:t>国有资本经营预算</w:t>
            </w:r>
            <w:r>
              <w:rPr>
                <w:rFonts w:hint="eastAsia" w:ascii="仿宋" w:hAnsi="仿宋" w:eastAsia="仿宋" w:cs="仿宋"/>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p>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功能分类科目名称</w:t>
            </w:r>
          </w:p>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p>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p>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项目支出</w:t>
            </w:r>
          </w:p>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p>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类</w:t>
            </w:r>
          </w:p>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p>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款</w:t>
            </w:r>
          </w:p>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p>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w:t>
            </w:r>
          </w:p>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人员经费</w:t>
            </w:r>
            <w:r>
              <w:rPr>
                <w:rFonts w:hint="eastAsia" w:ascii="仿宋" w:hAnsi="仿宋" w:eastAsia="仿宋" w:cs="仿宋"/>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32"/>
                <w:szCs w:val="32"/>
                <w:highlight w:val="none"/>
              </w:rPr>
            </w:pPr>
            <w:r>
              <w:rPr>
                <w:rFonts w:hint="eastAsia" w:ascii="仿宋" w:hAnsi="仿宋" w:eastAsia="仿宋" w:cs="仿宋"/>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24"/>
                <w:highlight w:val="none"/>
              </w:rPr>
            </w:pPr>
            <w:r>
              <w:rPr>
                <w:rFonts w:hint="eastAsia" w:ascii="仿宋" w:hAnsi="仿宋" w:eastAsia="仿宋" w:cs="仿宋"/>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bl>
    <w:p>
      <w:pPr>
        <w:widowControl/>
        <w:spacing w:line="280" w:lineRule="exact"/>
        <w:outlineLvl w:val="1"/>
        <w:rPr>
          <w:rFonts w:hint="eastAsia" w:ascii="仿宋" w:hAnsi="仿宋" w:eastAsia="仿宋" w:cs="仿宋"/>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 w:hAnsi="仿宋" w:eastAsia="仿宋" w:cs="仿宋"/>
          <w:b/>
          <w:kern w:val="0"/>
          <w:sz w:val="28"/>
          <w:szCs w:val="32"/>
        </w:rPr>
      </w:pPr>
      <w:r>
        <w:rPr>
          <w:rFonts w:hint="eastAsia" w:ascii="仿宋" w:hAnsi="仿宋" w:eastAsia="仿宋" w:cs="仿宋"/>
          <w:b/>
          <w:kern w:val="0"/>
          <w:sz w:val="28"/>
          <w:szCs w:val="32"/>
          <w:lang w:eastAsia="zh-CN"/>
        </w:rPr>
        <w:t>呼图壁县二十里店镇中心幼儿园</w:t>
      </w:r>
      <w:r>
        <w:rPr>
          <w:rFonts w:hint="eastAsia" w:ascii="仿宋" w:hAnsi="仿宋" w:eastAsia="仿宋" w:cs="仿宋"/>
          <w:b/>
          <w:kern w:val="0"/>
          <w:sz w:val="28"/>
          <w:szCs w:val="32"/>
          <w:lang w:val="en-US" w:eastAsia="zh-CN"/>
        </w:rPr>
        <w:t>2025年未安排国有资本经营预算支出，国有资本经营预算支出表为空表</w:t>
      </w:r>
      <w:r>
        <w:rPr>
          <w:rFonts w:hint="eastAsia" w:ascii="仿宋" w:hAnsi="仿宋" w:eastAsia="仿宋" w:cs="仿宋"/>
          <w:b/>
          <w:kern w:val="0"/>
          <w:sz w:val="28"/>
          <w:szCs w:val="32"/>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w:t>
      </w:r>
      <w:r>
        <w:rPr>
          <w:rFonts w:hint="eastAsia" w:ascii="仿宋" w:hAnsi="仿宋" w:eastAsia="仿宋" w:cs="仿宋"/>
          <w:color w:val="auto"/>
          <w:kern w:val="0"/>
          <w:sz w:val="24"/>
          <w:lang w:eastAsia="zh-CN"/>
        </w:rPr>
        <w:t>二十里店镇</w:t>
      </w:r>
      <w:r>
        <w:rPr>
          <w:rFonts w:hint="eastAsia" w:ascii="仿宋" w:hAnsi="仿宋" w:eastAsia="仿宋" w:cs="仿宋"/>
          <w:color w:val="auto"/>
          <w:kern w:val="0"/>
          <w:sz w:val="24"/>
          <w:highlight w:val="none"/>
          <w:lang w:eastAsia="zh-CN"/>
        </w:rPr>
        <w:t>中心幼儿园</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 w:hAnsi="仿宋" w:eastAsia="仿宋" w:cs="仿宋"/>
                <w:b/>
                <w:color w:val="auto"/>
                <w:kern w:val="0"/>
                <w:sz w:val="28"/>
                <w:szCs w:val="32"/>
                <w:highlight w:val="none"/>
                <w:vertAlign w:val="baseline"/>
              </w:rPr>
            </w:pPr>
            <w:r>
              <w:rPr>
                <w:rFonts w:hint="eastAsia" w:ascii="仿宋" w:hAnsi="仿宋" w:eastAsia="仿宋" w:cs="仿宋"/>
                <w:b/>
                <w:color w:val="auto"/>
                <w:kern w:val="0"/>
                <w:sz w:val="28"/>
                <w:szCs w:val="32"/>
                <w:highlight w:val="none"/>
                <w:vertAlign w:val="baseline"/>
                <w:lang w:eastAsia="zh-CN"/>
              </w:rPr>
              <w:t>“</w:t>
            </w:r>
            <w:r>
              <w:rPr>
                <w:rFonts w:hint="eastAsia" w:ascii="仿宋" w:hAnsi="仿宋" w:eastAsia="仿宋" w:cs="仿宋"/>
                <w:b/>
                <w:color w:val="auto"/>
                <w:kern w:val="0"/>
                <w:sz w:val="28"/>
                <w:szCs w:val="32"/>
                <w:highlight w:val="none"/>
                <w:vertAlign w:val="baseline"/>
              </w:rPr>
              <w:t>三公</w:t>
            </w:r>
            <w:r>
              <w:rPr>
                <w:rFonts w:hint="eastAsia" w:ascii="仿宋" w:hAnsi="仿宋" w:eastAsia="仿宋" w:cs="仿宋"/>
                <w:b/>
                <w:color w:val="auto"/>
                <w:kern w:val="0"/>
                <w:sz w:val="28"/>
                <w:szCs w:val="32"/>
                <w:highlight w:val="none"/>
                <w:vertAlign w:val="baseline"/>
                <w:lang w:eastAsia="zh-CN"/>
              </w:rPr>
              <w:t>”</w:t>
            </w:r>
            <w:r>
              <w:rPr>
                <w:rFonts w:hint="eastAsia" w:ascii="仿宋" w:hAnsi="仿宋" w:eastAsia="仿宋" w:cs="仿宋"/>
                <w:b/>
                <w:color w:val="auto"/>
                <w:kern w:val="0"/>
                <w:sz w:val="28"/>
                <w:szCs w:val="32"/>
                <w:highlight w:val="none"/>
                <w:vertAlign w:val="baseline"/>
                <w:lang w:val="en-US" w:eastAsia="zh-CN"/>
              </w:rPr>
              <w:t>经费</w:t>
            </w:r>
            <w:r>
              <w:rPr>
                <w:rFonts w:hint="eastAsia" w:ascii="仿宋" w:hAnsi="仿宋" w:eastAsia="仿宋" w:cs="仿宋"/>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 w:hAnsi="仿宋" w:eastAsia="仿宋" w:cs="仿宋"/>
                <w:b/>
                <w:color w:val="auto"/>
                <w:kern w:val="0"/>
                <w:sz w:val="28"/>
                <w:szCs w:val="32"/>
                <w:highlight w:val="none"/>
                <w:vertAlign w:val="baseline"/>
                <w:lang w:val="en-US" w:eastAsia="zh-Hans"/>
              </w:rPr>
            </w:pPr>
            <w:r>
              <w:rPr>
                <w:rFonts w:hint="eastAsia" w:ascii="仿宋" w:hAnsi="仿宋" w:eastAsia="仿宋" w:cs="仿宋"/>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 w:hAnsi="仿宋" w:eastAsia="仿宋" w:cs="仿宋"/>
                <w:b/>
                <w:color w:val="auto"/>
                <w:kern w:val="0"/>
                <w:sz w:val="28"/>
                <w:szCs w:val="32"/>
                <w:highlight w:val="none"/>
                <w:vertAlign w:val="baseline"/>
                <w:lang w:val="en-US" w:eastAsia="zh-Hans"/>
              </w:rPr>
            </w:pPr>
            <w:r>
              <w:rPr>
                <w:rFonts w:hint="eastAsia" w:ascii="仿宋" w:hAnsi="仿宋" w:eastAsia="仿宋" w:cs="仿宋"/>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 w:hAnsi="仿宋" w:eastAsia="仿宋" w:cs="仿宋"/>
                <w:b/>
                <w:color w:val="auto"/>
                <w:kern w:val="0"/>
                <w:sz w:val="28"/>
                <w:szCs w:val="32"/>
                <w:highlight w:val="none"/>
                <w:vertAlign w:val="baseline"/>
                <w:lang w:val="en-US" w:eastAsia="zh-Hans"/>
              </w:rPr>
            </w:pPr>
            <w:r>
              <w:rPr>
                <w:rFonts w:hint="eastAsia" w:ascii="仿宋" w:hAnsi="仿宋" w:eastAsia="仿宋" w:cs="仿宋"/>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 w:hAnsi="仿宋" w:eastAsia="仿宋" w:cs="仿宋"/>
                <w:b/>
                <w:color w:val="auto"/>
                <w:kern w:val="0"/>
                <w:sz w:val="28"/>
                <w:szCs w:val="32"/>
                <w:highlight w:val="none"/>
                <w:vertAlign w:val="baseline"/>
              </w:rPr>
            </w:pPr>
            <w:r>
              <w:rPr>
                <w:rFonts w:hint="eastAsia" w:ascii="仿宋" w:hAnsi="仿宋" w:eastAsia="仿宋" w:cs="仿宋"/>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 w:hAnsi="仿宋" w:eastAsia="仿宋" w:cs="仿宋"/>
                <w:b/>
                <w:color w:val="auto"/>
                <w:kern w:val="0"/>
                <w:sz w:val="28"/>
                <w:szCs w:val="32"/>
                <w:highlight w:val="none"/>
                <w:vertAlign w:val="baseline"/>
              </w:rPr>
            </w:pPr>
            <w:r>
              <w:rPr>
                <w:rFonts w:hint="eastAsia" w:ascii="仿宋" w:hAnsi="仿宋" w:eastAsia="仿宋" w:cs="仿宋"/>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 w:hAnsi="仿宋" w:eastAsia="仿宋" w:cs="仿宋"/>
                <w:b/>
                <w:color w:val="auto"/>
                <w:kern w:val="0"/>
                <w:sz w:val="28"/>
                <w:szCs w:val="32"/>
                <w:highlight w:val="none"/>
                <w:vertAlign w:val="baseline"/>
              </w:rPr>
            </w:pPr>
            <w:r>
              <w:rPr>
                <w:rFonts w:hint="eastAsia" w:ascii="仿宋" w:hAnsi="仿宋" w:eastAsia="仿宋" w:cs="仿宋"/>
                <w:b/>
                <w:color w:val="auto"/>
                <w:kern w:val="0"/>
                <w:sz w:val="28"/>
                <w:szCs w:val="32"/>
                <w:highlight w:val="none"/>
                <w:vertAlign w:val="baseline"/>
              </w:rPr>
              <w:t>合计</w:t>
            </w:r>
          </w:p>
        </w:tc>
        <w:tc>
          <w:tcPr>
            <w:tcW w:w="1215"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314"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595"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621"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 w:hAnsi="仿宋" w:eastAsia="仿宋" w:cs="仿宋"/>
                <w:b/>
                <w:color w:val="auto"/>
                <w:kern w:val="0"/>
                <w:sz w:val="28"/>
                <w:szCs w:val="32"/>
                <w:highlight w:val="none"/>
                <w:vertAlign w:val="baseline"/>
              </w:rPr>
            </w:pPr>
            <w:r>
              <w:rPr>
                <w:rFonts w:hint="eastAsia" w:ascii="仿宋" w:hAnsi="仿宋" w:eastAsia="仿宋" w:cs="仿宋"/>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314"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595"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621"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 w:hAnsi="仿宋" w:eastAsia="仿宋" w:cs="仿宋"/>
                <w:b/>
                <w:color w:val="auto"/>
                <w:kern w:val="0"/>
                <w:sz w:val="28"/>
                <w:szCs w:val="32"/>
                <w:highlight w:val="none"/>
                <w:vertAlign w:val="baseline"/>
              </w:rPr>
            </w:pPr>
            <w:r>
              <w:rPr>
                <w:rFonts w:hint="eastAsia" w:ascii="仿宋" w:hAnsi="仿宋" w:eastAsia="仿宋" w:cs="仿宋"/>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314"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595"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621"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 w:hAnsi="仿宋" w:eastAsia="仿宋" w:cs="仿宋"/>
                <w:b/>
                <w:color w:val="auto"/>
                <w:kern w:val="0"/>
                <w:sz w:val="28"/>
                <w:szCs w:val="32"/>
                <w:highlight w:val="none"/>
                <w:vertAlign w:val="baseline"/>
              </w:rPr>
            </w:pPr>
            <w:r>
              <w:rPr>
                <w:rFonts w:hint="eastAsia" w:ascii="仿宋" w:hAnsi="仿宋" w:eastAsia="仿宋" w:cs="仿宋"/>
                <w:b/>
                <w:color w:val="auto"/>
                <w:kern w:val="0"/>
                <w:sz w:val="28"/>
                <w:szCs w:val="32"/>
                <w:highlight w:val="none"/>
                <w:vertAlign w:val="baseline"/>
              </w:rPr>
              <w:t>公务用车购置及运行费</w:t>
            </w:r>
          </w:p>
          <w:p>
            <w:pPr>
              <w:widowControl/>
              <w:jc w:val="center"/>
              <w:outlineLvl w:val="1"/>
              <w:rPr>
                <w:rFonts w:hint="eastAsia" w:ascii="仿宋" w:hAnsi="仿宋" w:eastAsia="仿宋" w:cs="仿宋"/>
                <w:b/>
                <w:color w:val="auto"/>
                <w:kern w:val="0"/>
                <w:sz w:val="28"/>
                <w:szCs w:val="32"/>
                <w:highlight w:val="none"/>
                <w:vertAlign w:val="baseline"/>
              </w:rPr>
            </w:pPr>
            <w:r>
              <w:rPr>
                <w:rFonts w:hint="eastAsia" w:ascii="仿宋" w:hAnsi="仿宋" w:eastAsia="仿宋" w:cs="仿宋"/>
                <w:b/>
                <w:color w:val="auto"/>
                <w:kern w:val="0"/>
                <w:sz w:val="28"/>
                <w:szCs w:val="32"/>
                <w:highlight w:val="none"/>
                <w:vertAlign w:val="baseline"/>
              </w:rPr>
              <w:t>（小计）</w:t>
            </w:r>
          </w:p>
        </w:tc>
        <w:tc>
          <w:tcPr>
            <w:tcW w:w="1215"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314"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595"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621"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 w:hAnsi="仿宋" w:eastAsia="仿宋" w:cs="仿宋"/>
                <w:b/>
                <w:color w:val="auto"/>
                <w:kern w:val="0"/>
                <w:sz w:val="28"/>
                <w:szCs w:val="32"/>
                <w:highlight w:val="none"/>
                <w:vertAlign w:val="baseline"/>
              </w:rPr>
            </w:pPr>
            <w:r>
              <w:rPr>
                <w:rFonts w:hint="eastAsia" w:ascii="仿宋" w:hAnsi="仿宋" w:eastAsia="仿宋" w:cs="仿宋"/>
                <w:b/>
                <w:color w:val="auto"/>
                <w:kern w:val="0"/>
                <w:sz w:val="28"/>
                <w:szCs w:val="32"/>
                <w:highlight w:val="none"/>
                <w:vertAlign w:val="baseline"/>
              </w:rPr>
              <w:t>其中：公务用车购置费</w:t>
            </w:r>
          </w:p>
        </w:tc>
        <w:tc>
          <w:tcPr>
            <w:tcW w:w="1215"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314"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595"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621"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 w:hAnsi="仿宋" w:eastAsia="仿宋" w:cs="仿宋"/>
                <w:b/>
                <w:color w:val="auto"/>
                <w:kern w:val="0"/>
                <w:sz w:val="28"/>
                <w:szCs w:val="32"/>
                <w:highlight w:val="none"/>
                <w:vertAlign w:val="baseline"/>
              </w:rPr>
            </w:pPr>
            <w:r>
              <w:rPr>
                <w:rFonts w:hint="eastAsia" w:ascii="仿宋" w:hAnsi="仿宋" w:eastAsia="仿宋" w:cs="仿宋"/>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314"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595"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c>
          <w:tcPr>
            <w:tcW w:w="1621" w:type="dxa"/>
            <w:noWrap w:val="0"/>
            <w:vAlign w:val="top"/>
          </w:tcPr>
          <w:p>
            <w:pPr>
              <w:widowControl/>
              <w:outlineLvl w:val="1"/>
              <w:rPr>
                <w:rFonts w:hint="eastAsia" w:ascii="仿宋" w:hAnsi="仿宋" w:eastAsia="仿宋" w:cs="仿宋"/>
                <w:b/>
                <w:color w:val="auto"/>
                <w:kern w:val="0"/>
                <w:sz w:val="28"/>
                <w:szCs w:val="32"/>
                <w:highlight w:val="none"/>
                <w:vertAlign w:val="baseline"/>
              </w:rPr>
            </w:pPr>
          </w:p>
        </w:tc>
      </w:tr>
    </w:tbl>
    <w:p>
      <w:pPr>
        <w:keepNext w:val="0"/>
        <w:keepLines w:val="0"/>
        <w:widowControl/>
        <w:suppressLineNumbers w:val="0"/>
        <w:jc w:val="left"/>
        <w:textAlignment w:val="bottom"/>
        <w:rPr>
          <w:rFonts w:hint="eastAsia" w:ascii="仿宋" w:hAnsi="仿宋" w:eastAsia="仿宋" w:cs="仿宋"/>
          <w:b/>
          <w:kern w:val="0"/>
          <w:sz w:val="28"/>
          <w:szCs w:val="32"/>
          <w:lang w:eastAsia="zh-CN"/>
        </w:rPr>
      </w:pPr>
      <w:r>
        <w:rPr>
          <w:rFonts w:hint="eastAsia" w:ascii="仿宋" w:hAnsi="仿宋" w:eastAsia="仿宋" w:cs="仿宋"/>
          <w:b/>
          <w:kern w:val="0"/>
          <w:sz w:val="28"/>
          <w:szCs w:val="32"/>
          <w:lang w:eastAsia="zh-CN"/>
        </w:rPr>
        <w:t>呼图壁县二十里店镇中心幼儿园</w:t>
      </w:r>
      <w:r>
        <w:rPr>
          <w:rFonts w:hint="eastAsia" w:ascii="仿宋" w:hAnsi="仿宋" w:eastAsia="仿宋" w:cs="仿宋"/>
          <w:b/>
          <w:kern w:val="0"/>
          <w:sz w:val="28"/>
          <w:szCs w:val="32"/>
          <w:lang w:val="en-US" w:eastAsia="zh-CN"/>
        </w:rPr>
        <w:t>2025年未安排</w:t>
      </w:r>
      <w:r>
        <w:rPr>
          <w:rFonts w:hint="eastAsia" w:ascii="仿宋" w:hAnsi="仿宋" w:eastAsia="仿宋" w:cs="仿宋"/>
          <w:b/>
          <w:kern w:val="0"/>
          <w:sz w:val="28"/>
          <w:szCs w:val="32"/>
          <w:lang w:val="en-US" w:eastAsia="zh-Hans"/>
        </w:rPr>
        <w:t>财政拨款</w:t>
      </w:r>
      <w:r>
        <w:rPr>
          <w:rFonts w:hint="eastAsia" w:ascii="仿宋" w:hAnsi="仿宋" w:eastAsia="仿宋" w:cs="仿宋"/>
          <w:b/>
          <w:kern w:val="0"/>
          <w:sz w:val="28"/>
          <w:szCs w:val="32"/>
          <w:lang w:eastAsia="zh-CN"/>
        </w:rPr>
        <w:t>“三公”经费支出</w:t>
      </w:r>
      <w:r>
        <w:rPr>
          <w:rFonts w:hint="eastAsia" w:ascii="仿宋" w:hAnsi="仿宋" w:eastAsia="仿宋" w:cs="仿宋"/>
          <w:b/>
          <w:kern w:val="0"/>
          <w:sz w:val="28"/>
          <w:szCs w:val="32"/>
          <w:lang w:val="en-US" w:eastAsia="zh-CN"/>
        </w:rPr>
        <w:t>，</w:t>
      </w:r>
      <w:r>
        <w:rPr>
          <w:rFonts w:hint="eastAsia" w:ascii="仿宋" w:hAnsi="仿宋" w:eastAsia="仿宋" w:cs="仿宋"/>
          <w:b/>
          <w:kern w:val="0"/>
          <w:sz w:val="28"/>
          <w:szCs w:val="32"/>
          <w:lang w:val="en-US" w:eastAsia="zh-Hans"/>
        </w:rPr>
        <w:t>财政拨款</w:t>
      </w:r>
      <w:r>
        <w:rPr>
          <w:rFonts w:hint="eastAsia" w:ascii="仿宋" w:hAnsi="仿宋" w:eastAsia="仿宋" w:cs="仿宋"/>
          <w:b/>
          <w:kern w:val="0"/>
          <w:sz w:val="28"/>
          <w:szCs w:val="32"/>
          <w:lang w:eastAsia="zh-CN"/>
        </w:rPr>
        <w:t>“三公”经费支出</w:t>
      </w:r>
      <w:r>
        <w:rPr>
          <w:rFonts w:hint="eastAsia" w:ascii="仿宋" w:hAnsi="仿宋" w:eastAsia="仿宋" w:cs="仿宋"/>
          <w:b/>
          <w:kern w:val="0"/>
          <w:sz w:val="28"/>
          <w:szCs w:val="32"/>
          <w:lang w:val="en-US" w:eastAsia="zh-CN"/>
        </w:rPr>
        <w:t>情况表为空表</w:t>
      </w:r>
      <w:r>
        <w:rPr>
          <w:rFonts w:hint="eastAsia" w:ascii="仿宋" w:hAnsi="仿宋" w:eastAsia="仿宋" w:cs="仿宋"/>
          <w:b/>
          <w:kern w:val="0"/>
          <w:sz w:val="28"/>
          <w:szCs w:val="32"/>
          <w:lang w:eastAsia="zh-CN"/>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left"/>
        <w:rPr>
          <w:rFonts w:hint="eastAsia" w:ascii="仿宋" w:hAnsi="仿宋" w:eastAsia="仿宋" w:cs="仿宋"/>
          <w:b/>
          <w:color w:val="auto"/>
          <w:kern w:val="0"/>
          <w:sz w:val="32"/>
          <w:szCs w:val="32"/>
          <w:highlight w:val="none"/>
          <w:lang w:val="en-US" w:eastAsia="zh-Hans"/>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w:t>
      </w:r>
      <w:r>
        <w:rPr>
          <w:rFonts w:hint="eastAsia" w:ascii="仿宋" w:hAnsi="仿宋" w:eastAsia="仿宋" w:cs="仿宋"/>
          <w:color w:val="auto"/>
          <w:kern w:val="0"/>
          <w:sz w:val="24"/>
          <w:lang w:eastAsia="zh-CN"/>
        </w:rPr>
        <w:t>二十里店镇</w:t>
      </w:r>
      <w:r>
        <w:rPr>
          <w:rFonts w:hint="eastAsia" w:ascii="仿宋" w:hAnsi="仿宋" w:eastAsia="仿宋" w:cs="仿宋"/>
          <w:color w:val="auto"/>
          <w:kern w:val="0"/>
          <w:sz w:val="24"/>
          <w:highlight w:val="none"/>
          <w:lang w:eastAsia="zh-CN"/>
        </w:rPr>
        <w:t>中心幼儿园</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单位：万元</w:t>
      </w:r>
    </w:p>
    <w:tbl>
      <w:tblPr>
        <w:tblStyle w:val="8"/>
        <w:tblpPr w:leftFromText="180" w:rightFromText="180" w:vertAnchor="text" w:horzAnchor="page" w:tblpX="1618" w:tblpY="153"/>
        <w:tblOverlap w:val="never"/>
        <w:tblW w:w="13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3"/>
        <w:gridCol w:w="1159"/>
        <w:gridCol w:w="894"/>
        <w:gridCol w:w="1306"/>
        <w:gridCol w:w="1203"/>
        <w:gridCol w:w="1260"/>
        <w:gridCol w:w="915"/>
        <w:gridCol w:w="1485"/>
        <w:gridCol w:w="1200"/>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2813" w:type="dxa"/>
            <w:vMerge w:val="restart"/>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项目</w:t>
            </w:r>
          </w:p>
        </w:tc>
        <w:tc>
          <w:tcPr>
            <w:tcW w:w="1159" w:type="dxa"/>
            <w:vMerge w:val="restart"/>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合计</w:t>
            </w:r>
          </w:p>
        </w:tc>
        <w:tc>
          <w:tcPr>
            <w:tcW w:w="4663" w:type="dxa"/>
            <w:gridSpan w:val="4"/>
            <w:noWrap w:val="0"/>
            <w:vAlign w:val="center"/>
          </w:tcPr>
          <w:p>
            <w:pPr>
              <w:widowControl/>
              <w:spacing w:line="280" w:lineRule="exact"/>
              <w:jc w:val="center"/>
              <w:rPr>
                <w:rFonts w:hint="eastAsia" w:ascii="仿宋" w:hAnsi="仿宋" w:eastAsia="仿宋" w:cs="仿宋"/>
                <w:b/>
                <w:bCs/>
                <w:color w:val="auto"/>
                <w:kern w:val="0"/>
                <w:sz w:val="20"/>
                <w:szCs w:val="20"/>
                <w:highlight w:val="none"/>
                <w:lang w:eastAsia="zh-CN"/>
              </w:rPr>
            </w:pPr>
            <w:r>
              <w:rPr>
                <w:rFonts w:hint="eastAsia" w:ascii="仿宋" w:hAnsi="仿宋" w:eastAsia="仿宋" w:cs="仿宋"/>
                <w:b/>
                <w:bCs/>
                <w:color w:val="auto"/>
                <w:kern w:val="0"/>
                <w:sz w:val="20"/>
                <w:szCs w:val="20"/>
                <w:highlight w:val="none"/>
                <w:lang w:val="en-US" w:eastAsia="zh-CN"/>
              </w:rPr>
              <w:t>财政拨款</w:t>
            </w:r>
          </w:p>
        </w:tc>
        <w:tc>
          <w:tcPr>
            <w:tcW w:w="4864" w:type="dxa"/>
            <w:gridSpan w:val="4"/>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2813" w:type="dxa"/>
            <w:vMerge w:val="continue"/>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p>
        </w:tc>
        <w:tc>
          <w:tcPr>
            <w:tcW w:w="1159" w:type="dxa"/>
            <w:vMerge w:val="continue"/>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894" w:type="dxa"/>
            <w:vMerge w:val="restart"/>
            <w:noWrap w:val="0"/>
            <w:vAlign w:val="center"/>
          </w:tcPr>
          <w:p>
            <w:pPr>
              <w:widowControl/>
              <w:spacing w:line="280" w:lineRule="exact"/>
              <w:jc w:val="center"/>
              <w:rPr>
                <w:rFonts w:hint="eastAsia" w:ascii="仿宋" w:hAnsi="仿宋" w:eastAsia="仿宋" w:cs="仿宋"/>
                <w:b/>
                <w:bCs/>
                <w:color w:val="auto"/>
                <w:kern w:val="0"/>
                <w:sz w:val="20"/>
                <w:szCs w:val="20"/>
                <w:highlight w:val="none"/>
                <w:lang w:eastAsia="zh-CN"/>
              </w:rPr>
            </w:pPr>
            <w:r>
              <w:rPr>
                <w:rFonts w:hint="eastAsia" w:ascii="仿宋" w:hAnsi="仿宋" w:eastAsia="仿宋" w:cs="仿宋"/>
                <w:b/>
                <w:bCs/>
                <w:color w:val="auto"/>
                <w:kern w:val="0"/>
                <w:sz w:val="20"/>
                <w:szCs w:val="20"/>
                <w:highlight w:val="none"/>
                <w:lang w:val="en-US" w:eastAsia="zh-CN"/>
              </w:rPr>
              <w:t>小计</w:t>
            </w:r>
          </w:p>
        </w:tc>
        <w:tc>
          <w:tcPr>
            <w:tcW w:w="2509" w:type="dxa"/>
            <w:gridSpan w:val="2"/>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基本支出</w:t>
            </w:r>
          </w:p>
        </w:tc>
        <w:tc>
          <w:tcPr>
            <w:tcW w:w="1260" w:type="dxa"/>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项目支出</w:t>
            </w:r>
          </w:p>
        </w:tc>
        <w:tc>
          <w:tcPr>
            <w:tcW w:w="915"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小计</w:t>
            </w:r>
          </w:p>
        </w:tc>
        <w:tc>
          <w:tcPr>
            <w:tcW w:w="2685" w:type="dxa"/>
            <w:gridSpan w:val="2"/>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基本支出</w:t>
            </w:r>
          </w:p>
        </w:tc>
        <w:tc>
          <w:tcPr>
            <w:tcW w:w="1264" w:type="dxa"/>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2813" w:type="dxa"/>
            <w:vMerge w:val="continue"/>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1159" w:type="dxa"/>
            <w:vMerge w:val="continue"/>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894" w:type="dxa"/>
            <w:vMerge w:val="continue"/>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1306"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人员经费</w:t>
            </w:r>
          </w:p>
        </w:tc>
        <w:tc>
          <w:tcPr>
            <w:tcW w:w="1203"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公用经费</w:t>
            </w:r>
          </w:p>
        </w:tc>
        <w:tc>
          <w:tcPr>
            <w:tcW w:w="1260"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1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1485"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人员经费</w:t>
            </w:r>
          </w:p>
        </w:tc>
        <w:tc>
          <w:tcPr>
            <w:tcW w:w="1200"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公用经费</w:t>
            </w:r>
          </w:p>
        </w:tc>
        <w:tc>
          <w:tcPr>
            <w:tcW w:w="1264"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2813" w:type="dxa"/>
            <w:shd w:val="clear" w:color="auto" w:fill="auto"/>
            <w:noWrap w:val="0"/>
            <w:vAlign w:val="center"/>
          </w:tcPr>
          <w:p>
            <w:pPr>
              <w:widowControl/>
              <w:jc w:val="both"/>
              <w:rPr>
                <w:rFonts w:hint="eastAsia" w:ascii="仿宋" w:hAnsi="仿宋" w:eastAsia="仿宋" w:cs="仿宋"/>
                <w:b/>
                <w:bCs/>
                <w:color w:val="auto"/>
                <w:kern w:val="0"/>
                <w:sz w:val="18"/>
                <w:szCs w:val="18"/>
                <w:lang w:val="en-US" w:eastAsia="zh-CN"/>
              </w:rPr>
            </w:pPr>
            <w:r>
              <w:rPr>
                <w:rFonts w:hint="eastAsia" w:ascii="仿宋" w:hAnsi="仿宋" w:eastAsia="仿宋" w:cs="仿宋"/>
                <w:b/>
                <w:bCs/>
                <w:color w:val="auto"/>
                <w:kern w:val="0"/>
                <w:sz w:val="18"/>
                <w:szCs w:val="18"/>
                <w:lang w:val="en-US" w:eastAsia="zh-CN"/>
              </w:rPr>
              <w:t>2024年昌吉州教育项目州本级配套资金-教师体检补助</w:t>
            </w:r>
          </w:p>
        </w:tc>
        <w:tc>
          <w:tcPr>
            <w:tcW w:w="1159" w:type="dxa"/>
            <w:noWrap w:val="0"/>
            <w:vAlign w:val="center"/>
          </w:tcPr>
          <w:p>
            <w:pPr>
              <w:widowControl/>
              <w:jc w:val="center"/>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0.05</w:t>
            </w:r>
          </w:p>
        </w:tc>
        <w:tc>
          <w:tcPr>
            <w:tcW w:w="894" w:type="dxa"/>
            <w:shd w:val="clear" w:color="auto" w:fill="auto"/>
            <w:noWrap w:val="0"/>
            <w:vAlign w:val="center"/>
          </w:tcPr>
          <w:p>
            <w:pPr>
              <w:widowControl/>
              <w:jc w:val="center"/>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0.05</w:t>
            </w:r>
          </w:p>
        </w:tc>
        <w:tc>
          <w:tcPr>
            <w:tcW w:w="1306" w:type="dxa"/>
            <w:noWrap w:val="0"/>
            <w:vAlign w:val="center"/>
          </w:tcPr>
          <w:p>
            <w:pPr>
              <w:widowControl/>
              <w:jc w:val="center"/>
              <w:rPr>
                <w:rFonts w:hint="eastAsia" w:ascii="仿宋" w:hAnsi="仿宋" w:eastAsia="仿宋" w:cs="仿宋"/>
                <w:color w:val="auto"/>
                <w:kern w:val="0"/>
                <w:sz w:val="18"/>
                <w:szCs w:val="18"/>
                <w:lang w:val="en-US" w:eastAsia="zh-CN"/>
              </w:rPr>
            </w:pPr>
          </w:p>
        </w:tc>
        <w:tc>
          <w:tcPr>
            <w:tcW w:w="1203" w:type="dxa"/>
            <w:noWrap w:val="0"/>
            <w:vAlign w:val="center"/>
          </w:tcPr>
          <w:p>
            <w:pPr>
              <w:widowControl/>
              <w:jc w:val="center"/>
              <w:rPr>
                <w:rFonts w:hint="eastAsia" w:ascii="仿宋" w:hAnsi="仿宋" w:eastAsia="仿宋" w:cs="仿宋"/>
                <w:color w:val="auto"/>
                <w:kern w:val="0"/>
                <w:sz w:val="18"/>
                <w:szCs w:val="18"/>
                <w:lang w:val="en-US" w:eastAsia="zh-CN"/>
              </w:rPr>
            </w:pPr>
          </w:p>
        </w:tc>
        <w:tc>
          <w:tcPr>
            <w:tcW w:w="1260" w:type="dxa"/>
            <w:noWrap w:val="0"/>
            <w:vAlign w:val="center"/>
          </w:tcPr>
          <w:p>
            <w:pPr>
              <w:widowControl/>
              <w:jc w:val="center"/>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0.05</w:t>
            </w:r>
          </w:p>
        </w:tc>
        <w:tc>
          <w:tcPr>
            <w:tcW w:w="915" w:type="dxa"/>
            <w:noWrap w:val="0"/>
            <w:vAlign w:val="center"/>
          </w:tcPr>
          <w:p>
            <w:pPr>
              <w:widowControl/>
              <w:jc w:val="center"/>
              <w:rPr>
                <w:rFonts w:hint="eastAsia" w:ascii="仿宋" w:hAnsi="仿宋" w:eastAsia="仿宋" w:cs="仿宋"/>
                <w:color w:val="auto"/>
                <w:kern w:val="0"/>
                <w:sz w:val="18"/>
                <w:szCs w:val="18"/>
                <w:lang w:eastAsia="zh-CN"/>
              </w:rPr>
            </w:pPr>
          </w:p>
        </w:tc>
        <w:tc>
          <w:tcPr>
            <w:tcW w:w="1485" w:type="dxa"/>
            <w:noWrap w:val="0"/>
            <w:vAlign w:val="center"/>
          </w:tcPr>
          <w:p>
            <w:pPr>
              <w:widowControl/>
              <w:jc w:val="center"/>
              <w:rPr>
                <w:rFonts w:hint="eastAsia" w:ascii="仿宋" w:hAnsi="仿宋" w:eastAsia="仿宋" w:cs="仿宋"/>
                <w:color w:val="auto"/>
                <w:kern w:val="0"/>
                <w:sz w:val="18"/>
                <w:szCs w:val="18"/>
                <w:lang w:eastAsia="zh-CN"/>
              </w:rPr>
            </w:pPr>
          </w:p>
        </w:tc>
        <w:tc>
          <w:tcPr>
            <w:tcW w:w="1200" w:type="dxa"/>
            <w:noWrap w:val="0"/>
            <w:vAlign w:val="center"/>
          </w:tcPr>
          <w:p>
            <w:pPr>
              <w:widowControl/>
              <w:jc w:val="center"/>
              <w:rPr>
                <w:rFonts w:hint="eastAsia" w:ascii="仿宋" w:hAnsi="仿宋" w:eastAsia="仿宋" w:cs="仿宋"/>
                <w:color w:val="auto"/>
                <w:kern w:val="0"/>
                <w:sz w:val="18"/>
                <w:szCs w:val="18"/>
                <w:lang w:eastAsia="zh-CN"/>
              </w:rPr>
            </w:pPr>
          </w:p>
        </w:tc>
        <w:tc>
          <w:tcPr>
            <w:tcW w:w="1264" w:type="dxa"/>
            <w:noWrap w:val="0"/>
            <w:vAlign w:val="center"/>
          </w:tcPr>
          <w:p>
            <w:pPr>
              <w:widowControl/>
              <w:jc w:val="center"/>
              <w:rPr>
                <w:rFonts w:hint="eastAsia" w:ascii="仿宋" w:hAnsi="仿宋" w:eastAsia="仿宋" w:cs="仿宋"/>
                <w:color w:val="auto"/>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2813" w:type="dxa"/>
            <w:noWrap w:val="0"/>
            <w:vAlign w:val="center"/>
          </w:tcPr>
          <w:p>
            <w:pPr>
              <w:widowControl/>
              <w:jc w:val="both"/>
              <w:rPr>
                <w:rFonts w:hint="eastAsia" w:ascii="仿宋" w:hAnsi="仿宋" w:eastAsia="仿宋" w:cs="仿宋"/>
                <w:b/>
                <w:bCs/>
                <w:color w:val="auto"/>
                <w:kern w:val="0"/>
                <w:sz w:val="18"/>
                <w:szCs w:val="18"/>
                <w:lang w:eastAsia="zh-CN"/>
              </w:rPr>
            </w:pPr>
            <w:r>
              <w:rPr>
                <w:rFonts w:hint="eastAsia" w:ascii="仿宋" w:hAnsi="仿宋" w:eastAsia="仿宋" w:cs="仿宋"/>
                <w:b/>
                <w:bCs/>
                <w:color w:val="auto"/>
                <w:kern w:val="0"/>
                <w:sz w:val="18"/>
                <w:szCs w:val="18"/>
                <w:lang w:val="en-US" w:eastAsia="zh-CN"/>
              </w:rPr>
              <w:t>2024年中小学和幼儿园自聘教师工资补助资金（第二批）</w:t>
            </w:r>
          </w:p>
        </w:tc>
        <w:tc>
          <w:tcPr>
            <w:tcW w:w="1159" w:type="dxa"/>
            <w:noWrap w:val="0"/>
            <w:vAlign w:val="center"/>
          </w:tcPr>
          <w:p>
            <w:pPr>
              <w:widowControl/>
              <w:jc w:val="center"/>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10.53</w:t>
            </w:r>
          </w:p>
        </w:tc>
        <w:tc>
          <w:tcPr>
            <w:tcW w:w="894" w:type="dxa"/>
            <w:shd w:val="clear" w:color="auto" w:fill="auto"/>
            <w:noWrap w:val="0"/>
            <w:vAlign w:val="center"/>
          </w:tcPr>
          <w:p>
            <w:pPr>
              <w:widowControl/>
              <w:jc w:val="center"/>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10.53</w:t>
            </w:r>
          </w:p>
        </w:tc>
        <w:tc>
          <w:tcPr>
            <w:tcW w:w="1306" w:type="dxa"/>
            <w:noWrap w:val="0"/>
            <w:vAlign w:val="center"/>
          </w:tcPr>
          <w:p>
            <w:pPr>
              <w:widowControl/>
              <w:jc w:val="center"/>
              <w:rPr>
                <w:rFonts w:hint="eastAsia" w:ascii="仿宋" w:hAnsi="仿宋" w:eastAsia="仿宋" w:cs="仿宋"/>
                <w:color w:val="auto"/>
                <w:kern w:val="0"/>
                <w:sz w:val="18"/>
                <w:szCs w:val="18"/>
                <w:lang w:val="en-US" w:eastAsia="zh-CN"/>
              </w:rPr>
            </w:pPr>
          </w:p>
        </w:tc>
        <w:tc>
          <w:tcPr>
            <w:tcW w:w="1203" w:type="dxa"/>
            <w:noWrap w:val="0"/>
            <w:vAlign w:val="center"/>
          </w:tcPr>
          <w:p>
            <w:pPr>
              <w:widowControl/>
              <w:jc w:val="center"/>
              <w:rPr>
                <w:rFonts w:hint="eastAsia" w:ascii="仿宋" w:hAnsi="仿宋" w:eastAsia="仿宋" w:cs="仿宋"/>
                <w:color w:val="auto"/>
                <w:kern w:val="0"/>
                <w:sz w:val="18"/>
                <w:szCs w:val="18"/>
                <w:lang w:val="en-US" w:eastAsia="zh-CN"/>
              </w:rPr>
            </w:pPr>
          </w:p>
        </w:tc>
        <w:tc>
          <w:tcPr>
            <w:tcW w:w="1260" w:type="dxa"/>
            <w:noWrap w:val="0"/>
            <w:vAlign w:val="center"/>
          </w:tcPr>
          <w:p>
            <w:pPr>
              <w:widowControl/>
              <w:jc w:val="center"/>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10.53</w:t>
            </w:r>
          </w:p>
        </w:tc>
        <w:tc>
          <w:tcPr>
            <w:tcW w:w="915" w:type="dxa"/>
            <w:noWrap w:val="0"/>
            <w:vAlign w:val="center"/>
          </w:tcPr>
          <w:p>
            <w:pPr>
              <w:widowControl/>
              <w:jc w:val="center"/>
              <w:rPr>
                <w:rFonts w:hint="eastAsia" w:ascii="仿宋" w:hAnsi="仿宋" w:eastAsia="仿宋" w:cs="仿宋"/>
                <w:color w:val="auto"/>
                <w:kern w:val="0"/>
                <w:sz w:val="18"/>
                <w:szCs w:val="18"/>
                <w:lang w:eastAsia="zh-CN"/>
              </w:rPr>
            </w:pPr>
          </w:p>
        </w:tc>
        <w:tc>
          <w:tcPr>
            <w:tcW w:w="1485" w:type="dxa"/>
            <w:noWrap w:val="0"/>
            <w:vAlign w:val="center"/>
          </w:tcPr>
          <w:p>
            <w:pPr>
              <w:widowControl/>
              <w:jc w:val="center"/>
              <w:rPr>
                <w:rFonts w:hint="eastAsia" w:ascii="仿宋" w:hAnsi="仿宋" w:eastAsia="仿宋" w:cs="仿宋"/>
                <w:color w:val="auto"/>
                <w:kern w:val="0"/>
                <w:sz w:val="18"/>
                <w:szCs w:val="18"/>
                <w:lang w:eastAsia="zh-CN"/>
              </w:rPr>
            </w:pPr>
          </w:p>
        </w:tc>
        <w:tc>
          <w:tcPr>
            <w:tcW w:w="1200" w:type="dxa"/>
            <w:noWrap w:val="0"/>
            <w:vAlign w:val="center"/>
          </w:tcPr>
          <w:p>
            <w:pPr>
              <w:widowControl/>
              <w:jc w:val="center"/>
              <w:rPr>
                <w:rFonts w:hint="eastAsia" w:ascii="仿宋" w:hAnsi="仿宋" w:eastAsia="仿宋" w:cs="仿宋"/>
                <w:color w:val="auto"/>
                <w:kern w:val="0"/>
                <w:sz w:val="18"/>
                <w:szCs w:val="18"/>
                <w:lang w:eastAsia="zh-CN"/>
              </w:rPr>
            </w:pPr>
          </w:p>
        </w:tc>
        <w:tc>
          <w:tcPr>
            <w:tcW w:w="1264" w:type="dxa"/>
            <w:noWrap w:val="0"/>
            <w:vAlign w:val="center"/>
          </w:tcPr>
          <w:p>
            <w:pPr>
              <w:widowControl/>
              <w:jc w:val="center"/>
              <w:rPr>
                <w:rFonts w:hint="eastAsia" w:ascii="仿宋" w:hAnsi="仿宋" w:eastAsia="仿宋" w:cs="仿宋"/>
                <w:color w:val="auto"/>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813" w:type="dxa"/>
            <w:noWrap w:val="0"/>
            <w:vAlign w:val="center"/>
          </w:tcPr>
          <w:p>
            <w:pPr>
              <w:widowControl/>
              <w:jc w:val="both"/>
              <w:rPr>
                <w:rFonts w:hint="eastAsia" w:ascii="仿宋" w:hAnsi="仿宋" w:eastAsia="仿宋" w:cs="仿宋"/>
                <w:color w:val="auto"/>
                <w:kern w:val="0"/>
                <w:sz w:val="18"/>
                <w:szCs w:val="18"/>
                <w:lang w:eastAsia="zh-CN"/>
              </w:rPr>
            </w:pPr>
          </w:p>
        </w:tc>
        <w:tc>
          <w:tcPr>
            <w:tcW w:w="1159" w:type="dxa"/>
            <w:noWrap w:val="0"/>
            <w:vAlign w:val="center"/>
          </w:tcPr>
          <w:p>
            <w:pPr>
              <w:widowControl/>
              <w:jc w:val="center"/>
              <w:rPr>
                <w:rFonts w:hint="eastAsia" w:ascii="仿宋" w:hAnsi="仿宋" w:eastAsia="仿宋" w:cs="仿宋"/>
                <w:color w:val="auto"/>
                <w:kern w:val="0"/>
                <w:sz w:val="18"/>
                <w:szCs w:val="18"/>
                <w:lang w:eastAsia="zh-CN"/>
              </w:rPr>
            </w:pPr>
          </w:p>
        </w:tc>
        <w:tc>
          <w:tcPr>
            <w:tcW w:w="894" w:type="dxa"/>
            <w:noWrap w:val="0"/>
            <w:vAlign w:val="center"/>
          </w:tcPr>
          <w:p>
            <w:pPr>
              <w:widowControl/>
              <w:jc w:val="center"/>
              <w:rPr>
                <w:rFonts w:hint="eastAsia" w:ascii="仿宋" w:hAnsi="仿宋" w:eastAsia="仿宋" w:cs="仿宋"/>
                <w:color w:val="auto"/>
                <w:kern w:val="0"/>
                <w:sz w:val="18"/>
                <w:szCs w:val="18"/>
                <w:lang w:eastAsia="zh-CN"/>
              </w:rPr>
            </w:pPr>
          </w:p>
        </w:tc>
        <w:tc>
          <w:tcPr>
            <w:tcW w:w="1306" w:type="dxa"/>
            <w:noWrap w:val="0"/>
            <w:vAlign w:val="center"/>
          </w:tcPr>
          <w:p>
            <w:pPr>
              <w:widowControl/>
              <w:jc w:val="center"/>
              <w:rPr>
                <w:rFonts w:hint="eastAsia" w:ascii="仿宋" w:hAnsi="仿宋" w:eastAsia="仿宋" w:cs="仿宋"/>
                <w:color w:val="auto"/>
                <w:kern w:val="0"/>
                <w:sz w:val="18"/>
                <w:szCs w:val="18"/>
                <w:lang w:val="en-US" w:eastAsia="zh-CN"/>
              </w:rPr>
            </w:pPr>
          </w:p>
        </w:tc>
        <w:tc>
          <w:tcPr>
            <w:tcW w:w="1203" w:type="dxa"/>
            <w:noWrap w:val="0"/>
            <w:vAlign w:val="center"/>
          </w:tcPr>
          <w:p>
            <w:pPr>
              <w:widowControl/>
              <w:jc w:val="center"/>
              <w:rPr>
                <w:rFonts w:hint="eastAsia" w:ascii="仿宋" w:hAnsi="仿宋" w:eastAsia="仿宋" w:cs="仿宋"/>
                <w:color w:val="auto"/>
                <w:kern w:val="0"/>
                <w:sz w:val="18"/>
                <w:szCs w:val="18"/>
                <w:lang w:val="en-US" w:eastAsia="zh-CN"/>
              </w:rPr>
            </w:pPr>
          </w:p>
        </w:tc>
        <w:tc>
          <w:tcPr>
            <w:tcW w:w="1260" w:type="dxa"/>
            <w:noWrap w:val="0"/>
            <w:vAlign w:val="center"/>
          </w:tcPr>
          <w:p>
            <w:pPr>
              <w:widowControl/>
              <w:jc w:val="center"/>
              <w:rPr>
                <w:rFonts w:hint="eastAsia" w:ascii="仿宋" w:hAnsi="仿宋" w:eastAsia="仿宋" w:cs="仿宋"/>
                <w:color w:val="auto"/>
                <w:kern w:val="0"/>
                <w:sz w:val="18"/>
                <w:szCs w:val="18"/>
                <w:lang w:eastAsia="zh-CN"/>
              </w:rPr>
            </w:pPr>
          </w:p>
        </w:tc>
        <w:tc>
          <w:tcPr>
            <w:tcW w:w="915" w:type="dxa"/>
            <w:noWrap w:val="0"/>
            <w:vAlign w:val="center"/>
          </w:tcPr>
          <w:p>
            <w:pPr>
              <w:widowControl/>
              <w:jc w:val="center"/>
              <w:rPr>
                <w:rFonts w:hint="eastAsia" w:ascii="仿宋" w:hAnsi="仿宋" w:eastAsia="仿宋" w:cs="仿宋"/>
                <w:color w:val="auto"/>
                <w:kern w:val="0"/>
                <w:sz w:val="18"/>
                <w:szCs w:val="18"/>
                <w:lang w:eastAsia="zh-CN"/>
              </w:rPr>
            </w:pPr>
          </w:p>
        </w:tc>
        <w:tc>
          <w:tcPr>
            <w:tcW w:w="1485" w:type="dxa"/>
            <w:noWrap w:val="0"/>
            <w:vAlign w:val="center"/>
          </w:tcPr>
          <w:p>
            <w:pPr>
              <w:widowControl/>
              <w:jc w:val="center"/>
              <w:rPr>
                <w:rFonts w:hint="eastAsia" w:ascii="仿宋" w:hAnsi="仿宋" w:eastAsia="仿宋" w:cs="仿宋"/>
                <w:color w:val="auto"/>
                <w:kern w:val="0"/>
                <w:sz w:val="18"/>
                <w:szCs w:val="18"/>
                <w:lang w:eastAsia="zh-CN"/>
              </w:rPr>
            </w:pPr>
          </w:p>
        </w:tc>
        <w:tc>
          <w:tcPr>
            <w:tcW w:w="1200" w:type="dxa"/>
            <w:noWrap w:val="0"/>
            <w:vAlign w:val="center"/>
          </w:tcPr>
          <w:p>
            <w:pPr>
              <w:widowControl/>
              <w:jc w:val="center"/>
              <w:rPr>
                <w:rFonts w:hint="eastAsia" w:ascii="仿宋" w:hAnsi="仿宋" w:eastAsia="仿宋" w:cs="仿宋"/>
                <w:color w:val="auto"/>
                <w:kern w:val="0"/>
                <w:sz w:val="18"/>
                <w:szCs w:val="18"/>
                <w:lang w:eastAsia="zh-CN"/>
              </w:rPr>
            </w:pPr>
          </w:p>
        </w:tc>
        <w:tc>
          <w:tcPr>
            <w:tcW w:w="1264" w:type="dxa"/>
            <w:noWrap w:val="0"/>
            <w:vAlign w:val="center"/>
          </w:tcPr>
          <w:p>
            <w:pPr>
              <w:widowControl/>
              <w:jc w:val="center"/>
              <w:rPr>
                <w:rFonts w:hint="eastAsia" w:ascii="仿宋" w:hAnsi="仿宋" w:eastAsia="仿宋" w:cs="仿宋"/>
                <w:color w:val="auto"/>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2813" w:type="dxa"/>
            <w:noWrap w:val="0"/>
            <w:vAlign w:val="center"/>
          </w:tcPr>
          <w:p>
            <w:pPr>
              <w:widowControl/>
              <w:jc w:val="center"/>
              <w:rPr>
                <w:rFonts w:hint="eastAsia" w:ascii="仿宋" w:hAnsi="仿宋" w:eastAsia="仿宋" w:cs="仿宋"/>
                <w:color w:val="auto"/>
                <w:kern w:val="0"/>
                <w:sz w:val="18"/>
                <w:szCs w:val="18"/>
                <w:lang w:eastAsia="zh-CN"/>
              </w:rPr>
            </w:pPr>
            <w:r>
              <w:rPr>
                <w:rFonts w:hint="eastAsia" w:ascii="仿宋" w:hAnsi="仿宋" w:eastAsia="仿宋" w:cs="仿宋"/>
                <w:b/>
                <w:bCs/>
                <w:color w:val="auto"/>
                <w:kern w:val="0"/>
                <w:sz w:val="18"/>
                <w:szCs w:val="18"/>
                <w:lang w:val="en-US" w:eastAsia="zh-CN"/>
              </w:rPr>
              <w:t>总计</w:t>
            </w:r>
          </w:p>
        </w:tc>
        <w:tc>
          <w:tcPr>
            <w:tcW w:w="1159" w:type="dxa"/>
            <w:noWrap w:val="0"/>
            <w:vAlign w:val="center"/>
          </w:tcPr>
          <w:p>
            <w:pPr>
              <w:widowControl/>
              <w:jc w:val="center"/>
              <w:rPr>
                <w:rFonts w:hint="eastAsia" w:ascii="仿宋" w:hAnsi="仿宋" w:eastAsia="仿宋" w:cs="仿宋"/>
                <w:b/>
                <w:bCs/>
                <w:color w:val="auto"/>
                <w:kern w:val="0"/>
                <w:sz w:val="18"/>
                <w:szCs w:val="18"/>
                <w:lang w:val="en-US" w:eastAsia="zh-CN"/>
              </w:rPr>
            </w:pPr>
            <w:r>
              <w:rPr>
                <w:rFonts w:hint="eastAsia" w:ascii="仿宋" w:hAnsi="仿宋" w:eastAsia="仿宋" w:cs="仿宋"/>
                <w:b/>
                <w:bCs/>
                <w:color w:val="auto"/>
                <w:kern w:val="0"/>
                <w:sz w:val="18"/>
                <w:szCs w:val="18"/>
                <w:lang w:val="en-US" w:eastAsia="zh-CN"/>
              </w:rPr>
              <w:t>10.58</w:t>
            </w:r>
          </w:p>
        </w:tc>
        <w:tc>
          <w:tcPr>
            <w:tcW w:w="894" w:type="dxa"/>
            <w:noWrap w:val="0"/>
            <w:vAlign w:val="center"/>
          </w:tcPr>
          <w:p>
            <w:pPr>
              <w:widowControl/>
              <w:jc w:val="center"/>
              <w:rPr>
                <w:rFonts w:hint="eastAsia" w:ascii="仿宋" w:hAnsi="仿宋" w:eastAsia="仿宋" w:cs="仿宋"/>
                <w:b/>
                <w:bCs/>
                <w:color w:val="auto"/>
                <w:kern w:val="0"/>
                <w:sz w:val="18"/>
                <w:szCs w:val="18"/>
                <w:lang w:eastAsia="zh-CN"/>
              </w:rPr>
            </w:pPr>
            <w:r>
              <w:rPr>
                <w:rFonts w:hint="eastAsia" w:ascii="仿宋" w:hAnsi="仿宋" w:eastAsia="仿宋" w:cs="仿宋"/>
                <w:b/>
                <w:bCs/>
                <w:color w:val="auto"/>
                <w:kern w:val="0"/>
                <w:sz w:val="18"/>
                <w:szCs w:val="18"/>
                <w:lang w:val="en-US" w:eastAsia="zh-CN"/>
              </w:rPr>
              <w:t>10.58</w:t>
            </w:r>
          </w:p>
        </w:tc>
        <w:tc>
          <w:tcPr>
            <w:tcW w:w="1306" w:type="dxa"/>
            <w:noWrap w:val="0"/>
            <w:vAlign w:val="center"/>
          </w:tcPr>
          <w:p>
            <w:pPr>
              <w:widowControl/>
              <w:jc w:val="center"/>
              <w:rPr>
                <w:rFonts w:hint="eastAsia" w:ascii="仿宋" w:hAnsi="仿宋" w:eastAsia="仿宋" w:cs="仿宋"/>
                <w:b/>
                <w:bCs/>
                <w:color w:val="auto"/>
                <w:kern w:val="0"/>
                <w:sz w:val="18"/>
                <w:szCs w:val="18"/>
                <w:lang w:val="en-US" w:eastAsia="zh-CN"/>
              </w:rPr>
            </w:pPr>
          </w:p>
        </w:tc>
        <w:tc>
          <w:tcPr>
            <w:tcW w:w="1203" w:type="dxa"/>
            <w:noWrap w:val="0"/>
            <w:vAlign w:val="center"/>
          </w:tcPr>
          <w:p>
            <w:pPr>
              <w:widowControl/>
              <w:jc w:val="center"/>
              <w:rPr>
                <w:rFonts w:hint="eastAsia" w:ascii="仿宋" w:hAnsi="仿宋" w:eastAsia="仿宋" w:cs="仿宋"/>
                <w:b/>
                <w:bCs/>
                <w:color w:val="auto"/>
                <w:kern w:val="0"/>
                <w:sz w:val="18"/>
                <w:szCs w:val="18"/>
                <w:lang w:val="en-US" w:eastAsia="zh-CN"/>
              </w:rPr>
            </w:pPr>
          </w:p>
        </w:tc>
        <w:tc>
          <w:tcPr>
            <w:tcW w:w="1260" w:type="dxa"/>
            <w:noWrap w:val="0"/>
            <w:vAlign w:val="center"/>
          </w:tcPr>
          <w:p>
            <w:pPr>
              <w:widowControl/>
              <w:jc w:val="center"/>
              <w:rPr>
                <w:rFonts w:hint="eastAsia" w:ascii="仿宋" w:hAnsi="仿宋" w:eastAsia="仿宋" w:cs="仿宋"/>
                <w:b/>
                <w:bCs/>
                <w:color w:val="auto"/>
                <w:kern w:val="0"/>
                <w:sz w:val="18"/>
                <w:szCs w:val="18"/>
                <w:lang w:val="en-US" w:eastAsia="zh-CN"/>
              </w:rPr>
            </w:pPr>
            <w:r>
              <w:rPr>
                <w:rFonts w:hint="eastAsia" w:ascii="仿宋" w:hAnsi="仿宋" w:eastAsia="仿宋" w:cs="仿宋"/>
                <w:b/>
                <w:bCs/>
                <w:color w:val="auto"/>
                <w:kern w:val="0"/>
                <w:sz w:val="18"/>
                <w:szCs w:val="18"/>
                <w:lang w:val="en-US" w:eastAsia="zh-CN"/>
              </w:rPr>
              <w:t>10.58</w:t>
            </w:r>
          </w:p>
        </w:tc>
        <w:tc>
          <w:tcPr>
            <w:tcW w:w="915" w:type="dxa"/>
            <w:noWrap w:val="0"/>
            <w:vAlign w:val="center"/>
          </w:tcPr>
          <w:p>
            <w:pPr>
              <w:widowControl/>
              <w:jc w:val="center"/>
              <w:rPr>
                <w:rFonts w:hint="eastAsia" w:ascii="仿宋" w:hAnsi="仿宋" w:eastAsia="仿宋" w:cs="仿宋"/>
                <w:b/>
                <w:bCs/>
                <w:color w:val="auto"/>
                <w:kern w:val="0"/>
                <w:sz w:val="18"/>
                <w:szCs w:val="18"/>
                <w:lang w:eastAsia="zh-CN"/>
              </w:rPr>
            </w:pPr>
          </w:p>
        </w:tc>
        <w:tc>
          <w:tcPr>
            <w:tcW w:w="1485" w:type="dxa"/>
            <w:noWrap w:val="0"/>
            <w:vAlign w:val="center"/>
          </w:tcPr>
          <w:p>
            <w:pPr>
              <w:widowControl/>
              <w:jc w:val="center"/>
              <w:rPr>
                <w:rFonts w:hint="eastAsia" w:ascii="仿宋" w:hAnsi="仿宋" w:eastAsia="仿宋" w:cs="仿宋"/>
                <w:b/>
                <w:bCs/>
                <w:color w:val="auto"/>
                <w:kern w:val="0"/>
                <w:sz w:val="18"/>
                <w:szCs w:val="18"/>
                <w:lang w:eastAsia="zh-CN"/>
              </w:rPr>
            </w:pPr>
          </w:p>
        </w:tc>
        <w:tc>
          <w:tcPr>
            <w:tcW w:w="1200" w:type="dxa"/>
            <w:noWrap w:val="0"/>
            <w:vAlign w:val="center"/>
          </w:tcPr>
          <w:p>
            <w:pPr>
              <w:widowControl/>
              <w:jc w:val="center"/>
              <w:rPr>
                <w:rFonts w:hint="eastAsia" w:ascii="仿宋" w:hAnsi="仿宋" w:eastAsia="仿宋" w:cs="仿宋"/>
                <w:b/>
                <w:bCs/>
                <w:color w:val="auto"/>
                <w:kern w:val="0"/>
                <w:sz w:val="18"/>
                <w:szCs w:val="18"/>
                <w:lang w:eastAsia="zh-CN"/>
              </w:rPr>
            </w:pPr>
          </w:p>
        </w:tc>
        <w:tc>
          <w:tcPr>
            <w:tcW w:w="1264" w:type="dxa"/>
            <w:noWrap w:val="0"/>
            <w:vAlign w:val="center"/>
          </w:tcPr>
          <w:p>
            <w:pPr>
              <w:widowControl/>
              <w:jc w:val="center"/>
              <w:rPr>
                <w:rFonts w:hint="eastAsia" w:ascii="仿宋" w:hAnsi="仿宋" w:eastAsia="仿宋" w:cs="仿宋"/>
                <w:b/>
                <w:bCs/>
                <w:color w:val="auto"/>
                <w:kern w:val="0"/>
                <w:sz w:val="18"/>
                <w:szCs w:val="18"/>
                <w:lang w:eastAsia="zh-CN"/>
              </w:rPr>
            </w:pPr>
          </w:p>
        </w:tc>
      </w:tr>
    </w:tbl>
    <w:p>
      <w:pPr>
        <w:widowControl/>
        <w:spacing w:line="280" w:lineRule="exact"/>
        <w:jc w:val="left"/>
        <w:outlineLvl w:val="1"/>
        <w:rPr>
          <w:rFonts w:ascii="仿宋_GB2312" w:hAnsi="宋体" w:eastAsia="仿宋_GB2312"/>
          <w:color w:val="FF0000"/>
          <w:kern w:val="0"/>
          <w:sz w:val="32"/>
          <w:szCs w:val="32"/>
          <w:highlight w:val="none"/>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 w:hAnsi="楷体" w:eastAsia="楷体" w:cs="楷体"/>
          <w:b/>
          <w:bCs w:val="0"/>
          <w:color w:val="auto"/>
          <w:kern w:val="0"/>
          <w:sz w:val="32"/>
          <w:szCs w:val="32"/>
          <w:highlight w:val="none"/>
        </w:rPr>
      </w:pPr>
      <w:r>
        <w:rPr>
          <w:rFonts w:hint="eastAsia" w:ascii="楷体" w:hAnsi="楷体" w:eastAsia="楷体" w:cs="楷体"/>
          <w:b/>
          <w:bCs w:val="0"/>
          <w:color w:val="auto"/>
          <w:kern w:val="0"/>
          <w:sz w:val="32"/>
          <w:szCs w:val="32"/>
          <w:highlight w:val="none"/>
        </w:rPr>
        <w:t>一、关于</w:t>
      </w:r>
      <w:r>
        <w:rPr>
          <w:rFonts w:hint="eastAsia" w:ascii="楷体" w:hAnsi="楷体" w:eastAsia="楷体" w:cs="楷体"/>
          <w:b/>
          <w:kern w:val="0"/>
          <w:sz w:val="32"/>
          <w:szCs w:val="32"/>
          <w:lang w:eastAsia="zh-CN"/>
        </w:rPr>
        <w:t>呼图壁县</w:t>
      </w:r>
      <w:r>
        <w:rPr>
          <w:rFonts w:hint="eastAsia" w:ascii="楷体" w:hAnsi="楷体" w:eastAsia="楷体" w:cs="楷体"/>
          <w:b/>
          <w:color w:val="auto"/>
          <w:kern w:val="0"/>
          <w:sz w:val="32"/>
          <w:szCs w:val="32"/>
          <w:lang w:eastAsia="zh-CN"/>
        </w:rPr>
        <w:t>二十里店镇</w:t>
      </w:r>
      <w:r>
        <w:rPr>
          <w:rFonts w:hint="eastAsia" w:ascii="楷体" w:hAnsi="楷体" w:eastAsia="楷体" w:cs="楷体"/>
          <w:b/>
          <w:kern w:val="0"/>
          <w:sz w:val="32"/>
          <w:szCs w:val="32"/>
          <w:lang w:eastAsia="zh-CN"/>
        </w:rPr>
        <w:t>中心幼儿园</w:t>
      </w:r>
      <w:r>
        <w:rPr>
          <w:rFonts w:hint="eastAsia" w:ascii="楷体" w:hAnsi="楷体" w:eastAsia="楷体" w:cs="楷体"/>
          <w:b/>
          <w:bCs w:val="0"/>
          <w:color w:val="auto"/>
          <w:kern w:val="0"/>
          <w:sz w:val="32"/>
          <w:szCs w:val="32"/>
          <w:highlight w:val="none"/>
          <w:lang w:eastAsia="zh-CN"/>
        </w:rPr>
        <w:t>202</w:t>
      </w:r>
      <w:r>
        <w:rPr>
          <w:rFonts w:hint="eastAsia" w:ascii="楷体" w:hAnsi="楷体" w:eastAsia="楷体" w:cs="楷体"/>
          <w:b/>
          <w:bCs w:val="0"/>
          <w:color w:val="auto"/>
          <w:kern w:val="0"/>
          <w:sz w:val="32"/>
          <w:szCs w:val="32"/>
          <w:highlight w:val="none"/>
          <w:lang w:val="en-US" w:eastAsia="zh-CN"/>
        </w:rPr>
        <w:t>5年</w:t>
      </w:r>
      <w:r>
        <w:rPr>
          <w:rFonts w:hint="eastAsia" w:ascii="楷体" w:hAnsi="楷体" w:eastAsia="楷体" w:cs="楷体"/>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按照全口径预算的原则，</w:t>
      </w:r>
      <w:r>
        <w:rPr>
          <w:rFonts w:hint="eastAsia" w:ascii="仿宋" w:hAnsi="仿宋" w:eastAsia="仿宋" w:cs="仿宋"/>
          <w:kern w:val="0"/>
          <w:sz w:val="32"/>
          <w:szCs w:val="32"/>
          <w:lang w:eastAsia="zh-CN"/>
        </w:rPr>
        <w:t>呼图壁县二十里店镇中心幼儿园</w:t>
      </w:r>
      <w:r>
        <w:rPr>
          <w:rFonts w:hint="eastAsia" w:ascii="仿宋" w:hAnsi="仿宋" w:eastAsia="仿宋" w:cs="仿宋"/>
          <w:color w:val="auto"/>
          <w:kern w:val="0"/>
          <w:sz w:val="32"/>
          <w:szCs w:val="32"/>
          <w:highlight w:val="none"/>
          <w:lang w:eastAsia="zh-CN"/>
        </w:rPr>
        <w:t>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lang w:eastAsia="zh-CN"/>
        </w:rPr>
        <w:t>年</w:t>
      </w:r>
      <w:r>
        <w:rPr>
          <w:rFonts w:hint="eastAsia" w:ascii="仿宋" w:hAnsi="仿宋" w:eastAsia="仿宋" w:cs="仿宋"/>
          <w:color w:val="auto"/>
          <w:kern w:val="0"/>
          <w:sz w:val="32"/>
          <w:szCs w:val="32"/>
          <w:highlight w:val="none"/>
        </w:rPr>
        <w:t>所有收入和支出均纳入</w:t>
      </w:r>
      <w:r>
        <w:rPr>
          <w:rFonts w:hint="eastAsia" w:ascii="仿宋" w:hAnsi="仿宋" w:eastAsia="仿宋" w:cs="仿宋"/>
          <w:color w:val="auto"/>
          <w:kern w:val="0"/>
          <w:sz w:val="32"/>
          <w:szCs w:val="32"/>
          <w:highlight w:val="none"/>
          <w:lang w:val="en-US" w:eastAsia="zh-CN"/>
        </w:rPr>
        <w:t>部门</w:t>
      </w:r>
      <w:r>
        <w:rPr>
          <w:rFonts w:hint="eastAsia" w:ascii="仿宋" w:hAnsi="仿宋" w:eastAsia="仿宋" w:cs="仿宋"/>
          <w:color w:val="auto"/>
          <w:kern w:val="0"/>
          <w:sz w:val="32"/>
          <w:szCs w:val="32"/>
          <w:highlight w:val="none"/>
        </w:rPr>
        <w:t>预算管理。收支总预算</w:t>
      </w:r>
      <w:r>
        <w:rPr>
          <w:rFonts w:hint="eastAsia" w:ascii="仿宋" w:hAnsi="仿宋" w:eastAsia="仿宋" w:cs="仿宋"/>
          <w:color w:val="auto"/>
          <w:kern w:val="0"/>
          <w:sz w:val="32"/>
          <w:szCs w:val="32"/>
          <w:highlight w:val="none"/>
          <w:lang w:val="en-US" w:eastAsia="zh-CN"/>
        </w:rPr>
        <w:t>484.25</w:t>
      </w:r>
      <w:r>
        <w:rPr>
          <w:rFonts w:hint="eastAsia" w:ascii="仿宋" w:hAnsi="仿宋" w:eastAsia="仿宋" w:cs="仿宋"/>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收入预算包括：一般公共预算</w:t>
      </w:r>
      <w:r>
        <w:rPr>
          <w:rFonts w:hint="eastAsia" w:ascii="仿宋" w:hAnsi="仿宋" w:eastAsia="仿宋" w:cs="仿宋"/>
          <w:color w:val="auto"/>
          <w:kern w:val="0"/>
          <w:sz w:val="32"/>
          <w:szCs w:val="32"/>
          <w:highlight w:val="none"/>
          <w:lang w:val="en-US" w:eastAsia="zh-Hans"/>
        </w:rPr>
        <w:t>、</w:t>
      </w:r>
      <w:r>
        <w:rPr>
          <w:rFonts w:hint="eastAsia" w:ascii="仿宋" w:hAnsi="仿宋" w:eastAsia="仿宋" w:cs="仿宋"/>
          <w:kern w:val="0"/>
          <w:sz w:val="32"/>
          <w:szCs w:val="32"/>
          <w:lang w:eastAsia="zh-Hans"/>
        </w:rPr>
        <w:t>单位资金</w:t>
      </w:r>
      <w:r>
        <w:rPr>
          <w:rFonts w:hint="eastAsia" w:ascii="仿宋" w:hAnsi="仿宋" w:eastAsia="仿宋" w:cs="仿宋"/>
          <w:kern w:val="0"/>
          <w:sz w:val="32"/>
          <w:szCs w:val="32"/>
          <w:lang w:eastAsia="zh-CN"/>
        </w:rPr>
        <w:t>、</w:t>
      </w:r>
      <w:r>
        <w:rPr>
          <w:rFonts w:hint="eastAsia" w:ascii="仿宋" w:hAnsi="仿宋" w:eastAsia="仿宋" w:cs="仿宋"/>
          <w:color w:val="auto"/>
          <w:kern w:val="0"/>
          <w:sz w:val="32"/>
          <w:szCs w:val="32"/>
          <w:highlight w:val="none"/>
          <w:lang w:val="en-US" w:eastAsia="zh-Hans"/>
        </w:rPr>
        <w:t>财政拨款结转结余</w:t>
      </w:r>
      <w:r>
        <w:rPr>
          <w:rFonts w:hint="eastAsia" w:ascii="仿宋" w:hAnsi="仿宋" w:eastAsia="仿宋" w:cs="仿宋"/>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b/>
          <w:color w:val="FF0000"/>
          <w:kern w:val="0"/>
          <w:sz w:val="32"/>
          <w:szCs w:val="32"/>
          <w:highlight w:val="none"/>
          <w:lang w:val="en-US" w:eastAsia="zh-CN"/>
        </w:rPr>
      </w:pPr>
      <w:r>
        <w:rPr>
          <w:rFonts w:hint="eastAsia" w:ascii="仿宋" w:hAnsi="仿宋" w:eastAsia="仿宋" w:cs="仿宋"/>
          <w:color w:val="auto"/>
          <w:kern w:val="0"/>
          <w:sz w:val="32"/>
          <w:szCs w:val="32"/>
          <w:highlight w:val="none"/>
        </w:rPr>
        <w:t>支出预算包括：教育支出</w:t>
      </w:r>
      <w:r>
        <w:rPr>
          <w:rFonts w:hint="eastAsia" w:ascii="仿宋" w:hAnsi="仿宋" w:eastAsia="仿宋" w:cs="仿宋"/>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lang w:eastAsia="zh-CN"/>
        </w:rPr>
        <w:t>呼图壁县</w:t>
      </w:r>
      <w:r>
        <w:rPr>
          <w:rFonts w:hint="eastAsia" w:ascii="楷体_GB2312" w:hAnsi="楷体_GB2312" w:eastAsia="楷体_GB2312" w:cs="楷体_GB2312"/>
          <w:b/>
          <w:color w:val="auto"/>
          <w:kern w:val="0"/>
          <w:sz w:val="32"/>
          <w:szCs w:val="32"/>
          <w:lang w:eastAsia="zh-CN"/>
        </w:rPr>
        <w:t>二十里店镇</w:t>
      </w:r>
      <w:r>
        <w:rPr>
          <w:rFonts w:hint="eastAsia" w:ascii="楷体_GB2312" w:hAnsi="楷体_GB2312" w:eastAsia="楷体_GB2312" w:cs="楷体_GB2312"/>
          <w:b/>
          <w:kern w:val="0"/>
          <w:sz w:val="32"/>
          <w:szCs w:val="32"/>
          <w:lang w:eastAsia="zh-CN"/>
        </w:rPr>
        <w:t>中心幼儿园</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eastAsia="zh-CN"/>
        </w:rPr>
        <w:t>呼图壁县</w:t>
      </w:r>
      <w:r>
        <w:rPr>
          <w:rFonts w:hint="eastAsia" w:ascii="仿宋" w:hAnsi="仿宋" w:eastAsia="仿宋" w:cs="仿宋"/>
          <w:color w:val="auto"/>
          <w:kern w:val="0"/>
          <w:sz w:val="32"/>
          <w:szCs w:val="32"/>
          <w:highlight w:val="none"/>
          <w:lang w:val="en-US" w:eastAsia="zh-CN"/>
        </w:rPr>
        <w:t>二十里店镇</w:t>
      </w:r>
      <w:r>
        <w:rPr>
          <w:rFonts w:hint="eastAsia" w:ascii="仿宋" w:hAnsi="仿宋" w:eastAsia="仿宋" w:cs="仿宋"/>
          <w:color w:val="auto"/>
          <w:kern w:val="0"/>
          <w:sz w:val="32"/>
          <w:szCs w:val="32"/>
          <w:highlight w:val="none"/>
          <w:lang w:eastAsia="zh-CN"/>
        </w:rPr>
        <w:t>中心幼儿园部门</w:t>
      </w:r>
      <w:r>
        <w:rPr>
          <w:rFonts w:hint="eastAsia" w:ascii="仿宋" w:hAnsi="仿宋" w:eastAsia="仿宋" w:cs="仿宋"/>
          <w:color w:val="auto"/>
          <w:kern w:val="0"/>
          <w:sz w:val="32"/>
          <w:szCs w:val="32"/>
          <w:highlight w:val="none"/>
        </w:rPr>
        <w:t>收入预算</w:t>
      </w:r>
      <w:r>
        <w:rPr>
          <w:rFonts w:hint="eastAsia" w:ascii="仿宋" w:hAnsi="仿宋" w:eastAsia="仿宋" w:cs="仿宋"/>
          <w:color w:val="auto"/>
          <w:kern w:val="0"/>
          <w:sz w:val="32"/>
          <w:szCs w:val="32"/>
          <w:highlight w:val="none"/>
          <w:lang w:val="en-US" w:eastAsia="zh-CN"/>
        </w:rPr>
        <w:t>484.25</w:t>
      </w:r>
      <w:r>
        <w:rPr>
          <w:rFonts w:hint="eastAsia" w:ascii="仿宋" w:hAnsi="仿宋" w:eastAsia="仿宋" w:cs="仿宋"/>
          <w:color w:val="auto"/>
          <w:kern w:val="0"/>
          <w:sz w:val="32"/>
          <w:szCs w:val="32"/>
          <w:highlight w:val="none"/>
          <w:lang w:eastAsia="zh-CN"/>
        </w:rPr>
        <w:t>万</w:t>
      </w:r>
      <w:r>
        <w:rPr>
          <w:rFonts w:hint="eastAsia" w:ascii="仿宋" w:hAnsi="仿宋" w:eastAsia="仿宋" w:cs="仿宋"/>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一般公共预算</w:t>
      </w:r>
      <w:r>
        <w:rPr>
          <w:rFonts w:hint="eastAsia" w:ascii="仿宋" w:hAnsi="仿宋" w:eastAsia="仿宋" w:cs="仿宋"/>
          <w:color w:val="auto"/>
          <w:kern w:val="0"/>
          <w:sz w:val="32"/>
          <w:szCs w:val="32"/>
          <w:highlight w:val="none"/>
          <w:lang w:val="en-US" w:eastAsia="zh-CN"/>
        </w:rPr>
        <w:t>323.21</w:t>
      </w:r>
      <w:r>
        <w:rPr>
          <w:rFonts w:hint="eastAsia" w:ascii="仿宋" w:hAnsi="仿宋" w:eastAsia="仿宋" w:cs="仿宋"/>
          <w:color w:val="auto"/>
          <w:kern w:val="0"/>
          <w:sz w:val="32"/>
          <w:szCs w:val="32"/>
          <w:highlight w:val="none"/>
        </w:rPr>
        <w:t>万元，占</w:t>
      </w:r>
      <w:r>
        <w:rPr>
          <w:rFonts w:hint="eastAsia" w:ascii="仿宋" w:hAnsi="仿宋" w:eastAsia="仿宋" w:cs="仿宋"/>
          <w:color w:val="auto"/>
          <w:kern w:val="0"/>
          <w:sz w:val="32"/>
          <w:szCs w:val="32"/>
          <w:highlight w:val="none"/>
          <w:lang w:val="en-US" w:eastAsia="zh-CN"/>
        </w:rPr>
        <w:t>66.74</w:t>
      </w:r>
      <w:r>
        <w:rPr>
          <w:rFonts w:hint="eastAsia" w:ascii="仿宋" w:hAnsi="仿宋" w:eastAsia="仿宋" w:cs="仿宋"/>
          <w:color w:val="auto"/>
          <w:kern w:val="0"/>
          <w:sz w:val="32"/>
          <w:szCs w:val="32"/>
          <w:highlight w:val="none"/>
        </w:rPr>
        <w:t>%，比上年预算减少</w:t>
      </w:r>
      <w:r>
        <w:rPr>
          <w:rFonts w:hint="eastAsia" w:ascii="仿宋" w:hAnsi="仿宋" w:eastAsia="仿宋" w:cs="仿宋"/>
          <w:color w:val="auto"/>
          <w:kern w:val="0"/>
          <w:sz w:val="32"/>
          <w:szCs w:val="32"/>
          <w:highlight w:val="none"/>
          <w:lang w:val="en-US" w:eastAsia="zh-CN"/>
        </w:rPr>
        <w:t>24.8</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下降</w:t>
      </w:r>
      <w:r>
        <w:rPr>
          <w:rFonts w:hint="eastAsia" w:ascii="仿宋" w:hAnsi="仿宋" w:eastAsia="仿宋" w:cs="仿宋"/>
          <w:color w:val="auto"/>
          <w:kern w:val="0"/>
          <w:sz w:val="32"/>
          <w:szCs w:val="32"/>
          <w:highlight w:val="none"/>
          <w:lang w:val="en-US" w:eastAsia="zh-CN"/>
        </w:rPr>
        <w:t>7.13%，</w:t>
      </w:r>
      <w:r>
        <w:rPr>
          <w:rFonts w:hint="eastAsia" w:ascii="仿宋" w:hAnsi="仿宋" w:eastAsia="仿宋" w:cs="仿宋"/>
          <w:color w:val="auto"/>
          <w:kern w:val="0"/>
          <w:sz w:val="32"/>
          <w:szCs w:val="32"/>
          <w:highlight w:val="none"/>
        </w:rPr>
        <w:t>主要原因是</w:t>
      </w:r>
      <w:r>
        <w:rPr>
          <w:rFonts w:hint="eastAsia" w:ascii="仿宋" w:hAnsi="仿宋" w:eastAsia="仿宋" w:cs="仿宋"/>
          <w:color w:val="auto"/>
          <w:kern w:val="0"/>
          <w:sz w:val="32"/>
          <w:szCs w:val="32"/>
          <w:highlight w:val="none"/>
          <w:lang w:eastAsia="zh-CN"/>
        </w:rPr>
        <w:t>本年幼儿人数减少</w:t>
      </w:r>
      <w:r>
        <w:rPr>
          <w:rFonts w:hint="eastAsia" w:ascii="仿宋" w:hAnsi="仿宋" w:eastAsia="仿宋" w:cs="仿宋"/>
          <w:color w:val="auto"/>
          <w:kern w:val="0"/>
          <w:sz w:val="32"/>
          <w:szCs w:val="32"/>
          <w:highlight w:val="none"/>
          <w:lang w:val="en-US" w:eastAsia="zh-CN"/>
        </w:rPr>
        <w:t>导致本级安排公用经费</w:t>
      </w:r>
      <w:r>
        <w:rPr>
          <w:rFonts w:hint="eastAsia" w:ascii="仿宋" w:hAnsi="仿宋" w:eastAsia="仿宋" w:cs="仿宋"/>
          <w:color w:val="auto"/>
          <w:kern w:val="0"/>
          <w:sz w:val="32"/>
          <w:szCs w:val="32"/>
          <w:highlight w:val="none"/>
          <w:lang w:eastAsia="zh-CN"/>
        </w:rPr>
        <w:t>预算减少</w:t>
      </w:r>
      <w:r>
        <w:rPr>
          <w:rFonts w:hint="eastAsia" w:ascii="仿宋" w:hAnsi="仿宋" w:eastAsia="仿宋" w:cs="仿宋"/>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上级</w:t>
      </w:r>
      <w:r>
        <w:rPr>
          <w:rFonts w:hint="eastAsia" w:ascii="仿宋" w:hAnsi="仿宋" w:eastAsia="仿宋" w:cs="仿宋"/>
          <w:color w:val="auto"/>
          <w:kern w:val="0"/>
          <w:sz w:val="32"/>
          <w:szCs w:val="32"/>
          <w:highlight w:val="none"/>
        </w:rPr>
        <w:t>一般公共预算</w:t>
      </w:r>
      <w:r>
        <w:rPr>
          <w:rFonts w:hint="eastAsia" w:ascii="仿宋" w:hAnsi="仿宋" w:eastAsia="仿宋" w:cs="仿宋"/>
          <w:color w:val="auto"/>
          <w:kern w:val="0"/>
          <w:sz w:val="32"/>
          <w:szCs w:val="32"/>
          <w:highlight w:val="none"/>
          <w:lang w:val="en-US" w:eastAsia="zh-Hans"/>
        </w:rPr>
        <w:t>安排的转移支付资金</w:t>
      </w:r>
      <w:r>
        <w:rPr>
          <w:rFonts w:hint="eastAsia" w:ascii="仿宋" w:hAnsi="仿宋" w:eastAsia="仿宋" w:cs="仿宋"/>
          <w:color w:val="auto"/>
          <w:kern w:val="0"/>
          <w:sz w:val="32"/>
          <w:szCs w:val="32"/>
          <w:highlight w:val="none"/>
          <w:lang w:val="en-US" w:eastAsia="zh-CN"/>
        </w:rPr>
        <w:t>16.2万元</w:t>
      </w:r>
      <w:r>
        <w:rPr>
          <w:rFonts w:hint="eastAsia" w:ascii="仿宋" w:hAnsi="仿宋" w:eastAsia="仿宋" w:cs="仿宋"/>
          <w:color w:val="auto"/>
          <w:kern w:val="0"/>
          <w:sz w:val="32"/>
          <w:szCs w:val="32"/>
          <w:highlight w:val="none"/>
        </w:rPr>
        <w:t>，占</w:t>
      </w:r>
      <w:r>
        <w:rPr>
          <w:rFonts w:hint="eastAsia" w:ascii="仿宋" w:hAnsi="仿宋" w:eastAsia="仿宋" w:cs="仿宋"/>
          <w:color w:val="auto"/>
          <w:kern w:val="0"/>
          <w:sz w:val="32"/>
          <w:szCs w:val="32"/>
          <w:highlight w:val="none"/>
          <w:lang w:val="en-US" w:eastAsia="zh-CN"/>
        </w:rPr>
        <w:t>3.35</w:t>
      </w:r>
      <w:r>
        <w:rPr>
          <w:rFonts w:hint="eastAsia" w:ascii="仿宋" w:hAnsi="仿宋" w:eastAsia="仿宋" w:cs="仿宋"/>
          <w:color w:val="auto"/>
          <w:kern w:val="0"/>
          <w:sz w:val="32"/>
          <w:szCs w:val="32"/>
          <w:highlight w:val="none"/>
        </w:rPr>
        <w:t>%，比上年预算减少</w:t>
      </w:r>
      <w:r>
        <w:rPr>
          <w:rFonts w:hint="eastAsia" w:ascii="仿宋" w:hAnsi="仿宋" w:eastAsia="仿宋" w:cs="仿宋"/>
          <w:color w:val="auto"/>
          <w:kern w:val="0"/>
          <w:sz w:val="32"/>
          <w:szCs w:val="32"/>
          <w:highlight w:val="none"/>
          <w:lang w:val="en-US" w:eastAsia="zh-CN"/>
        </w:rPr>
        <w:t>4.36</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下降</w:t>
      </w:r>
      <w:r>
        <w:rPr>
          <w:rFonts w:hint="eastAsia" w:ascii="仿宋" w:hAnsi="仿宋" w:eastAsia="仿宋" w:cs="仿宋"/>
          <w:color w:val="auto"/>
          <w:kern w:val="0"/>
          <w:sz w:val="32"/>
          <w:szCs w:val="32"/>
          <w:highlight w:val="none"/>
          <w:lang w:val="en-US" w:eastAsia="zh-CN"/>
        </w:rPr>
        <w:t>21.21%，</w:t>
      </w:r>
      <w:r>
        <w:rPr>
          <w:rFonts w:hint="eastAsia" w:ascii="仿宋" w:hAnsi="仿宋" w:eastAsia="仿宋" w:cs="仿宋"/>
          <w:color w:val="auto"/>
          <w:kern w:val="0"/>
          <w:sz w:val="32"/>
          <w:szCs w:val="32"/>
          <w:highlight w:val="none"/>
        </w:rPr>
        <w:t>主要原因是</w:t>
      </w:r>
      <w:r>
        <w:rPr>
          <w:rFonts w:hint="eastAsia" w:ascii="仿宋" w:hAnsi="仿宋" w:eastAsia="仿宋" w:cs="仿宋"/>
          <w:color w:val="auto"/>
          <w:kern w:val="0"/>
          <w:sz w:val="32"/>
          <w:szCs w:val="32"/>
          <w:highlight w:val="none"/>
          <w:lang w:eastAsia="zh-CN"/>
        </w:rPr>
        <w:t>本年</w:t>
      </w:r>
      <w:r>
        <w:rPr>
          <w:rFonts w:hint="eastAsia" w:ascii="仿宋" w:hAnsi="仿宋" w:eastAsia="仿宋" w:cs="仿宋"/>
          <w:color w:val="auto"/>
          <w:kern w:val="0"/>
          <w:sz w:val="32"/>
          <w:szCs w:val="32"/>
          <w:highlight w:val="none"/>
          <w:lang w:val="en-US" w:eastAsia="zh-CN"/>
        </w:rPr>
        <w:t>编外自聘教师减少1人，并且</w:t>
      </w:r>
      <w:r>
        <w:rPr>
          <w:rFonts w:hint="eastAsia" w:ascii="仿宋" w:hAnsi="仿宋" w:eastAsia="仿宋" w:cs="仿宋"/>
          <w:color w:val="auto"/>
          <w:kern w:val="0"/>
          <w:sz w:val="32"/>
          <w:szCs w:val="32"/>
          <w:highlight w:val="none"/>
          <w:lang w:eastAsia="zh-CN"/>
        </w:rPr>
        <w:t>幼儿人数减少</w:t>
      </w:r>
      <w:r>
        <w:rPr>
          <w:rFonts w:hint="eastAsia" w:ascii="仿宋" w:hAnsi="仿宋" w:eastAsia="仿宋" w:cs="仿宋"/>
          <w:color w:val="auto"/>
          <w:kern w:val="0"/>
          <w:sz w:val="32"/>
          <w:szCs w:val="32"/>
          <w:highlight w:val="none"/>
          <w:lang w:val="en-US" w:eastAsia="zh-CN"/>
        </w:rPr>
        <w:t>，上级安排自聘教师补助和</w:t>
      </w:r>
      <w:r>
        <w:rPr>
          <w:rFonts w:hint="eastAsia" w:ascii="仿宋" w:hAnsi="仿宋" w:eastAsia="仿宋" w:cs="仿宋"/>
          <w:color w:val="auto"/>
          <w:kern w:val="0"/>
          <w:sz w:val="32"/>
          <w:szCs w:val="32"/>
          <w:highlight w:val="none"/>
          <w:lang w:eastAsia="zh-CN"/>
        </w:rPr>
        <w:t>公用经费减少</w:t>
      </w:r>
      <w:r>
        <w:rPr>
          <w:rFonts w:hint="eastAsia" w:ascii="仿宋" w:hAnsi="仿宋" w:eastAsia="仿宋" w:cs="仿宋"/>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上级政府性基金安排的转移支付资金</w:t>
      </w:r>
      <w:r>
        <w:rPr>
          <w:rFonts w:hint="eastAsia" w:ascii="仿宋" w:hAnsi="仿宋" w:eastAsia="仿宋" w:cs="仿宋"/>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eastAsia="zh-CN"/>
        </w:rPr>
        <w:t>国有资本经营</w:t>
      </w:r>
      <w:r>
        <w:rPr>
          <w:rFonts w:hint="eastAsia" w:ascii="仿宋" w:hAnsi="仿宋" w:eastAsia="仿宋" w:cs="仿宋"/>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上级国有资本经营预算安排的转移支付资金</w:t>
      </w:r>
      <w:r>
        <w:rPr>
          <w:rFonts w:hint="eastAsia" w:ascii="仿宋" w:hAnsi="仿宋" w:eastAsia="仿宋" w:cs="仿宋"/>
          <w:color w:val="auto"/>
          <w:kern w:val="0"/>
          <w:sz w:val="32"/>
          <w:szCs w:val="32"/>
          <w:highlight w:val="none"/>
        </w:rPr>
        <w:t>未安排。</w:t>
      </w:r>
      <w:r>
        <w:rPr>
          <w:rFonts w:hint="default" w:ascii="仿宋" w:hAnsi="仿宋" w:eastAsia="仿宋" w:cs="仿宋"/>
          <w:color w:val="auto"/>
          <w:kern w:val="0"/>
          <w:sz w:val="32"/>
          <w:szCs w:val="32"/>
          <w:highlight w:val="none"/>
          <w:lang w:eastAsia="zh-Hans"/>
        </w:rPr>
        <w:t xml:space="preserve"> </w:t>
      </w:r>
      <w:r>
        <w:rPr>
          <w:rFonts w:hint="eastAsia" w:ascii="仿宋" w:hAnsi="仿宋" w:eastAsia="仿宋" w:cs="仿宋"/>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Hans"/>
        </w:rPr>
        <w:t>单位资金</w:t>
      </w:r>
      <w:r>
        <w:rPr>
          <w:rFonts w:hint="eastAsia" w:ascii="仿宋" w:hAnsi="仿宋" w:eastAsia="仿宋" w:cs="仿宋"/>
          <w:color w:val="auto"/>
          <w:kern w:val="0"/>
          <w:sz w:val="32"/>
          <w:szCs w:val="32"/>
          <w:highlight w:val="none"/>
          <w:lang w:val="en-US" w:eastAsia="zh-CN"/>
        </w:rPr>
        <w:t>134.26</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val="en-US" w:eastAsia="zh-CN"/>
        </w:rPr>
        <w:t>占27.73</w:t>
      </w:r>
      <w:r>
        <w:rPr>
          <w:rFonts w:hint="eastAsia" w:ascii="仿宋" w:hAnsi="仿宋" w:eastAsia="仿宋" w:cs="仿宋"/>
          <w:color w:val="auto"/>
          <w:kern w:val="0"/>
          <w:sz w:val="32"/>
          <w:szCs w:val="32"/>
          <w:highlight w:val="none"/>
        </w:rPr>
        <w:t>%，比上年预算增加</w:t>
      </w:r>
      <w:r>
        <w:rPr>
          <w:rFonts w:hint="eastAsia" w:ascii="仿宋" w:hAnsi="仿宋" w:eastAsia="仿宋" w:cs="仿宋"/>
          <w:color w:val="auto"/>
          <w:kern w:val="0"/>
          <w:sz w:val="32"/>
          <w:szCs w:val="32"/>
          <w:highlight w:val="none"/>
          <w:lang w:val="en-US" w:eastAsia="zh-CN"/>
        </w:rPr>
        <w:t>21.19</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增长</w:t>
      </w:r>
      <w:r>
        <w:rPr>
          <w:rFonts w:hint="eastAsia" w:ascii="仿宋" w:hAnsi="仿宋" w:eastAsia="仿宋" w:cs="仿宋"/>
          <w:color w:val="auto"/>
          <w:kern w:val="0"/>
          <w:sz w:val="32"/>
          <w:szCs w:val="32"/>
          <w:highlight w:val="none"/>
          <w:lang w:val="en-US" w:eastAsia="zh-CN"/>
        </w:rPr>
        <w:t>18.74%，</w:t>
      </w:r>
      <w:r>
        <w:rPr>
          <w:rFonts w:hint="eastAsia" w:ascii="仿宋" w:hAnsi="仿宋" w:eastAsia="仿宋" w:cs="仿宋"/>
          <w:color w:val="auto"/>
          <w:kern w:val="0"/>
          <w:sz w:val="32"/>
          <w:szCs w:val="32"/>
          <w:highlight w:val="none"/>
        </w:rPr>
        <w:t>主要原因是</w:t>
      </w:r>
      <w:r>
        <w:rPr>
          <w:rFonts w:hint="eastAsia" w:ascii="仿宋" w:hAnsi="仿宋" w:eastAsia="仿宋" w:cs="仿宋"/>
          <w:color w:val="auto"/>
          <w:kern w:val="0"/>
          <w:sz w:val="32"/>
          <w:szCs w:val="32"/>
          <w:highlight w:val="none"/>
          <w:lang w:val="en-US" w:eastAsia="zh-CN"/>
        </w:rPr>
        <w:t>上年基本工资调资导致</w:t>
      </w:r>
      <w:r>
        <w:rPr>
          <w:rFonts w:hint="eastAsia" w:ascii="仿宋" w:hAnsi="仿宋" w:eastAsia="仿宋" w:cs="仿宋"/>
          <w:color w:val="auto"/>
          <w:kern w:val="0"/>
          <w:sz w:val="32"/>
          <w:szCs w:val="32"/>
          <w:highlight w:val="none"/>
          <w:lang w:eastAsia="zh-CN"/>
        </w:rPr>
        <w:t>在职人员社保公积金基数进行了调整，</w:t>
      </w:r>
      <w:r>
        <w:rPr>
          <w:rFonts w:hint="eastAsia" w:ascii="仿宋" w:hAnsi="仿宋" w:eastAsia="仿宋" w:cs="仿宋"/>
          <w:color w:val="auto"/>
          <w:kern w:val="0"/>
          <w:sz w:val="32"/>
          <w:szCs w:val="32"/>
          <w:highlight w:val="none"/>
          <w:lang w:val="en-US" w:eastAsia="zh-CN"/>
        </w:rPr>
        <w:t>因而</w:t>
      </w:r>
      <w:r>
        <w:rPr>
          <w:rFonts w:hint="eastAsia" w:ascii="仿宋" w:hAnsi="仿宋" w:eastAsia="仿宋" w:cs="仿宋"/>
          <w:color w:val="auto"/>
          <w:kern w:val="0"/>
          <w:sz w:val="32"/>
          <w:szCs w:val="32"/>
          <w:highlight w:val="none"/>
          <w:lang w:eastAsia="zh-CN"/>
        </w:rPr>
        <w:t>单位资金较上年增加。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财政拨款结转</w:t>
      </w:r>
      <w:r>
        <w:rPr>
          <w:rFonts w:hint="eastAsia" w:ascii="仿宋" w:hAnsi="仿宋" w:eastAsia="仿宋" w:cs="仿宋"/>
          <w:color w:val="auto"/>
          <w:kern w:val="0"/>
          <w:sz w:val="32"/>
          <w:szCs w:val="32"/>
          <w:highlight w:val="none"/>
          <w:lang w:val="en-US" w:eastAsia="zh-CN"/>
        </w:rPr>
        <w:t>10.58</w:t>
      </w:r>
      <w:r>
        <w:rPr>
          <w:rFonts w:hint="eastAsia" w:ascii="仿宋" w:hAnsi="仿宋" w:eastAsia="仿宋" w:cs="仿宋"/>
          <w:color w:val="auto"/>
          <w:kern w:val="0"/>
          <w:sz w:val="32"/>
          <w:szCs w:val="32"/>
          <w:highlight w:val="none"/>
        </w:rPr>
        <w:t>万元，占</w:t>
      </w:r>
      <w:r>
        <w:rPr>
          <w:rFonts w:hint="eastAsia" w:ascii="仿宋" w:hAnsi="仿宋" w:eastAsia="仿宋" w:cs="仿宋"/>
          <w:color w:val="auto"/>
          <w:kern w:val="0"/>
          <w:sz w:val="32"/>
          <w:szCs w:val="32"/>
          <w:highlight w:val="none"/>
          <w:lang w:val="en-US" w:eastAsia="zh-CN"/>
        </w:rPr>
        <w:t>2.18</w:t>
      </w:r>
      <w:r>
        <w:rPr>
          <w:rFonts w:hint="eastAsia" w:ascii="仿宋" w:hAnsi="仿宋" w:eastAsia="仿宋" w:cs="仿宋"/>
          <w:color w:val="auto"/>
          <w:kern w:val="0"/>
          <w:sz w:val="32"/>
          <w:szCs w:val="32"/>
          <w:highlight w:val="none"/>
        </w:rPr>
        <w:t>%，比上年预算增加</w:t>
      </w:r>
      <w:r>
        <w:rPr>
          <w:rFonts w:hint="eastAsia" w:ascii="仿宋" w:hAnsi="仿宋" w:eastAsia="仿宋" w:cs="仿宋"/>
          <w:color w:val="auto"/>
          <w:kern w:val="0"/>
          <w:sz w:val="32"/>
          <w:szCs w:val="32"/>
          <w:highlight w:val="none"/>
          <w:lang w:val="en-US" w:eastAsia="zh-CN"/>
        </w:rPr>
        <w:t>3.81</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增长</w:t>
      </w:r>
      <w:r>
        <w:rPr>
          <w:rFonts w:hint="eastAsia" w:ascii="仿宋" w:hAnsi="仿宋" w:eastAsia="仿宋" w:cs="仿宋"/>
          <w:color w:val="auto"/>
          <w:kern w:val="0"/>
          <w:sz w:val="32"/>
          <w:szCs w:val="32"/>
          <w:highlight w:val="none"/>
          <w:lang w:val="en-US" w:eastAsia="zh-CN"/>
        </w:rPr>
        <w:t>56.28%，</w:t>
      </w:r>
      <w:r>
        <w:rPr>
          <w:rFonts w:hint="eastAsia" w:ascii="仿宋" w:hAnsi="仿宋" w:eastAsia="仿宋" w:cs="仿宋"/>
          <w:color w:val="auto"/>
          <w:kern w:val="0"/>
          <w:sz w:val="32"/>
          <w:szCs w:val="32"/>
          <w:highlight w:val="none"/>
        </w:rPr>
        <w:t>主要原因</w:t>
      </w:r>
      <w:r>
        <w:rPr>
          <w:rFonts w:hint="eastAsia" w:ascii="仿宋" w:hAnsi="仿宋" w:eastAsia="仿宋" w:cs="仿宋"/>
          <w:color w:val="auto"/>
          <w:kern w:val="0"/>
          <w:sz w:val="32"/>
          <w:szCs w:val="32"/>
          <w:highlight w:val="none"/>
          <w:lang w:val="en-US" w:eastAsia="zh-CN"/>
        </w:rPr>
        <w:t>2024年自聘教师工资补助资金和教师体检费资金支付进度较慢，结转金额增加，所以2024年结转到2025年的专项较上年结转金额增加。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kern w:val="0"/>
          <w:sz w:val="32"/>
          <w:szCs w:val="32"/>
          <w:lang w:eastAsia="zh-CN"/>
        </w:rPr>
        <w:t>呼图壁县</w:t>
      </w:r>
      <w:r>
        <w:rPr>
          <w:rFonts w:hint="eastAsia" w:ascii="楷体_GB2312" w:hAnsi="楷体_GB2312" w:eastAsia="楷体_GB2312" w:cs="楷体_GB2312"/>
          <w:b/>
          <w:color w:val="auto"/>
          <w:kern w:val="0"/>
          <w:sz w:val="32"/>
          <w:szCs w:val="32"/>
          <w:lang w:eastAsia="zh-CN"/>
        </w:rPr>
        <w:t>二十里店镇</w:t>
      </w:r>
      <w:r>
        <w:rPr>
          <w:rFonts w:hint="eastAsia" w:ascii="楷体_GB2312" w:hAnsi="楷体_GB2312" w:eastAsia="楷体_GB2312" w:cs="楷体_GB2312"/>
          <w:b/>
          <w:kern w:val="0"/>
          <w:sz w:val="32"/>
          <w:szCs w:val="32"/>
          <w:lang w:eastAsia="zh-CN"/>
        </w:rPr>
        <w:t>中心幼儿园</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Hans"/>
        </w:rPr>
      </w:pPr>
      <w:r>
        <w:rPr>
          <w:rFonts w:hint="eastAsia" w:ascii="仿宋" w:hAnsi="仿宋" w:eastAsia="仿宋" w:cs="仿宋"/>
          <w:color w:val="auto"/>
          <w:kern w:val="0"/>
          <w:sz w:val="32"/>
          <w:szCs w:val="32"/>
          <w:highlight w:val="none"/>
          <w:lang w:val="en-US" w:eastAsia="zh-CN"/>
        </w:rPr>
        <w:t>呼图壁县二十里店镇中心幼儿园2025</w:t>
      </w:r>
      <w:r>
        <w:rPr>
          <w:rFonts w:hint="eastAsia" w:ascii="仿宋" w:hAnsi="仿宋" w:eastAsia="仿宋" w:cs="仿宋"/>
          <w:color w:val="auto"/>
          <w:kern w:val="0"/>
          <w:sz w:val="32"/>
          <w:szCs w:val="32"/>
          <w:highlight w:val="none"/>
          <w:lang w:val="en-US" w:eastAsia="zh-Hans"/>
        </w:rPr>
        <w:t>年支出预算</w:t>
      </w:r>
      <w:r>
        <w:rPr>
          <w:rFonts w:hint="eastAsia" w:ascii="仿宋" w:hAnsi="仿宋" w:eastAsia="仿宋" w:cs="仿宋"/>
          <w:color w:val="auto"/>
          <w:kern w:val="0"/>
          <w:sz w:val="32"/>
          <w:szCs w:val="32"/>
          <w:highlight w:val="none"/>
          <w:lang w:val="en-US" w:eastAsia="zh-CN"/>
        </w:rPr>
        <w:t>484.25万</w:t>
      </w:r>
      <w:r>
        <w:rPr>
          <w:rFonts w:hint="eastAsia" w:ascii="仿宋" w:hAnsi="仿宋" w:eastAsia="仿宋" w:cs="仿宋"/>
          <w:color w:val="auto"/>
          <w:kern w:val="0"/>
          <w:sz w:val="32"/>
          <w:szCs w:val="32"/>
          <w:highlight w:val="none"/>
          <w:lang w:val="en-US" w:eastAsia="zh-Hans"/>
        </w:rPr>
        <w:t>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Hans"/>
        </w:rPr>
      </w:pPr>
      <w:r>
        <w:rPr>
          <w:rFonts w:hint="eastAsia" w:ascii="仿宋" w:hAnsi="仿宋" w:eastAsia="仿宋" w:cs="仿宋"/>
          <w:color w:val="auto"/>
          <w:kern w:val="0"/>
          <w:sz w:val="32"/>
          <w:szCs w:val="32"/>
          <w:highlight w:val="none"/>
          <w:lang w:val="en-US" w:eastAsia="zh-Hans"/>
        </w:rPr>
        <w:t>基本支出</w:t>
      </w:r>
      <w:r>
        <w:rPr>
          <w:rFonts w:hint="eastAsia" w:ascii="仿宋" w:hAnsi="仿宋" w:eastAsia="仿宋" w:cs="仿宋"/>
          <w:color w:val="auto"/>
          <w:kern w:val="0"/>
          <w:sz w:val="32"/>
          <w:szCs w:val="32"/>
          <w:highlight w:val="none"/>
          <w:lang w:val="en-US" w:eastAsia="zh-CN"/>
        </w:rPr>
        <w:t>452.33</w:t>
      </w:r>
      <w:r>
        <w:rPr>
          <w:rFonts w:hint="eastAsia" w:ascii="仿宋" w:hAnsi="仿宋" w:eastAsia="仿宋" w:cs="仿宋"/>
          <w:color w:val="auto"/>
          <w:kern w:val="0"/>
          <w:sz w:val="32"/>
          <w:szCs w:val="32"/>
          <w:highlight w:val="none"/>
          <w:lang w:val="en-US" w:eastAsia="zh-Hans"/>
        </w:rPr>
        <w:t>万元，</w:t>
      </w:r>
      <w:r>
        <w:rPr>
          <w:rFonts w:hint="eastAsia" w:ascii="仿宋" w:hAnsi="仿宋" w:eastAsia="仿宋" w:cs="仿宋"/>
          <w:color w:val="auto"/>
          <w:kern w:val="0"/>
          <w:sz w:val="32"/>
          <w:szCs w:val="32"/>
          <w:highlight w:val="none"/>
          <w:lang w:val="en-US" w:eastAsia="zh-CN"/>
        </w:rPr>
        <w:t>占93.41</w:t>
      </w:r>
      <w:r>
        <w:rPr>
          <w:rFonts w:hint="eastAsia" w:ascii="仿宋" w:hAnsi="仿宋" w:eastAsia="仿宋" w:cs="仿宋"/>
          <w:color w:val="auto"/>
          <w:kern w:val="0"/>
          <w:sz w:val="32"/>
          <w:szCs w:val="32"/>
          <w:highlight w:val="none"/>
          <w:lang w:val="en-US" w:eastAsia="zh-Hans"/>
        </w:rPr>
        <w:t>%，比上年预算</w:t>
      </w:r>
      <w:r>
        <w:rPr>
          <w:rFonts w:hint="eastAsia" w:ascii="仿宋" w:hAnsi="仿宋" w:eastAsia="仿宋" w:cs="仿宋"/>
          <w:color w:val="auto"/>
          <w:kern w:val="0"/>
          <w:sz w:val="32"/>
          <w:szCs w:val="32"/>
          <w:highlight w:val="none"/>
          <w:lang w:val="en-US" w:eastAsia="zh-CN"/>
        </w:rPr>
        <w:t>增加</w:t>
      </w:r>
      <w:r>
        <w:rPr>
          <w:rFonts w:hint="eastAsia" w:ascii="仿宋" w:hAnsi="仿宋" w:eastAsia="仿宋" w:cs="仿宋"/>
          <w:color w:val="auto"/>
          <w:kern w:val="0"/>
          <w:sz w:val="32"/>
          <w:szCs w:val="32"/>
          <w:highlight w:val="none"/>
          <w:lang w:val="en-US" w:eastAsia="zh-Hans"/>
        </w:rPr>
        <w:t xml:space="preserve">   </w:t>
      </w:r>
      <w:r>
        <w:rPr>
          <w:rFonts w:hint="eastAsia" w:ascii="仿宋" w:hAnsi="仿宋" w:eastAsia="仿宋" w:cs="仿宋"/>
          <w:color w:val="auto"/>
          <w:kern w:val="0"/>
          <w:sz w:val="32"/>
          <w:szCs w:val="32"/>
          <w:highlight w:val="none"/>
          <w:lang w:val="en-US" w:eastAsia="zh-CN"/>
        </w:rPr>
        <w:t>11.8</w:t>
      </w:r>
      <w:r>
        <w:rPr>
          <w:rFonts w:hint="eastAsia" w:ascii="仿宋" w:hAnsi="仿宋" w:eastAsia="仿宋" w:cs="仿宋"/>
          <w:color w:val="auto"/>
          <w:kern w:val="0"/>
          <w:sz w:val="32"/>
          <w:szCs w:val="32"/>
          <w:highlight w:val="none"/>
          <w:lang w:val="en-US" w:eastAsia="zh-Hans"/>
        </w:rPr>
        <w:t>万元，</w:t>
      </w:r>
      <w:r>
        <w:rPr>
          <w:rFonts w:hint="eastAsia" w:ascii="仿宋" w:hAnsi="仿宋" w:eastAsia="仿宋" w:cs="仿宋"/>
          <w:color w:val="auto"/>
          <w:kern w:val="0"/>
          <w:sz w:val="32"/>
          <w:szCs w:val="32"/>
          <w:highlight w:val="none"/>
          <w:lang w:val="en-US" w:eastAsia="zh-CN"/>
        </w:rPr>
        <w:t>增长2.68 %，</w:t>
      </w:r>
      <w:r>
        <w:rPr>
          <w:rFonts w:hint="eastAsia" w:ascii="仿宋" w:hAnsi="仿宋" w:eastAsia="仿宋" w:cs="仿宋"/>
          <w:color w:val="auto"/>
          <w:kern w:val="0"/>
          <w:sz w:val="32"/>
          <w:szCs w:val="32"/>
          <w:highlight w:val="none"/>
          <w:lang w:val="en-US" w:eastAsia="zh-Hans"/>
        </w:rPr>
        <w:t>主要原因是</w:t>
      </w:r>
      <w:r>
        <w:rPr>
          <w:rFonts w:hint="eastAsia" w:ascii="仿宋" w:hAnsi="仿宋" w:eastAsia="仿宋" w:cs="仿宋"/>
          <w:color w:val="auto"/>
          <w:kern w:val="0"/>
          <w:sz w:val="32"/>
          <w:szCs w:val="32"/>
          <w:highlight w:val="none"/>
          <w:lang w:val="en-US" w:eastAsia="zh-CN"/>
        </w:rPr>
        <w:t>上年基本工资调资导致在职人员社保公积金基数进行了调整，因而基本支出增加</w:t>
      </w:r>
      <w:r>
        <w:rPr>
          <w:rFonts w:hint="eastAsia" w:ascii="仿宋" w:hAnsi="仿宋" w:eastAsia="仿宋" w:cs="仿宋"/>
          <w:color w:val="auto"/>
          <w:kern w:val="0"/>
          <w:sz w:val="32"/>
          <w:szCs w:val="32"/>
          <w:highlight w:val="none"/>
          <w:lang w:val="en-US" w:eastAsia="zh-Hans"/>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Hans"/>
        </w:rPr>
      </w:pPr>
      <w:r>
        <w:rPr>
          <w:rFonts w:hint="eastAsia" w:ascii="仿宋" w:hAnsi="仿宋" w:eastAsia="仿宋" w:cs="仿宋"/>
          <w:color w:val="auto"/>
          <w:kern w:val="0"/>
          <w:sz w:val="32"/>
          <w:szCs w:val="32"/>
          <w:highlight w:val="none"/>
          <w:lang w:val="en-US" w:eastAsia="zh-Hans"/>
        </w:rPr>
        <w:t>项目支出</w:t>
      </w:r>
      <w:r>
        <w:rPr>
          <w:rFonts w:hint="eastAsia" w:ascii="仿宋" w:hAnsi="仿宋" w:eastAsia="仿宋" w:cs="仿宋"/>
          <w:color w:val="auto"/>
          <w:kern w:val="0"/>
          <w:sz w:val="32"/>
          <w:szCs w:val="32"/>
          <w:highlight w:val="none"/>
          <w:lang w:val="en-US" w:eastAsia="zh-CN"/>
        </w:rPr>
        <w:t>31.92</w:t>
      </w:r>
      <w:r>
        <w:rPr>
          <w:rFonts w:hint="eastAsia" w:ascii="仿宋" w:hAnsi="仿宋" w:eastAsia="仿宋" w:cs="仿宋"/>
          <w:color w:val="auto"/>
          <w:kern w:val="0"/>
          <w:sz w:val="32"/>
          <w:szCs w:val="32"/>
          <w:highlight w:val="none"/>
          <w:lang w:val="en-US" w:eastAsia="zh-Hans"/>
        </w:rPr>
        <w:t>万元，占</w:t>
      </w:r>
      <w:r>
        <w:rPr>
          <w:rFonts w:hint="eastAsia" w:ascii="仿宋" w:hAnsi="仿宋" w:eastAsia="仿宋" w:cs="仿宋"/>
          <w:color w:val="auto"/>
          <w:kern w:val="0"/>
          <w:sz w:val="32"/>
          <w:szCs w:val="32"/>
          <w:highlight w:val="none"/>
          <w:lang w:val="en-US" w:eastAsia="zh-CN"/>
        </w:rPr>
        <w:t>6.59</w:t>
      </w:r>
      <w:r>
        <w:rPr>
          <w:rFonts w:hint="eastAsia" w:ascii="仿宋" w:hAnsi="仿宋" w:eastAsia="仿宋" w:cs="仿宋"/>
          <w:color w:val="auto"/>
          <w:kern w:val="0"/>
          <w:sz w:val="32"/>
          <w:szCs w:val="32"/>
          <w:highlight w:val="none"/>
          <w:lang w:val="en-US" w:eastAsia="zh-Hans"/>
        </w:rPr>
        <w:t>%，比上年预算增加</w:t>
      </w:r>
      <w:r>
        <w:rPr>
          <w:rFonts w:hint="eastAsia" w:ascii="仿宋" w:hAnsi="仿宋" w:eastAsia="仿宋" w:cs="仿宋"/>
          <w:color w:val="auto"/>
          <w:kern w:val="0"/>
          <w:sz w:val="32"/>
          <w:szCs w:val="32"/>
          <w:highlight w:val="none"/>
          <w:lang w:val="en-US" w:eastAsia="zh-CN"/>
        </w:rPr>
        <w:t>4.59</w:t>
      </w:r>
      <w:r>
        <w:rPr>
          <w:rFonts w:hint="eastAsia" w:ascii="仿宋" w:hAnsi="仿宋" w:eastAsia="仿宋" w:cs="仿宋"/>
          <w:color w:val="auto"/>
          <w:kern w:val="0"/>
          <w:sz w:val="32"/>
          <w:szCs w:val="32"/>
          <w:highlight w:val="none"/>
          <w:lang w:val="en-US" w:eastAsia="zh-Hans"/>
        </w:rPr>
        <w:t xml:space="preserve">  万元，</w:t>
      </w:r>
      <w:r>
        <w:rPr>
          <w:rFonts w:hint="eastAsia" w:ascii="仿宋" w:hAnsi="仿宋" w:eastAsia="仿宋" w:cs="仿宋"/>
          <w:color w:val="auto"/>
          <w:kern w:val="0"/>
          <w:sz w:val="32"/>
          <w:szCs w:val="32"/>
          <w:highlight w:val="none"/>
          <w:lang w:val="en-US" w:eastAsia="zh-CN"/>
        </w:rPr>
        <w:t>增长16.79%，</w:t>
      </w:r>
      <w:r>
        <w:rPr>
          <w:rFonts w:hint="eastAsia" w:ascii="仿宋" w:hAnsi="仿宋" w:eastAsia="仿宋" w:cs="仿宋"/>
          <w:color w:val="auto"/>
          <w:kern w:val="0"/>
          <w:sz w:val="32"/>
          <w:szCs w:val="32"/>
          <w:highlight w:val="none"/>
          <w:lang w:val="en-US" w:eastAsia="zh-Hans"/>
        </w:rPr>
        <w:t>主要原因是</w:t>
      </w:r>
      <w:r>
        <w:rPr>
          <w:rFonts w:hint="eastAsia" w:ascii="仿宋" w:hAnsi="仿宋" w:eastAsia="仿宋" w:cs="仿宋"/>
          <w:color w:val="auto"/>
          <w:kern w:val="0"/>
          <w:sz w:val="32"/>
          <w:szCs w:val="32"/>
          <w:highlight w:val="none"/>
          <w:lang w:val="en-US" w:eastAsia="zh-CN"/>
        </w:rPr>
        <w:t>本年新增了一个项目因而项目支出较上年有所增加</w:t>
      </w:r>
      <w:r>
        <w:rPr>
          <w:rFonts w:hint="eastAsia" w:ascii="仿宋" w:hAnsi="仿宋" w:eastAsia="仿宋" w:cs="仿宋"/>
          <w:color w:val="auto"/>
          <w:kern w:val="0"/>
          <w:sz w:val="32"/>
          <w:szCs w:val="32"/>
          <w:highlight w:val="none"/>
          <w:lang w:val="en-US"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kern w:val="0"/>
          <w:sz w:val="32"/>
          <w:szCs w:val="32"/>
          <w:lang w:eastAsia="zh-CN"/>
        </w:rPr>
        <w:t>呼图壁县</w:t>
      </w:r>
      <w:r>
        <w:rPr>
          <w:rFonts w:hint="eastAsia" w:ascii="楷体_GB2312" w:hAnsi="楷体_GB2312" w:eastAsia="楷体_GB2312" w:cs="楷体_GB2312"/>
          <w:b/>
          <w:color w:val="auto"/>
          <w:kern w:val="0"/>
          <w:sz w:val="32"/>
          <w:szCs w:val="32"/>
          <w:lang w:eastAsia="zh-CN"/>
        </w:rPr>
        <w:t>二十里店镇</w:t>
      </w:r>
      <w:r>
        <w:rPr>
          <w:rFonts w:hint="eastAsia" w:ascii="楷体_GB2312" w:hAnsi="楷体_GB2312" w:eastAsia="楷体_GB2312" w:cs="楷体_GB2312"/>
          <w:b/>
          <w:bCs/>
          <w:kern w:val="0"/>
          <w:sz w:val="32"/>
          <w:szCs w:val="32"/>
          <w:lang w:eastAsia="zh-CN"/>
        </w:rPr>
        <w:t>中心幼儿园</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Hans"/>
        </w:rPr>
      </w:pPr>
      <w:r>
        <w:rPr>
          <w:rFonts w:hint="eastAsia" w:ascii="仿宋" w:hAnsi="仿宋" w:eastAsia="仿宋" w:cs="仿宋"/>
          <w:color w:val="auto"/>
          <w:kern w:val="0"/>
          <w:sz w:val="32"/>
          <w:szCs w:val="32"/>
          <w:highlight w:val="none"/>
          <w:lang w:val="en-US" w:eastAsia="zh-CN"/>
        </w:rPr>
        <w:t>2025</w:t>
      </w:r>
      <w:r>
        <w:rPr>
          <w:rFonts w:hint="eastAsia" w:ascii="仿宋" w:hAnsi="仿宋" w:eastAsia="仿宋" w:cs="仿宋"/>
          <w:color w:val="auto"/>
          <w:kern w:val="0"/>
          <w:sz w:val="32"/>
          <w:szCs w:val="32"/>
          <w:highlight w:val="none"/>
          <w:lang w:val="en-US" w:eastAsia="zh-Hans"/>
        </w:rPr>
        <w:t>年财政拨款收支总预算</w:t>
      </w:r>
      <w:r>
        <w:rPr>
          <w:rFonts w:hint="eastAsia" w:ascii="仿宋" w:hAnsi="仿宋" w:eastAsia="仿宋" w:cs="仿宋"/>
          <w:color w:val="auto"/>
          <w:kern w:val="0"/>
          <w:sz w:val="32"/>
          <w:szCs w:val="32"/>
          <w:highlight w:val="none"/>
          <w:lang w:val="en-US" w:eastAsia="zh-CN"/>
        </w:rPr>
        <w:t>339.41</w:t>
      </w:r>
      <w:r>
        <w:rPr>
          <w:rFonts w:hint="eastAsia" w:ascii="仿宋" w:hAnsi="仿宋" w:eastAsia="仿宋" w:cs="仿宋"/>
          <w:color w:val="auto"/>
          <w:kern w:val="0"/>
          <w:sz w:val="32"/>
          <w:szCs w:val="32"/>
          <w:highlight w:val="none"/>
          <w:lang w:val="en-US" w:eastAsia="zh-Hans"/>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Hans"/>
        </w:rPr>
      </w:pPr>
      <w:r>
        <w:rPr>
          <w:rFonts w:hint="eastAsia" w:ascii="仿宋" w:hAnsi="仿宋" w:eastAsia="仿宋" w:cs="仿宋"/>
          <w:color w:val="auto"/>
          <w:kern w:val="0"/>
          <w:sz w:val="32"/>
          <w:szCs w:val="32"/>
          <w:highlight w:val="none"/>
          <w:lang w:val="en-US" w:eastAsia="zh-Hans"/>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Hans"/>
        </w:rPr>
      </w:pPr>
      <w:r>
        <w:rPr>
          <w:rFonts w:hint="eastAsia" w:ascii="仿宋" w:hAnsi="仿宋" w:eastAsia="仿宋" w:cs="仿宋"/>
          <w:color w:val="auto"/>
          <w:kern w:val="0"/>
          <w:sz w:val="32"/>
          <w:szCs w:val="32"/>
          <w:highlight w:val="none"/>
          <w:lang w:val="en-US" w:eastAsia="zh-Hans"/>
        </w:rPr>
        <w:t>收入预算包括：一般公共预算拨款</w:t>
      </w:r>
      <w:r>
        <w:rPr>
          <w:rFonts w:hint="eastAsia" w:ascii="仿宋" w:hAnsi="仿宋" w:eastAsia="仿宋" w:cs="仿宋"/>
          <w:color w:val="auto"/>
          <w:kern w:val="0"/>
          <w:sz w:val="32"/>
          <w:szCs w:val="32"/>
          <w:highlight w:val="none"/>
          <w:lang w:val="en-US" w:eastAsia="zh-CN"/>
        </w:rPr>
        <w:t>339.41</w:t>
      </w:r>
      <w:r>
        <w:rPr>
          <w:rFonts w:hint="eastAsia" w:ascii="仿宋" w:hAnsi="仿宋" w:eastAsia="仿宋" w:cs="仿宋"/>
          <w:color w:val="auto"/>
          <w:kern w:val="0"/>
          <w:sz w:val="32"/>
          <w:szCs w:val="32"/>
          <w:highlight w:val="none"/>
          <w:lang w:val="en-US" w:eastAsia="zh-Hans"/>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Hans"/>
        </w:rPr>
      </w:pPr>
      <w:r>
        <w:rPr>
          <w:rFonts w:hint="eastAsia" w:ascii="仿宋" w:hAnsi="仿宋" w:eastAsia="仿宋" w:cs="仿宋"/>
          <w:color w:val="auto"/>
          <w:kern w:val="0"/>
          <w:sz w:val="32"/>
          <w:szCs w:val="32"/>
          <w:highlight w:val="none"/>
          <w:lang w:val="en-US" w:eastAsia="zh-Hans"/>
        </w:rPr>
        <w:t>一般公共预算支出包括：</w:t>
      </w:r>
      <w:r>
        <w:rPr>
          <w:rFonts w:hint="eastAsia" w:ascii="仿宋" w:hAnsi="仿宋" w:eastAsia="仿宋" w:cs="仿宋"/>
          <w:color w:val="auto"/>
          <w:kern w:val="0"/>
          <w:sz w:val="32"/>
          <w:szCs w:val="32"/>
          <w:highlight w:val="none"/>
          <w:lang w:val="en-US" w:eastAsia="zh-CN"/>
        </w:rPr>
        <w:t>教育</w:t>
      </w:r>
      <w:r>
        <w:rPr>
          <w:rFonts w:hint="eastAsia" w:ascii="仿宋" w:hAnsi="仿宋" w:eastAsia="仿宋" w:cs="仿宋"/>
          <w:color w:val="auto"/>
          <w:kern w:val="0"/>
          <w:sz w:val="32"/>
          <w:szCs w:val="32"/>
          <w:highlight w:val="none"/>
          <w:lang w:val="en-US" w:eastAsia="zh-Hans"/>
        </w:rPr>
        <w:t>支出</w:t>
      </w:r>
      <w:r>
        <w:rPr>
          <w:rFonts w:hint="eastAsia" w:ascii="仿宋" w:hAnsi="仿宋" w:eastAsia="仿宋" w:cs="仿宋"/>
          <w:color w:val="auto"/>
          <w:kern w:val="0"/>
          <w:sz w:val="32"/>
          <w:szCs w:val="32"/>
          <w:highlight w:val="none"/>
          <w:lang w:val="en-US" w:eastAsia="zh-CN"/>
        </w:rPr>
        <w:t>339.41</w:t>
      </w:r>
      <w:r>
        <w:rPr>
          <w:rFonts w:hint="eastAsia" w:ascii="仿宋" w:hAnsi="仿宋" w:eastAsia="仿宋" w:cs="仿宋"/>
          <w:color w:val="auto"/>
          <w:kern w:val="0"/>
          <w:sz w:val="32"/>
          <w:szCs w:val="32"/>
          <w:highlight w:val="none"/>
          <w:lang w:val="en-US" w:eastAsia="zh-Hans"/>
        </w:rPr>
        <w:t>万元，主要用于</w:t>
      </w:r>
      <w:r>
        <w:rPr>
          <w:rFonts w:hint="eastAsia" w:ascii="仿宋" w:hAnsi="仿宋" w:eastAsia="仿宋" w:cs="仿宋"/>
          <w:color w:val="auto"/>
          <w:kern w:val="0"/>
          <w:sz w:val="32"/>
          <w:szCs w:val="32"/>
          <w:highlight w:val="none"/>
          <w:lang w:val="en-US" w:eastAsia="zh-CN"/>
        </w:rPr>
        <w:t>教职工工资及津贴补贴、幼儿保障经费</w:t>
      </w:r>
      <w:r>
        <w:rPr>
          <w:rFonts w:hint="eastAsia" w:ascii="仿宋" w:hAnsi="仿宋" w:eastAsia="仿宋" w:cs="仿宋"/>
          <w:color w:val="auto"/>
          <w:kern w:val="0"/>
          <w:sz w:val="32"/>
          <w:szCs w:val="32"/>
          <w:highlight w:val="none"/>
          <w:lang w:val="en-US"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lang w:eastAsia="zh-CN"/>
        </w:rPr>
        <w:t>呼图壁县</w:t>
      </w:r>
      <w:r>
        <w:rPr>
          <w:rFonts w:hint="eastAsia" w:ascii="楷体_GB2312" w:hAnsi="楷体_GB2312" w:eastAsia="楷体_GB2312" w:cs="楷体_GB2312"/>
          <w:b/>
          <w:color w:val="auto"/>
          <w:kern w:val="0"/>
          <w:sz w:val="32"/>
          <w:szCs w:val="32"/>
          <w:lang w:eastAsia="zh-CN"/>
        </w:rPr>
        <w:t>二十里店镇</w:t>
      </w:r>
      <w:r>
        <w:rPr>
          <w:rFonts w:hint="eastAsia" w:ascii="楷体_GB2312" w:hAnsi="楷体_GB2312" w:eastAsia="楷体_GB2312" w:cs="楷体_GB2312"/>
          <w:b/>
          <w:bCs/>
          <w:kern w:val="0"/>
          <w:sz w:val="32"/>
          <w:szCs w:val="32"/>
          <w:lang w:eastAsia="zh-CN"/>
        </w:rPr>
        <w:t>中心幼儿园</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呼图壁县二十里店镇中心幼儿园2025年一般公共预算拨款合计339.41万元，其中：基本支出318.07万元，比上年预算减少9.38万元，下降2.86%。主要原因是本年幼儿人数减少导致本级运转公用经费减少。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项目支出21.35万元，比上年预算增加0.79万元，增长3.84%。主要原因是本年新增了一个项目导致项目支出较上年有所增加。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 w:hAnsi="仿宋" w:eastAsia="仿宋" w:cs="仿宋"/>
          <w:color w:val="auto"/>
          <w:kern w:val="0"/>
          <w:sz w:val="32"/>
          <w:szCs w:val="32"/>
          <w:highlight w:val="none"/>
          <w:lang w:val="en-US" w:eastAsia="zh-CN"/>
        </w:rPr>
        <w:t>1.教育支出（类）339.41万元，占100%</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 xml:space="preserve">1.教育支出（类）普通教育（款）学前教育（项）:2025年预算数为339.41万元，比上年预算减少8.6万元，下降2.47%，主要原因是本年幼儿人数减少导致本级公用经费和上级安排公用经费减少，所以此科目较上年总体减少。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spacing w:val="-6"/>
          <w:kern w:val="0"/>
          <w:sz w:val="32"/>
          <w:szCs w:val="32"/>
          <w:lang w:eastAsia="zh-CN"/>
        </w:rPr>
        <w:t>呼图壁县</w:t>
      </w:r>
      <w:r>
        <w:rPr>
          <w:rFonts w:hint="eastAsia" w:ascii="楷体_GB2312" w:hAnsi="楷体_GB2312" w:eastAsia="楷体_GB2312" w:cs="楷体_GB2312"/>
          <w:b/>
          <w:color w:val="auto"/>
          <w:kern w:val="0"/>
          <w:sz w:val="32"/>
          <w:szCs w:val="32"/>
          <w:lang w:eastAsia="zh-CN"/>
        </w:rPr>
        <w:t>二十里店镇</w:t>
      </w:r>
      <w:r>
        <w:rPr>
          <w:rFonts w:hint="eastAsia" w:ascii="楷体_GB2312" w:hAnsi="楷体_GB2312" w:eastAsia="楷体_GB2312" w:cs="楷体_GB2312"/>
          <w:b/>
          <w:bCs/>
          <w:spacing w:val="-6"/>
          <w:kern w:val="0"/>
          <w:sz w:val="32"/>
          <w:szCs w:val="32"/>
          <w:lang w:eastAsia="zh-CN"/>
        </w:rPr>
        <w:t>中心幼儿园</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呼图壁县二十里店镇中心幼儿园2025年一般公共预算基本支出318.07万元， 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人员经费192.38万元，主要包括：基本工资、津贴补贴、奖金、绩效工资、机关事业单位基本养老保险缴费、职工基本医疗保险缴费、公务员医疗补助缴费、其他社会保障缴费、住房公积金。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FF0000"/>
          <w:kern w:val="0"/>
          <w:sz w:val="32"/>
          <w:szCs w:val="32"/>
          <w:highlight w:val="none"/>
        </w:rPr>
      </w:pPr>
      <w:r>
        <w:rPr>
          <w:rFonts w:hint="eastAsia" w:ascii="仿宋" w:hAnsi="仿宋" w:eastAsia="仿宋" w:cs="仿宋"/>
          <w:color w:val="auto"/>
          <w:kern w:val="0"/>
          <w:sz w:val="32"/>
          <w:szCs w:val="32"/>
          <w:highlight w:val="none"/>
          <w:lang w:val="en-US" w:eastAsia="zh-CN"/>
        </w:rPr>
        <w:t>公用经费125.69万元，主要包括：办公费、邮电费、取暖费、物业管理费、维修（护）费、培训费、劳务费、委托业务费、工会经费。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lang w:eastAsia="zh-CN"/>
        </w:rPr>
        <w:t>呼图壁县</w:t>
      </w:r>
      <w:r>
        <w:rPr>
          <w:rFonts w:hint="eastAsia" w:ascii="楷体_GB2312" w:hAnsi="楷体_GB2312" w:eastAsia="楷体_GB2312" w:cs="楷体_GB2312"/>
          <w:b/>
          <w:color w:val="auto"/>
          <w:kern w:val="0"/>
          <w:sz w:val="32"/>
          <w:szCs w:val="32"/>
          <w:lang w:eastAsia="zh-CN"/>
        </w:rPr>
        <w:t>二十里店镇</w:t>
      </w:r>
      <w:r>
        <w:rPr>
          <w:rFonts w:hint="eastAsia" w:ascii="楷体_GB2312" w:hAnsi="楷体_GB2312" w:eastAsia="楷体_GB2312" w:cs="楷体_GB2312"/>
          <w:b/>
          <w:bCs/>
          <w:kern w:val="0"/>
          <w:sz w:val="32"/>
          <w:szCs w:val="32"/>
          <w:lang w:eastAsia="zh-CN"/>
        </w:rPr>
        <w:t>中心幼儿园</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（一）项目名称：2025年新疆西藏等地区教育特殊补助资金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设立的政策依据：昌州财教【2024】88号-《关于提前下达2025年新疆西藏等地区教育特殊补助资金的通知》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预算安排规模：7.74万元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项目承担单位：呼图壁县二十里店镇中心幼儿园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资金分配情况：用于支付电费3万元、水费3万元，取暖费1.24万元、购买办公用品0.5万元，共计7.74万元。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（二）项目名称：2025年生均公用经费-保民生</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设立的政策依据：《关于修订&lt;新疆维吾尔自治区城乡义务教育“两免一补”资金管理办法&gt;的通知》(新财规[2020]10号）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预算安排规模：5.14万元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项目承担单位：呼图壁县二十里店镇中心幼儿园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资金分配情况：5.14万元全部用于幼儿伙食费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（三）项目名称：2025年教育补助项目经费-自聘教师工资补助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设立的政策依据：昌州财教【2024】100号-《关于提前下达2025年教育补助项目经费预算的通知》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预算安排规模：8.47万元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项目承担单位：呼图壁县二十里店镇中心幼儿园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资金分配情况：8.47万元全部用于自聘教师工资补助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资金来源：上级一般转移支付收入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补贴人数：4人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补贴标准：1764元/人/月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补贴范围：幼儿园自聘教师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补贴方式：每月将工资发放至教师个人银行卡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发放程序：每月实发工资由教育局发放至个人账户，社保公积金拨付至学校，由学校代为缴纳</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受益人群和社会效益：受益人群为同工同酬教师，社会效益为不断提升教师队伍，有效保障教师待遇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w:t>
      </w:r>
      <w:r>
        <w:rPr>
          <w:rFonts w:hint="eastAsia" w:ascii="楷体_GB2312" w:hAnsi="楷体_GB2312" w:eastAsia="楷体_GB2312" w:cs="楷体_GB2312"/>
          <w:b/>
          <w:color w:val="auto"/>
          <w:kern w:val="0"/>
          <w:sz w:val="32"/>
          <w:szCs w:val="32"/>
          <w:lang w:eastAsia="zh-CN"/>
        </w:rPr>
        <w:t>二十里店镇</w:t>
      </w:r>
      <w:r>
        <w:rPr>
          <w:rFonts w:hint="eastAsia" w:ascii="楷体_GB2312" w:hAnsi="楷体_GB2312" w:eastAsia="楷体_GB2312" w:cs="楷体_GB2312"/>
          <w:b/>
          <w:bCs/>
          <w:kern w:val="0"/>
          <w:sz w:val="32"/>
          <w:szCs w:val="32"/>
          <w:lang w:eastAsia="zh-CN"/>
        </w:rPr>
        <w:t>中心幼儿园</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呼图壁县二十里店镇中心幼儿园2025年没有使用政府性基金预算拨款安排的支出，政府性基金预算支出情况表为空表。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w:t>
      </w:r>
      <w:r>
        <w:rPr>
          <w:rFonts w:hint="eastAsia" w:ascii="楷体_GB2312" w:hAnsi="楷体_GB2312" w:eastAsia="楷体_GB2312" w:cs="楷体_GB2312"/>
          <w:b/>
          <w:color w:val="auto"/>
          <w:kern w:val="0"/>
          <w:sz w:val="32"/>
          <w:szCs w:val="32"/>
          <w:lang w:eastAsia="zh-CN"/>
        </w:rPr>
        <w:t>二十里店镇</w:t>
      </w:r>
      <w:r>
        <w:rPr>
          <w:rFonts w:hint="eastAsia" w:ascii="楷体_GB2312" w:hAnsi="楷体_GB2312" w:eastAsia="楷体_GB2312" w:cs="楷体_GB2312"/>
          <w:b/>
          <w:bCs/>
          <w:kern w:val="0"/>
          <w:sz w:val="32"/>
          <w:szCs w:val="32"/>
          <w:lang w:eastAsia="zh-CN"/>
        </w:rPr>
        <w:t>中心幼儿园</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呼图壁县二十里店镇中心幼儿园2025年没有使用国有资本经营预算拨款安排的支出，国有资本经营预算支出情况表为空表。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w:t>
      </w:r>
      <w:r>
        <w:rPr>
          <w:rFonts w:hint="eastAsia" w:ascii="楷体_GB2312" w:hAnsi="楷体_GB2312" w:eastAsia="楷体_GB2312" w:cs="楷体_GB2312"/>
          <w:b/>
          <w:color w:val="auto"/>
          <w:kern w:val="0"/>
          <w:sz w:val="32"/>
          <w:szCs w:val="32"/>
          <w:lang w:eastAsia="zh-CN"/>
        </w:rPr>
        <w:t>二十里店镇</w:t>
      </w:r>
      <w:r>
        <w:rPr>
          <w:rFonts w:hint="eastAsia" w:ascii="楷体_GB2312" w:hAnsi="楷体_GB2312" w:eastAsia="楷体_GB2312" w:cs="楷体_GB2312"/>
          <w:b/>
          <w:bCs/>
          <w:kern w:val="0"/>
          <w:sz w:val="32"/>
          <w:szCs w:val="32"/>
          <w:lang w:eastAsia="zh-CN"/>
        </w:rPr>
        <w:t>中心幼儿园</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呼图壁县二十里店镇中心幼儿园2025年</w:t>
      </w:r>
      <w:r>
        <w:rPr>
          <w:rFonts w:hint="eastAsia" w:ascii="仿宋" w:hAnsi="仿宋" w:eastAsia="仿宋" w:cs="仿宋"/>
          <w:color w:val="auto"/>
          <w:kern w:val="0"/>
          <w:sz w:val="32"/>
          <w:szCs w:val="32"/>
          <w:highlight w:val="none"/>
          <w:lang w:val="en-US" w:eastAsia="zh-Hans"/>
        </w:rPr>
        <w:t>财政拨款</w:t>
      </w:r>
      <w:r>
        <w:rPr>
          <w:rFonts w:hint="eastAsia" w:ascii="仿宋" w:hAnsi="仿宋" w:eastAsia="仿宋" w:cs="仿宋"/>
          <w:color w:val="auto"/>
          <w:kern w:val="0"/>
          <w:sz w:val="32"/>
          <w:szCs w:val="32"/>
          <w:highlight w:val="none"/>
          <w:lang w:val="en-US" w:eastAsia="zh-CN"/>
        </w:rPr>
        <w:t>“三公”经费数为0万元，其中：因公出国（境）费0万元，公务用车购置费0万元，公务用车运行费0万元，公务接待费0万元。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w:t>
      </w:r>
      <w:r>
        <w:rPr>
          <w:rFonts w:hint="eastAsia" w:ascii="仿宋" w:hAnsi="仿宋" w:eastAsia="仿宋" w:cs="仿宋"/>
          <w:color w:val="auto"/>
          <w:kern w:val="0"/>
          <w:sz w:val="32"/>
          <w:szCs w:val="32"/>
          <w:highlight w:val="none"/>
          <w:lang w:val="en-US" w:eastAsia="zh-Hans"/>
        </w:rPr>
        <w:t>财政拨款</w:t>
      </w:r>
      <w:r>
        <w:rPr>
          <w:rFonts w:hint="eastAsia" w:ascii="仿宋" w:hAnsi="仿宋" w:eastAsia="仿宋" w:cs="仿宋"/>
          <w:color w:val="auto"/>
          <w:kern w:val="0"/>
          <w:sz w:val="32"/>
          <w:szCs w:val="32"/>
          <w:highlight w:val="none"/>
          <w:lang w:val="en-US" w:eastAsia="zh-CN"/>
        </w:rPr>
        <w:t>“三公”经费比上年</w:t>
      </w:r>
      <w:r>
        <w:rPr>
          <w:rFonts w:hint="eastAsia" w:ascii="仿宋" w:hAnsi="仿宋" w:eastAsia="仿宋" w:cs="仿宋"/>
          <w:color w:val="auto"/>
          <w:kern w:val="0"/>
          <w:sz w:val="32"/>
          <w:szCs w:val="32"/>
          <w:highlight w:val="none"/>
          <w:lang w:val="en-US" w:eastAsia="zh-Hans"/>
        </w:rPr>
        <w:t>预算</w:t>
      </w:r>
      <w:r>
        <w:rPr>
          <w:rFonts w:hint="eastAsia" w:ascii="仿宋" w:hAnsi="仿宋" w:eastAsia="仿宋" w:cs="仿宋"/>
          <w:color w:val="auto"/>
          <w:kern w:val="0"/>
          <w:sz w:val="32"/>
          <w:szCs w:val="32"/>
          <w:highlight w:val="none"/>
          <w:lang w:val="en-US" w:eastAsia="zh-CN"/>
        </w:rPr>
        <w:t>增加0万元，增长0 %，其中：因公出国（境）费增加0万元，增长0 %，主要原因是2024年和2025年均未安排；公务用车购置费增加0万元，增长0 %，主要原因是2024年和2025年均未安排公务用车购置费；公务用车运行费增加0万元，增长0%，主要原因是2024年和2025年均未安排公务用车运行费；公务接待费增加0万元，增长0 %，主要原因是2024年和2025年均未安排公务接待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w:t>
      </w:r>
      <w:r>
        <w:rPr>
          <w:rFonts w:hint="eastAsia" w:ascii="楷体_GB2312" w:hAnsi="楷体_GB2312" w:eastAsia="楷体_GB2312" w:cs="楷体_GB2312"/>
          <w:b/>
          <w:color w:val="auto"/>
          <w:kern w:val="0"/>
          <w:sz w:val="32"/>
          <w:szCs w:val="32"/>
          <w:lang w:eastAsia="zh-CN"/>
        </w:rPr>
        <w:t>二十里店镇</w:t>
      </w:r>
      <w:r>
        <w:rPr>
          <w:rFonts w:hint="eastAsia" w:ascii="楷体_GB2312" w:hAnsi="楷体_GB2312" w:eastAsia="楷体_GB2312" w:cs="楷体_GB2312"/>
          <w:b/>
          <w:bCs/>
          <w:kern w:val="0"/>
          <w:sz w:val="32"/>
          <w:szCs w:val="32"/>
          <w:lang w:eastAsia="zh-CN"/>
        </w:rPr>
        <w:t>中心幼儿园</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呼图壁县二十里店镇中心幼儿园2025年上年结转结余10.58万元，包括：财政拨款10.58万元，非财政拨款金额0万元，其中：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1.2024年中小学和幼儿园自聘教师工资补助资金（第二批）10.53万元，主要用于自聘教师工资补助。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2.2024年昌吉州教育项目州本级配套资金-教师体检补助0.05万元，主要用于教师体检费用。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二十里店镇中心幼儿园2025年的事业单位运行经费财政拨款预算125.69万元，比上年预算增加83.92万元，增长200.91%。主要原因是上年度临聘工资在人员经费中，本年度为劳务派遣公司派遣人员因而转为了公用经费。</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2025年，呼图壁县二十里店镇中心幼儿园政府采购预算   137万元，其中：政府采购货物预算137万元，政府采购工程预算0万元，政府采购服务预算0万元。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2025年，呼图壁县二十里店镇中心幼儿园面向中小企业预留政府采购项目预算金额137万元，小微企业预留政府采购项目预算金额137万元。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截至2024年底，呼图壁县二十里店镇中心幼儿园占用使用国有资产总体情况为：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1.房屋2344.26平方米，价值532.19万元。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2.车辆0辆，价值0万元；其中：一般公务用车0辆，价值0万元；执法执勤用车0辆，价值0万元；其他车辆0辆，价值 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3.办公家具价值0万元。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4.其他资产价值0万元。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部门价值50万元以上大型设备0台，部门价值100万元以上大型设备0台。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2025年部门预算未安排购置车辆经费，安排购置50万元以上大型设备0台，单位价值100万元以上大型设备0台。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bookmarkStart w:id="0" w:name="OLE_LINK1"/>
      <w:r>
        <w:rPr>
          <w:rFonts w:hint="default" w:ascii="仿宋" w:hAnsi="仿宋" w:eastAsia="仿宋" w:cs="仿宋"/>
          <w:color w:val="auto"/>
          <w:kern w:val="0"/>
          <w:sz w:val="32"/>
          <w:szCs w:val="32"/>
          <w:highlight w:val="none"/>
          <w:lang w:val="en-US" w:eastAsia="zh-CN"/>
        </w:rPr>
        <w:t>2025</w:t>
      </w:r>
      <w:r>
        <w:rPr>
          <w:rFonts w:hint="eastAsia" w:ascii="仿宋" w:hAnsi="仿宋" w:eastAsia="仿宋" w:cs="仿宋"/>
          <w:color w:val="auto"/>
          <w:kern w:val="0"/>
          <w:sz w:val="32"/>
          <w:szCs w:val="32"/>
          <w:highlight w:val="none"/>
          <w:lang w:val="en-US" w:eastAsia="zh-CN"/>
        </w:rPr>
        <w:t>年，本部门预算绩效管理整体预算绩效目标1个，涉及预算金额484.25万元；当年预算安排项目共3个，其中:</w:t>
      </w:r>
      <w:r>
        <w:rPr>
          <w:rFonts w:hint="eastAsia" w:ascii="仿宋" w:hAnsi="仿宋" w:eastAsia="仿宋" w:cs="仿宋"/>
          <w:color w:val="auto"/>
          <w:kern w:val="0"/>
          <w:sz w:val="32"/>
          <w:szCs w:val="32"/>
          <w:highlight w:val="none"/>
          <w:lang w:val="en-US" w:eastAsia="zh-Hans"/>
        </w:rPr>
        <w:t>财政拨款</w:t>
      </w:r>
      <w:r>
        <w:rPr>
          <w:rFonts w:hint="eastAsia" w:ascii="仿宋" w:hAnsi="仿宋" w:eastAsia="仿宋" w:cs="仿宋"/>
          <w:color w:val="auto"/>
          <w:kern w:val="0"/>
          <w:sz w:val="32"/>
          <w:szCs w:val="32"/>
          <w:highlight w:val="none"/>
          <w:lang w:val="en-US" w:eastAsia="zh-CN"/>
        </w:rPr>
        <w:t>项目涉及预算金额21.35万元；</w:t>
      </w:r>
      <w:r>
        <w:rPr>
          <w:rFonts w:hint="eastAsia" w:ascii="仿宋" w:hAnsi="仿宋" w:eastAsia="仿宋" w:cs="仿宋"/>
          <w:color w:val="auto"/>
          <w:kern w:val="0"/>
          <w:sz w:val="32"/>
          <w:szCs w:val="32"/>
          <w:highlight w:val="none"/>
          <w:lang w:val="en-US" w:eastAsia="zh-Hans"/>
        </w:rPr>
        <w:t>非财政拨款项目</w:t>
      </w:r>
      <w:r>
        <w:rPr>
          <w:rFonts w:hint="eastAsia" w:ascii="仿宋" w:hAnsi="仿宋" w:eastAsia="仿宋" w:cs="仿宋"/>
          <w:color w:val="auto"/>
          <w:kern w:val="0"/>
          <w:sz w:val="32"/>
          <w:szCs w:val="32"/>
          <w:highlight w:val="none"/>
          <w:lang w:val="en-US" w:eastAsia="zh-CN"/>
        </w:rPr>
        <w:t xml:space="preserve">涉及预算金额0万元。具体情况见下表：  </w:t>
      </w:r>
      <w:bookmarkEnd w:id="0"/>
    </w:p>
    <w:tbl>
      <w:tblPr>
        <w:tblStyle w:val="7"/>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7"/>
        <w:gridCol w:w="768"/>
        <w:gridCol w:w="2594"/>
        <w:gridCol w:w="1085"/>
        <w:gridCol w:w="2422"/>
        <w:gridCol w:w="17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4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cs="宋体"/>
                <w:b/>
                <w:bCs/>
                <w:i w:val="0"/>
                <w:iCs w:val="0"/>
                <w:color w:val="000000"/>
                <w:kern w:val="0"/>
                <w:sz w:val="20"/>
                <w:szCs w:val="20"/>
                <w:highlight w:val="none"/>
                <w:u w:val="none"/>
                <w:lang w:val="en-US" w:eastAsia="zh-CN" w:bidi="ar"/>
              </w:rPr>
              <w:t>单位</w:t>
            </w:r>
            <w:r>
              <w:rPr>
                <w:rFonts w:hint="eastAsia" w:ascii="宋体" w:hAnsi="宋体" w:eastAsia="宋体" w:cs="宋体"/>
                <w:b/>
                <w:bCs/>
                <w:i w:val="0"/>
                <w:iCs w:val="0"/>
                <w:color w:val="000000"/>
                <w:kern w:val="0"/>
                <w:sz w:val="20"/>
                <w:szCs w:val="20"/>
                <w:highlight w:val="none"/>
                <w:u w:val="none"/>
                <w:lang w:val="en-US" w:eastAsia="zh-CN" w:bidi="ar"/>
              </w:rPr>
              <w:t>名称（盖章）</w:t>
            </w:r>
          </w:p>
        </w:tc>
        <w:tc>
          <w:tcPr>
            <w:tcW w:w="7845"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呼图壁县二十里店镇中心幼儿园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4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cs="宋体"/>
                <w:b/>
                <w:bCs/>
                <w:i w:val="0"/>
                <w:iCs w:val="0"/>
                <w:color w:val="000000"/>
                <w:kern w:val="0"/>
                <w:sz w:val="20"/>
                <w:szCs w:val="20"/>
                <w:highlight w:val="none"/>
                <w:u w:val="none"/>
                <w:lang w:val="en-US" w:eastAsia="zh-CN" w:bidi="ar"/>
              </w:rPr>
              <w:t>单位</w:t>
            </w:r>
            <w:r>
              <w:rPr>
                <w:rFonts w:hint="eastAsia" w:ascii="宋体" w:hAnsi="宋体" w:eastAsia="宋体" w:cs="宋体"/>
                <w:b/>
                <w:bCs/>
                <w:i w:val="0"/>
                <w:iCs w:val="0"/>
                <w:color w:val="000000"/>
                <w:kern w:val="0"/>
                <w:sz w:val="20"/>
                <w:szCs w:val="20"/>
                <w:highlight w:val="none"/>
                <w:u w:val="none"/>
                <w:lang w:val="en-US" w:eastAsia="zh-CN" w:bidi="ar"/>
              </w:rPr>
              <w:t>联系人</w:t>
            </w:r>
          </w:p>
        </w:tc>
        <w:tc>
          <w:tcPr>
            <w:tcW w:w="3679"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val="en-US" w:eastAsia="zh-CN"/>
              </w:rPr>
              <w:t>王喜娟</w:t>
            </w:r>
          </w:p>
        </w:tc>
        <w:tc>
          <w:tcPr>
            <w:tcW w:w="24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744"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15026163145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1495"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br w:type="textWrapping"/>
            </w:r>
            <w:r>
              <w:rPr>
                <w:rFonts w:hint="eastAsia" w:ascii="宋体" w:hAnsi="宋体" w:eastAsia="宋体" w:cs="宋体"/>
                <w:b/>
                <w:bCs/>
                <w:i w:val="0"/>
                <w:iCs w:val="0"/>
                <w:color w:val="000000"/>
                <w:kern w:val="0"/>
                <w:sz w:val="20"/>
                <w:szCs w:val="20"/>
                <w:highlight w:val="none"/>
                <w:u w:val="none"/>
                <w:lang w:val="en-US" w:eastAsia="zh-CN" w:bidi="ar"/>
              </w:rPr>
              <w:t>年度绩效目标</w:t>
            </w:r>
          </w:p>
        </w:tc>
        <w:tc>
          <w:tcPr>
            <w:tcW w:w="784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按照保育与教育相结合的原则，遵循幼儿身心发展特点和规律，实施德、智、体、美等方面全面发展的教育，促进幼儿身心和谐发展，按时开展培训、教学教研活动、各类主题教育活动，宣传适龄儿童入学政策，保障辖区内适龄儿童全部入学，接受义务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149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年度预算（万元）</w:t>
            </w:r>
          </w:p>
        </w:tc>
        <w:tc>
          <w:tcPr>
            <w:tcW w:w="36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41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149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20"/>
                <w:szCs w:val="20"/>
                <w:highlight w:val="none"/>
                <w:u w:val="none"/>
              </w:rPr>
            </w:pPr>
          </w:p>
        </w:tc>
        <w:tc>
          <w:tcPr>
            <w:tcW w:w="259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416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both"/>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16.20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49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20"/>
                <w:szCs w:val="20"/>
                <w:highlight w:val="none"/>
                <w:u w:val="none"/>
              </w:rPr>
            </w:pPr>
          </w:p>
        </w:tc>
        <w:tc>
          <w:tcPr>
            <w:tcW w:w="25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4166"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333.79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49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20"/>
                <w:szCs w:val="20"/>
                <w:highlight w:val="none"/>
                <w:u w:val="none"/>
              </w:rPr>
            </w:pPr>
          </w:p>
        </w:tc>
        <w:tc>
          <w:tcPr>
            <w:tcW w:w="25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416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both"/>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134.26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一级指标</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二级指标</w:t>
            </w:r>
          </w:p>
        </w:tc>
        <w:tc>
          <w:tcPr>
            <w:tcW w:w="25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三级指标</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w:t>
            </w:r>
          </w:p>
        </w:tc>
        <w:tc>
          <w:tcPr>
            <w:tcW w:w="24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指标设定依据</w:t>
            </w:r>
          </w:p>
        </w:tc>
        <w:tc>
          <w:tcPr>
            <w:tcW w:w="17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72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25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w:t>
            </w:r>
            <w:r>
              <w:rPr>
                <w:rFonts w:hint="eastAsia" w:ascii="宋体" w:hAnsi="宋体" w:cs="宋体"/>
                <w:i w:val="0"/>
                <w:iCs w:val="0"/>
                <w:color w:val="000000"/>
                <w:sz w:val="20"/>
                <w:szCs w:val="20"/>
                <w:highlight w:val="none"/>
                <w:u w:val="none"/>
                <w:lang w:eastAsia="zh-CN"/>
              </w:rPr>
              <w:t>教研活动的</w:t>
            </w:r>
            <w:r>
              <w:rPr>
                <w:rFonts w:hint="eastAsia" w:ascii="宋体" w:hAnsi="宋体" w:eastAsia="宋体" w:cs="宋体"/>
                <w:i w:val="0"/>
                <w:iCs w:val="0"/>
                <w:color w:val="000000"/>
                <w:sz w:val="20"/>
                <w:szCs w:val="20"/>
                <w:highlight w:val="none"/>
                <w:u w:val="none"/>
              </w:rPr>
              <w:t>次数</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6次</w:t>
            </w:r>
          </w:p>
        </w:tc>
        <w:tc>
          <w:tcPr>
            <w:tcW w:w="24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w:t>
            </w:r>
            <w:r>
              <w:rPr>
                <w:rFonts w:hint="eastAsia" w:ascii="宋体" w:hAnsi="宋体" w:cs="宋体"/>
                <w:i w:val="0"/>
                <w:iCs w:val="0"/>
                <w:color w:val="000000"/>
                <w:sz w:val="20"/>
                <w:szCs w:val="20"/>
                <w:highlight w:val="none"/>
                <w:u w:val="none"/>
                <w:lang w:eastAsia="zh-CN"/>
              </w:rPr>
              <w:t>二十里店</w:t>
            </w:r>
            <w:r>
              <w:rPr>
                <w:rFonts w:hint="eastAsia" w:ascii="宋体" w:hAnsi="宋体" w:eastAsia="宋体" w:cs="宋体"/>
                <w:i w:val="0"/>
                <w:iCs w:val="0"/>
                <w:color w:val="000000"/>
                <w:sz w:val="20"/>
                <w:szCs w:val="20"/>
                <w:highlight w:val="none"/>
                <w:u w:val="none"/>
              </w:rPr>
              <w:t>镇中心幼儿园2024-2025学年第二学期工作计划</w:t>
            </w:r>
          </w:p>
        </w:tc>
        <w:tc>
          <w:tcPr>
            <w:tcW w:w="174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2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25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开展各类幼儿教师培训次数</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5次</w:t>
            </w:r>
          </w:p>
        </w:tc>
        <w:tc>
          <w:tcPr>
            <w:tcW w:w="24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w:t>
            </w:r>
            <w:r>
              <w:rPr>
                <w:rFonts w:hint="eastAsia" w:ascii="宋体" w:hAnsi="宋体" w:cs="宋体"/>
                <w:i w:val="0"/>
                <w:iCs w:val="0"/>
                <w:color w:val="000000"/>
                <w:sz w:val="20"/>
                <w:szCs w:val="20"/>
                <w:highlight w:val="none"/>
                <w:u w:val="none"/>
                <w:lang w:eastAsia="zh-CN"/>
              </w:rPr>
              <w:t>二十里店</w:t>
            </w:r>
            <w:r>
              <w:rPr>
                <w:rFonts w:hint="eastAsia" w:ascii="宋体" w:hAnsi="宋体" w:eastAsia="宋体" w:cs="宋体"/>
                <w:i w:val="0"/>
                <w:iCs w:val="0"/>
                <w:color w:val="000000"/>
                <w:sz w:val="20"/>
                <w:szCs w:val="20"/>
                <w:highlight w:val="none"/>
                <w:u w:val="none"/>
              </w:rPr>
              <w:t>镇中心幼儿园2024-2025学年第二学期工作计划</w:t>
            </w:r>
          </w:p>
        </w:tc>
        <w:tc>
          <w:tcPr>
            <w:tcW w:w="174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72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25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开展幼儿使用国家通用语言交流系列活动次数</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3次</w:t>
            </w:r>
          </w:p>
        </w:tc>
        <w:tc>
          <w:tcPr>
            <w:tcW w:w="24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w:t>
            </w:r>
            <w:r>
              <w:rPr>
                <w:rFonts w:hint="eastAsia" w:ascii="宋体" w:hAnsi="宋体" w:cs="宋体"/>
                <w:i w:val="0"/>
                <w:iCs w:val="0"/>
                <w:color w:val="000000"/>
                <w:sz w:val="20"/>
                <w:szCs w:val="20"/>
                <w:highlight w:val="none"/>
                <w:u w:val="none"/>
                <w:lang w:eastAsia="zh-CN"/>
              </w:rPr>
              <w:t>二十里店</w:t>
            </w:r>
            <w:r>
              <w:rPr>
                <w:rFonts w:hint="eastAsia" w:ascii="宋体" w:hAnsi="宋体" w:eastAsia="宋体" w:cs="宋体"/>
                <w:i w:val="0"/>
                <w:iCs w:val="0"/>
                <w:color w:val="000000"/>
                <w:sz w:val="20"/>
                <w:szCs w:val="20"/>
                <w:highlight w:val="none"/>
                <w:u w:val="none"/>
              </w:rPr>
              <w:t>镇中心幼儿园2024-2025学年第二学期工作计划</w:t>
            </w:r>
          </w:p>
        </w:tc>
        <w:tc>
          <w:tcPr>
            <w:tcW w:w="174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trPr>
        <w:tc>
          <w:tcPr>
            <w:tcW w:w="72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质量指标</w:t>
            </w:r>
          </w:p>
        </w:tc>
        <w:tc>
          <w:tcPr>
            <w:tcW w:w="25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适龄儿童入学政策宣传覆盖率</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100%</w:t>
            </w:r>
          </w:p>
        </w:tc>
        <w:tc>
          <w:tcPr>
            <w:tcW w:w="24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w:t>
            </w:r>
            <w:r>
              <w:rPr>
                <w:rFonts w:hint="eastAsia" w:ascii="宋体" w:hAnsi="宋体" w:cs="宋体"/>
                <w:i w:val="0"/>
                <w:iCs w:val="0"/>
                <w:color w:val="000000"/>
                <w:sz w:val="20"/>
                <w:szCs w:val="20"/>
                <w:highlight w:val="none"/>
                <w:u w:val="none"/>
                <w:lang w:eastAsia="zh-CN"/>
              </w:rPr>
              <w:t>二十里店</w:t>
            </w:r>
            <w:r>
              <w:rPr>
                <w:rFonts w:hint="eastAsia" w:ascii="宋体" w:hAnsi="宋体" w:eastAsia="宋体" w:cs="宋体"/>
                <w:i w:val="0"/>
                <w:iCs w:val="0"/>
                <w:color w:val="000000"/>
                <w:sz w:val="20"/>
                <w:szCs w:val="20"/>
                <w:highlight w:val="none"/>
                <w:u w:val="none"/>
              </w:rPr>
              <w:t>镇中心幼儿园2024-2025学年第二学期工作计划</w:t>
            </w:r>
          </w:p>
        </w:tc>
        <w:tc>
          <w:tcPr>
            <w:tcW w:w="1744" w:type="dxa"/>
            <w:tcBorders>
              <w:top w:val="single" w:color="000000" w:sz="4" w:space="0"/>
              <w:left w:val="single" w:color="000000" w:sz="4" w:space="0"/>
              <w:bottom w:val="single" w:color="000000" w:sz="4" w:space="0"/>
              <w:right w:val="single" w:color="000000" w:sz="4" w:space="0"/>
            </w:tcBorders>
            <w:noWrap w:val="0"/>
            <w:vAlign w:val="center"/>
          </w:tcPr>
          <w:p>
            <w:pPr>
              <w:tabs>
                <w:tab w:val="left" w:pos="386"/>
              </w:tabs>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 w:hRule="atLeast"/>
        </w:trPr>
        <w:tc>
          <w:tcPr>
            <w:tcW w:w="72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时效指标</w:t>
            </w:r>
          </w:p>
        </w:tc>
        <w:tc>
          <w:tcPr>
            <w:tcW w:w="25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安全教育课的开展及时率</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95%</w:t>
            </w:r>
          </w:p>
        </w:tc>
        <w:tc>
          <w:tcPr>
            <w:tcW w:w="24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w:t>
            </w:r>
            <w:r>
              <w:rPr>
                <w:rFonts w:hint="eastAsia" w:ascii="宋体" w:hAnsi="宋体" w:cs="宋体"/>
                <w:i w:val="0"/>
                <w:iCs w:val="0"/>
                <w:color w:val="000000"/>
                <w:sz w:val="20"/>
                <w:szCs w:val="20"/>
                <w:highlight w:val="none"/>
                <w:u w:val="none"/>
                <w:lang w:eastAsia="zh-CN"/>
              </w:rPr>
              <w:t>二十里店</w:t>
            </w:r>
            <w:r>
              <w:rPr>
                <w:rFonts w:hint="eastAsia" w:ascii="宋体" w:hAnsi="宋体" w:eastAsia="宋体" w:cs="宋体"/>
                <w:i w:val="0"/>
                <w:iCs w:val="0"/>
                <w:color w:val="000000"/>
                <w:sz w:val="20"/>
                <w:szCs w:val="20"/>
                <w:highlight w:val="none"/>
                <w:u w:val="none"/>
              </w:rPr>
              <w:t>镇中心幼儿园2024-2025学年第二学期工作计划</w:t>
            </w:r>
          </w:p>
        </w:tc>
        <w:tc>
          <w:tcPr>
            <w:tcW w:w="174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11</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7"/>
        <w:tblW w:w="10340" w:type="dxa"/>
        <w:tblInd w:w="-786" w:type="dxa"/>
        <w:shd w:val="clear" w:color="auto" w:fill="auto"/>
        <w:tblLayout w:type="fixed"/>
        <w:tblCellMar>
          <w:top w:w="0" w:type="dxa"/>
          <w:left w:w="0" w:type="dxa"/>
          <w:bottom w:w="0" w:type="dxa"/>
          <w:right w:w="0" w:type="dxa"/>
        </w:tblCellMar>
      </w:tblPr>
      <w:tblGrid>
        <w:gridCol w:w="1003"/>
        <w:gridCol w:w="921"/>
        <w:gridCol w:w="1114"/>
        <w:gridCol w:w="839"/>
        <w:gridCol w:w="894"/>
        <w:gridCol w:w="851"/>
        <w:gridCol w:w="826"/>
        <w:gridCol w:w="1182"/>
        <w:gridCol w:w="2710"/>
      </w:tblGrid>
      <w:tr>
        <w:tblPrEx>
          <w:shd w:val="clear" w:color="auto" w:fill="auto"/>
          <w:tblCellMar>
            <w:top w:w="0" w:type="dxa"/>
            <w:left w:w="0" w:type="dxa"/>
            <w:bottom w:w="0" w:type="dxa"/>
            <w:right w:w="0" w:type="dxa"/>
          </w:tblCellMar>
        </w:tblPrEx>
        <w:trPr>
          <w:trHeight w:val="635" w:hRule="atLeast"/>
        </w:trPr>
        <w:tc>
          <w:tcPr>
            <w:tcW w:w="1034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CellMar>
            <w:top w:w="0" w:type="dxa"/>
            <w:left w:w="0" w:type="dxa"/>
            <w:bottom w:w="0" w:type="dxa"/>
            <w:right w:w="0" w:type="dxa"/>
          </w:tblCellMar>
        </w:tblPrEx>
        <w:trPr>
          <w:trHeight w:val="492" w:hRule="atLeast"/>
        </w:trPr>
        <w:tc>
          <w:tcPr>
            <w:tcW w:w="1034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w:t>
            </w:r>
          </w:p>
        </w:tc>
      </w:tr>
      <w:tr>
        <w:tblPrEx>
          <w:tblCellMar>
            <w:top w:w="0" w:type="dxa"/>
            <w:left w:w="0" w:type="dxa"/>
            <w:bottom w:w="0" w:type="dxa"/>
            <w:right w:w="0" w:type="dxa"/>
          </w:tblCellMar>
        </w:tblPrEx>
        <w:trPr>
          <w:trHeight w:val="472" w:hRule="atLeast"/>
        </w:trPr>
        <w:tc>
          <w:tcPr>
            <w:tcW w:w="19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841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iCs w:val="0"/>
                <w:color w:val="000000"/>
                <w:sz w:val="20"/>
                <w:szCs w:val="20"/>
                <w:highlight w:val="none"/>
                <w:u w:val="none"/>
                <w:lang w:eastAsia="zh-CN"/>
              </w:rPr>
              <w:t>呼图壁县二十里店镇中心幼儿园</w:t>
            </w:r>
          </w:p>
        </w:tc>
      </w:tr>
      <w:tr>
        <w:tblPrEx>
          <w:shd w:val="clear" w:color="auto" w:fill="auto"/>
          <w:tblCellMar>
            <w:top w:w="0" w:type="dxa"/>
            <w:left w:w="0" w:type="dxa"/>
            <w:bottom w:w="0" w:type="dxa"/>
            <w:right w:w="0" w:type="dxa"/>
          </w:tblCellMar>
        </w:tblPrEx>
        <w:trPr>
          <w:trHeight w:val="853" w:hRule="atLeast"/>
        </w:trPr>
        <w:tc>
          <w:tcPr>
            <w:tcW w:w="19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84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2025年生均公用经费-保民生</w:t>
            </w:r>
          </w:p>
        </w:tc>
        <w:tc>
          <w:tcPr>
            <w:tcW w:w="16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38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海清</w:t>
            </w:r>
          </w:p>
        </w:tc>
      </w:tr>
      <w:tr>
        <w:tblPrEx>
          <w:shd w:val="clear" w:color="auto" w:fill="auto"/>
          <w:tblCellMar>
            <w:top w:w="0" w:type="dxa"/>
            <w:left w:w="0" w:type="dxa"/>
            <w:bottom w:w="0" w:type="dxa"/>
            <w:right w:w="0" w:type="dxa"/>
          </w:tblCellMar>
        </w:tblPrEx>
        <w:trPr>
          <w:trHeight w:val="1056" w:hRule="atLeast"/>
        </w:trPr>
        <w:tc>
          <w:tcPr>
            <w:tcW w:w="19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5.14</w:t>
            </w:r>
          </w:p>
        </w:tc>
        <w:tc>
          <w:tcPr>
            <w:tcW w:w="894"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5.14</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38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859" w:hRule="atLeast"/>
        </w:trPr>
        <w:tc>
          <w:tcPr>
            <w:tcW w:w="19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8416"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本项目拟投入</w:t>
            </w:r>
            <w:r>
              <w:rPr>
                <w:rFonts w:hint="eastAsia" w:ascii="宋体" w:hAnsi="宋体" w:cs="宋体"/>
                <w:i w:val="0"/>
                <w:iCs w:val="0"/>
                <w:color w:val="000000"/>
                <w:sz w:val="18"/>
                <w:szCs w:val="18"/>
                <w:highlight w:val="none"/>
                <w:u w:val="none"/>
                <w:lang w:val="en-US" w:eastAsia="zh-CN"/>
              </w:rPr>
              <w:t>5.14</w:t>
            </w:r>
            <w:r>
              <w:rPr>
                <w:rFonts w:hint="eastAsia" w:ascii="宋体" w:hAnsi="宋体" w:eastAsia="宋体" w:cs="宋体"/>
                <w:i w:val="0"/>
                <w:iCs w:val="0"/>
                <w:color w:val="000000"/>
                <w:kern w:val="0"/>
                <w:sz w:val="18"/>
                <w:szCs w:val="18"/>
                <w:u w:val="none"/>
                <w:lang w:val="en-US" w:eastAsia="zh-CN" w:bidi="ar"/>
              </w:rPr>
              <w:t>万元</w:t>
            </w:r>
            <w:r>
              <w:rPr>
                <w:rFonts w:hint="eastAsia" w:ascii="宋体" w:hAnsi="宋体" w:cs="宋体"/>
                <w:i w:val="0"/>
                <w:iCs w:val="0"/>
                <w:color w:val="000000"/>
                <w:kern w:val="0"/>
                <w:sz w:val="18"/>
                <w:szCs w:val="18"/>
                <w:u w:val="none"/>
                <w:lang w:val="en-US" w:eastAsia="zh-CN" w:bidi="ar"/>
              </w:rPr>
              <w:t>用于幼儿伙食费的支付，保障幼儿伙食的品质及支付的及时率，通过本项目的实施，提高幼儿园的办园质量，确保幼儿园正常运转。</w:t>
            </w:r>
          </w:p>
        </w:tc>
      </w:tr>
      <w:tr>
        <w:tblPrEx>
          <w:tblCellMar>
            <w:top w:w="0" w:type="dxa"/>
            <w:left w:w="0" w:type="dxa"/>
            <w:bottom w:w="0" w:type="dxa"/>
            <w:right w:w="0" w:type="dxa"/>
          </w:tblCellMar>
        </w:tblPrEx>
        <w:trPr>
          <w:trHeight w:val="645" w:hRule="atLeast"/>
        </w:trPr>
        <w:tc>
          <w:tcPr>
            <w:tcW w:w="100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2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11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83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89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85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2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18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27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CellMar>
            <w:top w:w="0" w:type="dxa"/>
            <w:left w:w="0" w:type="dxa"/>
            <w:bottom w:w="0" w:type="dxa"/>
            <w:right w:w="0" w:type="dxa"/>
          </w:tblCellMar>
        </w:tblPrEx>
        <w:trPr>
          <w:trHeight w:val="645" w:hRule="atLeast"/>
        </w:trPr>
        <w:tc>
          <w:tcPr>
            <w:tcW w:w="10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惠及</w:t>
            </w:r>
            <w:r>
              <w:rPr>
                <w:rFonts w:hint="eastAsia" w:ascii="宋体" w:hAnsi="宋体" w:cs="宋体"/>
                <w:i w:val="0"/>
                <w:color w:val="000000"/>
                <w:kern w:val="0"/>
                <w:sz w:val="20"/>
                <w:szCs w:val="20"/>
                <w:u w:val="none"/>
                <w:lang w:val="en-US" w:eastAsia="zh-CN" w:bidi="ar"/>
              </w:rPr>
              <w:t>幼儿人数</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69</w:t>
            </w:r>
            <w:r>
              <w:rPr>
                <w:rFonts w:hint="eastAsia" w:ascii="宋体" w:hAnsi="宋体" w:eastAsia="宋体" w:cs="宋体"/>
                <w:i w:val="0"/>
                <w:color w:val="000000"/>
                <w:kern w:val="0"/>
                <w:sz w:val="20"/>
                <w:szCs w:val="20"/>
                <w:u w:val="none"/>
                <w:lang w:val="en-US" w:eastAsia="zh-CN" w:bidi="ar"/>
              </w:rPr>
              <w:t>人</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lang w:val="en-US" w:eastAsia="zh-CN"/>
              </w:rPr>
            </w:pPr>
            <w:r>
              <w:rPr>
                <w:rFonts w:hint="eastAsia" w:ascii="宋体" w:hAnsi="宋体" w:cs="宋体"/>
                <w:i w:val="0"/>
                <w:color w:val="000000"/>
                <w:sz w:val="20"/>
                <w:szCs w:val="20"/>
                <w:u w:val="none"/>
                <w:lang w:val="en-US" w:eastAsia="zh-CN"/>
              </w:rPr>
              <w:t>-</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11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CellMar>
            <w:top w:w="0" w:type="dxa"/>
            <w:left w:w="0" w:type="dxa"/>
            <w:bottom w:w="0" w:type="dxa"/>
            <w:right w:w="0" w:type="dxa"/>
          </w:tblCellMar>
        </w:tblPrEx>
        <w:trPr>
          <w:trHeight w:val="645" w:hRule="atLeast"/>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保证幼儿伙食质量</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sz w:val="20"/>
                <w:szCs w:val="20"/>
                <w:u w:val="none"/>
                <w:lang w:val="en-US" w:eastAsia="zh-CN"/>
              </w:rPr>
              <w:t>-</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1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shd w:val="clear" w:color="auto" w:fill="auto"/>
          <w:tblCellMar>
            <w:top w:w="0" w:type="dxa"/>
            <w:left w:w="0" w:type="dxa"/>
            <w:bottom w:w="0" w:type="dxa"/>
            <w:right w:w="0" w:type="dxa"/>
          </w:tblCellMar>
        </w:tblPrEx>
        <w:trPr>
          <w:trHeight w:val="645" w:hRule="atLeast"/>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幼儿伙食费支付</w:t>
            </w:r>
            <w:r>
              <w:rPr>
                <w:rFonts w:hint="eastAsia" w:ascii="宋体" w:hAnsi="宋体" w:eastAsia="宋体" w:cs="宋体"/>
                <w:i w:val="0"/>
                <w:color w:val="000000"/>
                <w:kern w:val="0"/>
                <w:sz w:val="20"/>
                <w:szCs w:val="20"/>
                <w:u w:val="none"/>
                <w:lang w:val="en-US" w:eastAsia="zh-CN" w:bidi="ar"/>
              </w:rPr>
              <w:t>完成率</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sz w:val="20"/>
                <w:szCs w:val="20"/>
                <w:u w:val="none"/>
                <w:lang w:val="en-US" w:eastAsia="zh-CN"/>
              </w:rPr>
              <w:t>-</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11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CellMar>
            <w:top w:w="0" w:type="dxa"/>
            <w:left w:w="0" w:type="dxa"/>
            <w:bottom w:w="0" w:type="dxa"/>
            <w:right w:w="0" w:type="dxa"/>
          </w:tblCellMar>
        </w:tblPrEx>
        <w:trPr>
          <w:trHeight w:val="1149" w:hRule="atLeast"/>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幼儿伙食费支付</w:t>
            </w:r>
            <w:r>
              <w:rPr>
                <w:rFonts w:hint="eastAsia" w:ascii="宋体" w:hAnsi="宋体" w:eastAsia="宋体" w:cs="宋体"/>
                <w:i w:val="0"/>
                <w:color w:val="000000"/>
                <w:kern w:val="0"/>
                <w:sz w:val="20"/>
                <w:szCs w:val="20"/>
                <w:u w:val="none"/>
                <w:lang w:val="en-US" w:eastAsia="zh-CN" w:bidi="ar"/>
              </w:rPr>
              <w:t>完成及时率</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sz w:val="20"/>
                <w:szCs w:val="20"/>
                <w:u w:val="none"/>
                <w:lang w:val="en-US" w:eastAsia="zh-CN"/>
              </w:rPr>
              <w:t>-</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1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CellMar>
            <w:top w:w="0" w:type="dxa"/>
            <w:left w:w="0" w:type="dxa"/>
            <w:bottom w:w="0" w:type="dxa"/>
            <w:right w:w="0" w:type="dxa"/>
          </w:tblCellMar>
        </w:tblPrEx>
        <w:trPr>
          <w:trHeight w:val="1218" w:hRule="atLeast"/>
        </w:trPr>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保障单位运行经费</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5.14万元</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预算支出标准</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sz w:val="20"/>
                <w:szCs w:val="20"/>
                <w:u w:val="none"/>
                <w:lang w:val="en-US" w:eastAsia="zh-CN"/>
              </w:rPr>
              <w:t>-</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shd w:val="clear" w:color="auto" w:fill="auto"/>
          <w:tblCellMar>
            <w:top w:w="0" w:type="dxa"/>
            <w:left w:w="0" w:type="dxa"/>
            <w:bottom w:w="0" w:type="dxa"/>
            <w:right w:w="0" w:type="dxa"/>
          </w:tblCellMar>
        </w:tblPrEx>
        <w:trPr>
          <w:trHeight w:val="1563" w:hRule="atLeast"/>
        </w:trPr>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w:t>
            </w:r>
            <w:r>
              <w:rPr>
                <w:rFonts w:hint="eastAsia" w:ascii="宋体" w:hAnsi="宋体" w:cs="宋体"/>
                <w:i w:val="0"/>
                <w:color w:val="000000"/>
                <w:kern w:val="0"/>
                <w:sz w:val="20"/>
                <w:szCs w:val="20"/>
                <w:u w:val="none"/>
                <w:lang w:val="en-US" w:eastAsia="zh-CN" w:bidi="ar"/>
              </w:rPr>
              <w:t>幼儿</w:t>
            </w:r>
            <w:r>
              <w:rPr>
                <w:rFonts w:hint="eastAsia" w:ascii="宋体" w:hAnsi="宋体" w:eastAsia="宋体" w:cs="宋体"/>
                <w:i w:val="0"/>
                <w:color w:val="000000"/>
                <w:kern w:val="0"/>
                <w:sz w:val="20"/>
                <w:szCs w:val="20"/>
                <w:u w:val="none"/>
                <w:lang w:val="en-US" w:eastAsia="zh-CN" w:bidi="ar"/>
              </w:rPr>
              <w:t>的身体素质</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sz w:val="20"/>
                <w:szCs w:val="20"/>
                <w:u w:val="none"/>
                <w:lang w:val="en-US" w:eastAsia="zh-CN"/>
              </w:rPr>
              <w:t>-</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CellMar>
            <w:top w:w="0" w:type="dxa"/>
            <w:left w:w="0" w:type="dxa"/>
            <w:bottom w:w="0" w:type="dxa"/>
            <w:right w:w="0" w:type="dxa"/>
          </w:tblCellMar>
        </w:tblPrEx>
        <w:trPr>
          <w:trHeight w:val="1248" w:hRule="atLeast"/>
        </w:trPr>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幼儿</w:t>
            </w:r>
            <w:r>
              <w:rPr>
                <w:rFonts w:hint="eastAsia" w:ascii="宋体" w:hAnsi="宋体" w:eastAsia="宋体" w:cs="宋体"/>
                <w:i w:val="0"/>
                <w:color w:val="000000"/>
                <w:kern w:val="0"/>
                <w:sz w:val="20"/>
                <w:szCs w:val="20"/>
                <w:u w:val="none"/>
                <w:lang w:val="en-US" w:eastAsia="zh-CN" w:bidi="ar"/>
              </w:rPr>
              <w:t>满意度</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sz w:val="20"/>
                <w:szCs w:val="20"/>
                <w:u w:val="none"/>
                <w:lang w:val="en-US" w:eastAsia="zh-CN"/>
              </w:rPr>
              <w:t>-</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7"/>
        <w:tblpPr w:leftFromText="180" w:rightFromText="180" w:vertAnchor="text" w:horzAnchor="page" w:tblpX="925" w:tblpY="590"/>
        <w:tblOverlap w:val="never"/>
        <w:tblW w:w="10430" w:type="dxa"/>
        <w:tblInd w:w="0" w:type="dxa"/>
        <w:shd w:val="clear" w:color="auto" w:fill="auto"/>
        <w:tblLayout w:type="fixed"/>
        <w:tblCellMar>
          <w:top w:w="0" w:type="dxa"/>
          <w:left w:w="0" w:type="dxa"/>
          <w:bottom w:w="0" w:type="dxa"/>
          <w:right w:w="0" w:type="dxa"/>
        </w:tblCellMar>
      </w:tblPr>
      <w:tblGrid>
        <w:gridCol w:w="1080"/>
        <w:gridCol w:w="1080"/>
        <w:gridCol w:w="1080"/>
        <w:gridCol w:w="1080"/>
        <w:gridCol w:w="1080"/>
        <w:gridCol w:w="848"/>
        <w:gridCol w:w="717"/>
        <w:gridCol w:w="1675"/>
        <w:gridCol w:w="1790"/>
      </w:tblGrid>
      <w:tr>
        <w:tblPrEx>
          <w:tblCellMar>
            <w:top w:w="0" w:type="dxa"/>
            <w:left w:w="0" w:type="dxa"/>
            <w:bottom w:w="0" w:type="dxa"/>
            <w:right w:w="0" w:type="dxa"/>
          </w:tblCellMar>
        </w:tblPrEx>
        <w:trPr>
          <w:trHeight w:val="405" w:hRule="atLeast"/>
        </w:trPr>
        <w:tc>
          <w:tcPr>
            <w:tcW w:w="1043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shd w:val="clear" w:color="auto" w:fill="auto"/>
          <w:tblCellMar>
            <w:top w:w="0" w:type="dxa"/>
            <w:left w:w="0" w:type="dxa"/>
            <w:bottom w:w="0" w:type="dxa"/>
            <w:right w:w="0" w:type="dxa"/>
          </w:tblCellMar>
        </w:tblPrEx>
        <w:trPr>
          <w:trHeight w:val="450" w:hRule="atLeast"/>
        </w:trPr>
        <w:tc>
          <w:tcPr>
            <w:tcW w:w="1043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w:t>
            </w:r>
            <w:r>
              <w:rPr>
                <w:rFonts w:hint="eastAsia" w:ascii="宋体" w:hAnsi="宋体" w:cs="宋体"/>
                <w:i w:val="0"/>
                <w:color w:val="000000"/>
                <w:kern w:val="0"/>
                <w:sz w:val="24"/>
                <w:szCs w:val="24"/>
                <w:u w:val="none"/>
                <w:lang w:val="en-US" w:eastAsia="zh-CN" w:bidi="ar"/>
              </w:rPr>
              <w:t>5</w:t>
            </w:r>
            <w:r>
              <w:rPr>
                <w:rFonts w:hint="eastAsia" w:ascii="宋体" w:hAnsi="宋体" w:eastAsia="宋体" w:cs="宋体"/>
                <w:i w:val="0"/>
                <w:color w:val="000000"/>
                <w:kern w:val="0"/>
                <w:sz w:val="24"/>
                <w:szCs w:val="24"/>
                <w:u w:val="none"/>
                <w:lang w:val="en-US" w:eastAsia="zh-CN" w:bidi="ar"/>
              </w:rPr>
              <w:t>年)</w:t>
            </w:r>
          </w:p>
        </w:tc>
      </w:tr>
      <w:tr>
        <w:tblPrEx>
          <w:tblCellMar>
            <w:top w:w="0" w:type="dxa"/>
            <w:left w:w="0" w:type="dxa"/>
            <w:bottom w:w="0" w:type="dxa"/>
            <w:right w:w="0" w:type="dxa"/>
          </w:tblCellMar>
        </w:tblPrEx>
        <w:trPr>
          <w:trHeight w:val="58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82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iCs w:val="0"/>
                <w:color w:val="000000"/>
                <w:sz w:val="20"/>
                <w:szCs w:val="20"/>
                <w:highlight w:val="none"/>
                <w:u w:val="none"/>
                <w:lang w:eastAsia="zh-CN"/>
              </w:rPr>
              <w:t>呼图壁县二十里店镇中心幼儿园</w:t>
            </w:r>
          </w:p>
        </w:tc>
      </w:tr>
      <w:tr>
        <w:tblPrEx>
          <w:tblCellMar>
            <w:top w:w="0" w:type="dxa"/>
            <w:left w:w="0" w:type="dxa"/>
            <w:bottom w:w="0" w:type="dxa"/>
            <w:right w:w="0" w:type="dxa"/>
          </w:tblCellMar>
        </w:tblPrEx>
        <w:trPr>
          <w:trHeight w:val="847"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w:t>
            </w:r>
            <w:r>
              <w:rPr>
                <w:rFonts w:hint="eastAsia" w:ascii="宋体" w:hAnsi="宋体" w:cs="宋体"/>
                <w:i w:val="0"/>
                <w:color w:val="000000"/>
                <w:kern w:val="0"/>
                <w:sz w:val="18"/>
                <w:szCs w:val="18"/>
                <w:u w:val="none"/>
                <w:lang w:val="en-US" w:eastAsia="zh-CN" w:bidi="ar"/>
              </w:rPr>
              <w:t>5</w:t>
            </w:r>
            <w:r>
              <w:rPr>
                <w:rFonts w:hint="eastAsia" w:ascii="宋体" w:hAnsi="宋体" w:eastAsia="宋体" w:cs="宋体"/>
                <w:i w:val="0"/>
                <w:color w:val="000000"/>
                <w:kern w:val="0"/>
                <w:sz w:val="18"/>
                <w:szCs w:val="18"/>
                <w:u w:val="none"/>
                <w:lang w:val="en-US" w:eastAsia="zh-CN" w:bidi="ar"/>
              </w:rPr>
              <w:t>年新疆西藏等地区教育特殊补助资金</w:t>
            </w:r>
          </w:p>
        </w:tc>
        <w:tc>
          <w:tcPr>
            <w:tcW w:w="1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3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海清</w:t>
            </w:r>
          </w:p>
        </w:tc>
      </w:tr>
      <w:tr>
        <w:tblPrEx>
          <w:tblCellMar>
            <w:top w:w="0" w:type="dxa"/>
            <w:left w:w="0" w:type="dxa"/>
            <w:bottom w:w="0" w:type="dxa"/>
            <w:right w:w="0" w:type="dxa"/>
          </w:tblCellMar>
        </w:tblPrEx>
        <w:trPr>
          <w:trHeight w:val="848"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7.74</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7.74</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3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0</w:t>
            </w:r>
          </w:p>
        </w:tc>
      </w:tr>
      <w:tr>
        <w:tblPrEx>
          <w:tblCellMar>
            <w:top w:w="0" w:type="dxa"/>
            <w:left w:w="0" w:type="dxa"/>
            <w:bottom w:w="0" w:type="dxa"/>
            <w:right w:w="0" w:type="dxa"/>
          </w:tblCellMar>
        </w:tblPrEx>
        <w:trPr>
          <w:trHeight w:val="9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8270"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通过新疆西藏地区教育特殊补助资金，促使幼儿园中 </w:t>
            </w:r>
            <w:r>
              <w:rPr>
                <w:rFonts w:hint="eastAsia" w:ascii="宋体" w:hAnsi="宋体" w:cs="宋体"/>
                <w:i w:val="0"/>
                <w:color w:val="000000"/>
                <w:kern w:val="0"/>
                <w:sz w:val="18"/>
                <w:szCs w:val="18"/>
                <w:u w:val="none"/>
                <w:lang w:val="en-US" w:eastAsia="zh-CN" w:bidi="ar"/>
              </w:rPr>
              <w:t>69</w:t>
            </w:r>
            <w:r>
              <w:rPr>
                <w:rFonts w:hint="eastAsia" w:ascii="宋体" w:hAnsi="宋体" w:eastAsia="宋体" w:cs="宋体"/>
                <w:i w:val="0"/>
                <w:color w:val="000000"/>
                <w:kern w:val="0"/>
                <w:sz w:val="18"/>
                <w:szCs w:val="18"/>
                <w:u w:val="none"/>
                <w:lang w:val="en-US" w:eastAsia="zh-CN" w:bidi="ar"/>
              </w:rPr>
              <w:t xml:space="preserve"> 名幼儿，13 名教师，学习工作环境改变，教育教学质量得到大幅提升。</w:t>
            </w:r>
          </w:p>
        </w:tc>
      </w:tr>
      <w:tr>
        <w:tblPrEx>
          <w:tblCellMar>
            <w:top w:w="0" w:type="dxa"/>
            <w:left w:w="0" w:type="dxa"/>
            <w:bottom w:w="0" w:type="dxa"/>
            <w:right w:w="0" w:type="dxa"/>
          </w:tblCellMar>
        </w:tblPrEx>
        <w:trPr>
          <w:trHeight w:val="889" w:hRule="atLeast"/>
        </w:trPr>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84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71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6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79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shd w:val="clear" w:color="auto" w:fill="auto"/>
          <w:tblCellMar>
            <w:top w:w="0" w:type="dxa"/>
            <w:left w:w="0" w:type="dxa"/>
            <w:bottom w:w="0" w:type="dxa"/>
            <w:right w:w="0" w:type="dxa"/>
          </w:tblCellMar>
        </w:tblPrEx>
        <w:trPr>
          <w:trHeight w:val="1118"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组织幼儿实践活动次数（次）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&gt;=4次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cs="宋体"/>
                <w:i w:val="0"/>
                <w:color w:val="000000"/>
                <w:sz w:val="20"/>
                <w:szCs w:val="20"/>
                <w:u w:val="none"/>
                <w:lang w:val="en-US" w:eastAsia="zh-CN"/>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shd w:val="clear" w:color="auto" w:fill="auto"/>
          <w:tblCellMar>
            <w:top w:w="0" w:type="dxa"/>
            <w:left w:w="0" w:type="dxa"/>
            <w:bottom w:w="0" w:type="dxa"/>
            <w:right w:w="0" w:type="dxa"/>
          </w:tblCellMar>
        </w:tblPrEx>
        <w:trPr>
          <w:trHeight w:val="96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本学区内适龄幼儿入学率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r>
              <w:rPr>
                <w:rFonts w:hint="eastAsia" w:ascii="宋体" w:hAnsi="宋体" w:cs="宋体"/>
                <w:i w:val="0"/>
                <w:color w:val="000000"/>
                <w:sz w:val="20"/>
                <w:szCs w:val="20"/>
                <w:u w:val="none"/>
                <w:lang w:val="en-US" w:eastAsia="zh-CN"/>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CellMar>
            <w:top w:w="0" w:type="dxa"/>
            <w:left w:w="0" w:type="dxa"/>
            <w:bottom w:w="0" w:type="dxa"/>
            <w:right w:w="0" w:type="dxa"/>
          </w:tblCellMar>
        </w:tblPrEx>
        <w:trPr>
          <w:trHeight w:val="82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幼儿开学及时率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r>
              <w:rPr>
                <w:rFonts w:hint="eastAsia" w:ascii="宋体" w:hAnsi="宋体" w:cs="宋体"/>
                <w:i w:val="0"/>
                <w:color w:val="000000"/>
                <w:sz w:val="20"/>
                <w:szCs w:val="20"/>
                <w:u w:val="none"/>
                <w:lang w:val="en-US" w:eastAsia="zh-CN"/>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CellMar>
            <w:top w:w="0" w:type="dxa"/>
            <w:left w:w="0" w:type="dxa"/>
            <w:bottom w:w="0" w:type="dxa"/>
            <w:right w:w="0" w:type="dxa"/>
          </w:tblCellMar>
        </w:tblPrEx>
        <w:trPr>
          <w:trHeight w:val="1019"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保障单位运行经费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7.74</w:t>
            </w:r>
            <w:r>
              <w:rPr>
                <w:rFonts w:hint="eastAsia" w:ascii="宋体" w:hAnsi="宋体" w:eastAsia="宋体" w:cs="宋体"/>
                <w:i w:val="0"/>
                <w:color w:val="000000"/>
                <w:kern w:val="0"/>
                <w:sz w:val="20"/>
                <w:szCs w:val="20"/>
                <w:u w:val="none"/>
                <w:lang w:val="en-US" w:eastAsia="zh-CN" w:bidi="ar"/>
              </w:rPr>
              <w:t>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r>
              <w:rPr>
                <w:rFonts w:hint="eastAsia" w:ascii="宋体" w:hAnsi="宋体" w:cs="宋体"/>
                <w:i w:val="0"/>
                <w:color w:val="000000"/>
                <w:sz w:val="20"/>
                <w:szCs w:val="20"/>
                <w:u w:val="none"/>
                <w:lang w:val="en-US" w:eastAsia="zh-CN"/>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CellMar>
            <w:top w:w="0" w:type="dxa"/>
            <w:left w:w="0" w:type="dxa"/>
            <w:bottom w:w="0" w:type="dxa"/>
            <w:right w:w="0" w:type="dxa"/>
          </w:tblCellMar>
        </w:tblPrEx>
        <w:trPr>
          <w:trHeight w:val="72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项目成本控制率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r>
              <w:rPr>
                <w:rFonts w:hint="eastAsia" w:ascii="宋体" w:hAnsi="宋体" w:cs="宋体"/>
                <w:i w:val="0"/>
                <w:color w:val="000000"/>
                <w:sz w:val="20"/>
                <w:szCs w:val="20"/>
                <w:u w:val="none"/>
                <w:lang w:val="en-US" w:eastAsia="zh-CN"/>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CellMar>
            <w:top w:w="0" w:type="dxa"/>
            <w:left w:w="0" w:type="dxa"/>
            <w:bottom w:w="0" w:type="dxa"/>
            <w:right w:w="0" w:type="dxa"/>
          </w:tblCellMar>
        </w:tblPrEx>
        <w:trPr>
          <w:trHeight w:val="92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提高幼儿园教学质量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r>
              <w:rPr>
                <w:rFonts w:hint="eastAsia" w:ascii="宋体" w:hAnsi="宋体" w:cs="宋体"/>
                <w:i w:val="0"/>
                <w:color w:val="000000"/>
                <w:sz w:val="20"/>
                <w:szCs w:val="20"/>
                <w:u w:val="none"/>
                <w:lang w:val="en-US" w:eastAsia="zh-CN"/>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CellMar>
            <w:top w:w="0" w:type="dxa"/>
            <w:left w:w="0" w:type="dxa"/>
            <w:bottom w:w="0" w:type="dxa"/>
            <w:right w:w="0" w:type="dxa"/>
          </w:tblCellMar>
        </w:tblPrEx>
        <w:trPr>
          <w:trHeight w:val="1074"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家长满意度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r>
              <w:rPr>
                <w:rFonts w:hint="eastAsia" w:ascii="宋体" w:hAnsi="宋体" w:cs="宋体"/>
                <w:i w:val="0"/>
                <w:color w:val="000000"/>
                <w:sz w:val="20"/>
                <w:szCs w:val="20"/>
                <w:u w:val="none"/>
                <w:lang w:val="en-US" w:eastAsia="zh-CN"/>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7"/>
        <w:tblpPr w:leftFromText="180" w:rightFromText="180" w:vertAnchor="text" w:horzAnchor="page" w:tblpX="925" w:tblpY="590"/>
        <w:tblOverlap w:val="never"/>
        <w:tblW w:w="10430" w:type="dxa"/>
        <w:tblInd w:w="0" w:type="dxa"/>
        <w:shd w:val="clear" w:color="auto" w:fill="auto"/>
        <w:tblLayout w:type="fixed"/>
        <w:tblCellMar>
          <w:top w:w="0" w:type="dxa"/>
          <w:left w:w="0" w:type="dxa"/>
          <w:bottom w:w="0" w:type="dxa"/>
          <w:right w:w="0" w:type="dxa"/>
        </w:tblCellMar>
      </w:tblPr>
      <w:tblGrid>
        <w:gridCol w:w="1080"/>
        <w:gridCol w:w="1080"/>
        <w:gridCol w:w="1080"/>
        <w:gridCol w:w="1080"/>
        <w:gridCol w:w="1080"/>
        <w:gridCol w:w="848"/>
        <w:gridCol w:w="717"/>
        <w:gridCol w:w="1675"/>
        <w:gridCol w:w="1790"/>
      </w:tblGrid>
      <w:tr>
        <w:tblPrEx>
          <w:shd w:val="clear" w:color="auto" w:fill="auto"/>
          <w:tblCellMar>
            <w:top w:w="0" w:type="dxa"/>
            <w:left w:w="0" w:type="dxa"/>
            <w:bottom w:w="0" w:type="dxa"/>
            <w:right w:w="0" w:type="dxa"/>
          </w:tblCellMar>
        </w:tblPrEx>
        <w:trPr>
          <w:trHeight w:val="805" w:hRule="atLeast"/>
        </w:trPr>
        <w:tc>
          <w:tcPr>
            <w:tcW w:w="1043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CellMar>
            <w:top w:w="0" w:type="dxa"/>
            <w:left w:w="0" w:type="dxa"/>
            <w:bottom w:w="0" w:type="dxa"/>
            <w:right w:w="0" w:type="dxa"/>
          </w:tblCellMar>
        </w:tblPrEx>
        <w:trPr>
          <w:trHeight w:val="450" w:hRule="atLeast"/>
        </w:trPr>
        <w:tc>
          <w:tcPr>
            <w:tcW w:w="1043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w:t>
            </w:r>
            <w:r>
              <w:rPr>
                <w:rFonts w:hint="eastAsia" w:ascii="宋体" w:hAnsi="宋体" w:cs="宋体"/>
                <w:i w:val="0"/>
                <w:color w:val="000000"/>
                <w:kern w:val="0"/>
                <w:sz w:val="24"/>
                <w:szCs w:val="24"/>
                <w:u w:val="none"/>
                <w:lang w:val="en-US" w:eastAsia="zh-CN" w:bidi="ar"/>
              </w:rPr>
              <w:t>5</w:t>
            </w:r>
            <w:r>
              <w:rPr>
                <w:rFonts w:hint="eastAsia" w:ascii="宋体" w:hAnsi="宋体" w:eastAsia="宋体" w:cs="宋体"/>
                <w:i w:val="0"/>
                <w:color w:val="000000"/>
                <w:kern w:val="0"/>
                <w:sz w:val="24"/>
                <w:szCs w:val="24"/>
                <w:u w:val="none"/>
                <w:lang w:val="en-US" w:eastAsia="zh-CN" w:bidi="ar"/>
              </w:rPr>
              <w:t>年)</w:t>
            </w:r>
          </w:p>
        </w:tc>
      </w:tr>
      <w:tr>
        <w:tblPrEx>
          <w:shd w:val="clear" w:color="auto" w:fill="auto"/>
          <w:tblCellMar>
            <w:top w:w="0" w:type="dxa"/>
            <w:left w:w="0" w:type="dxa"/>
            <w:bottom w:w="0" w:type="dxa"/>
            <w:right w:w="0" w:type="dxa"/>
          </w:tblCellMar>
        </w:tblPrEx>
        <w:trPr>
          <w:trHeight w:val="518"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82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iCs w:val="0"/>
                <w:color w:val="000000"/>
                <w:sz w:val="20"/>
                <w:szCs w:val="20"/>
                <w:highlight w:val="none"/>
                <w:u w:val="none"/>
                <w:lang w:eastAsia="zh-CN"/>
              </w:rPr>
              <w:t>呼图壁县二十里店镇中心幼儿园</w:t>
            </w:r>
          </w:p>
        </w:tc>
      </w:tr>
      <w:tr>
        <w:tblPrEx>
          <w:shd w:val="clear" w:color="auto" w:fill="auto"/>
          <w:tblCellMar>
            <w:top w:w="0" w:type="dxa"/>
            <w:left w:w="0" w:type="dxa"/>
            <w:bottom w:w="0" w:type="dxa"/>
            <w:right w:w="0" w:type="dxa"/>
          </w:tblCellMar>
        </w:tblPrEx>
        <w:trPr>
          <w:trHeight w:val="67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w:t>
            </w:r>
            <w:r>
              <w:rPr>
                <w:rFonts w:hint="eastAsia" w:ascii="宋体" w:hAnsi="宋体" w:cs="宋体"/>
                <w:i w:val="0"/>
                <w:color w:val="000000"/>
                <w:kern w:val="0"/>
                <w:sz w:val="18"/>
                <w:szCs w:val="18"/>
                <w:u w:val="none"/>
                <w:lang w:val="en-US" w:eastAsia="zh-CN" w:bidi="ar"/>
              </w:rPr>
              <w:t>5</w:t>
            </w:r>
            <w:r>
              <w:rPr>
                <w:rFonts w:hint="eastAsia" w:ascii="宋体" w:hAnsi="宋体" w:eastAsia="宋体" w:cs="宋体"/>
                <w:i w:val="0"/>
                <w:color w:val="000000"/>
                <w:kern w:val="0"/>
                <w:sz w:val="18"/>
                <w:szCs w:val="18"/>
                <w:u w:val="none"/>
                <w:lang w:val="en-US" w:eastAsia="zh-CN" w:bidi="ar"/>
              </w:rPr>
              <w:t>年自治区教育项目经费（自聘教师工资补助）</w:t>
            </w:r>
          </w:p>
        </w:tc>
        <w:tc>
          <w:tcPr>
            <w:tcW w:w="1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3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海清</w:t>
            </w:r>
          </w:p>
        </w:tc>
      </w:tr>
      <w:tr>
        <w:tblPrEx>
          <w:tblCellMar>
            <w:top w:w="0" w:type="dxa"/>
            <w:left w:w="0" w:type="dxa"/>
            <w:bottom w:w="0" w:type="dxa"/>
            <w:right w:w="0" w:type="dxa"/>
          </w:tblCellMar>
        </w:tblPrEx>
        <w:trPr>
          <w:trHeight w:val="957"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8.47</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8.47</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3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0</w:t>
            </w:r>
          </w:p>
        </w:tc>
      </w:tr>
      <w:tr>
        <w:tblPrEx>
          <w:shd w:val="clear" w:color="auto" w:fill="auto"/>
          <w:tblCellMar>
            <w:top w:w="0" w:type="dxa"/>
            <w:left w:w="0" w:type="dxa"/>
            <w:bottom w:w="0" w:type="dxa"/>
            <w:right w:w="0" w:type="dxa"/>
          </w:tblCellMar>
        </w:tblPrEx>
        <w:trPr>
          <w:trHeight w:val="95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8270"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通过自治区教育项目经费（自聘教师工资补助)，</w:t>
            </w:r>
            <w:r>
              <w:rPr>
                <w:rFonts w:hint="eastAsia" w:ascii="宋体" w:hAnsi="宋体" w:eastAsia="宋体" w:cs="宋体"/>
                <w:i w:val="0"/>
                <w:iCs w:val="0"/>
                <w:color w:val="000000"/>
                <w:kern w:val="0"/>
                <w:sz w:val="18"/>
                <w:szCs w:val="18"/>
                <w:u w:val="none"/>
                <w:lang w:val="en-US" w:eastAsia="zh-CN" w:bidi="ar"/>
              </w:rPr>
              <w:t>本项目为年初</w:t>
            </w:r>
            <w:r>
              <w:rPr>
                <w:rFonts w:hint="eastAsia" w:ascii="宋体" w:hAnsi="宋体" w:cs="宋体"/>
                <w:i w:val="0"/>
                <w:iCs w:val="0"/>
                <w:color w:val="000000"/>
                <w:kern w:val="0"/>
                <w:sz w:val="18"/>
                <w:szCs w:val="18"/>
                <w:u w:val="none"/>
                <w:lang w:val="en-US" w:eastAsia="zh-CN" w:bidi="ar"/>
              </w:rPr>
              <w:t>上级</w:t>
            </w:r>
            <w:r>
              <w:rPr>
                <w:rFonts w:hint="eastAsia" w:ascii="宋体" w:hAnsi="宋体" w:eastAsia="宋体" w:cs="宋体"/>
                <w:i w:val="0"/>
                <w:iCs w:val="0"/>
                <w:color w:val="000000"/>
                <w:kern w:val="0"/>
                <w:sz w:val="18"/>
                <w:szCs w:val="18"/>
                <w:u w:val="none"/>
                <w:lang w:val="en-US" w:eastAsia="zh-CN" w:bidi="ar"/>
              </w:rPr>
              <w:t>下达资金，项目资金额度</w:t>
            </w:r>
            <w:r>
              <w:rPr>
                <w:rFonts w:hint="eastAsia" w:ascii="宋体" w:hAnsi="宋体" w:cs="宋体"/>
                <w:i w:val="0"/>
                <w:iCs w:val="0"/>
                <w:color w:val="000000"/>
                <w:kern w:val="0"/>
                <w:sz w:val="18"/>
                <w:szCs w:val="18"/>
                <w:u w:val="none"/>
                <w:lang w:val="en-US" w:eastAsia="zh-CN" w:bidi="ar"/>
              </w:rPr>
              <w:t>8.47</w:t>
            </w:r>
            <w:r>
              <w:rPr>
                <w:rFonts w:hint="eastAsia" w:ascii="宋体" w:hAnsi="宋体" w:eastAsia="宋体" w:cs="宋体"/>
                <w:i w:val="0"/>
                <w:iCs w:val="0"/>
                <w:color w:val="000000"/>
                <w:kern w:val="0"/>
                <w:sz w:val="18"/>
                <w:szCs w:val="18"/>
                <w:u w:val="none"/>
                <w:lang w:val="en-US" w:eastAsia="zh-CN" w:bidi="ar"/>
              </w:rPr>
              <w:t>万元。该项目主要用于发放</w:t>
            </w:r>
            <w:r>
              <w:rPr>
                <w:rFonts w:hint="eastAsia" w:ascii="宋体" w:hAnsi="宋体" w:cs="宋体"/>
                <w:i w:val="0"/>
                <w:iCs w:val="0"/>
                <w:color w:val="000000"/>
                <w:kern w:val="0"/>
                <w:sz w:val="18"/>
                <w:szCs w:val="18"/>
                <w:u w:val="none"/>
                <w:lang w:val="en-US" w:eastAsia="zh-CN" w:bidi="ar"/>
              </w:rPr>
              <w:t>4</w:t>
            </w:r>
            <w:r>
              <w:rPr>
                <w:rFonts w:hint="eastAsia" w:ascii="宋体" w:hAnsi="宋体" w:eastAsia="宋体" w:cs="宋体"/>
                <w:i w:val="0"/>
                <w:iCs w:val="0"/>
                <w:color w:val="000000"/>
                <w:kern w:val="0"/>
                <w:sz w:val="18"/>
                <w:szCs w:val="18"/>
                <w:u w:val="none"/>
                <w:lang w:val="en-US" w:eastAsia="zh-CN" w:bidi="ar"/>
              </w:rPr>
              <w:t>名教师各项补助，发放月数 12 月，补贴发放准确率达到 100%，该项目的实施能稳定师资队伍，构建和谐劳动关系。使受益教师满意度达到 90%以上。</w:t>
            </w:r>
          </w:p>
        </w:tc>
      </w:tr>
      <w:tr>
        <w:tblPrEx>
          <w:shd w:val="clear" w:color="auto" w:fill="auto"/>
          <w:tblCellMar>
            <w:top w:w="0" w:type="dxa"/>
            <w:left w:w="0" w:type="dxa"/>
            <w:bottom w:w="0" w:type="dxa"/>
            <w:right w:w="0" w:type="dxa"/>
          </w:tblCellMar>
        </w:tblPrEx>
        <w:trPr>
          <w:trHeight w:val="905" w:hRule="atLeast"/>
        </w:trPr>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84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71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6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79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shd w:val="clear" w:color="auto" w:fill="auto"/>
          <w:tblCellMar>
            <w:top w:w="0" w:type="dxa"/>
            <w:left w:w="0" w:type="dxa"/>
            <w:bottom w:w="0" w:type="dxa"/>
            <w:right w:w="0" w:type="dxa"/>
          </w:tblCellMar>
        </w:tblPrEx>
        <w:trPr>
          <w:trHeight w:val="1113"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p>
          <w:p>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自聘教师人数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CellMar>
            <w:top w:w="0" w:type="dxa"/>
            <w:left w:w="0" w:type="dxa"/>
            <w:bottom w:w="0" w:type="dxa"/>
            <w:right w:w="0" w:type="dxa"/>
          </w:tblCellMar>
        </w:tblPrEx>
        <w:trPr>
          <w:trHeight w:val="90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补助发放月数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12月</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CellMar>
            <w:top w:w="0" w:type="dxa"/>
            <w:left w:w="0" w:type="dxa"/>
            <w:bottom w:w="0" w:type="dxa"/>
            <w:right w:w="0" w:type="dxa"/>
          </w:tblCellMar>
        </w:tblPrEx>
        <w:trPr>
          <w:trHeight w:val="7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国家通用语言文字授课能力合格率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CellMar>
            <w:top w:w="0" w:type="dxa"/>
            <w:left w:w="0" w:type="dxa"/>
            <w:bottom w:w="0" w:type="dxa"/>
            <w:right w:w="0" w:type="dxa"/>
          </w:tblCellMar>
        </w:tblPrEx>
        <w:trPr>
          <w:trHeight w:val="106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发放自聘教师工资时间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每月25日</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0" w:type="dxa"/>
            <w:bottom w:w="0" w:type="dxa"/>
            <w:right w:w="0" w:type="dxa"/>
          </w:tblCellMar>
        </w:tblPrEx>
        <w:trPr>
          <w:trHeight w:val="72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自聘教师工资补助标准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2.12万元/人/年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shd w:val="clear" w:color="auto" w:fill="auto"/>
          <w:tblCellMar>
            <w:top w:w="0" w:type="dxa"/>
            <w:left w:w="0" w:type="dxa"/>
            <w:bottom w:w="0" w:type="dxa"/>
            <w:right w:w="0" w:type="dxa"/>
          </w:tblCellMar>
        </w:tblPrEx>
        <w:trPr>
          <w:trHeight w:val="879"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保障教育教学教师需求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保障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教学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需求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shd w:val="clear" w:color="auto" w:fill="auto"/>
          <w:tblCellMar>
            <w:top w:w="0" w:type="dxa"/>
            <w:left w:w="0" w:type="dxa"/>
            <w:bottom w:w="0" w:type="dxa"/>
            <w:right w:w="0" w:type="dxa"/>
          </w:tblCellMar>
        </w:tblPrEx>
        <w:trPr>
          <w:trHeight w:val="110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受补助的教师满意度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ind w:firstLine="321" w:firstLineChars="100"/>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321" w:firstLineChars="100"/>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321" w:firstLineChars="10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本部门无其他需说明事项。</w:t>
      </w:r>
      <w:bookmarkStart w:id="1" w:name="_GoBack"/>
      <w:bookmarkEnd w:id="1"/>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438" w:leftChars="304" w:hanging="4800" w:hangingChars="15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呼图壁县二十里店镇中心幼儿园</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p>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p>
                  <w:p>
                    <w:pPr>
                      <w:pStyle w:val="3"/>
                    </w:pPr>
                    <w:r>
                      <w:fldChar w:fldCharType="begin"/>
                    </w:r>
                    <w:r>
                      <w:instrText xml:space="preserve"> PAGE  \* MERGEFORMAT </w:instrText>
                    </w:r>
                    <w:r>
                      <w:fldChar w:fldCharType="separate"/>
                    </w:r>
                    <w:r>
                      <w:t>4</w:t>
                    </w:r>
                    <w:r>
                      <w:fldChar w:fldCharType="end"/>
                    </w:r>
                  </w:p>
                </w:txbxContent>
              </v:textbox>
            </v:shape>
          </w:pict>
        </mc:Fallback>
      </mc:AlternateContent>
    </w:r>
  </w:p>
  <w:p>
    <w:pPr>
      <w:pStyle w:val="3"/>
      <w:jc w:val="right"/>
      <w:rPr>
        <w:rFonts w:ascii="宋体" w:hAnsi="宋体" w:eastAsia="宋体"/>
        <w:sz w:val="28"/>
        <w:szCs w:val="28"/>
      </w:rPr>
    </w:pP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C52DF0"/>
    <w:multiLevelType w:val="singleLevel"/>
    <w:tmpl w:val="CAC52DF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mN2I3ZmU4MjVmZDNkOTEyYmM0NThiMGIxZTQ2ZmYifQ=="/>
  </w:docVars>
  <w:rsids>
    <w:rsidRoot w:val="10587512"/>
    <w:rsid w:val="005F3ACF"/>
    <w:rsid w:val="00E41A1F"/>
    <w:rsid w:val="00FC40D9"/>
    <w:rsid w:val="017B2F92"/>
    <w:rsid w:val="01FF6026"/>
    <w:rsid w:val="020E507E"/>
    <w:rsid w:val="02732F8E"/>
    <w:rsid w:val="028D0800"/>
    <w:rsid w:val="02CB7F49"/>
    <w:rsid w:val="037800D1"/>
    <w:rsid w:val="04267087"/>
    <w:rsid w:val="04267B2D"/>
    <w:rsid w:val="044C330C"/>
    <w:rsid w:val="05397FD9"/>
    <w:rsid w:val="057A5F58"/>
    <w:rsid w:val="05C37186"/>
    <w:rsid w:val="05CA273A"/>
    <w:rsid w:val="05F61781"/>
    <w:rsid w:val="070E6657"/>
    <w:rsid w:val="080E3E4F"/>
    <w:rsid w:val="084451C2"/>
    <w:rsid w:val="08450B28"/>
    <w:rsid w:val="08762705"/>
    <w:rsid w:val="088F5575"/>
    <w:rsid w:val="08E81855"/>
    <w:rsid w:val="0A4168EC"/>
    <w:rsid w:val="0AD672A7"/>
    <w:rsid w:val="0B247F12"/>
    <w:rsid w:val="0B7C3034"/>
    <w:rsid w:val="0B841FFD"/>
    <w:rsid w:val="0BAF3864"/>
    <w:rsid w:val="0BD56A2F"/>
    <w:rsid w:val="0C0A3890"/>
    <w:rsid w:val="0CD20198"/>
    <w:rsid w:val="0CEC568C"/>
    <w:rsid w:val="0D4F61A0"/>
    <w:rsid w:val="0D6E5FD0"/>
    <w:rsid w:val="0D960546"/>
    <w:rsid w:val="0E320E7D"/>
    <w:rsid w:val="0E325320"/>
    <w:rsid w:val="0E9208E7"/>
    <w:rsid w:val="10587512"/>
    <w:rsid w:val="105D0E37"/>
    <w:rsid w:val="10916BDA"/>
    <w:rsid w:val="11036B00"/>
    <w:rsid w:val="11301FEB"/>
    <w:rsid w:val="11B6451D"/>
    <w:rsid w:val="121E62E8"/>
    <w:rsid w:val="143F2545"/>
    <w:rsid w:val="1697741D"/>
    <w:rsid w:val="175B7A87"/>
    <w:rsid w:val="19A215AC"/>
    <w:rsid w:val="1A132B78"/>
    <w:rsid w:val="1AC437A4"/>
    <w:rsid w:val="1B153D26"/>
    <w:rsid w:val="1BEB54C3"/>
    <w:rsid w:val="1C3C6084"/>
    <w:rsid w:val="1C8C02F2"/>
    <w:rsid w:val="1CC548A8"/>
    <w:rsid w:val="1D3E1AFE"/>
    <w:rsid w:val="1E6432D4"/>
    <w:rsid w:val="1E89232D"/>
    <w:rsid w:val="1EB61656"/>
    <w:rsid w:val="20407429"/>
    <w:rsid w:val="20CF3CE4"/>
    <w:rsid w:val="20DD111C"/>
    <w:rsid w:val="20DD55C0"/>
    <w:rsid w:val="226F2247"/>
    <w:rsid w:val="22922CB8"/>
    <w:rsid w:val="22DB78DD"/>
    <w:rsid w:val="244D65B8"/>
    <w:rsid w:val="2492221D"/>
    <w:rsid w:val="24B42D8E"/>
    <w:rsid w:val="24FE64C9"/>
    <w:rsid w:val="250855AF"/>
    <w:rsid w:val="258B383C"/>
    <w:rsid w:val="2621539B"/>
    <w:rsid w:val="263B7010"/>
    <w:rsid w:val="26B4291F"/>
    <w:rsid w:val="26BD282A"/>
    <w:rsid w:val="26E769FA"/>
    <w:rsid w:val="286D65BC"/>
    <w:rsid w:val="288D7246"/>
    <w:rsid w:val="28D9041B"/>
    <w:rsid w:val="293B2E83"/>
    <w:rsid w:val="29B51EDA"/>
    <w:rsid w:val="2A361190"/>
    <w:rsid w:val="2AFC4894"/>
    <w:rsid w:val="2B3A05DE"/>
    <w:rsid w:val="2B6901C6"/>
    <w:rsid w:val="2B9F2A3C"/>
    <w:rsid w:val="2D480265"/>
    <w:rsid w:val="2D977453"/>
    <w:rsid w:val="2E2943BA"/>
    <w:rsid w:val="2EF22236"/>
    <w:rsid w:val="2FED29FE"/>
    <w:rsid w:val="300E1D4A"/>
    <w:rsid w:val="30577D3F"/>
    <w:rsid w:val="30B05F05"/>
    <w:rsid w:val="310F3573"/>
    <w:rsid w:val="32D560F7"/>
    <w:rsid w:val="33A76F60"/>
    <w:rsid w:val="341E7629"/>
    <w:rsid w:val="348524FE"/>
    <w:rsid w:val="3542799D"/>
    <w:rsid w:val="35F117C8"/>
    <w:rsid w:val="36015873"/>
    <w:rsid w:val="38284F1B"/>
    <w:rsid w:val="39B0409D"/>
    <w:rsid w:val="3BE45FB7"/>
    <w:rsid w:val="3BF21AC7"/>
    <w:rsid w:val="3C013037"/>
    <w:rsid w:val="3D4E6349"/>
    <w:rsid w:val="3FDF4D23"/>
    <w:rsid w:val="41083B3B"/>
    <w:rsid w:val="41270465"/>
    <w:rsid w:val="41DB2FFE"/>
    <w:rsid w:val="42155C0B"/>
    <w:rsid w:val="42643CF1"/>
    <w:rsid w:val="42851916"/>
    <w:rsid w:val="42B900BC"/>
    <w:rsid w:val="42DF4CF6"/>
    <w:rsid w:val="42F779C3"/>
    <w:rsid w:val="43502DA9"/>
    <w:rsid w:val="43C26223"/>
    <w:rsid w:val="43D8307E"/>
    <w:rsid w:val="44507CD3"/>
    <w:rsid w:val="44AF5181"/>
    <w:rsid w:val="44E87F6E"/>
    <w:rsid w:val="455A018C"/>
    <w:rsid w:val="45D50B14"/>
    <w:rsid w:val="46B02CAB"/>
    <w:rsid w:val="46CE3131"/>
    <w:rsid w:val="473F4856"/>
    <w:rsid w:val="493059DD"/>
    <w:rsid w:val="494F7907"/>
    <w:rsid w:val="4ADF73DC"/>
    <w:rsid w:val="4B1B26BD"/>
    <w:rsid w:val="4B315A3D"/>
    <w:rsid w:val="4C0055E5"/>
    <w:rsid w:val="4C3677AE"/>
    <w:rsid w:val="4C6205A3"/>
    <w:rsid w:val="4C706B3A"/>
    <w:rsid w:val="4E841B60"/>
    <w:rsid w:val="4F3B332E"/>
    <w:rsid w:val="504E51A4"/>
    <w:rsid w:val="51872D52"/>
    <w:rsid w:val="51C15CED"/>
    <w:rsid w:val="52285DEB"/>
    <w:rsid w:val="524E5371"/>
    <w:rsid w:val="52AD62F0"/>
    <w:rsid w:val="53A94D0A"/>
    <w:rsid w:val="546308FE"/>
    <w:rsid w:val="56FE59C9"/>
    <w:rsid w:val="570D735E"/>
    <w:rsid w:val="571B2674"/>
    <w:rsid w:val="589917F1"/>
    <w:rsid w:val="59B241EC"/>
    <w:rsid w:val="5A5E27F6"/>
    <w:rsid w:val="5A704801"/>
    <w:rsid w:val="5A8C5E4D"/>
    <w:rsid w:val="5AED2A9A"/>
    <w:rsid w:val="5B510C3E"/>
    <w:rsid w:val="5CB070BA"/>
    <w:rsid w:val="5D9E1657"/>
    <w:rsid w:val="5E225DE5"/>
    <w:rsid w:val="5E257683"/>
    <w:rsid w:val="5E7802BC"/>
    <w:rsid w:val="5EE078B0"/>
    <w:rsid w:val="5F0D5523"/>
    <w:rsid w:val="5F2346ED"/>
    <w:rsid w:val="61002FDF"/>
    <w:rsid w:val="61086613"/>
    <w:rsid w:val="61686204"/>
    <w:rsid w:val="62917095"/>
    <w:rsid w:val="62C375FC"/>
    <w:rsid w:val="630E06E5"/>
    <w:rsid w:val="633C29A4"/>
    <w:rsid w:val="63E31E4A"/>
    <w:rsid w:val="6408782B"/>
    <w:rsid w:val="65322CBF"/>
    <w:rsid w:val="65B35574"/>
    <w:rsid w:val="65C658ED"/>
    <w:rsid w:val="67773700"/>
    <w:rsid w:val="677D608B"/>
    <w:rsid w:val="67AF7D46"/>
    <w:rsid w:val="68CC52CB"/>
    <w:rsid w:val="68DE4FFE"/>
    <w:rsid w:val="691B0000"/>
    <w:rsid w:val="694B58D7"/>
    <w:rsid w:val="69CE4E15"/>
    <w:rsid w:val="6B3E7E06"/>
    <w:rsid w:val="6B7F3246"/>
    <w:rsid w:val="6BA128F6"/>
    <w:rsid w:val="6BB236F3"/>
    <w:rsid w:val="6BF904A6"/>
    <w:rsid w:val="6C2F634B"/>
    <w:rsid w:val="6CB14AD7"/>
    <w:rsid w:val="6CB5251A"/>
    <w:rsid w:val="6CD429A0"/>
    <w:rsid w:val="6EF07839"/>
    <w:rsid w:val="6F0A1FBD"/>
    <w:rsid w:val="6F63000B"/>
    <w:rsid w:val="6FCF0C72"/>
    <w:rsid w:val="71500A63"/>
    <w:rsid w:val="717C1858"/>
    <w:rsid w:val="72B56DCF"/>
    <w:rsid w:val="72E964BC"/>
    <w:rsid w:val="735C7C42"/>
    <w:rsid w:val="74D07EF1"/>
    <w:rsid w:val="755D0BC4"/>
    <w:rsid w:val="75B570E6"/>
    <w:rsid w:val="75BF3AC1"/>
    <w:rsid w:val="76166DA2"/>
    <w:rsid w:val="7706409E"/>
    <w:rsid w:val="77647CEA"/>
    <w:rsid w:val="7797777E"/>
    <w:rsid w:val="780A1873"/>
    <w:rsid w:val="787D11B8"/>
    <w:rsid w:val="78A771BA"/>
    <w:rsid w:val="78AC6820"/>
    <w:rsid w:val="792C5912"/>
    <w:rsid w:val="7BE5144C"/>
    <w:rsid w:val="7C8D4FB3"/>
    <w:rsid w:val="7CBA4FE2"/>
    <w:rsid w:val="7CD0479E"/>
    <w:rsid w:val="7D06612B"/>
    <w:rsid w:val="7E880152"/>
    <w:rsid w:val="7E8B30DA"/>
    <w:rsid w:val="7F0645F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2149</Words>
  <Characters>2588</Characters>
  <Lines>0</Lines>
  <Paragraphs>0</Paragraphs>
  <TotalTime>1</TotalTime>
  <ScaleCrop>false</ScaleCrop>
  <LinksUpToDate>false</LinksUpToDate>
  <CharactersWithSpaces>3057</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2025-06-01T11:57:13Z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11F76AF745E54CB99DE8BAF67894541E_13</vt:lpwstr>
  </property>
  <property fmtid="{D5CDD505-2E9C-101B-9397-08002B2CF9AE}" pid="4" name="KSOTemplateDocerSaveRecord">
    <vt:lpwstr>eyJoZGlkIjoiNjY2NzEwZWVhMWZlNDZlMTE3NDBlNzBjOTU5NDMxNTEiLCJ1c2VySWQiOiI2NTM1MTIyMzEifQ==</vt:lpwstr>
  </property>
</Properties>
</file>