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spacing w:before="100" w:beforeAutospacing="1" w:after="100" w:afterAutospacing="1"/>
        <w:jc w:val="center"/>
        <w:outlineLvl w:val="1"/>
        <w:rPr>
          <w:rFonts w:ascii="方正小标宋_GBK" w:hAnsi="宋体" w:eastAsia="方正小标宋_GBK"/>
          <w:color w:val="auto"/>
          <w:kern w:val="0"/>
          <w:sz w:val="44"/>
          <w:szCs w:val="44"/>
          <w:highlight w:val="none"/>
        </w:rPr>
      </w:pPr>
    </w:p>
    <w:p>
      <w:pPr>
        <w:pStyle w:val="7"/>
        <w:shd w:val="clear"/>
        <w:rPr>
          <w:color w:val="auto"/>
          <w:highlight w:val="none"/>
        </w:rPr>
      </w:pPr>
    </w:p>
    <w:p>
      <w:pPr>
        <w:widowControl/>
        <w:shd w:val="clear"/>
        <w:spacing w:before="100" w:beforeAutospacing="1" w:after="100" w:afterAutospacing="1"/>
        <w:jc w:val="center"/>
        <w:outlineLvl w:val="1"/>
        <w:rPr>
          <w:rFonts w:ascii="方正小标宋_GBK" w:hAnsi="宋体" w:eastAsia="方正小标宋_GBK"/>
          <w:color w:val="auto"/>
          <w:kern w:val="0"/>
          <w:sz w:val="44"/>
          <w:szCs w:val="44"/>
          <w:highlight w:val="none"/>
        </w:rPr>
      </w:pPr>
    </w:p>
    <w:p>
      <w:pPr>
        <w:shd w:val="clear"/>
        <w:jc w:val="center"/>
        <w:rPr>
          <w:rFonts w:hint="eastAsia" w:ascii="黑体" w:hAnsi="ArialUnicodeMS" w:eastAsia="黑体"/>
          <w:color w:val="auto"/>
          <w:sz w:val="44"/>
          <w:szCs w:val="44"/>
          <w:highlight w:val="none"/>
        </w:rPr>
      </w:pPr>
      <w:r>
        <w:rPr>
          <w:rFonts w:hint="eastAsia" w:ascii="黑体" w:hAnsi="ArialUnicodeMS" w:eastAsia="黑体"/>
          <w:color w:val="auto"/>
          <w:sz w:val="44"/>
          <w:szCs w:val="44"/>
          <w:highlight w:val="none"/>
        </w:rPr>
        <w:t>呼图壁县第二中学</w:t>
      </w:r>
    </w:p>
    <w:p>
      <w:pPr>
        <w:shd w:val="clear"/>
        <w:jc w:val="center"/>
        <w:rPr>
          <w:rFonts w:hint="eastAsia" w:ascii="黑体" w:hAnsi="ArialUnicodeMS" w:eastAsia="黑体"/>
          <w:color w:val="auto"/>
          <w:sz w:val="44"/>
          <w:szCs w:val="44"/>
          <w:highlight w:val="none"/>
        </w:rPr>
      </w:pPr>
    </w:p>
    <w:p>
      <w:pPr>
        <w:shd w:val="clear"/>
        <w:jc w:val="center"/>
        <w:rPr>
          <w:rFonts w:hint="eastAsia" w:ascii="黑体" w:hAnsi="ArialUnicodeMS" w:eastAsia="黑体"/>
          <w:color w:val="auto"/>
          <w:sz w:val="44"/>
          <w:szCs w:val="44"/>
          <w:highlight w:val="none"/>
        </w:rPr>
      </w:pPr>
      <w:r>
        <w:rPr>
          <w:rFonts w:hint="eastAsia" w:ascii="黑体" w:hAnsi="ArialUnicodeMS" w:eastAsia="黑体"/>
          <w:color w:val="auto"/>
          <w:sz w:val="44"/>
          <w:szCs w:val="44"/>
          <w:highlight w:val="none"/>
        </w:rPr>
        <w:t>2025年部门预算公开</w:t>
      </w:r>
    </w:p>
    <w:p>
      <w:pPr>
        <w:widowControl/>
        <w:shd w:val="clear"/>
        <w:spacing w:line="440" w:lineRule="exact"/>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outlineLvl w:val="1"/>
        <w:rPr>
          <w:rFonts w:ascii="黑体" w:hAnsi="黑体" w:eastAsia="黑体"/>
          <w:color w:val="auto"/>
          <w:kern w:val="0"/>
          <w:sz w:val="36"/>
          <w:szCs w:val="32"/>
          <w:highlight w:val="none"/>
        </w:rPr>
      </w:pPr>
    </w:p>
    <w:p>
      <w:pPr>
        <w:widowControl/>
        <w:shd w:val="clear"/>
        <w:spacing w:line="440" w:lineRule="exact"/>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sectPr>
          <w:footerReference r:id="rId3" w:type="default"/>
          <w:pgSz w:w="11906" w:h="16838"/>
          <w:pgMar w:top="2098" w:right="1418" w:bottom="1928" w:left="1588" w:header="851" w:footer="992" w:gutter="0"/>
          <w:pgNumType w:fmt="numberInDash" w:start="1"/>
          <w:cols w:space="720" w:num="1"/>
          <w:docGrid w:linePitch="312" w:charSpace="0"/>
        </w:sectPr>
      </w:pPr>
    </w:p>
    <w:p>
      <w:pPr>
        <w:shd w:val="clear"/>
        <w:spacing w:line="600" w:lineRule="exact"/>
        <w:jc w:val="center"/>
        <w:rPr>
          <w:rFonts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2025年呼图壁县第二中学部门概况</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2025年部门预算公开表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一、部门收支总体情况表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二、部门收入总体情况表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三、部门支出总体情况表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四、财政拨款收支预算总体情况表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八</w:t>
      </w:r>
      <w:r>
        <w:rPr>
          <w:rFonts w:hint="eastAsia" w:ascii="仿宋_GB2312" w:hAnsi="仿宋_GB2312" w:eastAsia="仿宋_GB2312" w:cs="仿宋_GB2312"/>
          <w:color w:val="auto"/>
          <w:kern w:val="0"/>
          <w:sz w:val="32"/>
          <w:szCs w:val="32"/>
          <w:highlight w:val="none"/>
        </w:rPr>
        <w:t>、政府性基金预算支出情况表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九、</w:t>
      </w:r>
      <w:r>
        <w:rPr>
          <w:rFonts w:hint="eastAsia" w:ascii="仿宋_GB2312" w:hAnsi="仿宋_GB2312" w:eastAsia="仿宋_GB2312" w:cs="仿宋_GB2312"/>
          <w:color w:val="auto"/>
          <w:kern w:val="0"/>
          <w:sz w:val="32"/>
          <w:szCs w:val="32"/>
          <w:highlight w:val="none"/>
        </w:rPr>
        <w:t>国有资本经营预算支出情况表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lang w:eastAsia="zh-Hans"/>
        </w:rPr>
      </w:pPr>
      <w:r>
        <w:rPr>
          <w:rFonts w:hint="eastAsia" w:ascii="仿宋_GB2312" w:hAnsi="仿宋_GB2312" w:eastAsia="仿宋_GB2312" w:cs="仿宋_GB2312"/>
          <w:color w:val="auto"/>
          <w:kern w:val="0"/>
          <w:sz w:val="32"/>
          <w:szCs w:val="32"/>
          <w:highlight w:val="none"/>
          <w:lang w:eastAsia="zh-Hans"/>
        </w:rPr>
        <w:t>十、财政拨款“三公”经费支出情况表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十一、</w:t>
      </w:r>
      <w:r>
        <w:rPr>
          <w:rFonts w:hint="eastAsia" w:ascii="仿宋_GB2312" w:hAnsi="仿宋_GB2312" w:eastAsia="仿宋_GB2312" w:cs="仿宋_GB2312"/>
          <w:color w:val="auto"/>
          <w:kern w:val="0"/>
          <w:sz w:val="32"/>
          <w:szCs w:val="32"/>
          <w:highlight w:val="none"/>
          <w:lang w:eastAsia="zh-Hans"/>
        </w:rPr>
        <w:t>上年结转</w:t>
      </w:r>
      <w:r>
        <w:rPr>
          <w:rFonts w:hint="eastAsia" w:ascii="仿宋_GB2312" w:hAnsi="仿宋_GB2312" w:eastAsia="仿宋_GB2312" w:cs="仿宋_GB2312"/>
          <w:color w:val="auto"/>
          <w:kern w:val="0"/>
          <w:sz w:val="32"/>
          <w:szCs w:val="32"/>
          <w:highlight w:val="none"/>
        </w:rPr>
        <w:t>结余</w:t>
      </w:r>
      <w:r>
        <w:rPr>
          <w:rFonts w:hint="eastAsia" w:ascii="仿宋_GB2312" w:hAnsi="仿宋_GB2312" w:eastAsia="仿宋_GB2312" w:cs="仿宋_GB2312"/>
          <w:color w:val="auto"/>
          <w:kern w:val="0"/>
          <w:sz w:val="32"/>
          <w:szCs w:val="32"/>
          <w:highlight w:val="none"/>
          <w:lang w:eastAsia="zh-Hans"/>
        </w:rPr>
        <w:t>情况明细表</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2025年部门预算情况说明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一、关于呼图壁县第二中学2025年收支预算情况的总体说明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二、关于呼图壁县第二中学2025年收入预算情况说明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三、关于呼图壁县第二中学2025年支出预算情况说明</w:t>
      </w:r>
    </w:p>
    <w:p>
      <w:pPr>
        <w:shd w:val="clear"/>
        <w:spacing w:line="600" w:lineRule="exact"/>
        <w:ind w:firstLine="640" w:firstLineChars="200"/>
        <w:rPr>
          <w:rFonts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四、关于呼图壁县第二中学2025年财政拨款收支预算情况的总体说明</w:t>
      </w:r>
    </w:p>
    <w:p>
      <w:pPr>
        <w:shd w:val="clear"/>
        <w:spacing w:line="600" w:lineRule="exact"/>
        <w:ind w:firstLine="640" w:firstLineChars="200"/>
        <w:rPr>
          <w:rFonts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关于呼图壁县第二中学2025年一般公共预算当年拨款情况说明</w:t>
      </w:r>
    </w:p>
    <w:p>
      <w:pPr>
        <w:shd w:val="clear"/>
        <w:spacing w:line="600" w:lineRule="exact"/>
        <w:ind w:firstLine="640" w:firstLineChars="200"/>
        <w:rPr>
          <w:rFonts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关于呼图壁县第二中学2025年一般公共预算基本支出情况说明</w:t>
      </w:r>
    </w:p>
    <w:p>
      <w:pPr>
        <w:shd w:val="clear"/>
        <w:spacing w:line="600" w:lineRule="exact"/>
        <w:ind w:firstLine="640" w:firstLineChars="200"/>
        <w:rPr>
          <w:rFonts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关于呼图壁县第二中学2025年一般公共预算项目支出情况说明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八</w:t>
      </w:r>
      <w:r>
        <w:rPr>
          <w:rFonts w:hint="eastAsia" w:ascii="仿宋_GB2312" w:hAnsi="仿宋_GB2312" w:eastAsia="仿宋_GB2312" w:cs="仿宋_GB2312"/>
          <w:color w:val="auto"/>
          <w:kern w:val="0"/>
          <w:sz w:val="32"/>
          <w:szCs w:val="32"/>
          <w:highlight w:val="none"/>
        </w:rPr>
        <w:t>、关于呼图壁县第二中学2025年政府性基金预算拨款情况说明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九、</w:t>
      </w:r>
      <w:r>
        <w:rPr>
          <w:rFonts w:hint="eastAsia" w:ascii="仿宋_GB2312" w:hAnsi="仿宋_GB2312" w:eastAsia="仿宋_GB2312" w:cs="仿宋_GB2312"/>
          <w:color w:val="auto"/>
          <w:kern w:val="0"/>
          <w:sz w:val="32"/>
          <w:szCs w:val="32"/>
          <w:highlight w:val="none"/>
        </w:rPr>
        <w:t>关于呼图壁县第二中学2025年国有资本经营预算拨款情况说明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lang w:eastAsia="zh-Hans"/>
        </w:rPr>
      </w:pPr>
      <w:r>
        <w:rPr>
          <w:rFonts w:hint="eastAsia" w:ascii="仿宋_GB2312" w:hAnsi="仿宋_GB2312" w:eastAsia="仿宋_GB2312" w:cs="仿宋_GB2312"/>
          <w:color w:val="auto"/>
          <w:kern w:val="0"/>
          <w:sz w:val="32"/>
          <w:szCs w:val="32"/>
          <w:highlight w:val="none"/>
          <w:lang w:eastAsia="zh-Hans"/>
        </w:rPr>
        <w:t>十</w:t>
      </w:r>
      <w:r>
        <w:rPr>
          <w:rFonts w:hint="eastAsia" w:ascii="仿宋_GB2312" w:hAnsi="仿宋_GB2312" w:eastAsia="仿宋_GB2312" w:cs="仿宋_GB2312"/>
          <w:color w:val="auto"/>
          <w:kern w:val="0"/>
          <w:sz w:val="32"/>
          <w:szCs w:val="32"/>
          <w:highlight w:val="none"/>
        </w:rPr>
        <w:t>、关于呼图壁县第二中学2025年</w:t>
      </w:r>
      <w:r>
        <w:rPr>
          <w:rFonts w:hint="eastAsia" w:ascii="仿宋_GB2312" w:hAnsi="仿宋_GB2312" w:eastAsia="仿宋_GB2312" w:cs="仿宋_GB2312"/>
          <w:color w:val="auto"/>
          <w:kern w:val="0"/>
          <w:sz w:val="32"/>
          <w:szCs w:val="32"/>
          <w:highlight w:val="none"/>
          <w:lang w:eastAsia="zh-Hans"/>
        </w:rPr>
        <w:t>财政拨款</w:t>
      </w:r>
      <w:r>
        <w:rPr>
          <w:rFonts w:hint="eastAsia" w:ascii="仿宋_GB2312" w:hAnsi="仿宋_GB2312" w:eastAsia="仿宋_GB2312" w:cs="仿宋_GB2312"/>
          <w:color w:val="auto"/>
          <w:kern w:val="0"/>
          <w:sz w:val="32"/>
          <w:szCs w:val="32"/>
          <w:highlight w:val="none"/>
        </w:rPr>
        <w:t>“三公”经费预算情况说明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eastAsia="zh-Hans"/>
        </w:rPr>
        <w:t>一</w:t>
      </w:r>
      <w:r>
        <w:rPr>
          <w:rFonts w:hint="eastAsia" w:ascii="仿宋_GB2312" w:hAnsi="仿宋_GB2312" w:eastAsia="仿宋_GB2312" w:cs="仿宋_GB2312"/>
          <w:color w:val="auto"/>
          <w:kern w:val="0"/>
          <w:sz w:val="32"/>
          <w:szCs w:val="32"/>
          <w:highlight w:val="none"/>
        </w:rPr>
        <w:t>、关于呼图壁县第二中学2025年上年结转结余预算情况说明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十二、其他重要事项的情况说明</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shd w:val="clear"/>
        <w:spacing w:line="600" w:lineRule="exact"/>
        <w:ind w:firstLine="640" w:firstLineChars="200"/>
        <w:rPr>
          <w:rFonts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NumType w:fmt="numberInDash"/>
          <w:cols w:space="720" w:num="1"/>
          <w:docGrid w:linePitch="312" w:charSpace="0"/>
        </w:sectPr>
      </w:pPr>
    </w:p>
    <w:p>
      <w:pPr>
        <w:widowControl/>
        <w:shd w:val="clear"/>
        <w:spacing w:line="540" w:lineRule="exact"/>
        <w:jc w:val="center"/>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第一部分   2025年呼图壁县第二中学部门概况</w:t>
      </w:r>
    </w:p>
    <w:p>
      <w:pPr>
        <w:widowControl/>
        <w:shd w:val="clear"/>
        <w:spacing w:line="540" w:lineRule="exact"/>
        <w:jc w:val="center"/>
        <w:outlineLvl w:val="1"/>
        <w:rPr>
          <w:rFonts w:ascii="宋体" w:hAnsi="宋体"/>
          <w:b/>
          <w:color w:val="auto"/>
          <w:kern w:val="0"/>
          <w:sz w:val="32"/>
          <w:szCs w:val="32"/>
          <w:highlight w:val="none"/>
        </w:rPr>
      </w:pPr>
    </w:p>
    <w:p>
      <w:pPr>
        <w:widowControl/>
        <w:shd w:val="clear"/>
        <w:spacing w:line="540" w:lineRule="exact"/>
        <w:ind w:firstLine="643" w:firstLineChars="200"/>
        <w:jc w:val="left"/>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firstLine="640"/>
        <w:textAlignment w:val="auto"/>
        <w:rPr>
          <w:rFonts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呼图壁县第二中学坚持社会主义办学方向，全面贯彻党的教育方针，全面提高教育教学质量，对学生进行德育、智育、体育、美育和劳动教育，培养德、智、体等全面发展社会主义建设者和接班人，贯彻执行国家教育政策、法规。组织实施初级中学教育。依法执教，巩固提高普及九年义务教育工作成果。加强学校教师、干部队伍建设。筹措并管好、用好教育经费，继续改善办学条件；密切学校与家庭、社会的联系；树立良好的校风、教风、学风，使学校成为建设社会主义精神文明的重要阵地。</w:t>
      </w:r>
    </w:p>
    <w:p>
      <w:pPr>
        <w:widowControl/>
        <w:shd w:val="clear"/>
        <w:spacing w:line="540" w:lineRule="exact"/>
        <w:ind w:firstLine="643" w:firstLineChars="200"/>
        <w:jc w:val="left"/>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呼图壁县第二中学无下属预算单位，下设5个处室，分别是：党政办、 教务处、德育处、总务处、保卫科。</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呼图壁县第二中学单位编制数117人，实有人数187人，其中：在职117人，减少4人；退休70人，增加4人；离休0人，增加0人。</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宋体"/>
          <w:color w:val="auto"/>
          <w:sz w:val="32"/>
          <w:szCs w:val="32"/>
          <w:highlight w:val="none"/>
          <w:lang w:eastAsia="zh-Hans"/>
        </w:rPr>
      </w:pPr>
    </w:p>
    <w:p>
      <w:pPr>
        <w:widowControl/>
        <w:shd w:val="clear"/>
        <w:spacing w:line="440" w:lineRule="exact"/>
        <w:jc w:val="center"/>
        <w:outlineLvl w:val="1"/>
        <w:rPr>
          <w:rFonts w:ascii="黑体" w:hAnsi="黑体" w:eastAsia="黑体"/>
          <w:color w:val="auto"/>
          <w:kern w:val="0"/>
          <w:sz w:val="32"/>
          <w:szCs w:val="32"/>
          <w:highlight w:val="none"/>
        </w:rPr>
      </w:pPr>
    </w:p>
    <w:p>
      <w:pPr>
        <w:widowControl/>
        <w:shd w:val="clear"/>
        <w:spacing w:line="440" w:lineRule="exact"/>
        <w:jc w:val="center"/>
        <w:outlineLvl w:val="1"/>
        <w:rPr>
          <w:rFonts w:ascii="黑体" w:hAnsi="黑体" w:eastAsia="黑体"/>
          <w:color w:val="auto"/>
          <w:kern w:val="0"/>
          <w:sz w:val="32"/>
          <w:szCs w:val="32"/>
          <w:highlight w:val="none"/>
        </w:rPr>
      </w:pPr>
    </w:p>
    <w:p>
      <w:pPr>
        <w:widowControl/>
        <w:shd w:val="clear"/>
        <w:spacing w:line="440" w:lineRule="exact"/>
        <w:jc w:val="center"/>
        <w:outlineLvl w:val="1"/>
        <w:rPr>
          <w:rFonts w:ascii="黑体" w:hAnsi="黑体" w:eastAsia="黑体"/>
          <w:color w:val="auto"/>
          <w:kern w:val="0"/>
          <w:sz w:val="32"/>
          <w:szCs w:val="32"/>
          <w:highlight w:val="none"/>
        </w:rPr>
      </w:pPr>
    </w:p>
    <w:p>
      <w:pPr>
        <w:widowControl/>
        <w:shd w:val="clear"/>
        <w:spacing w:line="440" w:lineRule="exact"/>
        <w:jc w:val="center"/>
        <w:outlineLvl w:val="1"/>
        <w:rPr>
          <w:rFonts w:ascii="黑体" w:hAnsi="黑体" w:eastAsia="黑体"/>
          <w:color w:val="auto"/>
          <w:kern w:val="0"/>
          <w:sz w:val="32"/>
          <w:szCs w:val="32"/>
          <w:highlight w:val="none"/>
        </w:rPr>
      </w:pPr>
    </w:p>
    <w:p>
      <w:pPr>
        <w:widowControl/>
        <w:shd w:val="clear"/>
        <w:spacing w:line="440" w:lineRule="exact"/>
        <w:jc w:val="center"/>
        <w:outlineLvl w:val="1"/>
        <w:rPr>
          <w:rFonts w:ascii="黑体" w:hAnsi="黑体" w:eastAsia="黑体"/>
          <w:color w:val="auto"/>
          <w:kern w:val="0"/>
          <w:sz w:val="32"/>
          <w:szCs w:val="32"/>
          <w:highlight w:val="none"/>
        </w:rPr>
      </w:pPr>
    </w:p>
    <w:p>
      <w:pPr>
        <w:widowControl/>
        <w:shd w:val="clear"/>
        <w:spacing w:line="440" w:lineRule="exact"/>
        <w:outlineLvl w:val="1"/>
        <w:rPr>
          <w:rFonts w:ascii="黑体" w:hAnsi="黑体" w:eastAsia="黑体"/>
          <w:color w:val="auto"/>
          <w:kern w:val="0"/>
          <w:sz w:val="32"/>
          <w:szCs w:val="32"/>
          <w:highlight w:val="none"/>
        </w:rPr>
      </w:pPr>
    </w:p>
    <w:p>
      <w:pPr>
        <w:widowControl/>
        <w:shd w:val="clear"/>
        <w:spacing w:line="440" w:lineRule="exact"/>
        <w:jc w:val="center"/>
        <w:outlineLvl w:val="1"/>
        <w:rPr>
          <w:rFonts w:ascii="仿宋_GB2312" w:hAnsi="仿宋_GB2312" w:eastAsia="仿宋_GB2312" w:cs="仿宋_GB2312"/>
          <w:b/>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rPr>
        <w:t>2025年部门预算公开表</w:t>
      </w:r>
    </w:p>
    <w:p>
      <w:pPr>
        <w:widowControl/>
        <w:shd w:val="clear"/>
        <w:spacing w:line="240" w:lineRule="exact"/>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表1</w:t>
      </w:r>
    </w:p>
    <w:p>
      <w:pPr>
        <w:widowControl/>
        <w:shd w:val="clear"/>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部门收支总体情况表</w:t>
      </w:r>
    </w:p>
    <w:p>
      <w:pPr>
        <w:widowControl/>
        <w:shd w:val="clear"/>
        <w:spacing w:line="280" w:lineRule="exact"/>
        <w:jc w:val="center"/>
        <w:outlineLvl w:val="1"/>
        <w:rPr>
          <w:rFonts w:ascii="仿宋_GB2312" w:hAnsi="宋体" w:eastAsia="仿宋_GB2312"/>
          <w:b/>
          <w:color w:val="auto"/>
          <w:kern w:val="0"/>
          <w:sz w:val="32"/>
          <w:szCs w:val="32"/>
          <w:highlight w:val="none"/>
        </w:rPr>
      </w:pPr>
    </w:p>
    <w:p>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编制部门：呼图壁县第二中学                                   单位：万元</w:t>
      </w:r>
    </w:p>
    <w:tbl>
      <w:tblPr>
        <w:tblStyle w:val="10"/>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一、本年收入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3151.32</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1.一般公共预算拨款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2629.32</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2454.91</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174.41</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2.政府性基金预算拨款</w:t>
            </w:r>
            <w:r>
              <w:rPr>
                <w:rFonts w:hint="eastAsia" w:ascii="仿宋_GB2312" w:hAnsi="宋体" w:eastAsia="仿宋_GB2312" w:cs="宋体"/>
                <w:color w:val="auto"/>
                <w:kern w:val="0"/>
                <w:sz w:val="18"/>
                <w:szCs w:val="18"/>
                <w:highlight w:val="none"/>
              </w:rPr>
              <w:tab/>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3152.37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3.国有资本经营预算拨款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卫生健康支出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522.00</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522.00</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二、上年结转结余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9.40</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1.财政拨款结转</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9.40</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7"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1.05</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8.35</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2.非财政拨款结余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8.35</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3160.72</w:t>
            </w:r>
          </w:p>
        </w:tc>
        <w:tc>
          <w:tcPr>
            <w:tcW w:w="2693" w:type="dxa"/>
            <w:tcBorders>
              <w:top w:val="nil"/>
              <w:left w:val="nil"/>
              <w:bottom w:val="single" w:color="auto" w:sz="4" w:space="0"/>
              <w:right w:val="nil"/>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3160.72</w:t>
            </w:r>
          </w:p>
        </w:tc>
      </w:tr>
    </w:tbl>
    <w:p>
      <w:pPr>
        <w:widowControl/>
        <w:shd w:val="clear"/>
        <w:spacing w:line="280" w:lineRule="exact"/>
        <w:outlineLvl w:val="1"/>
        <w:rPr>
          <w:rFonts w:ascii="仿宋_GB2312" w:hAnsi="宋体" w:eastAsia="仿宋_GB2312"/>
          <w:b/>
          <w:color w:val="auto"/>
          <w:kern w:val="0"/>
          <w:sz w:val="28"/>
          <w:szCs w:val="32"/>
          <w:highlight w:val="none"/>
        </w:rPr>
      </w:pPr>
    </w:p>
    <w:p>
      <w:pPr>
        <w:pStyle w:val="9"/>
        <w:shd w:val="clear"/>
        <w:rPr>
          <w:color w:val="auto"/>
          <w:highlight w:val="none"/>
        </w:rPr>
      </w:pPr>
    </w:p>
    <w:p>
      <w:pPr>
        <w:widowControl/>
        <w:shd w:val="clear"/>
        <w:jc w:val="left"/>
        <w:textAlignment w:val="bottom"/>
        <w:rPr>
          <w:rFonts w:ascii="宋体" w:hAnsi="宋体" w:cs="宋体"/>
          <w:color w:val="auto"/>
          <w:kern w:val="0"/>
          <w:sz w:val="20"/>
          <w:szCs w:val="20"/>
          <w:highlight w:val="none"/>
          <w:lang w:bidi="ar"/>
        </w:rPr>
        <w:sectPr>
          <w:footerReference r:id="rId5" w:type="default"/>
          <w:pgSz w:w="11906" w:h="16838"/>
          <w:pgMar w:top="2098" w:right="1531" w:bottom="1984" w:left="1531" w:header="851" w:footer="992" w:gutter="0"/>
          <w:pgNumType w:fmt="numberInDash"/>
          <w:cols w:space="720" w:num="1"/>
          <w:docGrid w:linePitch="312" w:charSpace="0"/>
        </w:sectPr>
      </w:pPr>
    </w:p>
    <w:p>
      <w:pPr>
        <w:pStyle w:val="9"/>
        <w:shd w:val="clear"/>
        <w:rPr>
          <w:color w:val="auto"/>
          <w:highlight w:val="none"/>
        </w:rPr>
      </w:pPr>
    </w:p>
    <w:p>
      <w:pPr>
        <w:widowControl/>
        <w:shd w:val="clear"/>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表2</w:t>
      </w:r>
    </w:p>
    <w:p>
      <w:pPr>
        <w:widowControl/>
        <w:shd w:val="clear"/>
        <w:spacing w:line="440" w:lineRule="exact"/>
        <w:jc w:val="center"/>
        <w:outlineLvl w:val="1"/>
        <w:rPr>
          <w:rFonts w:ascii="仿宋_GB2312" w:hAnsi="宋体" w:eastAsia="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部门收入总体情况表</w:t>
      </w:r>
    </w:p>
    <w:p>
      <w:pPr>
        <w:widowControl/>
        <w:shd w:val="clear"/>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编制部门：呼图壁县第二中学                                                                     单位：万元</w:t>
      </w:r>
    </w:p>
    <w:tbl>
      <w:tblPr>
        <w:tblStyle w:val="10"/>
        <w:tblW w:w="13194" w:type="dxa"/>
        <w:jc w:val="center"/>
        <w:tblLayout w:type="fixed"/>
        <w:tblCellMar>
          <w:top w:w="0" w:type="dxa"/>
          <w:left w:w="108" w:type="dxa"/>
          <w:bottom w:w="0" w:type="dxa"/>
          <w:right w:w="108" w:type="dxa"/>
        </w:tblCellMar>
      </w:tblPr>
      <w:tblGrid>
        <w:gridCol w:w="551"/>
        <w:gridCol w:w="630"/>
        <w:gridCol w:w="435"/>
        <w:gridCol w:w="2204"/>
        <w:gridCol w:w="1353"/>
        <w:gridCol w:w="868"/>
        <w:gridCol w:w="900"/>
        <w:gridCol w:w="900"/>
        <w:gridCol w:w="615"/>
        <w:gridCol w:w="645"/>
        <w:gridCol w:w="465"/>
        <w:gridCol w:w="645"/>
        <w:gridCol w:w="855"/>
        <w:gridCol w:w="774"/>
        <w:gridCol w:w="670"/>
        <w:gridCol w:w="684"/>
      </w:tblGrid>
      <w:tr>
        <w:tblPrEx>
          <w:tblCellMar>
            <w:top w:w="0" w:type="dxa"/>
            <w:left w:w="108" w:type="dxa"/>
            <w:bottom w:w="0" w:type="dxa"/>
            <w:right w:w="108" w:type="dxa"/>
          </w:tblCellMar>
        </w:tblPrEx>
        <w:trPr>
          <w:trHeight w:val="715" w:hRule="atLeast"/>
          <w:jc w:val="center"/>
        </w:trPr>
        <w:tc>
          <w:tcPr>
            <w:tcW w:w="1616"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功能分类科目编码</w:t>
            </w:r>
          </w:p>
        </w:tc>
        <w:tc>
          <w:tcPr>
            <w:tcW w:w="2204"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功能分类科目名称</w:t>
            </w:r>
          </w:p>
        </w:tc>
        <w:tc>
          <w:tcPr>
            <w:tcW w:w="1353"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总  计</w:t>
            </w:r>
          </w:p>
        </w:tc>
        <w:tc>
          <w:tcPr>
            <w:tcW w:w="50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财  政  拨  款  (  补  助  )</w:t>
            </w:r>
          </w:p>
        </w:tc>
        <w:tc>
          <w:tcPr>
            <w:tcW w:w="855"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财政专户（教育收费）</w:t>
            </w:r>
          </w:p>
        </w:tc>
        <w:tc>
          <w:tcPr>
            <w:tcW w:w="774"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单位资金</w:t>
            </w:r>
          </w:p>
        </w:tc>
        <w:tc>
          <w:tcPr>
            <w:tcW w:w="670"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财政拨款结转</w:t>
            </w:r>
          </w:p>
        </w:tc>
        <w:tc>
          <w:tcPr>
            <w:tcW w:w="684"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非财政拨款结转结余</w:t>
            </w:r>
          </w:p>
        </w:tc>
      </w:tr>
      <w:tr>
        <w:tblPrEx>
          <w:tblCellMar>
            <w:top w:w="0" w:type="dxa"/>
            <w:left w:w="108" w:type="dxa"/>
            <w:bottom w:w="0" w:type="dxa"/>
            <w:right w:w="108" w:type="dxa"/>
          </w:tblCellMar>
        </w:tblPrEx>
        <w:trPr>
          <w:trHeight w:val="2295" w:hRule="atLeast"/>
          <w:jc w:val="center"/>
        </w:trPr>
        <w:tc>
          <w:tcPr>
            <w:tcW w:w="551" w:type="dxa"/>
            <w:tcBorders>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lang w:eastAsia="zh-Hans"/>
              </w:rPr>
            </w:pPr>
            <w:r>
              <w:rPr>
                <w:rFonts w:hint="eastAsia" w:ascii="仿宋_GB2312" w:hAnsi="宋体" w:eastAsia="仿宋_GB2312" w:cs="宋体"/>
                <w:b/>
                <w:bCs/>
                <w:color w:val="auto"/>
                <w:kern w:val="0"/>
                <w:sz w:val="18"/>
                <w:szCs w:val="18"/>
                <w:highlight w:val="none"/>
                <w:lang w:eastAsia="zh-Hans"/>
              </w:rPr>
              <w:t>类</w:t>
            </w:r>
          </w:p>
        </w:tc>
        <w:tc>
          <w:tcPr>
            <w:tcW w:w="630" w:type="dxa"/>
            <w:tcBorders>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lang w:eastAsia="zh-Hans"/>
              </w:rPr>
            </w:pPr>
            <w:r>
              <w:rPr>
                <w:rFonts w:hint="eastAsia" w:ascii="仿宋_GB2312" w:hAnsi="宋体" w:eastAsia="仿宋_GB2312" w:cs="宋体"/>
                <w:b/>
                <w:bCs/>
                <w:color w:val="auto"/>
                <w:kern w:val="0"/>
                <w:sz w:val="18"/>
                <w:szCs w:val="18"/>
                <w:highlight w:val="none"/>
                <w:lang w:eastAsia="zh-Hans"/>
              </w:rPr>
              <w:t>款</w:t>
            </w:r>
          </w:p>
        </w:tc>
        <w:tc>
          <w:tcPr>
            <w:tcW w:w="435" w:type="dxa"/>
            <w:tcBorders>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lang w:eastAsia="zh-Hans"/>
              </w:rPr>
            </w:pPr>
            <w:r>
              <w:rPr>
                <w:rFonts w:hint="eastAsia" w:ascii="仿宋_GB2312" w:hAnsi="宋体" w:eastAsia="仿宋_GB2312" w:cs="宋体"/>
                <w:b/>
                <w:bCs/>
                <w:color w:val="auto"/>
                <w:kern w:val="0"/>
                <w:sz w:val="18"/>
                <w:szCs w:val="18"/>
                <w:highlight w:val="none"/>
                <w:lang w:eastAsia="zh-Hans"/>
              </w:rPr>
              <w:t>项</w:t>
            </w:r>
          </w:p>
        </w:tc>
        <w:tc>
          <w:tcPr>
            <w:tcW w:w="220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1353"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868"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财政拨款(补助)小计</w:t>
            </w:r>
          </w:p>
        </w:tc>
        <w:tc>
          <w:tcPr>
            <w:tcW w:w="900"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一般公共预算</w:t>
            </w:r>
          </w:p>
        </w:tc>
        <w:tc>
          <w:tcPr>
            <w:tcW w:w="900"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上级一般公共预算安排的转移支付</w:t>
            </w:r>
          </w:p>
        </w:tc>
        <w:tc>
          <w:tcPr>
            <w:tcW w:w="615"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政府性基金预算</w:t>
            </w:r>
          </w:p>
        </w:tc>
        <w:tc>
          <w:tcPr>
            <w:tcW w:w="645"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上级政府性基金安排的转移支付</w:t>
            </w:r>
          </w:p>
        </w:tc>
        <w:tc>
          <w:tcPr>
            <w:tcW w:w="465"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国有资本经营预算</w:t>
            </w:r>
          </w:p>
        </w:tc>
        <w:tc>
          <w:tcPr>
            <w:tcW w:w="645"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上级国有资本经营预算安排的转移支付</w:t>
            </w:r>
          </w:p>
        </w:tc>
        <w:tc>
          <w:tcPr>
            <w:tcW w:w="855"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7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670"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68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r>
      <w:tr>
        <w:tblPrEx>
          <w:tblCellMar>
            <w:top w:w="0" w:type="dxa"/>
            <w:left w:w="108" w:type="dxa"/>
            <w:bottom w:w="0" w:type="dxa"/>
            <w:right w:w="108" w:type="dxa"/>
          </w:tblCellMar>
        </w:tblPrEx>
        <w:trPr>
          <w:trHeight w:val="422" w:hRule="atLeast"/>
          <w:jc w:val="center"/>
        </w:trPr>
        <w:tc>
          <w:tcPr>
            <w:tcW w:w="55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w:t>
            </w:r>
          </w:p>
        </w:tc>
        <w:tc>
          <w:tcPr>
            <w:tcW w:w="6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4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教育支出</w:t>
            </w:r>
          </w:p>
        </w:tc>
        <w:tc>
          <w:tcPr>
            <w:tcW w:w="135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3152.37</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2629.32</w:t>
            </w: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2454.91</w:t>
            </w: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174.41</w:t>
            </w:r>
          </w:p>
        </w:tc>
        <w:tc>
          <w:tcPr>
            <w:tcW w:w="61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4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522.00</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1.05</w:t>
            </w:r>
          </w:p>
        </w:tc>
        <w:tc>
          <w:tcPr>
            <w:tcW w:w="6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07" w:hRule="atLeast"/>
          <w:jc w:val="center"/>
        </w:trPr>
        <w:tc>
          <w:tcPr>
            <w:tcW w:w="55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w:t>
            </w:r>
          </w:p>
        </w:tc>
        <w:tc>
          <w:tcPr>
            <w:tcW w:w="6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02</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220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普通教育</w:t>
            </w:r>
          </w:p>
        </w:tc>
        <w:tc>
          <w:tcPr>
            <w:tcW w:w="135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3152.37</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2629.32</w:t>
            </w: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2454.91</w:t>
            </w: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174.41</w:t>
            </w:r>
          </w:p>
        </w:tc>
        <w:tc>
          <w:tcPr>
            <w:tcW w:w="61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4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522.00</w:t>
            </w:r>
          </w:p>
        </w:tc>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1.05</w:t>
            </w:r>
          </w:p>
        </w:tc>
        <w:tc>
          <w:tcPr>
            <w:tcW w:w="6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08" w:hRule="atLeast"/>
          <w:jc w:val="center"/>
        </w:trPr>
        <w:tc>
          <w:tcPr>
            <w:tcW w:w="55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w:t>
            </w:r>
          </w:p>
        </w:tc>
        <w:tc>
          <w:tcPr>
            <w:tcW w:w="6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02</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03</w:t>
            </w:r>
          </w:p>
        </w:tc>
        <w:tc>
          <w:tcPr>
            <w:tcW w:w="220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初中教育</w:t>
            </w:r>
          </w:p>
        </w:tc>
        <w:tc>
          <w:tcPr>
            <w:tcW w:w="13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3152.37</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2629.32</w:t>
            </w: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2454.91</w:t>
            </w: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174.41</w:t>
            </w:r>
          </w:p>
        </w:tc>
        <w:tc>
          <w:tcPr>
            <w:tcW w:w="61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4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85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77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522.00</w:t>
            </w:r>
          </w:p>
        </w:tc>
        <w:tc>
          <w:tcPr>
            <w:tcW w:w="67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1.05</w:t>
            </w:r>
          </w:p>
        </w:tc>
        <w:tc>
          <w:tcPr>
            <w:tcW w:w="68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328" w:hRule="atLeast"/>
          <w:jc w:val="center"/>
        </w:trPr>
        <w:tc>
          <w:tcPr>
            <w:tcW w:w="55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w:t>
            </w:r>
          </w:p>
        </w:tc>
        <w:tc>
          <w:tcPr>
            <w:tcW w:w="6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4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220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其他支出</w:t>
            </w:r>
          </w:p>
        </w:tc>
        <w:tc>
          <w:tcPr>
            <w:tcW w:w="13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8.35</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1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4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85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77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7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8.35</w:t>
            </w:r>
          </w:p>
        </w:tc>
        <w:tc>
          <w:tcPr>
            <w:tcW w:w="68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10" w:hRule="atLeast"/>
          <w:jc w:val="center"/>
        </w:trPr>
        <w:tc>
          <w:tcPr>
            <w:tcW w:w="55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w:t>
            </w:r>
          </w:p>
        </w:tc>
        <w:tc>
          <w:tcPr>
            <w:tcW w:w="6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60</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220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彩票公益金安排的支出</w:t>
            </w:r>
          </w:p>
        </w:tc>
        <w:tc>
          <w:tcPr>
            <w:tcW w:w="13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8.35</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1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4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85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77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7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8.35</w:t>
            </w:r>
          </w:p>
        </w:tc>
        <w:tc>
          <w:tcPr>
            <w:tcW w:w="68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614" w:hRule="atLeast"/>
          <w:jc w:val="center"/>
        </w:trPr>
        <w:tc>
          <w:tcPr>
            <w:tcW w:w="55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w:t>
            </w:r>
          </w:p>
        </w:tc>
        <w:tc>
          <w:tcPr>
            <w:tcW w:w="6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60</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03</w:t>
            </w:r>
          </w:p>
        </w:tc>
        <w:tc>
          <w:tcPr>
            <w:tcW w:w="220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用于体育事业的彩票公益金支出</w:t>
            </w:r>
          </w:p>
        </w:tc>
        <w:tc>
          <w:tcPr>
            <w:tcW w:w="13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8.35</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1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4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85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77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67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8.35</w:t>
            </w:r>
          </w:p>
        </w:tc>
        <w:tc>
          <w:tcPr>
            <w:tcW w:w="68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396" w:hRule="atLeast"/>
          <w:jc w:val="center"/>
        </w:trPr>
        <w:tc>
          <w:tcPr>
            <w:tcW w:w="55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6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43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220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合  计</w:t>
            </w:r>
          </w:p>
        </w:tc>
        <w:tc>
          <w:tcPr>
            <w:tcW w:w="135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3160.72</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2629.32</w:t>
            </w: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2454.91</w:t>
            </w: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174.41</w:t>
            </w:r>
          </w:p>
        </w:tc>
        <w:tc>
          <w:tcPr>
            <w:tcW w:w="61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4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6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85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77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522.00</w:t>
            </w:r>
          </w:p>
        </w:tc>
        <w:tc>
          <w:tcPr>
            <w:tcW w:w="67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9.40</w:t>
            </w:r>
          </w:p>
        </w:tc>
        <w:tc>
          <w:tcPr>
            <w:tcW w:w="68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r>
    </w:tbl>
    <w:p>
      <w:pPr>
        <w:widowControl/>
        <w:shd w:val="clear"/>
        <w:jc w:val="left"/>
        <w:textAlignment w:val="bottom"/>
        <w:rPr>
          <w:rFonts w:ascii="宋体" w:hAnsi="宋体" w:cs="宋体"/>
          <w:color w:val="auto"/>
          <w:kern w:val="0"/>
          <w:sz w:val="20"/>
          <w:szCs w:val="20"/>
          <w:highlight w:val="none"/>
          <w:lang w:bidi="ar"/>
        </w:rPr>
        <w:sectPr>
          <w:pgSz w:w="16838" w:h="11906" w:orient="landscape"/>
          <w:pgMar w:top="1531" w:right="2098" w:bottom="1531" w:left="1984" w:header="851" w:footer="992" w:gutter="0"/>
          <w:pgNumType w:fmt="numberInDash"/>
          <w:cols w:space="720" w:num="1"/>
          <w:docGrid w:linePitch="312" w:charSpace="0"/>
        </w:sectPr>
      </w:pPr>
    </w:p>
    <w:p>
      <w:pPr>
        <w:widowControl/>
        <w:shd w:val="clear"/>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表3</w:t>
      </w:r>
    </w:p>
    <w:p>
      <w:pPr>
        <w:widowControl/>
        <w:shd w:val="clear"/>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部门支出总体情况表</w:t>
      </w:r>
    </w:p>
    <w:p>
      <w:pPr>
        <w:widowControl/>
        <w:shd w:val="clear"/>
        <w:spacing w:line="280" w:lineRule="exact"/>
        <w:jc w:val="center"/>
        <w:outlineLvl w:val="1"/>
        <w:rPr>
          <w:rFonts w:ascii="仿宋_GB2312" w:hAnsi="宋体" w:eastAsia="仿宋_GB2312"/>
          <w:b/>
          <w:color w:val="auto"/>
          <w:kern w:val="0"/>
          <w:sz w:val="32"/>
          <w:szCs w:val="32"/>
          <w:highlight w:val="none"/>
        </w:rPr>
      </w:pPr>
    </w:p>
    <w:p>
      <w:pPr>
        <w:widowControl/>
        <w:shd w:val="clear"/>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编制部门：呼图壁县第二中学                                    单位：万元</w:t>
      </w:r>
    </w:p>
    <w:tbl>
      <w:tblPr>
        <w:tblStyle w:val="10"/>
        <w:tblW w:w="9420" w:type="dxa"/>
        <w:tblInd w:w="-240" w:type="dxa"/>
        <w:tblLayout w:type="fixed"/>
        <w:tblCellMar>
          <w:top w:w="0" w:type="dxa"/>
          <w:left w:w="108" w:type="dxa"/>
          <w:bottom w:w="0" w:type="dxa"/>
          <w:right w:w="108" w:type="dxa"/>
        </w:tblCellMar>
      </w:tblPr>
      <w:tblGrid>
        <w:gridCol w:w="516"/>
        <w:gridCol w:w="417"/>
        <w:gridCol w:w="417"/>
        <w:gridCol w:w="2554"/>
        <w:gridCol w:w="1822"/>
        <w:gridCol w:w="1823"/>
        <w:gridCol w:w="1871"/>
      </w:tblGrid>
      <w:tr>
        <w:tblPrEx>
          <w:tblCellMar>
            <w:top w:w="0" w:type="dxa"/>
            <w:left w:w="108" w:type="dxa"/>
            <w:bottom w:w="0" w:type="dxa"/>
            <w:right w:w="108" w:type="dxa"/>
          </w:tblCellMar>
        </w:tblPrEx>
        <w:trPr>
          <w:trHeight w:val="328" w:hRule="atLeast"/>
        </w:trPr>
        <w:tc>
          <w:tcPr>
            <w:tcW w:w="3904"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科    目</w:t>
            </w:r>
          </w:p>
        </w:tc>
        <w:tc>
          <w:tcPr>
            <w:tcW w:w="5516" w:type="dxa"/>
            <w:gridSpan w:val="3"/>
            <w:tcBorders>
              <w:top w:val="single" w:color="auto" w:sz="4" w:space="0"/>
              <w:left w:val="nil"/>
              <w:bottom w:val="single" w:color="auto" w:sz="4" w:space="0"/>
              <w:right w:val="single" w:color="000000"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支出预算</w:t>
            </w:r>
          </w:p>
        </w:tc>
      </w:tr>
      <w:tr>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2"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3"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仿宋_GB2312" w:eastAsia="仿宋_GB2312" w:cs="仿宋_GB2312"/>
                <w:b/>
                <w:bCs/>
                <w:color w:val="auto"/>
                <w:kern w:val="0"/>
                <w:sz w:val="20"/>
                <w:szCs w:val="20"/>
                <w:highlight w:val="none"/>
              </w:rPr>
            </w:pPr>
          </w:p>
        </w:tc>
        <w:tc>
          <w:tcPr>
            <w:tcW w:w="1822"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仿宋_GB2312" w:eastAsia="仿宋_GB2312" w:cs="仿宋_GB2312"/>
                <w:b/>
                <w:bCs/>
                <w:color w:val="auto"/>
                <w:kern w:val="0"/>
                <w:sz w:val="20"/>
                <w:szCs w:val="20"/>
                <w:highlight w:val="none"/>
              </w:rPr>
            </w:pPr>
          </w:p>
        </w:tc>
        <w:tc>
          <w:tcPr>
            <w:tcW w:w="1823"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仿宋_GB2312" w:eastAsia="仿宋_GB2312" w:cs="仿宋_GB2312"/>
                <w:b/>
                <w:bCs/>
                <w:color w:val="auto"/>
                <w:kern w:val="0"/>
                <w:sz w:val="20"/>
                <w:szCs w:val="20"/>
                <w:highlight w:val="none"/>
              </w:rPr>
            </w:pPr>
          </w:p>
        </w:tc>
        <w:tc>
          <w:tcPr>
            <w:tcW w:w="187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w:t>
            </w:r>
          </w:p>
        </w:tc>
        <w:tc>
          <w:tcPr>
            <w:tcW w:w="4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55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教育支出</w:t>
            </w: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3152.37</w:t>
            </w: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2943.9</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208.46</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w:t>
            </w:r>
          </w:p>
        </w:tc>
        <w:tc>
          <w:tcPr>
            <w:tcW w:w="4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02　</w:t>
            </w:r>
          </w:p>
        </w:tc>
        <w:tc>
          <w:tcPr>
            <w:tcW w:w="4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55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普通教育　</w:t>
            </w:r>
          </w:p>
        </w:tc>
        <w:tc>
          <w:tcPr>
            <w:tcW w:w="182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3152.37</w:t>
            </w:r>
          </w:p>
        </w:tc>
        <w:tc>
          <w:tcPr>
            <w:tcW w:w="182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2943.9</w:t>
            </w:r>
          </w:p>
        </w:tc>
        <w:tc>
          <w:tcPr>
            <w:tcW w:w="187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208.46</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w:t>
            </w:r>
          </w:p>
        </w:tc>
        <w:tc>
          <w:tcPr>
            <w:tcW w:w="4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02　</w:t>
            </w:r>
          </w:p>
        </w:tc>
        <w:tc>
          <w:tcPr>
            <w:tcW w:w="4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03　</w:t>
            </w:r>
          </w:p>
        </w:tc>
        <w:tc>
          <w:tcPr>
            <w:tcW w:w="255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初中教育</w:t>
            </w:r>
          </w:p>
        </w:tc>
        <w:tc>
          <w:tcPr>
            <w:tcW w:w="182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3152.37</w:t>
            </w:r>
          </w:p>
        </w:tc>
        <w:tc>
          <w:tcPr>
            <w:tcW w:w="182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2943.9</w:t>
            </w:r>
          </w:p>
        </w:tc>
        <w:tc>
          <w:tcPr>
            <w:tcW w:w="187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208.46</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w:t>
            </w:r>
          </w:p>
        </w:tc>
        <w:tc>
          <w:tcPr>
            <w:tcW w:w="4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55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其他支出　</w:t>
            </w: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8.35</w:t>
            </w: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8.35</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w:t>
            </w:r>
          </w:p>
        </w:tc>
        <w:tc>
          <w:tcPr>
            <w:tcW w:w="4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60　</w:t>
            </w:r>
          </w:p>
        </w:tc>
        <w:tc>
          <w:tcPr>
            <w:tcW w:w="4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55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彩票公益金安排的支出　</w:t>
            </w:r>
          </w:p>
        </w:tc>
        <w:tc>
          <w:tcPr>
            <w:tcW w:w="182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8.35</w:t>
            </w:r>
          </w:p>
        </w:tc>
        <w:tc>
          <w:tcPr>
            <w:tcW w:w="182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87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8.35</w:t>
            </w:r>
          </w:p>
        </w:tc>
      </w:tr>
      <w:tr>
        <w:tblPrEx>
          <w:tblCellMar>
            <w:top w:w="0" w:type="dxa"/>
            <w:left w:w="108" w:type="dxa"/>
            <w:bottom w:w="0" w:type="dxa"/>
            <w:right w:w="108" w:type="dxa"/>
          </w:tblCellMar>
        </w:tblPrEx>
        <w:trPr>
          <w:trHeight w:val="541"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w:t>
            </w:r>
          </w:p>
        </w:tc>
        <w:tc>
          <w:tcPr>
            <w:tcW w:w="4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60　</w:t>
            </w:r>
          </w:p>
        </w:tc>
        <w:tc>
          <w:tcPr>
            <w:tcW w:w="4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03　</w:t>
            </w:r>
          </w:p>
        </w:tc>
        <w:tc>
          <w:tcPr>
            <w:tcW w:w="255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用于体育事业的彩票公益金支出　</w:t>
            </w:r>
          </w:p>
        </w:tc>
        <w:tc>
          <w:tcPr>
            <w:tcW w:w="182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8.35</w:t>
            </w:r>
          </w:p>
        </w:tc>
        <w:tc>
          <w:tcPr>
            <w:tcW w:w="182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87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8.35</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5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合  计</w:t>
            </w:r>
          </w:p>
        </w:tc>
        <w:tc>
          <w:tcPr>
            <w:tcW w:w="182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3160.72</w:t>
            </w:r>
          </w:p>
        </w:tc>
        <w:tc>
          <w:tcPr>
            <w:tcW w:w="182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2943.9</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　216.81</w:t>
            </w:r>
          </w:p>
        </w:tc>
      </w:tr>
    </w:tbl>
    <w:p>
      <w:pPr>
        <w:keepNext w:val="0"/>
        <w:keepLines w:val="0"/>
        <w:widowControl/>
        <w:suppressLineNumbers w:val="0"/>
        <w:shd w:val="clear"/>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p>
      <w:pPr>
        <w:widowControl/>
        <w:shd w:val="clear"/>
        <w:jc w:val="left"/>
        <w:textAlignment w:val="bottom"/>
        <w:rPr>
          <w:rFonts w:ascii="宋体" w:hAnsi="宋体" w:cs="宋体"/>
          <w:color w:val="auto"/>
          <w:kern w:val="0"/>
          <w:sz w:val="20"/>
          <w:szCs w:val="20"/>
          <w:highlight w:val="none"/>
          <w:lang w:bidi="ar"/>
        </w:rPr>
      </w:pPr>
    </w:p>
    <w:p>
      <w:pPr>
        <w:widowControl/>
        <w:shd w:val="clear"/>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表4</w:t>
      </w:r>
    </w:p>
    <w:p>
      <w:pPr>
        <w:widowControl/>
        <w:shd w:val="clear"/>
        <w:spacing w:before="120" w:beforeLines="50" w:line="28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hd w:val="clear"/>
        <w:spacing w:before="120" w:beforeLines="50"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编制部门：呼图壁县第二中学                                     单位：万元</w:t>
      </w:r>
    </w:p>
    <w:tbl>
      <w:tblPr>
        <w:tblStyle w:val="10"/>
        <w:tblW w:w="9449" w:type="dxa"/>
        <w:tblInd w:w="-240" w:type="dxa"/>
        <w:tblLayout w:type="fixed"/>
        <w:tblCellMar>
          <w:top w:w="0" w:type="dxa"/>
          <w:left w:w="108" w:type="dxa"/>
          <w:bottom w:w="0" w:type="dxa"/>
          <w:right w:w="108" w:type="dxa"/>
        </w:tblCellMar>
      </w:tblPr>
      <w:tblGrid>
        <w:gridCol w:w="1748"/>
        <w:gridCol w:w="1041"/>
        <w:gridCol w:w="2478"/>
        <w:gridCol w:w="986"/>
        <w:gridCol w:w="986"/>
        <w:gridCol w:w="1107"/>
        <w:gridCol w:w="1103"/>
      </w:tblGrid>
      <w:tr>
        <w:tblPrEx>
          <w:tblCellMar>
            <w:top w:w="0" w:type="dxa"/>
            <w:left w:w="108" w:type="dxa"/>
            <w:bottom w:w="0" w:type="dxa"/>
            <w:right w:w="108" w:type="dxa"/>
          </w:tblCellMar>
        </w:tblPrEx>
        <w:trPr>
          <w:trHeight w:val="285" w:hRule="atLeast"/>
        </w:trPr>
        <w:tc>
          <w:tcPr>
            <w:tcW w:w="2789"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60"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0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4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0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0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0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0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0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03" w:type="dxa"/>
            <w:tcBorders>
              <w:top w:val="nil"/>
              <w:left w:val="nil"/>
              <w:bottom w:val="single" w:color="auto" w:sz="4" w:space="0"/>
              <w:right w:val="single" w:color="auto" w:sz="4" w:space="0"/>
            </w:tcBorders>
            <w:vAlign w:val="center"/>
          </w:tcPr>
          <w:p>
            <w:pPr>
              <w:keepNext w:val="0"/>
              <w:keepLines w:val="0"/>
              <w:suppressLineNumbers w:val="0"/>
              <w:shd w:val="clear"/>
              <w:spacing w:before="0" w:beforeAutospacing="0" w:after="0" w:afterAutospacing="0" w:line="200" w:lineRule="exact"/>
              <w:ind w:left="0" w:right="0"/>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eastAsia="zh-Hans"/>
              </w:rPr>
              <w:t>一、</w:t>
            </w:r>
            <w:r>
              <w:rPr>
                <w:rFonts w:hint="eastAsia" w:ascii="仿宋_GB2312" w:hAnsi="宋体" w:eastAsia="仿宋_GB2312" w:cs="宋体"/>
                <w:b w:val="0"/>
                <w:bCs w:val="0"/>
                <w:color w:val="auto"/>
                <w:kern w:val="0"/>
                <w:sz w:val="18"/>
                <w:szCs w:val="18"/>
                <w:highlight w:val="none"/>
              </w:rPr>
              <w:t>财政拨款（补助）</w:t>
            </w:r>
          </w:p>
        </w:tc>
        <w:tc>
          <w:tcPr>
            <w:tcW w:w="104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2629.32</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70"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xml:space="preserve"> 一般公共预算</w:t>
            </w:r>
          </w:p>
        </w:tc>
        <w:tc>
          <w:tcPr>
            <w:tcW w:w="104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2629.32</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政府性基金预算</w:t>
            </w:r>
          </w:p>
        </w:tc>
        <w:tc>
          <w:tcPr>
            <w:tcW w:w="104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国有资本经营预算</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2629.32</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2629.32</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xml:space="preserve">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 卫生健康支出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eastAsia="zh-Hans"/>
              </w:rPr>
              <w:t>工业</w:t>
            </w:r>
            <w:r>
              <w:rPr>
                <w:rFonts w:hint="eastAsia" w:ascii="仿宋_GB2312" w:hAnsi="宋体" w:eastAsia="仿宋_GB2312" w:cs="宋体"/>
                <w:b w:val="0"/>
                <w:bCs w:val="0"/>
                <w:color w:val="auto"/>
                <w:kern w:val="0"/>
                <w:sz w:val="18"/>
                <w:szCs w:val="18"/>
                <w:highlight w:val="none"/>
              </w:rPr>
              <w:t>信息等支出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 灾害防治及应急管理支出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 转移性支出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233 债务发行费用支出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xml:space="preserve">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041" w:type="dxa"/>
            <w:tcBorders>
              <w:top w:val="nil"/>
              <w:left w:val="nil"/>
              <w:bottom w:val="single" w:color="auto" w:sz="4" w:space="0"/>
              <w:right w:val="single" w:color="auto" w:sz="4" w:space="0"/>
            </w:tcBorders>
            <w:vAlign w:val="bottom"/>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r>
        <w:trPr>
          <w:trHeight w:val="552" w:hRule="exact"/>
        </w:trPr>
        <w:tc>
          <w:tcPr>
            <w:tcW w:w="17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04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2629.32</w:t>
            </w:r>
          </w:p>
        </w:tc>
        <w:tc>
          <w:tcPr>
            <w:tcW w:w="24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2629.32</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2629.32</w:t>
            </w:r>
          </w:p>
        </w:tc>
        <w:tc>
          <w:tcPr>
            <w:tcW w:w="110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bl>
    <w:p>
      <w:pPr>
        <w:pStyle w:val="9"/>
        <w:shd w:val="clear"/>
        <w:rPr>
          <w:color w:val="auto"/>
          <w:highlight w:val="none"/>
        </w:rPr>
      </w:pPr>
    </w:p>
    <w:p>
      <w:pPr>
        <w:widowControl/>
        <w:shd w:val="clear"/>
        <w:jc w:val="left"/>
        <w:textAlignment w:val="bottom"/>
        <w:rPr>
          <w:rFonts w:ascii="宋体" w:hAnsi="宋体" w:cs="宋体"/>
          <w:color w:val="auto"/>
          <w:kern w:val="0"/>
          <w:sz w:val="20"/>
          <w:szCs w:val="20"/>
          <w:highlight w:val="none"/>
          <w:lang w:bidi="ar"/>
        </w:rPr>
      </w:pPr>
    </w:p>
    <w:p>
      <w:pPr>
        <w:pStyle w:val="9"/>
        <w:shd w:val="clear"/>
        <w:rPr>
          <w:color w:val="auto"/>
          <w:highlight w:val="none"/>
        </w:rPr>
      </w:pPr>
    </w:p>
    <w:p>
      <w:pPr>
        <w:widowControl/>
        <w:shd w:val="clear"/>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表5</w:t>
      </w:r>
    </w:p>
    <w:tbl>
      <w:tblPr>
        <w:tblStyle w:val="10"/>
        <w:tblW w:w="9214" w:type="dxa"/>
        <w:tblInd w:w="-34" w:type="dxa"/>
        <w:tblLayout w:type="fixed"/>
        <w:tblCellMar>
          <w:top w:w="0" w:type="dxa"/>
          <w:left w:w="108" w:type="dxa"/>
          <w:bottom w:w="0" w:type="dxa"/>
          <w:right w:w="108" w:type="dxa"/>
        </w:tblCellMar>
      </w:tblPr>
      <w:tblGrid>
        <w:gridCol w:w="516"/>
        <w:gridCol w:w="499"/>
        <w:gridCol w:w="502"/>
        <w:gridCol w:w="2492"/>
        <w:gridCol w:w="1678"/>
        <w:gridCol w:w="215"/>
        <w:gridCol w:w="1618"/>
        <w:gridCol w:w="1694"/>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center"/>
              <w:rPr>
                <w:rFonts w:hint="default" w:ascii="方正小标宋_GBK" w:hAnsi="方正小标宋_GBK" w:eastAsia="方正小标宋_GBK" w:cs="方正小标宋_GBK"/>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5902" w:type="dxa"/>
            <w:gridSpan w:val="6"/>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编制部门：</w:t>
            </w:r>
            <w:r>
              <w:rPr>
                <w:rFonts w:hint="eastAsia" w:ascii="仿宋_GB2312" w:hAnsi="宋体" w:eastAsia="仿宋_GB2312"/>
                <w:color w:val="auto"/>
                <w:kern w:val="0"/>
                <w:sz w:val="24"/>
                <w:highlight w:val="none"/>
              </w:rPr>
              <w:t xml:space="preserve">呼图壁县第二中学  </w:t>
            </w:r>
          </w:p>
          <w:p>
            <w:pPr>
              <w:keepNext w:val="0"/>
              <w:keepLines w:val="0"/>
              <w:widowControl/>
              <w:suppressLineNumbers w:val="0"/>
              <w:shd w:val="clear"/>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2" w:type="dxa"/>
            <w:gridSpan w:val="2"/>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09" w:type="dxa"/>
            <w:gridSpan w:val="4"/>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5205" w:type="dxa"/>
            <w:gridSpan w:val="4"/>
            <w:tcBorders>
              <w:top w:val="single" w:color="auto" w:sz="4" w:space="0"/>
              <w:left w:val="nil"/>
              <w:bottom w:val="single" w:color="auto"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2"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8"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2"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78"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9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w:t>
            </w:r>
          </w:p>
        </w:tc>
        <w:tc>
          <w:tcPr>
            <w:tcW w:w="4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5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教育支出</w:t>
            </w: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2629.32</w:t>
            </w: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2421.90</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207.41</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w:t>
            </w:r>
          </w:p>
        </w:tc>
        <w:tc>
          <w:tcPr>
            <w:tcW w:w="4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　</w:t>
            </w:r>
          </w:p>
        </w:tc>
        <w:tc>
          <w:tcPr>
            <w:tcW w:w="5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普通教育　</w:t>
            </w:r>
          </w:p>
        </w:tc>
        <w:tc>
          <w:tcPr>
            <w:tcW w:w="167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2629.32</w:t>
            </w:r>
          </w:p>
        </w:tc>
        <w:tc>
          <w:tcPr>
            <w:tcW w:w="183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2421.90</w:t>
            </w:r>
          </w:p>
        </w:tc>
        <w:tc>
          <w:tcPr>
            <w:tcW w:w="16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207.41</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w:t>
            </w:r>
          </w:p>
        </w:tc>
        <w:tc>
          <w:tcPr>
            <w:tcW w:w="49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　</w:t>
            </w:r>
          </w:p>
        </w:tc>
        <w:tc>
          <w:tcPr>
            <w:tcW w:w="5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　</w:t>
            </w:r>
          </w:p>
        </w:tc>
        <w:tc>
          <w:tcPr>
            <w:tcW w:w="2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初中教育</w:t>
            </w:r>
          </w:p>
        </w:tc>
        <w:tc>
          <w:tcPr>
            <w:tcW w:w="167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2629.32</w:t>
            </w:r>
          </w:p>
        </w:tc>
        <w:tc>
          <w:tcPr>
            <w:tcW w:w="183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2421.90</w:t>
            </w:r>
          </w:p>
        </w:tc>
        <w:tc>
          <w:tcPr>
            <w:tcW w:w="16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207.41</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167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169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left"/>
              <w:rPr>
                <w:rFonts w:hint="default"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7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2629.32</w:t>
            </w:r>
          </w:p>
        </w:tc>
        <w:tc>
          <w:tcPr>
            <w:tcW w:w="183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2421.90</w:t>
            </w:r>
          </w:p>
        </w:tc>
        <w:tc>
          <w:tcPr>
            <w:tcW w:w="16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207.41</w:t>
            </w:r>
          </w:p>
        </w:tc>
      </w:tr>
    </w:tbl>
    <w:p>
      <w:pPr>
        <w:widowControl/>
        <w:shd w:val="clear"/>
        <w:jc w:val="left"/>
        <w:textAlignment w:val="bottom"/>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widowControl/>
        <w:shd w:val="clear"/>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表6</w:t>
      </w:r>
    </w:p>
    <w:tbl>
      <w:tblPr>
        <w:tblStyle w:val="10"/>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center"/>
              <w:rPr>
                <w:rFonts w:hint="default" w:ascii="方正小标宋_GBK" w:hAnsi="方正小标宋_GBK" w:eastAsia="方正小标宋_GBK" w:cs="方正小标宋_GBK"/>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编制部门：</w:t>
            </w:r>
            <w:r>
              <w:rPr>
                <w:rFonts w:hint="eastAsia" w:ascii="仿宋_GB2312" w:hAnsi="宋体" w:eastAsia="仿宋_GB2312"/>
                <w:color w:val="auto"/>
                <w:kern w:val="0"/>
                <w:sz w:val="24"/>
                <w:highlight w:val="none"/>
              </w:rPr>
              <w:t xml:space="preserve">呼图壁县第二中学  </w:t>
            </w:r>
          </w:p>
        </w:tc>
        <w:tc>
          <w:tcPr>
            <w:tcW w:w="1682" w:type="dxa"/>
            <w:gridSpan w:val="2"/>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5103"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2273.57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2273.57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基本工资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681.70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681.70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津贴补贴</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172.06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172.06</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奖金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431.15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431.15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绩效工资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353.83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353.83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241.76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241.76</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职工基本医疗保险缴费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120.88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120.88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公务员医疗补助缴费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60.44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60.44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其他社会保障缴费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15.11</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15.11</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196.65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196.65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商品和服务支出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87.79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87.79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5.00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电费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5.00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取暖费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16.79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16.79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劳务费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31.92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31.92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工会经费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29.08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29.08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对个人和家庭的补助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60.54</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60.54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退休费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48.66</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48.66</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生活补助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0.64</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0.64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09</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奖励金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11.23</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11.23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color w:val="auto"/>
                <w:kern w:val="0"/>
                <w:sz w:val="18"/>
                <w:szCs w:val="18"/>
                <w:highlight w:val="none"/>
              </w:rPr>
            </w:pP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color w:val="auto"/>
                <w:kern w:val="0"/>
                <w:sz w:val="18"/>
                <w:szCs w:val="18"/>
                <w:highlight w:val="none"/>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合  计</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color w:val="auto"/>
                <w:kern w:val="0"/>
                <w:sz w:val="18"/>
                <w:szCs w:val="18"/>
                <w:highlight w:val="none"/>
              </w:rPr>
              <w:t>2421.90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2334.11</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87.79</w:t>
            </w:r>
          </w:p>
        </w:tc>
      </w:tr>
    </w:tbl>
    <w:p>
      <w:pPr>
        <w:widowControl/>
        <w:shd w:val="clear"/>
        <w:jc w:val="left"/>
        <w:textAlignment w:val="bottom"/>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widowControl/>
        <w:shd w:val="clear"/>
        <w:jc w:val="left"/>
        <w:textAlignment w:val="bottom"/>
        <w:rPr>
          <w:rFonts w:ascii="宋体" w:hAnsi="宋体" w:cs="宋体"/>
          <w:color w:val="auto"/>
          <w:kern w:val="0"/>
          <w:sz w:val="20"/>
          <w:szCs w:val="20"/>
          <w:highlight w:val="none"/>
          <w:lang w:bidi="ar"/>
        </w:rPr>
        <w:sectPr>
          <w:pgSz w:w="11906" w:h="16838"/>
          <w:pgMar w:top="2098" w:right="1531" w:bottom="1984" w:left="1531" w:header="851" w:footer="992" w:gutter="0"/>
          <w:pgNumType w:fmt="numberInDash"/>
          <w:cols w:space="720" w:num="1"/>
          <w:docGrid w:linePitch="312" w:charSpace="0"/>
        </w:sectPr>
      </w:pPr>
    </w:p>
    <w:p>
      <w:pPr>
        <w:pStyle w:val="9"/>
        <w:shd w:val="clear"/>
        <w:rPr>
          <w:color w:val="auto"/>
          <w:highlight w:val="none"/>
        </w:rPr>
      </w:pPr>
    </w:p>
    <w:p>
      <w:pPr>
        <w:widowControl/>
        <w:shd w:val="clear"/>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表7</w:t>
      </w:r>
    </w:p>
    <w:tbl>
      <w:tblPr>
        <w:tblStyle w:val="10"/>
        <w:tblW w:w="13136" w:type="dxa"/>
        <w:tblInd w:w="-360" w:type="dxa"/>
        <w:tblLayout w:type="fixed"/>
        <w:tblCellMar>
          <w:top w:w="0" w:type="dxa"/>
          <w:left w:w="108" w:type="dxa"/>
          <w:bottom w:w="0" w:type="dxa"/>
          <w:right w:w="108" w:type="dxa"/>
        </w:tblCellMar>
      </w:tblPr>
      <w:tblGrid>
        <w:gridCol w:w="13"/>
        <w:gridCol w:w="696"/>
        <w:gridCol w:w="573"/>
        <w:gridCol w:w="573"/>
        <w:gridCol w:w="1066"/>
        <w:gridCol w:w="2715"/>
        <w:gridCol w:w="855"/>
        <w:gridCol w:w="675"/>
        <w:gridCol w:w="900"/>
        <w:gridCol w:w="690"/>
        <w:gridCol w:w="645"/>
        <w:gridCol w:w="705"/>
        <w:gridCol w:w="720"/>
        <w:gridCol w:w="750"/>
        <w:gridCol w:w="354"/>
        <w:gridCol w:w="636"/>
        <w:gridCol w:w="442"/>
        <w:gridCol w:w="128"/>
      </w:tblGrid>
      <w:tr>
        <w:tblPrEx>
          <w:tblCellMar>
            <w:top w:w="0" w:type="dxa"/>
            <w:left w:w="108" w:type="dxa"/>
            <w:bottom w:w="0" w:type="dxa"/>
            <w:right w:w="108" w:type="dxa"/>
          </w:tblCellMar>
        </w:tblPrEx>
        <w:trPr>
          <w:gridBefore w:val="1"/>
          <w:gridAfter w:val="1"/>
          <w:wBefore w:w="13" w:type="dxa"/>
          <w:wAfter w:w="128" w:type="dxa"/>
          <w:trHeight w:val="408" w:hRule="atLeast"/>
        </w:trPr>
        <w:tc>
          <w:tcPr>
            <w:tcW w:w="12995" w:type="dxa"/>
            <w:gridSpan w:val="16"/>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center"/>
              <w:rPr>
                <w:rFonts w:hint="default" w:ascii="方正小标宋_GBK" w:hAnsi="方正小标宋_GBK" w:eastAsia="方正小标宋_GBK" w:cs="方正小标宋_GBK"/>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3" w:type="dxa"/>
          <w:wAfter w:w="128" w:type="dxa"/>
          <w:trHeight w:val="398" w:hRule="atLeast"/>
        </w:trPr>
        <w:tc>
          <w:tcPr>
            <w:tcW w:w="8053" w:type="dxa"/>
            <w:gridSpan w:val="8"/>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编制部门：</w:t>
            </w:r>
            <w:r>
              <w:rPr>
                <w:rFonts w:hint="eastAsia" w:ascii="仿宋_GB2312" w:hAnsi="宋体" w:eastAsia="仿宋_GB2312"/>
                <w:color w:val="auto"/>
                <w:kern w:val="0"/>
                <w:sz w:val="24"/>
                <w:highlight w:val="none"/>
              </w:rPr>
              <w:t xml:space="preserve">呼图壁县第二中学  </w:t>
            </w:r>
          </w:p>
        </w:tc>
        <w:tc>
          <w:tcPr>
            <w:tcW w:w="1335" w:type="dxa"/>
            <w:gridSpan w:val="2"/>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607" w:type="dxa"/>
            <w:gridSpan w:val="6"/>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firstLine="1920" w:firstLineChars="8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855" w:type="dxa"/>
            <w:gridSpan w:val="4"/>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66" w:type="dxa"/>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名称</w:t>
            </w:r>
          </w:p>
        </w:tc>
        <w:tc>
          <w:tcPr>
            <w:tcW w:w="2715" w:type="dxa"/>
            <w:vMerge w:val="restart"/>
            <w:vAlign w:val="center"/>
          </w:tcPr>
          <w:p>
            <w:pPr>
              <w:keepNext w:val="0"/>
              <w:keepLines w:val="0"/>
              <w:suppressLineNumbers w:val="0"/>
              <w:shd w:val="clear"/>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55" w:type="dxa"/>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75" w:type="dxa"/>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900" w:type="dxa"/>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90" w:type="dxa"/>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45" w:type="dxa"/>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705" w:type="dxa"/>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20" w:type="dxa"/>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750" w:type="dxa"/>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54" w:type="dxa"/>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36" w:type="dxa"/>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570" w:type="dxa"/>
            <w:gridSpan w:val="2"/>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709" w:type="dxa"/>
            <w:gridSpan w:val="2"/>
            <w:tcBorders>
              <w:bottom w:val="single" w:color="auto" w:sz="4" w:space="0"/>
            </w:tcBorders>
            <w:vAlign w:val="center"/>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73" w:type="dxa"/>
            <w:tcBorders>
              <w:bottom w:val="single" w:color="auto" w:sz="4" w:space="0"/>
            </w:tcBorders>
            <w:vAlign w:val="center"/>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73" w:type="dxa"/>
            <w:tcBorders>
              <w:bottom w:val="single" w:color="auto" w:sz="4" w:space="0"/>
            </w:tcBorders>
            <w:vAlign w:val="center"/>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66" w:type="dxa"/>
            <w:vMerge w:val="continue"/>
            <w:tcBorders>
              <w:bottom w:val="single" w:color="auto" w:sz="4" w:space="0"/>
            </w:tcBorders>
            <w:vAlign w:val="center"/>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2715" w:type="dxa"/>
            <w:vMerge w:val="continue"/>
            <w:tcBorders>
              <w:bottom w:val="single" w:color="auto" w:sz="4" w:space="0"/>
            </w:tcBorders>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55" w:type="dxa"/>
            <w:vMerge w:val="continue"/>
            <w:tcBorders>
              <w:bottom w:val="single" w:color="auto" w:sz="4" w:space="0"/>
            </w:tcBorders>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75" w:type="dxa"/>
            <w:vMerge w:val="continue"/>
            <w:tcBorders>
              <w:bottom w:val="single" w:color="auto" w:sz="4" w:space="0"/>
            </w:tcBorders>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900" w:type="dxa"/>
            <w:vMerge w:val="continue"/>
            <w:tcBorders>
              <w:bottom w:val="single" w:color="auto" w:sz="4" w:space="0"/>
            </w:tcBorders>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90" w:type="dxa"/>
            <w:vMerge w:val="continue"/>
            <w:tcBorders>
              <w:bottom w:val="single" w:color="auto" w:sz="4" w:space="0"/>
            </w:tcBorders>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45" w:type="dxa"/>
            <w:vMerge w:val="continue"/>
            <w:tcBorders>
              <w:bottom w:val="single" w:color="auto" w:sz="4" w:space="0"/>
            </w:tcBorders>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05" w:type="dxa"/>
            <w:vMerge w:val="continue"/>
            <w:tcBorders>
              <w:bottom w:val="single" w:color="auto" w:sz="4" w:space="0"/>
            </w:tcBorders>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20" w:type="dxa"/>
            <w:vMerge w:val="continue"/>
            <w:tcBorders>
              <w:bottom w:val="single" w:color="auto" w:sz="4" w:space="0"/>
            </w:tcBorders>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50" w:type="dxa"/>
            <w:vMerge w:val="continue"/>
            <w:tcBorders>
              <w:bottom w:val="single" w:color="auto" w:sz="4" w:space="0"/>
            </w:tcBorders>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354" w:type="dxa"/>
            <w:vMerge w:val="continue"/>
            <w:tcBorders>
              <w:bottom w:val="single" w:color="auto" w:sz="4" w:space="0"/>
            </w:tcBorders>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6" w:type="dxa"/>
            <w:vMerge w:val="continue"/>
            <w:tcBorders>
              <w:bottom w:val="single" w:color="auto" w:sz="4" w:space="0"/>
            </w:tcBorders>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70" w:type="dxa"/>
            <w:gridSpan w:val="2"/>
            <w:vMerge w:val="continue"/>
            <w:tcBorders>
              <w:bottom w:val="single" w:color="auto" w:sz="4" w:space="0"/>
            </w:tcBorders>
          </w:tcPr>
          <w:p>
            <w:pPr>
              <w:keepNext w:val="0"/>
              <w:keepLines w:val="0"/>
              <w:widowControl/>
              <w:suppressLineNumbers w:val="0"/>
              <w:shd w:val="clear"/>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gridSpan w:val="2"/>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205</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lang w:eastAsia="zh-Hans"/>
              </w:rPr>
            </w:pP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1066"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教育支出</w:t>
            </w:r>
          </w:p>
        </w:tc>
        <w:tc>
          <w:tcPr>
            <w:tcW w:w="271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85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207.41</w:t>
            </w:r>
          </w:p>
        </w:tc>
        <w:tc>
          <w:tcPr>
            <w:tcW w:w="675" w:type="dxa"/>
            <w:shd w:val="clear" w:color="auto" w:fill="auto"/>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90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196.58</w:t>
            </w:r>
          </w:p>
        </w:tc>
        <w:tc>
          <w:tcPr>
            <w:tcW w:w="69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7.83</w:t>
            </w:r>
          </w:p>
        </w:tc>
        <w:tc>
          <w:tcPr>
            <w:tcW w:w="64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0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2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3.00</w:t>
            </w:r>
          </w:p>
        </w:tc>
        <w:tc>
          <w:tcPr>
            <w:tcW w:w="75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354" w:type="dxa"/>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36" w:type="dxa"/>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570" w:type="dxa"/>
            <w:gridSpan w:val="2"/>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gridSpan w:val="2"/>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205</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02</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1066"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普通教育</w:t>
            </w:r>
          </w:p>
        </w:tc>
        <w:tc>
          <w:tcPr>
            <w:tcW w:w="271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85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207.41</w:t>
            </w:r>
          </w:p>
        </w:tc>
        <w:tc>
          <w:tcPr>
            <w:tcW w:w="675" w:type="dxa"/>
            <w:shd w:val="clear" w:color="auto" w:fill="auto"/>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90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196.58</w:t>
            </w:r>
          </w:p>
        </w:tc>
        <w:tc>
          <w:tcPr>
            <w:tcW w:w="69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7.83</w:t>
            </w:r>
          </w:p>
        </w:tc>
        <w:tc>
          <w:tcPr>
            <w:tcW w:w="64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0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2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3.00</w:t>
            </w:r>
          </w:p>
        </w:tc>
        <w:tc>
          <w:tcPr>
            <w:tcW w:w="75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354" w:type="dxa"/>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36" w:type="dxa"/>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570" w:type="dxa"/>
            <w:gridSpan w:val="2"/>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09" w:type="dxa"/>
            <w:gridSpan w:val="2"/>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205</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02</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03</w:t>
            </w:r>
          </w:p>
        </w:tc>
        <w:tc>
          <w:tcPr>
            <w:tcW w:w="1066"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 xml:space="preserve">     初中教育</w:t>
            </w:r>
          </w:p>
        </w:tc>
        <w:tc>
          <w:tcPr>
            <w:tcW w:w="271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85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207.41</w:t>
            </w:r>
          </w:p>
        </w:tc>
        <w:tc>
          <w:tcPr>
            <w:tcW w:w="675" w:type="dxa"/>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90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196.58</w:t>
            </w:r>
          </w:p>
        </w:tc>
        <w:tc>
          <w:tcPr>
            <w:tcW w:w="69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7.83</w:t>
            </w:r>
          </w:p>
        </w:tc>
        <w:tc>
          <w:tcPr>
            <w:tcW w:w="64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0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2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3.00</w:t>
            </w:r>
          </w:p>
        </w:tc>
        <w:tc>
          <w:tcPr>
            <w:tcW w:w="75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354" w:type="dxa"/>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36" w:type="dxa"/>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570" w:type="dxa"/>
            <w:gridSpan w:val="2"/>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709" w:type="dxa"/>
            <w:gridSpan w:val="2"/>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205</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02</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03</w:t>
            </w:r>
          </w:p>
        </w:tc>
        <w:tc>
          <w:tcPr>
            <w:tcW w:w="1066"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 xml:space="preserve">     初中教育</w:t>
            </w:r>
          </w:p>
        </w:tc>
        <w:tc>
          <w:tcPr>
            <w:tcW w:w="271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银龄计划教师经费（非定额）</w:t>
            </w:r>
          </w:p>
        </w:tc>
        <w:tc>
          <w:tcPr>
            <w:tcW w:w="85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24.00</w:t>
            </w:r>
          </w:p>
        </w:tc>
        <w:tc>
          <w:tcPr>
            <w:tcW w:w="67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90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24.00</w:t>
            </w:r>
          </w:p>
        </w:tc>
        <w:tc>
          <w:tcPr>
            <w:tcW w:w="69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4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0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2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5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354"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36" w:type="dxa"/>
            <w:shd w:val="clear" w:color="auto" w:fill="auto"/>
            <w:vAlign w:val="center"/>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570" w:type="dxa"/>
            <w:gridSpan w:val="2"/>
            <w:shd w:val="clear" w:color="auto" w:fill="auto"/>
            <w:vAlign w:val="center"/>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709" w:type="dxa"/>
            <w:gridSpan w:val="2"/>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205</w:t>
            </w:r>
          </w:p>
        </w:tc>
        <w:tc>
          <w:tcPr>
            <w:tcW w:w="573"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02</w:t>
            </w:r>
          </w:p>
        </w:tc>
        <w:tc>
          <w:tcPr>
            <w:tcW w:w="573"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03</w:t>
            </w:r>
          </w:p>
        </w:tc>
        <w:tc>
          <w:tcPr>
            <w:tcW w:w="1066"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 xml:space="preserve">     初中教育</w:t>
            </w:r>
          </w:p>
        </w:tc>
        <w:tc>
          <w:tcPr>
            <w:tcW w:w="271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2025年教育补助项目经费-示范校</w:t>
            </w:r>
          </w:p>
        </w:tc>
        <w:tc>
          <w:tcPr>
            <w:tcW w:w="85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2.00</w:t>
            </w:r>
          </w:p>
        </w:tc>
        <w:tc>
          <w:tcPr>
            <w:tcW w:w="67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90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2.00</w:t>
            </w:r>
          </w:p>
        </w:tc>
        <w:tc>
          <w:tcPr>
            <w:tcW w:w="69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4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0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2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5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354"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36" w:type="dxa"/>
            <w:vAlign w:val="center"/>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570" w:type="dxa"/>
            <w:gridSpan w:val="2"/>
            <w:vAlign w:val="center"/>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09" w:type="dxa"/>
            <w:gridSpan w:val="2"/>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205</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02</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03</w:t>
            </w:r>
          </w:p>
        </w:tc>
        <w:tc>
          <w:tcPr>
            <w:tcW w:w="1066"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 xml:space="preserve">     初中教育</w:t>
            </w:r>
          </w:p>
        </w:tc>
        <w:tc>
          <w:tcPr>
            <w:tcW w:w="271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2025年中央城乡义务教育补助经费-残疾生公用经费</w:t>
            </w:r>
          </w:p>
        </w:tc>
        <w:tc>
          <w:tcPr>
            <w:tcW w:w="85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7.2</w:t>
            </w:r>
          </w:p>
        </w:tc>
        <w:tc>
          <w:tcPr>
            <w:tcW w:w="67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90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7.2</w:t>
            </w:r>
          </w:p>
        </w:tc>
        <w:tc>
          <w:tcPr>
            <w:tcW w:w="69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4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0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2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5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354"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36" w:type="dxa"/>
            <w:shd w:val="clear" w:color="auto" w:fill="auto"/>
            <w:vAlign w:val="center"/>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570" w:type="dxa"/>
            <w:gridSpan w:val="2"/>
            <w:shd w:val="clear" w:color="auto" w:fill="auto"/>
            <w:vAlign w:val="center"/>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9" w:type="dxa"/>
            <w:gridSpan w:val="2"/>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205</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02</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03</w:t>
            </w:r>
          </w:p>
        </w:tc>
        <w:tc>
          <w:tcPr>
            <w:tcW w:w="1066"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 xml:space="preserve">     初中教育</w:t>
            </w:r>
          </w:p>
        </w:tc>
        <w:tc>
          <w:tcPr>
            <w:tcW w:w="271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2025年寄宿生生活补助（非定额）</w:t>
            </w:r>
          </w:p>
        </w:tc>
        <w:tc>
          <w:tcPr>
            <w:tcW w:w="85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2.36</w:t>
            </w:r>
          </w:p>
        </w:tc>
        <w:tc>
          <w:tcPr>
            <w:tcW w:w="67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90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9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2.36</w:t>
            </w:r>
          </w:p>
        </w:tc>
        <w:tc>
          <w:tcPr>
            <w:tcW w:w="64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0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2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5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354"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36" w:type="dxa"/>
            <w:shd w:val="clear" w:color="auto" w:fill="auto"/>
            <w:vAlign w:val="center"/>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570" w:type="dxa"/>
            <w:gridSpan w:val="2"/>
            <w:shd w:val="clear" w:color="auto" w:fill="auto"/>
            <w:vAlign w:val="center"/>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09" w:type="dxa"/>
            <w:gridSpan w:val="2"/>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205</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02</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03</w:t>
            </w:r>
          </w:p>
        </w:tc>
        <w:tc>
          <w:tcPr>
            <w:tcW w:w="1066"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 xml:space="preserve">     初中教育</w:t>
            </w:r>
          </w:p>
        </w:tc>
        <w:tc>
          <w:tcPr>
            <w:tcW w:w="271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2025年义务教育阶段特殊教育学校和随班就读残疾学生生均公用经费（县级配套）（非定额）</w:t>
            </w:r>
          </w:p>
        </w:tc>
        <w:tc>
          <w:tcPr>
            <w:tcW w:w="85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1.18</w:t>
            </w:r>
          </w:p>
        </w:tc>
        <w:tc>
          <w:tcPr>
            <w:tcW w:w="67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90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1.18</w:t>
            </w:r>
          </w:p>
        </w:tc>
        <w:tc>
          <w:tcPr>
            <w:tcW w:w="69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4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0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2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5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354"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36" w:type="dxa"/>
            <w:shd w:val="clear" w:color="auto" w:fill="auto"/>
            <w:vAlign w:val="center"/>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570" w:type="dxa"/>
            <w:gridSpan w:val="2"/>
            <w:shd w:val="clear" w:color="auto" w:fill="auto"/>
            <w:vAlign w:val="center"/>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709" w:type="dxa"/>
            <w:gridSpan w:val="2"/>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205</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02</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03</w:t>
            </w:r>
          </w:p>
        </w:tc>
        <w:tc>
          <w:tcPr>
            <w:tcW w:w="1066"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 xml:space="preserve">     初中教育</w:t>
            </w:r>
          </w:p>
        </w:tc>
        <w:tc>
          <w:tcPr>
            <w:tcW w:w="271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2025年中央城乡义务教育补助经费-公用经费</w:t>
            </w:r>
          </w:p>
        </w:tc>
        <w:tc>
          <w:tcPr>
            <w:tcW w:w="85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165.21</w:t>
            </w:r>
          </w:p>
        </w:tc>
        <w:tc>
          <w:tcPr>
            <w:tcW w:w="67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90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162.21</w:t>
            </w:r>
          </w:p>
        </w:tc>
        <w:tc>
          <w:tcPr>
            <w:tcW w:w="69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4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05"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2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3.00</w:t>
            </w:r>
          </w:p>
        </w:tc>
        <w:tc>
          <w:tcPr>
            <w:tcW w:w="750"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354"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36" w:type="dxa"/>
            <w:shd w:val="clear" w:color="auto" w:fill="auto"/>
            <w:vAlign w:val="center"/>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570" w:type="dxa"/>
            <w:gridSpan w:val="2"/>
            <w:shd w:val="clear" w:color="auto" w:fill="auto"/>
            <w:vAlign w:val="center"/>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gridSpan w:val="2"/>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205</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02</w:t>
            </w:r>
          </w:p>
        </w:tc>
        <w:tc>
          <w:tcPr>
            <w:tcW w:w="573"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03</w:t>
            </w:r>
          </w:p>
        </w:tc>
        <w:tc>
          <w:tcPr>
            <w:tcW w:w="1066" w:type="dxa"/>
            <w:shd w:val="clear" w:color="auto" w:fill="auto"/>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 xml:space="preserve">     初中教育</w:t>
            </w:r>
          </w:p>
        </w:tc>
        <w:tc>
          <w:tcPr>
            <w:tcW w:w="271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2025年非寄宿生生活补助（非定额）</w:t>
            </w:r>
          </w:p>
        </w:tc>
        <w:tc>
          <w:tcPr>
            <w:tcW w:w="85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5.47</w:t>
            </w:r>
          </w:p>
        </w:tc>
        <w:tc>
          <w:tcPr>
            <w:tcW w:w="67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90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9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r>
              <w:rPr>
                <w:rFonts w:hint="eastAsia" w:ascii="仿宋_GB2312" w:eastAsia="仿宋_GB2312"/>
                <w:color w:val="auto"/>
                <w:sz w:val="13"/>
                <w:szCs w:val="13"/>
                <w:highlight w:val="none"/>
              </w:rPr>
              <w:t>5.47</w:t>
            </w:r>
          </w:p>
        </w:tc>
        <w:tc>
          <w:tcPr>
            <w:tcW w:w="64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05"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2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750" w:type="dxa"/>
            <w:vAlign w:val="center"/>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354" w:type="dxa"/>
          </w:tcPr>
          <w:p>
            <w:pPr>
              <w:keepNext w:val="0"/>
              <w:keepLines w:val="0"/>
              <w:suppressLineNumbers w:val="0"/>
              <w:shd w:val="clear"/>
              <w:spacing w:before="0" w:beforeAutospacing="0" w:after="0" w:afterAutospacing="0"/>
              <w:ind w:left="0" w:right="0"/>
              <w:jc w:val="left"/>
              <w:rPr>
                <w:rFonts w:hint="default" w:ascii="仿宋_GB2312" w:eastAsia="仿宋_GB2312"/>
                <w:color w:val="auto"/>
                <w:sz w:val="13"/>
                <w:szCs w:val="13"/>
                <w:highlight w:val="none"/>
              </w:rPr>
            </w:pPr>
          </w:p>
        </w:tc>
        <w:tc>
          <w:tcPr>
            <w:tcW w:w="636" w:type="dxa"/>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570" w:type="dxa"/>
            <w:gridSpan w:val="2"/>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709" w:type="dxa"/>
            <w:gridSpan w:val="2"/>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573" w:type="dxa"/>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573" w:type="dxa"/>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1066" w:type="dxa"/>
          </w:tcPr>
          <w:p>
            <w:pPr>
              <w:keepNext w:val="0"/>
              <w:keepLines w:val="0"/>
              <w:suppressLineNumbers w:val="0"/>
              <w:shd w:val="clear"/>
              <w:spacing w:before="0" w:beforeAutospacing="0" w:after="0" w:afterAutospacing="0"/>
              <w:ind w:left="0" w:right="0"/>
              <w:jc w:val="center"/>
              <w:rPr>
                <w:rFonts w:hint="default" w:ascii="仿宋_GB2312" w:eastAsia="仿宋_GB2312"/>
                <w:color w:val="auto"/>
                <w:sz w:val="13"/>
                <w:szCs w:val="13"/>
                <w:highlight w:val="none"/>
              </w:rPr>
            </w:pPr>
          </w:p>
        </w:tc>
        <w:tc>
          <w:tcPr>
            <w:tcW w:w="2715" w:type="dxa"/>
            <w:vAlign w:val="center"/>
          </w:tcPr>
          <w:p>
            <w:pPr>
              <w:keepNext w:val="0"/>
              <w:keepLines w:val="0"/>
              <w:suppressLineNumbers w:val="0"/>
              <w:shd w:val="clear"/>
              <w:spacing w:before="0" w:beforeAutospacing="0" w:after="0" w:afterAutospacing="0"/>
              <w:ind w:left="0" w:right="0"/>
              <w:jc w:val="center"/>
              <w:rPr>
                <w:rFonts w:hint="default" w:ascii="仿宋_GB2312" w:eastAsia="仿宋_GB2312"/>
                <w:b/>
                <w:bCs/>
                <w:color w:val="auto"/>
                <w:sz w:val="13"/>
                <w:szCs w:val="13"/>
                <w:highlight w:val="none"/>
              </w:rPr>
            </w:pPr>
            <w:r>
              <w:rPr>
                <w:rFonts w:hint="eastAsia" w:ascii="仿宋_GB2312" w:eastAsia="仿宋_GB2312"/>
                <w:b/>
                <w:bCs/>
                <w:color w:val="auto"/>
                <w:sz w:val="13"/>
                <w:szCs w:val="13"/>
                <w:highlight w:val="none"/>
              </w:rPr>
              <w:t>合 计</w:t>
            </w:r>
          </w:p>
        </w:tc>
        <w:tc>
          <w:tcPr>
            <w:tcW w:w="855" w:type="dxa"/>
            <w:shd w:val="clear" w:color="auto" w:fill="auto"/>
            <w:vAlign w:val="center"/>
          </w:tcPr>
          <w:p>
            <w:pPr>
              <w:keepNext w:val="0"/>
              <w:keepLines w:val="0"/>
              <w:suppressLineNumbers w:val="0"/>
              <w:shd w:val="clear"/>
              <w:spacing w:before="0" w:beforeAutospacing="0" w:after="0" w:afterAutospacing="0"/>
              <w:ind w:left="0" w:right="0"/>
              <w:jc w:val="center"/>
              <w:rPr>
                <w:rFonts w:hint="default" w:ascii="仿宋_GB2312" w:eastAsia="仿宋_GB2312"/>
                <w:b/>
                <w:bCs/>
                <w:color w:val="auto"/>
                <w:sz w:val="13"/>
                <w:szCs w:val="13"/>
                <w:highlight w:val="none"/>
              </w:rPr>
            </w:pPr>
            <w:r>
              <w:rPr>
                <w:rFonts w:hint="eastAsia" w:ascii="仿宋_GB2312" w:eastAsia="仿宋_GB2312"/>
                <w:b/>
                <w:bCs/>
                <w:color w:val="auto"/>
                <w:sz w:val="13"/>
                <w:szCs w:val="13"/>
                <w:highlight w:val="none"/>
              </w:rPr>
              <w:t>207.41</w:t>
            </w:r>
          </w:p>
        </w:tc>
        <w:tc>
          <w:tcPr>
            <w:tcW w:w="675" w:type="dxa"/>
            <w:shd w:val="clear" w:color="auto" w:fill="auto"/>
            <w:vAlign w:val="center"/>
          </w:tcPr>
          <w:p>
            <w:pPr>
              <w:keepNext w:val="0"/>
              <w:keepLines w:val="0"/>
              <w:suppressLineNumbers w:val="0"/>
              <w:shd w:val="clear"/>
              <w:spacing w:before="0" w:beforeAutospacing="0" w:after="0" w:afterAutospacing="0"/>
              <w:ind w:left="0" w:right="0"/>
              <w:jc w:val="center"/>
              <w:rPr>
                <w:rFonts w:hint="default" w:ascii="仿宋_GB2312" w:eastAsia="仿宋_GB2312"/>
                <w:b/>
                <w:bCs/>
                <w:color w:val="auto"/>
                <w:sz w:val="13"/>
                <w:szCs w:val="13"/>
                <w:highlight w:val="none"/>
              </w:rPr>
            </w:pPr>
          </w:p>
        </w:tc>
        <w:tc>
          <w:tcPr>
            <w:tcW w:w="900" w:type="dxa"/>
            <w:shd w:val="clear" w:color="auto" w:fill="auto"/>
            <w:vAlign w:val="center"/>
          </w:tcPr>
          <w:p>
            <w:pPr>
              <w:keepNext w:val="0"/>
              <w:keepLines w:val="0"/>
              <w:suppressLineNumbers w:val="0"/>
              <w:shd w:val="clear"/>
              <w:spacing w:before="0" w:beforeAutospacing="0" w:after="0" w:afterAutospacing="0"/>
              <w:ind w:left="0" w:right="0"/>
              <w:jc w:val="center"/>
              <w:rPr>
                <w:rFonts w:hint="default" w:ascii="仿宋_GB2312" w:eastAsia="仿宋_GB2312"/>
                <w:b/>
                <w:bCs/>
                <w:color w:val="auto"/>
                <w:sz w:val="13"/>
                <w:szCs w:val="13"/>
                <w:highlight w:val="none"/>
              </w:rPr>
            </w:pPr>
            <w:r>
              <w:rPr>
                <w:rFonts w:hint="eastAsia" w:ascii="仿宋_GB2312" w:eastAsia="仿宋_GB2312"/>
                <w:b/>
                <w:bCs/>
                <w:color w:val="auto"/>
                <w:sz w:val="13"/>
                <w:szCs w:val="13"/>
                <w:highlight w:val="none"/>
              </w:rPr>
              <w:t>196.58</w:t>
            </w:r>
          </w:p>
        </w:tc>
        <w:tc>
          <w:tcPr>
            <w:tcW w:w="690" w:type="dxa"/>
            <w:vAlign w:val="center"/>
          </w:tcPr>
          <w:p>
            <w:pPr>
              <w:keepNext w:val="0"/>
              <w:keepLines w:val="0"/>
              <w:suppressLineNumbers w:val="0"/>
              <w:shd w:val="clear"/>
              <w:spacing w:before="0" w:beforeAutospacing="0" w:after="0" w:afterAutospacing="0"/>
              <w:ind w:left="0" w:right="0"/>
              <w:jc w:val="center"/>
              <w:rPr>
                <w:rFonts w:hint="default" w:ascii="仿宋_GB2312" w:eastAsia="仿宋_GB2312"/>
                <w:b/>
                <w:bCs/>
                <w:color w:val="auto"/>
                <w:sz w:val="13"/>
                <w:szCs w:val="13"/>
                <w:highlight w:val="none"/>
              </w:rPr>
            </w:pPr>
            <w:r>
              <w:rPr>
                <w:rFonts w:hint="eastAsia" w:ascii="仿宋_GB2312" w:eastAsia="仿宋_GB2312"/>
                <w:b/>
                <w:bCs/>
                <w:color w:val="auto"/>
                <w:sz w:val="13"/>
                <w:szCs w:val="13"/>
                <w:highlight w:val="none"/>
              </w:rPr>
              <w:t>7.83</w:t>
            </w:r>
          </w:p>
        </w:tc>
        <w:tc>
          <w:tcPr>
            <w:tcW w:w="645" w:type="dxa"/>
            <w:vAlign w:val="center"/>
          </w:tcPr>
          <w:p>
            <w:pPr>
              <w:keepNext w:val="0"/>
              <w:keepLines w:val="0"/>
              <w:suppressLineNumbers w:val="0"/>
              <w:shd w:val="clear"/>
              <w:spacing w:before="0" w:beforeAutospacing="0" w:after="0" w:afterAutospacing="0"/>
              <w:ind w:left="0" w:right="0"/>
              <w:jc w:val="center"/>
              <w:rPr>
                <w:rFonts w:hint="default" w:ascii="仿宋_GB2312" w:eastAsia="仿宋_GB2312"/>
                <w:b/>
                <w:bCs/>
                <w:color w:val="auto"/>
                <w:sz w:val="13"/>
                <w:szCs w:val="13"/>
                <w:highlight w:val="none"/>
              </w:rPr>
            </w:pPr>
          </w:p>
        </w:tc>
        <w:tc>
          <w:tcPr>
            <w:tcW w:w="705" w:type="dxa"/>
            <w:vAlign w:val="center"/>
          </w:tcPr>
          <w:p>
            <w:pPr>
              <w:keepNext w:val="0"/>
              <w:keepLines w:val="0"/>
              <w:suppressLineNumbers w:val="0"/>
              <w:shd w:val="clear"/>
              <w:spacing w:before="0" w:beforeAutospacing="0" w:after="0" w:afterAutospacing="0"/>
              <w:ind w:left="0" w:right="0"/>
              <w:jc w:val="center"/>
              <w:rPr>
                <w:rFonts w:hint="default" w:ascii="仿宋_GB2312" w:eastAsia="仿宋_GB2312"/>
                <w:b/>
                <w:bCs/>
                <w:color w:val="auto"/>
                <w:sz w:val="13"/>
                <w:szCs w:val="13"/>
                <w:highlight w:val="none"/>
              </w:rPr>
            </w:pPr>
          </w:p>
        </w:tc>
        <w:tc>
          <w:tcPr>
            <w:tcW w:w="720" w:type="dxa"/>
            <w:vAlign w:val="center"/>
          </w:tcPr>
          <w:p>
            <w:pPr>
              <w:keepNext w:val="0"/>
              <w:keepLines w:val="0"/>
              <w:suppressLineNumbers w:val="0"/>
              <w:shd w:val="clear"/>
              <w:spacing w:before="0" w:beforeAutospacing="0" w:after="0" w:afterAutospacing="0"/>
              <w:ind w:left="0" w:right="0"/>
              <w:jc w:val="center"/>
              <w:rPr>
                <w:rFonts w:hint="default" w:ascii="仿宋_GB2312" w:eastAsia="仿宋_GB2312"/>
                <w:b/>
                <w:bCs/>
                <w:color w:val="auto"/>
                <w:sz w:val="13"/>
                <w:szCs w:val="13"/>
                <w:highlight w:val="none"/>
              </w:rPr>
            </w:pPr>
            <w:r>
              <w:rPr>
                <w:rFonts w:hint="eastAsia" w:ascii="仿宋_GB2312" w:eastAsia="仿宋_GB2312"/>
                <w:b/>
                <w:bCs/>
                <w:color w:val="auto"/>
                <w:sz w:val="13"/>
                <w:szCs w:val="13"/>
                <w:highlight w:val="none"/>
              </w:rPr>
              <w:t>3.00</w:t>
            </w:r>
          </w:p>
        </w:tc>
        <w:tc>
          <w:tcPr>
            <w:tcW w:w="750" w:type="dxa"/>
            <w:vAlign w:val="center"/>
          </w:tcPr>
          <w:p>
            <w:pPr>
              <w:keepNext w:val="0"/>
              <w:keepLines w:val="0"/>
              <w:suppressLineNumbers w:val="0"/>
              <w:shd w:val="clear"/>
              <w:spacing w:before="0" w:beforeAutospacing="0" w:after="0" w:afterAutospacing="0"/>
              <w:ind w:left="0" w:right="0"/>
              <w:jc w:val="center"/>
              <w:rPr>
                <w:rFonts w:hint="default" w:ascii="仿宋_GB2312" w:eastAsia="仿宋_GB2312"/>
                <w:b/>
                <w:bCs/>
                <w:color w:val="auto"/>
                <w:sz w:val="13"/>
                <w:szCs w:val="13"/>
                <w:highlight w:val="none"/>
              </w:rPr>
            </w:pPr>
          </w:p>
        </w:tc>
        <w:tc>
          <w:tcPr>
            <w:tcW w:w="354" w:type="dxa"/>
          </w:tcPr>
          <w:p>
            <w:pPr>
              <w:keepNext w:val="0"/>
              <w:keepLines w:val="0"/>
              <w:suppressLineNumbers w:val="0"/>
              <w:shd w:val="clear"/>
              <w:spacing w:before="0" w:beforeAutospacing="0" w:after="0" w:afterAutospacing="0"/>
              <w:ind w:left="0" w:right="0"/>
              <w:jc w:val="center"/>
              <w:rPr>
                <w:rFonts w:hint="default" w:ascii="仿宋_GB2312" w:eastAsia="仿宋_GB2312"/>
                <w:b/>
                <w:bCs/>
                <w:color w:val="auto"/>
                <w:sz w:val="13"/>
                <w:szCs w:val="13"/>
                <w:highlight w:val="none"/>
              </w:rPr>
            </w:pPr>
          </w:p>
        </w:tc>
        <w:tc>
          <w:tcPr>
            <w:tcW w:w="636" w:type="dxa"/>
          </w:tcPr>
          <w:p>
            <w:pPr>
              <w:keepNext w:val="0"/>
              <w:keepLines w:val="0"/>
              <w:suppressLineNumbers w:val="0"/>
              <w:shd w:val="clear"/>
              <w:spacing w:before="0" w:beforeAutospacing="0" w:after="0" w:afterAutospacing="0"/>
              <w:ind w:left="0" w:right="0"/>
              <w:jc w:val="center"/>
              <w:rPr>
                <w:rFonts w:hint="default" w:ascii="仿宋_GB2312" w:eastAsia="仿宋_GB2312"/>
                <w:b/>
                <w:bCs/>
                <w:color w:val="auto"/>
                <w:sz w:val="13"/>
                <w:szCs w:val="13"/>
                <w:highlight w:val="none"/>
              </w:rPr>
            </w:pPr>
          </w:p>
        </w:tc>
        <w:tc>
          <w:tcPr>
            <w:tcW w:w="570" w:type="dxa"/>
            <w:gridSpan w:val="2"/>
          </w:tcPr>
          <w:p>
            <w:pPr>
              <w:keepNext w:val="0"/>
              <w:keepLines w:val="0"/>
              <w:suppressLineNumbers w:val="0"/>
              <w:shd w:val="clear"/>
              <w:spacing w:before="0" w:beforeAutospacing="0" w:after="0" w:afterAutospacing="0"/>
              <w:ind w:left="0" w:right="0"/>
              <w:jc w:val="center"/>
              <w:rPr>
                <w:rFonts w:hint="default" w:ascii="仿宋_GB2312" w:eastAsia="仿宋_GB2312"/>
                <w:b/>
                <w:bCs/>
                <w:color w:val="auto"/>
                <w:sz w:val="13"/>
                <w:szCs w:val="13"/>
                <w:highlight w:val="none"/>
              </w:rPr>
            </w:pPr>
          </w:p>
        </w:tc>
      </w:tr>
    </w:tbl>
    <w:p>
      <w:pPr>
        <w:widowControl/>
        <w:shd w:val="clear"/>
        <w:jc w:val="left"/>
        <w:textAlignment w:val="bottom"/>
        <w:rPr>
          <w:rFonts w:ascii="宋体" w:hAnsi="宋体" w:cs="宋体"/>
          <w:color w:val="auto"/>
          <w:kern w:val="0"/>
          <w:sz w:val="20"/>
          <w:szCs w:val="20"/>
          <w:highlight w:val="none"/>
          <w:lang w:bidi="ar"/>
        </w:rPr>
      </w:pPr>
    </w:p>
    <w:p>
      <w:pPr>
        <w:widowControl/>
        <w:shd w:val="clear"/>
        <w:jc w:val="left"/>
        <w:textAlignment w:val="bottom"/>
        <w:rPr>
          <w:rFonts w:ascii="宋体" w:hAnsi="宋体" w:cs="宋体"/>
          <w:color w:val="auto"/>
          <w:kern w:val="0"/>
          <w:sz w:val="20"/>
          <w:szCs w:val="20"/>
          <w:highlight w:val="none"/>
          <w:lang w:bidi="ar"/>
        </w:rPr>
        <w:sectPr>
          <w:pgSz w:w="16838" w:h="11906" w:orient="landscape"/>
          <w:pgMar w:top="1531" w:right="2098" w:bottom="1531" w:left="1984" w:header="851" w:footer="992" w:gutter="0"/>
          <w:pgNumType w:fmt="numberInDash"/>
          <w:cols w:space="720" w:num="1"/>
          <w:docGrid w:linePitch="312" w:charSpace="0"/>
        </w:sectPr>
      </w:pPr>
    </w:p>
    <w:p>
      <w:pPr>
        <w:pStyle w:val="9"/>
        <w:shd w:val="clear"/>
        <w:rPr>
          <w:color w:val="auto"/>
          <w:highlight w:val="none"/>
        </w:rPr>
      </w:pPr>
    </w:p>
    <w:p>
      <w:pPr>
        <w:widowControl/>
        <w:shd w:val="clear"/>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8</w:t>
      </w:r>
    </w:p>
    <w:p>
      <w:pPr>
        <w:widowControl/>
        <w:shd w:val="clear"/>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p>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 呼图壁县第二中学                                     单位：万元</w:t>
      </w:r>
    </w:p>
    <w:tbl>
      <w:tblPr>
        <w:tblStyle w:val="10"/>
        <w:tblW w:w="921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285" w:type="dxa"/>
            <w:gridSpan w:val="4"/>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929" w:type="dxa"/>
            <w:gridSpan w:val="4"/>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928" w:type="dxa"/>
            <w:gridSpan w:val="3"/>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585"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　</w:t>
            </w:r>
          </w:p>
        </w:tc>
        <w:tc>
          <w:tcPr>
            <w:tcW w:w="1102"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398" w:type="dxa"/>
            <w:vMerge w:val="continue"/>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85"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p>
        </w:tc>
        <w:tc>
          <w:tcPr>
            <w:tcW w:w="1398"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85"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p>
        </w:tc>
        <w:tc>
          <w:tcPr>
            <w:tcW w:w="1398"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585"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p>
        </w:tc>
        <w:tc>
          <w:tcPr>
            <w:tcW w:w="1398"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85"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p>
        </w:tc>
        <w:tc>
          <w:tcPr>
            <w:tcW w:w="1398"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85" w:type="dxa"/>
            <w:vAlign w:val="center"/>
          </w:tcPr>
          <w:p>
            <w:pPr>
              <w:keepNext w:val="0"/>
              <w:keepLines w:val="0"/>
              <w:widowControl/>
              <w:suppressLineNumbers w:val="0"/>
              <w:shd w:val="clear"/>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vAlign w:val="center"/>
          </w:tcPr>
          <w:p>
            <w:pPr>
              <w:keepNext w:val="0"/>
              <w:keepLines w:val="0"/>
              <w:widowControl/>
              <w:suppressLineNumbers w:val="0"/>
              <w:shd w:val="clear"/>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vAlign w:val="center"/>
          </w:tcPr>
          <w:p>
            <w:pPr>
              <w:keepNext w:val="0"/>
              <w:keepLines w:val="0"/>
              <w:widowControl/>
              <w:suppressLineNumbers w:val="0"/>
              <w:shd w:val="clear"/>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vAlign w:val="center"/>
          </w:tcPr>
          <w:p>
            <w:pPr>
              <w:keepNext w:val="0"/>
              <w:keepLines w:val="0"/>
              <w:widowControl/>
              <w:suppressLineNumbers w:val="0"/>
              <w:shd w:val="clear"/>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vAlign w:val="center"/>
          </w:tcPr>
          <w:p>
            <w:pPr>
              <w:keepNext w:val="0"/>
              <w:keepLines w:val="0"/>
              <w:widowControl/>
              <w:suppressLineNumbers w:val="0"/>
              <w:shd w:val="clear"/>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398" w:type="dxa"/>
            <w:vAlign w:val="center"/>
          </w:tcPr>
          <w:p>
            <w:pPr>
              <w:keepNext w:val="0"/>
              <w:keepLines w:val="0"/>
              <w:widowControl/>
              <w:suppressLineNumbers w:val="0"/>
              <w:shd w:val="clear"/>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hd w:val="clear"/>
        <w:spacing w:line="280" w:lineRule="exact"/>
        <w:outlineLvl w:val="1"/>
        <w:rPr>
          <w:rFonts w:ascii="仿宋_GB2312" w:hAnsi="宋体" w:eastAsia="仿宋_GB2312"/>
          <w:b/>
          <w:color w:val="auto"/>
          <w:kern w:val="0"/>
          <w:sz w:val="28"/>
          <w:szCs w:val="32"/>
          <w:highlight w:val="none"/>
        </w:rPr>
      </w:pPr>
    </w:p>
    <w:p>
      <w:pPr>
        <w:widowControl/>
        <w:shd w:val="clear"/>
        <w:spacing w:line="320" w:lineRule="exact"/>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呼图壁县第二中学2025年没有使用政府性基金预算支出，政府性基金预算支出情况表为空表。</w:t>
      </w:r>
    </w:p>
    <w:p>
      <w:pPr>
        <w:widowControl/>
        <w:shd w:val="clear"/>
        <w:spacing w:line="280" w:lineRule="exact"/>
        <w:outlineLvl w:val="1"/>
        <w:rPr>
          <w:rFonts w:ascii="仿宋_GB2312" w:hAnsi="宋体" w:eastAsia="仿宋_GB2312"/>
          <w:b/>
          <w:color w:val="auto"/>
          <w:kern w:val="0"/>
          <w:sz w:val="28"/>
          <w:szCs w:val="32"/>
          <w:highlight w:val="none"/>
        </w:rPr>
      </w:pPr>
    </w:p>
    <w:p>
      <w:pPr>
        <w:widowControl/>
        <w:shd w:val="clear"/>
        <w:jc w:val="left"/>
        <w:textAlignment w:val="bottom"/>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pStyle w:val="9"/>
        <w:shd w:val="clear"/>
        <w:ind w:firstLine="400"/>
        <w:rPr>
          <w:rFonts w:ascii="宋体" w:hAnsi="宋体" w:cs="宋体"/>
          <w:color w:val="auto"/>
          <w:kern w:val="0"/>
          <w:sz w:val="20"/>
          <w:szCs w:val="20"/>
          <w:highlight w:val="none"/>
          <w:lang w:bidi="ar"/>
        </w:rPr>
      </w:pPr>
    </w:p>
    <w:p>
      <w:pPr>
        <w:widowControl/>
        <w:shd w:val="clear"/>
        <w:jc w:val="left"/>
        <w:textAlignment w:val="bottom"/>
        <w:rPr>
          <w:rFonts w:ascii="仿宋_GB2312" w:hAnsi="宋体" w:eastAsia="仿宋_GB2312"/>
          <w:b/>
          <w:color w:val="auto"/>
          <w:kern w:val="0"/>
          <w:sz w:val="28"/>
          <w:szCs w:val="32"/>
          <w:highlight w:val="none"/>
        </w:rPr>
      </w:pPr>
      <w:r>
        <w:rPr>
          <w:rFonts w:hint="eastAsia" w:ascii="宋体" w:hAnsi="宋体" w:cs="宋体"/>
          <w:color w:val="auto"/>
          <w:kern w:val="0"/>
          <w:sz w:val="20"/>
          <w:szCs w:val="20"/>
          <w:highlight w:val="none"/>
          <w:lang w:bidi="ar"/>
        </w:rPr>
        <w:t>表9</w:t>
      </w:r>
    </w:p>
    <w:p>
      <w:pPr>
        <w:widowControl/>
        <w:shd w:val="clear"/>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p>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编制部门：呼图壁县第二中学                                      单位：万元</w:t>
      </w:r>
    </w:p>
    <w:tbl>
      <w:tblPr>
        <w:tblStyle w:val="10"/>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312"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hd w:val="clear"/>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hd w:val="clear"/>
        <w:spacing w:line="280" w:lineRule="exact"/>
        <w:outlineLvl w:val="1"/>
        <w:rPr>
          <w:rFonts w:ascii="仿宋_GB2312" w:hAnsi="宋体" w:eastAsia="仿宋_GB2312"/>
          <w:b/>
          <w:color w:val="auto"/>
          <w:kern w:val="0"/>
          <w:sz w:val="28"/>
          <w:szCs w:val="32"/>
          <w:highlight w:val="none"/>
        </w:rPr>
      </w:pPr>
    </w:p>
    <w:p>
      <w:pPr>
        <w:widowControl/>
        <w:shd w:val="clear"/>
        <w:spacing w:line="320" w:lineRule="exact"/>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呼图壁县第二中学2025年没有使用国有资本经营预算支出，国有资本经营预算支出情况表为空表。</w:t>
      </w:r>
    </w:p>
    <w:p>
      <w:pPr>
        <w:widowControl/>
        <w:shd w:val="clear"/>
        <w:spacing w:line="280" w:lineRule="exact"/>
        <w:outlineLvl w:val="1"/>
        <w:rPr>
          <w:rFonts w:ascii="仿宋_GB2312" w:hAnsi="宋体" w:eastAsia="仿宋_GB2312"/>
          <w:color w:val="auto"/>
          <w:kern w:val="0"/>
          <w:sz w:val="32"/>
          <w:szCs w:val="32"/>
          <w:highlight w:val="none"/>
        </w:rPr>
      </w:pPr>
    </w:p>
    <w:p>
      <w:pPr>
        <w:widowControl/>
        <w:shd w:val="clear"/>
        <w:jc w:val="left"/>
        <w:textAlignment w:val="bottom"/>
        <w:rPr>
          <w:rFonts w:ascii="宋体" w:hAnsi="宋体" w:cs="宋体"/>
          <w:color w:val="auto"/>
          <w:kern w:val="0"/>
          <w:sz w:val="20"/>
          <w:szCs w:val="20"/>
          <w:highlight w:val="none"/>
          <w:lang w:bidi="ar"/>
        </w:rPr>
      </w:pPr>
    </w:p>
    <w:p>
      <w:pPr>
        <w:pStyle w:val="9"/>
        <w:shd w:val="clear"/>
        <w:rPr>
          <w:color w:val="auto"/>
          <w:highlight w:val="none"/>
        </w:rPr>
      </w:pPr>
    </w:p>
    <w:p>
      <w:pPr>
        <w:pStyle w:val="9"/>
        <w:shd w:val="clear"/>
        <w:rPr>
          <w:color w:val="auto"/>
          <w:highlight w:val="none"/>
        </w:rPr>
      </w:pPr>
    </w:p>
    <w:p>
      <w:pPr>
        <w:pStyle w:val="9"/>
        <w:shd w:val="clear"/>
        <w:rPr>
          <w:color w:val="auto"/>
          <w:highlight w:val="none"/>
        </w:rPr>
      </w:pPr>
    </w:p>
    <w:p>
      <w:pPr>
        <w:pStyle w:val="9"/>
        <w:shd w:val="clear"/>
        <w:rPr>
          <w:color w:val="auto"/>
          <w:highlight w:val="none"/>
        </w:rPr>
      </w:pPr>
    </w:p>
    <w:p>
      <w:pPr>
        <w:pStyle w:val="9"/>
        <w:shd w:val="clear"/>
        <w:rPr>
          <w:color w:val="auto"/>
          <w:highlight w:val="none"/>
        </w:rPr>
      </w:pPr>
    </w:p>
    <w:p>
      <w:pPr>
        <w:pStyle w:val="9"/>
        <w:shd w:val="clear"/>
        <w:rPr>
          <w:color w:val="auto"/>
          <w:highlight w:val="none"/>
        </w:rPr>
      </w:pPr>
    </w:p>
    <w:p>
      <w:pPr>
        <w:pStyle w:val="9"/>
        <w:shd w:val="clear"/>
        <w:rPr>
          <w:color w:val="auto"/>
          <w:highlight w:val="none"/>
        </w:rPr>
      </w:pPr>
    </w:p>
    <w:p>
      <w:pPr>
        <w:pStyle w:val="9"/>
        <w:shd w:val="clear"/>
        <w:rPr>
          <w:color w:val="auto"/>
          <w:highlight w:val="none"/>
        </w:rPr>
      </w:pPr>
    </w:p>
    <w:p>
      <w:pPr>
        <w:pStyle w:val="9"/>
        <w:shd w:val="clear"/>
        <w:rPr>
          <w:color w:val="auto"/>
          <w:highlight w:val="none"/>
        </w:rPr>
      </w:pPr>
    </w:p>
    <w:p>
      <w:pPr>
        <w:pStyle w:val="9"/>
        <w:shd w:val="clear"/>
        <w:rPr>
          <w:color w:val="auto"/>
          <w:highlight w:val="none"/>
        </w:rPr>
      </w:pPr>
    </w:p>
    <w:p>
      <w:pPr>
        <w:pStyle w:val="9"/>
        <w:shd w:val="clear"/>
        <w:rPr>
          <w:color w:val="auto"/>
          <w:highlight w:val="none"/>
        </w:rPr>
      </w:pPr>
    </w:p>
    <w:p>
      <w:pPr>
        <w:pStyle w:val="9"/>
        <w:shd w:val="clear"/>
        <w:rPr>
          <w:color w:val="auto"/>
          <w:highlight w:val="none"/>
        </w:rPr>
      </w:pPr>
    </w:p>
    <w:p>
      <w:pPr>
        <w:pStyle w:val="9"/>
        <w:shd w:val="clear"/>
        <w:rPr>
          <w:color w:val="auto"/>
          <w:highlight w:val="none"/>
        </w:rPr>
      </w:pPr>
    </w:p>
    <w:p>
      <w:pPr>
        <w:pStyle w:val="9"/>
        <w:shd w:val="clear"/>
        <w:rPr>
          <w:color w:val="auto"/>
          <w:highlight w:val="none"/>
        </w:rPr>
      </w:pPr>
    </w:p>
    <w:p>
      <w:pPr>
        <w:pStyle w:val="9"/>
        <w:shd w:val="clear"/>
        <w:ind w:left="0" w:leftChars="0" w:firstLine="0" w:firstLineChars="0"/>
        <w:rPr>
          <w:color w:val="auto"/>
          <w:highlight w:val="none"/>
        </w:rPr>
      </w:pPr>
    </w:p>
    <w:p>
      <w:pPr>
        <w:widowControl/>
        <w:shd w:val="clear"/>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10</w:t>
      </w:r>
    </w:p>
    <w:p>
      <w:pPr>
        <w:widowControl/>
        <w:shd w:val="clear"/>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Hans"/>
        </w:rPr>
        <w:t>财政拨款</w:t>
      </w:r>
      <w:r>
        <w:rPr>
          <w:rFonts w:hint="eastAsia" w:ascii="仿宋_GB2312" w:hAnsi="宋体" w:eastAsia="仿宋_GB2312"/>
          <w:b/>
          <w:color w:val="auto"/>
          <w:kern w:val="0"/>
          <w:sz w:val="32"/>
          <w:szCs w:val="32"/>
          <w:highlight w:val="none"/>
        </w:rPr>
        <w:t>“三公”经费支出情况表</w:t>
      </w:r>
    </w:p>
    <w:p>
      <w:pPr>
        <w:widowControl/>
        <w:shd w:val="clea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编制部门：呼图壁县第二中学                                      单位：万元</w:t>
      </w:r>
    </w:p>
    <w:tbl>
      <w:tblPr>
        <w:tblStyle w:val="11"/>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“三公”经费支出内容</w:t>
            </w:r>
          </w:p>
        </w:tc>
        <w:tc>
          <w:tcPr>
            <w:tcW w:w="1215" w:type="dxa"/>
            <w:vMerge w:val="restart"/>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合计</w:t>
            </w:r>
          </w:p>
        </w:tc>
        <w:tc>
          <w:tcPr>
            <w:tcW w:w="4530" w:type="dxa"/>
            <w:gridSpan w:val="3"/>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215" w:type="dxa"/>
            <w:vMerge w:val="continue"/>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314" w:type="dxa"/>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一般公共预算</w:t>
            </w:r>
          </w:p>
        </w:tc>
        <w:tc>
          <w:tcPr>
            <w:tcW w:w="1595" w:type="dxa"/>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政府性基金</w:t>
            </w:r>
          </w:p>
        </w:tc>
        <w:tc>
          <w:tcPr>
            <w:tcW w:w="1621" w:type="dxa"/>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合计</w:t>
            </w:r>
          </w:p>
        </w:tc>
        <w:tc>
          <w:tcPr>
            <w:tcW w:w="1215"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314"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595"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621"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因公出国（境）费</w:t>
            </w:r>
          </w:p>
        </w:tc>
        <w:tc>
          <w:tcPr>
            <w:tcW w:w="1215"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314"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595"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621"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公务接待费</w:t>
            </w:r>
          </w:p>
        </w:tc>
        <w:tc>
          <w:tcPr>
            <w:tcW w:w="1215"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314"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595"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621"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8" w:type="dxa"/>
            <w:vAlign w:val="center"/>
          </w:tcPr>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公务用车购置及运行费</w:t>
            </w:r>
          </w:p>
          <w:p>
            <w:pPr>
              <w:keepNext w:val="0"/>
              <w:keepLines w:val="0"/>
              <w:widowControl/>
              <w:suppressLineNumbers w:val="0"/>
              <w:shd w:val="clear"/>
              <w:spacing w:before="0" w:beforeAutospacing="0" w:after="0" w:afterAutospacing="0"/>
              <w:ind w:left="0" w:right="0"/>
              <w:jc w:val="center"/>
              <w:outlineLvl w:val="1"/>
              <w:rPr>
                <w:rFonts w:hint="default"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（小计）</w:t>
            </w:r>
          </w:p>
        </w:tc>
        <w:tc>
          <w:tcPr>
            <w:tcW w:w="1215"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314"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595"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621"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keepNext w:val="0"/>
              <w:keepLines w:val="0"/>
              <w:widowControl/>
              <w:suppressLineNumbers w:val="0"/>
              <w:shd w:val="clear"/>
              <w:spacing w:before="0" w:beforeAutospacing="0" w:after="0" w:afterAutospacing="0"/>
              <w:ind w:left="0" w:right="0" w:firstLine="281" w:firstLineChars="100"/>
              <w:outlineLvl w:val="1"/>
              <w:rPr>
                <w:rFonts w:hint="default"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其中：公务用车购置费</w:t>
            </w:r>
          </w:p>
        </w:tc>
        <w:tc>
          <w:tcPr>
            <w:tcW w:w="1215"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314"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595"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621"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 xml:space="preserve">     </w:t>
            </w:r>
            <w:r>
              <w:rPr>
                <w:rFonts w:hint="default" w:ascii="仿宋_GB2312" w:hAnsi="宋体" w:eastAsia="仿宋_GB2312"/>
                <w:b/>
                <w:color w:val="auto"/>
                <w:kern w:val="0"/>
                <w:sz w:val="28"/>
                <w:szCs w:val="32"/>
                <w:highlight w:val="none"/>
              </w:rPr>
              <w:t xml:space="preserve">  </w:t>
            </w:r>
            <w:r>
              <w:rPr>
                <w:rFonts w:hint="eastAsia" w:ascii="仿宋_GB2312" w:hAnsi="宋体" w:eastAsia="仿宋_GB2312"/>
                <w:b/>
                <w:color w:val="auto"/>
                <w:kern w:val="0"/>
                <w:sz w:val="28"/>
                <w:szCs w:val="32"/>
                <w:highlight w:val="none"/>
              </w:rPr>
              <w:t xml:space="preserve"> 公务用车运行费</w:t>
            </w:r>
          </w:p>
        </w:tc>
        <w:tc>
          <w:tcPr>
            <w:tcW w:w="1215"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314"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595"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c>
          <w:tcPr>
            <w:tcW w:w="1621" w:type="dxa"/>
          </w:tcPr>
          <w:p>
            <w:pPr>
              <w:keepNext w:val="0"/>
              <w:keepLines w:val="0"/>
              <w:widowControl/>
              <w:suppressLineNumbers w:val="0"/>
              <w:shd w:val="clear"/>
              <w:spacing w:before="0" w:beforeAutospacing="0" w:after="0" w:afterAutospacing="0"/>
              <w:ind w:left="0" w:right="0"/>
              <w:outlineLvl w:val="1"/>
              <w:rPr>
                <w:rFonts w:hint="default" w:ascii="仿宋_GB2312" w:hAnsi="宋体" w:eastAsia="仿宋_GB2312"/>
                <w:b/>
                <w:color w:val="auto"/>
                <w:kern w:val="0"/>
                <w:sz w:val="28"/>
                <w:szCs w:val="32"/>
                <w:highlight w:val="none"/>
              </w:rPr>
            </w:pPr>
          </w:p>
        </w:tc>
      </w:tr>
    </w:tbl>
    <w:p>
      <w:pPr>
        <w:widowControl/>
        <w:shd w:val="clear"/>
        <w:jc w:val="left"/>
        <w:textAlignment w:val="bottom"/>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呼图壁县第二中学2025年没有使用财政拨款“三公”经费支出，财政拨款“三公”经费支出情况表为空表。</w:t>
      </w: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pStyle w:val="9"/>
        <w:shd w:val="clear"/>
        <w:ind w:firstLine="562"/>
        <w:rPr>
          <w:rFonts w:ascii="仿宋_GB2312" w:hAnsi="宋体" w:eastAsia="仿宋_GB2312"/>
          <w:b/>
          <w:color w:val="auto"/>
          <w:kern w:val="0"/>
          <w:sz w:val="28"/>
          <w:szCs w:val="32"/>
          <w:highlight w:val="none"/>
        </w:rPr>
      </w:pPr>
    </w:p>
    <w:p>
      <w:pPr>
        <w:widowControl/>
        <w:shd w:val="clear"/>
        <w:jc w:val="left"/>
        <w:textAlignment w:val="bottom"/>
        <w:rPr>
          <w:rFonts w:ascii="仿宋" w:hAnsi="仿宋" w:eastAsia="仿宋" w:cs="仿宋_GB2312"/>
          <w:bCs/>
          <w:color w:val="auto"/>
          <w:kern w:val="0"/>
          <w:sz w:val="28"/>
          <w:szCs w:val="28"/>
          <w:highlight w:val="none"/>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1</w:t>
      </w:r>
      <w:r>
        <w:rPr>
          <w:rFonts w:hint="eastAsia" w:ascii="宋体" w:hAnsi="宋体" w:cs="宋体"/>
          <w:color w:val="auto"/>
          <w:kern w:val="0"/>
          <w:sz w:val="20"/>
          <w:szCs w:val="20"/>
          <w:highlight w:val="none"/>
          <w:lang w:bidi="ar"/>
        </w:rPr>
        <w:t>1</w:t>
      </w:r>
    </w:p>
    <w:p>
      <w:pPr>
        <w:shd w:val="clear"/>
        <w:spacing w:line="600" w:lineRule="exact"/>
        <w:ind w:firstLine="2891" w:firstLineChars="900"/>
        <w:rPr>
          <w:rFonts w:ascii="仿宋_GB2312" w:hAnsi="宋体" w:eastAsia="仿宋_GB2312"/>
          <w:b/>
          <w:color w:val="auto"/>
          <w:kern w:val="0"/>
          <w:sz w:val="32"/>
          <w:szCs w:val="32"/>
          <w:highlight w:val="none"/>
          <w:lang w:eastAsia="zh-Hans"/>
        </w:rPr>
      </w:pPr>
      <w:r>
        <w:rPr>
          <w:rFonts w:hint="eastAsia" w:ascii="仿宋_GB2312" w:hAnsi="宋体" w:eastAsia="仿宋_GB2312"/>
          <w:b/>
          <w:color w:val="auto"/>
          <w:kern w:val="0"/>
          <w:sz w:val="32"/>
          <w:szCs w:val="32"/>
          <w:highlight w:val="none"/>
          <w:lang w:eastAsia="zh-Hans"/>
        </w:rPr>
        <w:t>上年结转</w:t>
      </w:r>
      <w:r>
        <w:rPr>
          <w:rFonts w:hint="eastAsia" w:ascii="仿宋_GB2312" w:hAnsi="宋体" w:eastAsia="仿宋_GB2312"/>
          <w:b/>
          <w:color w:val="auto"/>
          <w:kern w:val="0"/>
          <w:sz w:val="32"/>
          <w:szCs w:val="32"/>
          <w:highlight w:val="none"/>
        </w:rPr>
        <w:t>结余</w:t>
      </w:r>
      <w:r>
        <w:rPr>
          <w:rFonts w:hint="eastAsia" w:ascii="仿宋_GB2312" w:hAnsi="宋体" w:eastAsia="仿宋_GB2312"/>
          <w:b/>
          <w:color w:val="auto"/>
          <w:kern w:val="0"/>
          <w:sz w:val="32"/>
          <w:szCs w:val="32"/>
          <w:highlight w:val="none"/>
          <w:lang w:eastAsia="zh-Hans"/>
        </w:rPr>
        <w:t>情况明细表</w:t>
      </w:r>
    </w:p>
    <w:p>
      <w:pPr>
        <w:widowControl/>
        <w:shd w:val="clear"/>
        <w:rPr>
          <w:rFonts w:ascii="仿宋_GB2312" w:hAnsi="宋体" w:eastAsia="仿宋_GB2312"/>
          <w:b/>
          <w:color w:val="auto"/>
          <w:kern w:val="0"/>
          <w:sz w:val="32"/>
          <w:szCs w:val="32"/>
          <w:highlight w:val="none"/>
          <w:lang w:eastAsia="zh-Hans"/>
        </w:rPr>
      </w:pPr>
      <w:r>
        <w:rPr>
          <w:rFonts w:hint="eastAsia" w:ascii="仿宋_GB2312" w:hAnsi="宋体" w:eastAsia="仿宋_GB2312"/>
          <w:color w:val="auto"/>
          <w:kern w:val="0"/>
          <w:sz w:val="24"/>
          <w:highlight w:val="none"/>
        </w:rPr>
        <w:t>编制部门：呼图壁县第二中学                                   单位：万元</w:t>
      </w:r>
    </w:p>
    <w:tbl>
      <w:tblPr>
        <w:tblStyle w:val="11"/>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720"/>
        <w:gridCol w:w="823"/>
        <w:gridCol w:w="890"/>
        <w:gridCol w:w="714"/>
        <w:gridCol w:w="1323"/>
        <w:gridCol w:w="685"/>
        <w:gridCol w:w="723"/>
        <w:gridCol w:w="1022"/>
        <w:gridCol w:w="1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648" w:type="dxa"/>
            <w:vMerge w:val="restart"/>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720" w:type="dxa"/>
            <w:vMerge w:val="restart"/>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3750" w:type="dxa"/>
            <w:gridSpan w:val="4"/>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500" w:type="dxa"/>
            <w:gridSpan w:val="4"/>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648" w:type="dxa"/>
            <w:vMerge w:val="continue"/>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tc>
        <w:tc>
          <w:tcPr>
            <w:tcW w:w="720" w:type="dxa"/>
            <w:vMerge w:val="continue"/>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23" w:type="dxa"/>
            <w:vMerge w:val="restart"/>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604" w:type="dxa"/>
            <w:gridSpan w:val="2"/>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23" w:type="dxa"/>
            <w:vMerge w:val="restart"/>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685" w:type="dxa"/>
            <w:vMerge w:val="restart"/>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745" w:type="dxa"/>
            <w:gridSpan w:val="2"/>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70" w:type="dxa"/>
            <w:vMerge w:val="restart"/>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648" w:type="dxa"/>
            <w:vMerge w:val="continue"/>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0" w:type="dxa"/>
            <w:vMerge w:val="continue"/>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23" w:type="dxa"/>
            <w:vMerge w:val="continue"/>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14"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323" w:type="dxa"/>
            <w:vMerge w:val="continue"/>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685" w:type="dxa"/>
            <w:vMerge w:val="continue"/>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022"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070" w:type="dxa"/>
            <w:vMerge w:val="continue"/>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8" w:hRule="atLeast"/>
        </w:trPr>
        <w:tc>
          <w:tcPr>
            <w:tcW w:w="1648"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2025年昌吉州教育项目州本级配套资金——教师体检费</w:t>
            </w:r>
          </w:p>
        </w:tc>
        <w:tc>
          <w:tcPr>
            <w:tcW w:w="720"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1.05</w:t>
            </w:r>
          </w:p>
        </w:tc>
        <w:tc>
          <w:tcPr>
            <w:tcW w:w="823"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1.05</w:t>
            </w:r>
          </w:p>
        </w:tc>
        <w:tc>
          <w:tcPr>
            <w:tcW w:w="890"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714"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1323"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1.05</w:t>
            </w:r>
          </w:p>
        </w:tc>
        <w:tc>
          <w:tcPr>
            <w:tcW w:w="685"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22"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70"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648"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用于体育事业的彩票公益金支出</w:t>
            </w:r>
          </w:p>
        </w:tc>
        <w:tc>
          <w:tcPr>
            <w:tcW w:w="720"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8.35</w:t>
            </w:r>
          </w:p>
        </w:tc>
        <w:tc>
          <w:tcPr>
            <w:tcW w:w="823"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8.35</w:t>
            </w:r>
          </w:p>
        </w:tc>
        <w:tc>
          <w:tcPr>
            <w:tcW w:w="890"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714"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p>
        </w:tc>
        <w:tc>
          <w:tcPr>
            <w:tcW w:w="1323"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8.35</w:t>
            </w:r>
          </w:p>
        </w:tc>
        <w:tc>
          <w:tcPr>
            <w:tcW w:w="685"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22"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70"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648"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0"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23"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tc>
        <w:tc>
          <w:tcPr>
            <w:tcW w:w="714"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p>
        </w:tc>
        <w:tc>
          <w:tcPr>
            <w:tcW w:w="1323"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685"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22"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70"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648"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0"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18"/>
                <w:szCs w:val="18"/>
                <w:highlight w:val="none"/>
              </w:rPr>
              <w:t>总计</w:t>
            </w:r>
          </w:p>
        </w:tc>
        <w:tc>
          <w:tcPr>
            <w:tcW w:w="823"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9.40</w:t>
            </w:r>
          </w:p>
        </w:tc>
        <w:tc>
          <w:tcPr>
            <w:tcW w:w="890"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714"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p>
        </w:tc>
        <w:tc>
          <w:tcPr>
            <w:tcW w:w="1323" w:type="dxa"/>
            <w:vAlign w:val="center"/>
          </w:tcPr>
          <w:p>
            <w:pPr>
              <w:keepNext w:val="0"/>
              <w:keepLines w:val="0"/>
              <w:widowControl/>
              <w:suppressLineNumbers w:val="0"/>
              <w:shd w:val="clear"/>
              <w:spacing w:before="0" w:beforeAutospacing="0" w:after="0" w:afterAutospacing="0" w:line="280" w:lineRule="exact"/>
              <w:ind w:left="0" w:right="0"/>
              <w:jc w:val="center"/>
              <w:rPr>
                <w:rFonts w:hint="default"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9.40</w:t>
            </w:r>
          </w:p>
        </w:tc>
        <w:tc>
          <w:tcPr>
            <w:tcW w:w="685"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22"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70" w:type="dxa"/>
            <w:vAlign w:val="center"/>
          </w:tcPr>
          <w:p>
            <w:pPr>
              <w:keepNext w:val="0"/>
              <w:keepLines w:val="0"/>
              <w:suppressLineNumbers w:val="0"/>
              <w:shd w:val="clear"/>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widowControl/>
        <w:shd w:val="clear"/>
        <w:spacing w:line="280" w:lineRule="exact"/>
        <w:jc w:val="left"/>
        <w:outlineLvl w:val="1"/>
        <w:rPr>
          <w:rFonts w:ascii="仿宋_GB2312" w:hAnsi="宋体" w:eastAsia="仿宋_GB2312"/>
          <w:color w:val="auto"/>
          <w:kern w:val="0"/>
          <w:sz w:val="32"/>
          <w:szCs w:val="32"/>
          <w:highlight w:val="none"/>
        </w:rPr>
      </w:pPr>
    </w:p>
    <w:p>
      <w:pPr>
        <w:widowControl/>
        <w:shd w:val="clear"/>
        <w:spacing w:line="280" w:lineRule="exact"/>
        <w:jc w:val="left"/>
        <w:outlineLvl w:val="1"/>
        <w:rPr>
          <w:rFonts w:ascii="仿宋_GB2312" w:hAnsi="宋体" w:eastAsia="仿宋_GB2312"/>
          <w:color w:val="auto"/>
          <w:kern w:val="0"/>
          <w:sz w:val="32"/>
          <w:szCs w:val="32"/>
          <w:highlight w:val="none"/>
        </w:rPr>
        <w:sectPr>
          <w:pgSz w:w="11906" w:h="16838"/>
          <w:pgMar w:top="2098" w:right="1531" w:bottom="1984" w:left="1531" w:header="851" w:footer="992" w:gutter="0"/>
          <w:pgNumType w:fmt="numberInDash"/>
          <w:cols w:space="720" w:num="1"/>
          <w:docGrid w:linePitch="312" w:charSpace="0"/>
        </w:sectPr>
      </w:pPr>
    </w:p>
    <w:p>
      <w:pPr>
        <w:shd w:val="clear"/>
        <w:spacing w:line="600" w:lineRule="exact"/>
        <w:jc w:val="center"/>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  2025年部门预算情况说明</w:t>
      </w:r>
    </w:p>
    <w:p>
      <w:pPr>
        <w:shd w:val="clear"/>
        <w:spacing w:line="600" w:lineRule="exact"/>
        <w:ind w:firstLine="640" w:firstLineChars="200"/>
        <w:rPr>
          <w:rFonts w:ascii="黑体" w:hAnsi="黑体" w:eastAsia="黑体"/>
          <w:color w:val="auto"/>
          <w:kern w:val="0"/>
          <w:sz w:val="32"/>
          <w:szCs w:val="32"/>
          <w:highlight w:val="none"/>
        </w:rPr>
      </w:pPr>
    </w:p>
    <w:p>
      <w:pPr>
        <w:shd w:val="clear"/>
        <w:spacing w:line="60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一、关于呼图壁县第二中学2025年收支预算情况的总体说明</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按照全口径预算的原则，呼图壁县第二中学2025年所有收入和支出均纳入部门预算管理。收支总预算3160.72    万元。</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其他支出</w:t>
      </w:r>
      <w:r>
        <w:rPr>
          <w:rFonts w:hint="eastAsia" w:ascii="仿宋_GB2312" w:hAnsi="宋体" w:eastAsia="仿宋_GB2312" w:cs="宋体"/>
          <w:color w:val="auto"/>
          <w:kern w:val="0"/>
          <w:sz w:val="32"/>
          <w:szCs w:val="32"/>
          <w:highlight w:val="none"/>
        </w:rPr>
        <w:t>。</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二、关于呼图壁县第二中学2025年收入预算情况说明</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呼图壁县第二中学收入预算3160.72万元，其中：</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2454.91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77.67</w:t>
      </w:r>
      <w:r>
        <w:rPr>
          <w:rFonts w:hint="eastAsia" w:ascii="仿宋_GB2312" w:hAnsi="宋体" w:eastAsia="仿宋_GB2312" w:cs="宋体"/>
          <w:color w:val="auto"/>
          <w:kern w:val="0"/>
          <w:sz w:val="32"/>
          <w:szCs w:val="32"/>
          <w:highlight w:val="none"/>
        </w:rPr>
        <w:t>%，比上年预算增加120.09万元，增长</w:t>
      </w:r>
      <w:r>
        <w:rPr>
          <w:rFonts w:hint="eastAsia" w:ascii="仿宋_GB2312" w:hAnsi="宋体" w:eastAsia="仿宋_GB2312" w:cs="宋体"/>
          <w:color w:val="auto"/>
          <w:kern w:val="0"/>
          <w:sz w:val="32"/>
          <w:szCs w:val="32"/>
          <w:highlight w:val="none"/>
          <w:lang w:val="en-US" w:eastAsia="zh-CN"/>
        </w:rPr>
        <w:t>5.14</w:t>
      </w:r>
      <w:r>
        <w:rPr>
          <w:rFonts w:hint="eastAsia" w:ascii="仿宋_GB2312" w:hAnsi="宋体" w:eastAsia="仿宋_GB2312" w:cs="宋体"/>
          <w:color w:val="auto"/>
          <w:kern w:val="0"/>
          <w:sz w:val="32"/>
          <w:szCs w:val="32"/>
          <w:highlight w:val="none"/>
        </w:rPr>
        <w:t xml:space="preserve">%，主要原因是在校生人数增加导致生均公用经费配套金额有所增加。  </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eastAsia="zh-Hans"/>
        </w:rPr>
        <w:t>安排的转移支付资金</w:t>
      </w:r>
      <w:r>
        <w:rPr>
          <w:rFonts w:hint="eastAsia" w:ascii="仿宋_GB2312" w:hAnsi="宋体" w:eastAsia="仿宋_GB2312" w:cs="宋体"/>
          <w:color w:val="auto"/>
          <w:kern w:val="0"/>
          <w:sz w:val="32"/>
          <w:szCs w:val="32"/>
          <w:highlight w:val="none"/>
        </w:rPr>
        <w:t>174.41万元，占5.52%，比上年预算增加170.33万元，增长4174.75 %，主要原因是本年</w:t>
      </w:r>
      <w:r>
        <w:rPr>
          <w:rFonts w:hint="eastAsia" w:ascii="仿宋_GB2312" w:hAnsi="宋体" w:eastAsia="仿宋_GB2312" w:cs="宋体"/>
          <w:color w:val="auto"/>
          <w:kern w:val="0"/>
          <w:sz w:val="32"/>
          <w:szCs w:val="32"/>
          <w:highlight w:val="none"/>
          <w:lang w:val="en-US" w:eastAsia="zh-CN"/>
        </w:rPr>
        <w:t>新增2</w:t>
      </w:r>
      <w:r>
        <w:rPr>
          <w:rFonts w:hint="eastAsia" w:ascii="仿宋_GB2312" w:hAnsi="宋体" w:eastAsia="仿宋_GB2312" w:cs="宋体"/>
          <w:color w:val="auto"/>
          <w:kern w:val="0"/>
          <w:sz w:val="32"/>
          <w:szCs w:val="32"/>
          <w:highlight w:val="none"/>
        </w:rPr>
        <w:t>025年中央城乡义务教育补助经费-公用经费</w:t>
      </w:r>
      <w:r>
        <w:rPr>
          <w:rFonts w:hint="eastAsia" w:ascii="仿宋_GB2312" w:hAnsi="宋体" w:eastAsia="仿宋_GB2312" w:cs="宋体"/>
          <w:color w:val="auto"/>
          <w:kern w:val="0"/>
          <w:sz w:val="32"/>
          <w:szCs w:val="32"/>
          <w:highlight w:val="none"/>
          <w:lang w:val="en-US" w:eastAsia="zh-CN"/>
        </w:rPr>
        <w:t>专项，</w:t>
      </w:r>
      <w:r>
        <w:rPr>
          <w:rFonts w:hint="eastAsia" w:ascii="仿宋_GB2312" w:hAnsi="宋体" w:eastAsia="仿宋_GB2312" w:cs="宋体"/>
          <w:color w:val="auto"/>
          <w:kern w:val="0"/>
          <w:sz w:val="32"/>
          <w:szCs w:val="32"/>
          <w:highlight w:val="none"/>
        </w:rPr>
        <w:t>2025年中央城乡义务教育补助经费-残疾生公用经费</w:t>
      </w:r>
      <w:r>
        <w:rPr>
          <w:rFonts w:hint="eastAsia" w:ascii="仿宋_GB2312" w:hAnsi="宋体" w:eastAsia="仿宋_GB2312" w:cs="宋体"/>
          <w:color w:val="auto"/>
          <w:kern w:val="0"/>
          <w:sz w:val="32"/>
          <w:szCs w:val="32"/>
          <w:highlight w:val="none"/>
          <w:lang w:val="en-US" w:eastAsia="zh-CN"/>
        </w:rPr>
        <w:t>等项目。</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Hans"/>
        </w:rPr>
        <w:t>单位资金</w:t>
      </w:r>
      <w:r>
        <w:rPr>
          <w:rFonts w:hint="eastAsia" w:ascii="仿宋_GB2312" w:hAnsi="宋体" w:eastAsia="仿宋_GB2312" w:cs="宋体"/>
          <w:color w:val="auto"/>
          <w:kern w:val="0"/>
          <w:sz w:val="32"/>
          <w:szCs w:val="32"/>
          <w:highlight w:val="none"/>
        </w:rPr>
        <w:t>522.00万元，占16.52 %，比上年预算减少   1085万元，下降67.52%，主要原因是是</w:t>
      </w:r>
      <w:r>
        <w:rPr>
          <w:rFonts w:hint="eastAsia" w:ascii="仿宋_GB2312" w:hAnsi="宋体" w:eastAsia="仿宋_GB2312" w:cs="宋体"/>
          <w:color w:val="auto"/>
          <w:kern w:val="0"/>
          <w:sz w:val="32"/>
          <w:szCs w:val="32"/>
          <w:highlight w:val="none"/>
          <w:lang w:val="en-US" w:eastAsia="zh-CN"/>
        </w:rPr>
        <w:t>上年度单位资金预算因预计错误，导致上年单位资金金额较大，所以今年总体单位资金金额有所减少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Hans"/>
        </w:rPr>
        <w:t>财政拨款结转</w:t>
      </w:r>
      <w:r>
        <w:rPr>
          <w:rFonts w:hint="eastAsia" w:ascii="仿宋_GB2312" w:hAnsi="宋体" w:eastAsia="仿宋_GB2312" w:cs="宋体"/>
          <w:color w:val="auto"/>
          <w:kern w:val="0"/>
          <w:sz w:val="32"/>
          <w:szCs w:val="32"/>
          <w:highlight w:val="none"/>
        </w:rPr>
        <w:t>9.4万元，占0.29%，比上年预算减少46.27万元，下降83.11%，主要原因是上年专项资金支付率较好，导致结转资金金额减少。</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三、关于呼图壁县第二中学2025年支出预算情况说明</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呼图壁县第二中学2025年支出预算3160.72万元，其中：</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基本支出2943.9万元，占93.14%，比上年预算减少   1151.82万元，下降28.12%，主要原因是</w:t>
      </w:r>
      <w:r>
        <w:rPr>
          <w:rFonts w:hint="eastAsia" w:ascii="仿宋_GB2312" w:hAnsi="宋体" w:eastAsia="仿宋_GB2312" w:cs="宋体"/>
          <w:color w:val="auto"/>
          <w:kern w:val="0"/>
          <w:sz w:val="32"/>
          <w:szCs w:val="32"/>
          <w:highlight w:val="none"/>
          <w:lang w:val="en-US" w:eastAsia="zh-CN"/>
        </w:rPr>
        <w:t>2024年基本支出单位资金预算因预计错误，导致2024年基本支出单位资金金额较大，所以今年总体基本支出金额有所减少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项目支出216.81万元，占6.86 %，比上年预算增加140.63万元，增长184.6%，主要原因是本年</w:t>
      </w:r>
      <w:r>
        <w:rPr>
          <w:rFonts w:hint="eastAsia" w:ascii="仿宋_GB2312" w:hAnsi="宋体" w:eastAsia="仿宋_GB2312" w:cs="宋体"/>
          <w:color w:val="auto"/>
          <w:kern w:val="0"/>
          <w:sz w:val="32"/>
          <w:szCs w:val="32"/>
          <w:highlight w:val="none"/>
          <w:lang w:val="en-US" w:eastAsia="zh-CN"/>
        </w:rPr>
        <w:t>新增2</w:t>
      </w:r>
      <w:r>
        <w:rPr>
          <w:rFonts w:hint="eastAsia" w:ascii="仿宋_GB2312" w:hAnsi="宋体" w:eastAsia="仿宋_GB2312" w:cs="宋体"/>
          <w:color w:val="auto"/>
          <w:kern w:val="0"/>
          <w:sz w:val="32"/>
          <w:szCs w:val="32"/>
          <w:highlight w:val="none"/>
        </w:rPr>
        <w:t>025年中央城乡义务教育补助经费-公用经费</w:t>
      </w:r>
      <w:r>
        <w:rPr>
          <w:rFonts w:hint="eastAsia" w:ascii="仿宋_GB2312" w:hAnsi="宋体" w:eastAsia="仿宋_GB2312" w:cs="宋体"/>
          <w:color w:val="auto"/>
          <w:kern w:val="0"/>
          <w:sz w:val="32"/>
          <w:szCs w:val="32"/>
          <w:highlight w:val="none"/>
          <w:lang w:val="en-US" w:eastAsia="zh-CN"/>
        </w:rPr>
        <w:t>专项，</w:t>
      </w:r>
      <w:r>
        <w:rPr>
          <w:rFonts w:hint="eastAsia" w:ascii="仿宋_GB2312" w:hAnsi="宋体" w:eastAsia="仿宋_GB2312" w:cs="宋体"/>
          <w:color w:val="auto"/>
          <w:kern w:val="0"/>
          <w:sz w:val="32"/>
          <w:szCs w:val="32"/>
          <w:highlight w:val="none"/>
        </w:rPr>
        <w:t>2025年中央城乡义务教育补助经费-残疾生公用经费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银龄计划教师经费（非定额）</w:t>
      </w:r>
      <w:r>
        <w:rPr>
          <w:rFonts w:hint="eastAsia" w:ascii="仿宋_GB2312" w:hAnsi="宋体" w:eastAsia="仿宋_GB2312" w:cs="宋体"/>
          <w:color w:val="auto"/>
          <w:kern w:val="0"/>
          <w:sz w:val="32"/>
          <w:szCs w:val="32"/>
          <w:highlight w:val="none"/>
          <w:lang w:val="en-US" w:eastAsia="zh-CN"/>
        </w:rPr>
        <w:t>等项目</w:t>
      </w:r>
      <w:r>
        <w:rPr>
          <w:rFonts w:hint="eastAsia" w:ascii="仿宋_GB2312" w:hAnsi="宋体" w:eastAsia="仿宋_GB2312" w:cs="宋体"/>
          <w:color w:val="auto"/>
          <w:kern w:val="0"/>
          <w:sz w:val="32"/>
          <w:szCs w:val="32"/>
          <w:highlight w:val="none"/>
        </w:rPr>
        <w:t>。</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四、关于呼图壁县第二中学2025年财政拨款收支预算情况的总体说明</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2025年财政拨款收支总预算2629.32万元。</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收入全部为一般公共预算拨款，无政府性基金预算拨款和国有资本经营预算。</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收入预算包括：一般公共预算拨款2629.32万元。</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一般公共预算支出包括：教育支出2629.32万元，主要用于人员工资津补贴经费支出、公用经费支出等。</w:t>
      </w:r>
    </w:p>
    <w:p>
      <w:pPr>
        <w:shd w:val="clear"/>
        <w:spacing w:line="600" w:lineRule="exact"/>
        <w:ind w:firstLine="643" w:firstLineChars="200"/>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关于呼图壁县第二中学2025年一般公共预算当年拨款情况说明</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呼图壁县第二中学2025年一般公共预算拨款合计2629.32万元，其中：基本支出2421.9万元，比上年预算减少66.82万元，下降2.68%。主要原因是在职教师人数减少从而工资</w:t>
      </w:r>
      <w:r>
        <w:rPr>
          <w:rFonts w:hint="eastAsia" w:ascii="仿宋_GB2312" w:hAnsi="宋体" w:eastAsia="仿宋_GB2312" w:cs="宋体"/>
          <w:color w:val="auto"/>
          <w:kern w:val="0"/>
          <w:sz w:val="32"/>
          <w:szCs w:val="32"/>
          <w:highlight w:val="none"/>
          <w:lang w:val="en-US" w:eastAsia="zh-CN"/>
        </w:rPr>
        <w:t>社保缴费</w:t>
      </w:r>
      <w:r>
        <w:rPr>
          <w:rFonts w:hint="eastAsia" w:ascii="仿宋_GB2312" w:hAnsi="宋体" w:eastAsia="仿宋_GB2312" w:cs="宋体"/>
          <w:color w:val="auto"/>
          <w:kern w:val="0"/>
          <w:sz w:val="32"/>
          <w:szCs w:val="32"/>
          <w:highlight w:val="none"/>
        </w:rPr>
        <w:t>总额减少，人员公用经费总额减少。</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项目支出207.41万元，比上年预算增加131.23万元，</w:t>
      </w:r>
      <w:r>
        <w:rPr>
          <w:rFonts w:hint="eastAsia" w:ascii="仿宋_GB2312" w:hAnsi="宋体" w:eastAsia="仿宋_GB2312" w:cs="宋体"/>
          <w:color w:val="auto"/>
          <w:kern w:val="0"/>
          <w:sz w:val="32"/>
          <w:szCs w:val="32"/>
          <w:highlight w:val="none"/>
          <w:lang w:val="en-US" w:eastAsia="zh-CN"/>
        </w:rPr>
        <w:t>增长</w:t>
      </w:r>
      <w:r>
        <w:rPr>
          <w:rFonts w:hint="eastAsia" w:ascii="仿宋_GB2312" w:hAnsi="宋体" w:eastAsia="仿宋_GB2312" w:cs="宋体"/>
          <w:color w:val="auto"/>
          <w:kern w:val="0"/>
          <w:sz w:val="32"/>
          <w:szCs w:val="32"/>
          <w:highlight w:val="none"/>
        </w:rPr>
        <w:t>172.26%。主要原因是本年</w:t>
      </w:r>
      <w:r>
        <w:rPr>
          <w:rFonts w:hint="eastAsia" w:ascii="仿宋_GB2312" w:hAnsi="宋体" w:eastAsia="仿宋_GB2312" w:cs="宋体"/>
          <w:color w:val="auto"/>
          <w:kern w:val="0"/>
          <w:sz w:val="32"/>
          <w:szCs w:val="32"/>
          <w:highlight w:val="none"/>
          <w:lang w:val="en-US" w:eastAsia="zh-CN"/>
        </w:rPr>
        <w:t>新增2</w:t>
      </w:r>
      <w:r>
        <w:rPr>
          <w:rFonts w:hint="eastAsia" w:ascii="仿宋_GB2312" w:hAnsi="宋体" w:eastAsia="仿宋_GB2312" w:cs="宋体"/>
          <w:color w:val="auto"/>
          <w:kern w:val="0"/>
          <w:sz w:val="32"/>
          <w:szCs w:val="32"/>
          <w:highlight w:val="none"/>
        </w:rPr>
        <w:t>025年中央城乡义务教育补助经费-公用经费</w:t>
      </w:r>
      <w:r>
        <w:rPr>
          <w:rFonts w:hint="eastAsia" w:ascii="仿宋_GB2312" w:hAnsi="宋体" w:eastAsia="仿宋_GB2312" w:cs="宋体"/>
          <w:color w:val="auto"/>
          <w:kern w:val="0"/>
          <w:sz w:val="32"/>
          <w:szCs w:val="32"/>
          <w:highlight w:val="none"/>
          <w:lang w:val="en-US" w:eastAsia="zh-CN"/>
        </w:rPr>
        <w:t>专项，</w:t>
      </w:r>
      <w:r>
        <w:rPr>
          <w:rFonts w:hint="eastAsia" w:ascii="仿宋_GB2312" w:hAnsi="宋体" w:eastAsia="仿宋_GB2312" w:cs="宋体"/>
          <w:color w:val="auto"/>
          <w:kern w:val="0"/>
          <w:sz w:val="32"/>
          <w:szCs w:val="32"/>
          <w:highlight w:val="none"/>
        </w:rPr>
        <w:t>2025年中央城乡义务教育补助经费-残疾生公用经费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银龄计划教师经费（非定额）</w:t>
      </w:r>
      <w:r>
        <w:rPr>
          <w:rFonts w:hint="eastAsia" w:ascii="仿宋_GB2312" w:hAnsi="宋体" w:eastAsia="仿宋_GB2312" w:cs="宋体"/>
          <w:color w:val="auto"/>
          <w:kern w:val="0"/>
          <w:sz w:val="32"/>
          <w:szCs w:val="32"/>
          <w:highlight w:val="none"/>
          <w:lang w:val="en-US" w:eastAsia="zh-CN"/>
        </w:rPr>
        <w:t>等项目，</w:t>
      </w:r>
      <w:r>
        <w:rPr>
          <w:rFonts w:hint="eastAsia" w:ascii="仿宋_GB2312" w:hAnsi="宋体" w:eastAsia="仿宋_GB2312" w:cs="宋体"/>
          <w:color w:val="auto"/>
          <w:kern w:val="0"/>
          <w:sz w:val="32"/>
          <w:szCs w:val="32"/>
          <w:highlight w:val="none"/>
        </w:rPr>
        <w:t>本年安排项目资金数量增加、金额增加。</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hd w:val="clear"/>
        <w:spacing w:line="600" w:lineRule="exact"/>
        <w:ind w:firstLine="640" w:firstLineChars="200"/>
        <w:rPr>
          <w:rFonts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1.教育支出（类）2629.32</w:t>
      </w:r>
      <w:r>
        <w:rPr>
          <w:rFonts w:hint="eastAsia" w:ascii="仿宋_GB2312" w:hAnsi="仿宋_GB2312" w:eastAsia="仿宋_GB2312" w:cs="仿宋_GB2312"/>
          <w:color w:val="auto"/>
          <w:kern w:val="0"/>
          <w:sz w:val="32"/>
          <w:szCs w:val="32"/>
          <w:highlight w:val="none"/>
        </w:rPr>
        <w:t>万元，占100%。</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1.教育支出（类）普通教育（款）初中教育（项）：2025年预算数为2629.32万元，比上年预算增加76.42万元，增加2.99%，主要原因是在校生人数增加导致生均公用经费配套金额有所增加。    </w:t>
      </w:r>
    </w:p>
    <w:p>
      <w:pPr>
        <w:shd w:val="clear"/>
        <w:spacing w:line="600" w:lineRule="exact"/>
        <w:ind w:firstLine="643" w:firstLineChars="200"/>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关于呼图壁县第二中学2025年一般公共预算基本支出情况说明</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呼图壁县第二中学2025年一般公共预算基本支出2421.9万元， 其中：</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 2334.11万元，主要包括：基本工资、津贴补贴、奖金、绩效工资、机关事业单位基本养老保险缴费、职工基本医疗保险缴费、公务员医疗补助缴费、其他社会保障缴费、住房公积金、退休费、生活补助、奖励金。</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公用经费87.79万元，主要包括：水费、电费、取暖费、劳务费、工会经费。</w:t>
      </w:r>
    </w:p>
    <w:p>
      <w:pPr>
        <w:shd w:val="clear"/>
        <w:spacing w:line="600" w:lineRule="exact"/>
        <w:ind w:firstLine="643" w:firstLineChars="200"/>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关于呼图壁县第二中学2025年一般公共预算项目支出情况说明</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（一）项目名称：银龄计划教师经费（非定额）</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设立的政策依据：呼县党办字[2024]5号《中共呼图壁县委员会办公室 呼图壁县人民政府办公室关于印发《呼图壁县激励教师十条措施》的通知》第八条实施银龄讲学计划。</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预算安排规模：24万元</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项目承担单位：呼图壁县第二中学</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资金分配情况：</w:t>
      </w:r>
      <w:r>
        <w:rPr>
          <w:rFonts w:hint="eastAsia" w:ascii="仿宋_GB2312" w:hAnsi="宋体" w:eastAsia="仿宋_GB2312" w:cs="宋体"/>
          <w:color w:val="auto"/>
          <w:kern w:val="0"/>
          <w:sz w:val="32"/>
          <w:szCs w:val="32"/>
          <w:highlight w:val="none"/>
          <w:lang w:val="en-US" w:eastAsia="zh-CN"/>
        </w:rPr>
        <w:t>24万元全部用于支付返聘退休教师工资，</w:t>
      </w:r>
      <w:r>
        <w:rPr>
          <w:rFonts w:hint="eastAsia" w:ascii="仿宋_GB2312" w:hAnsi="宋体" w:eastAsia="仿宋_GB2312" w:cs="宋体"/>
          <w:color w:val="auto"/>
          <w:kern w:val="0"/>
          <w:sz w:val="32"/>
          <w:szCs w:val="32"/>
          <w:highlight w:val="none"/>
        </w:rPr>
        <w:t>用于</w:t>
      </w:r>
      <w:r>
        <w:rPr>
          <w:rFonts w:hint="eastAsia" w:ascii="仿宋_GB2312" w:hAnsi="宋体" w:eastAsia="仿宋_GB2312" w:cs="宋体"/>
          <w:color w:val="auto"/>
          <w:kern w:val="0"/>
          <w:sz w:val="32"/>
          <w:szCs w:val="32"/>
          <w:highlight w:val="none"/>
          <w:lang w:val="en-US" w:eastAsia="zh-CN"/>
        </w:rPr>
        <w:t>返聘退休教师</w:t>
      </w:r>
      <w:r>
        <w:rPr>
          <w:rFonts w:hint="eastAsia" w:ascii="仿宋_GB2312" w:hAnsi="宋体" w:eastAsia="仿宋_GB2312" w:cs="宋体"/>
          <w:color w:val="auto"/>
          <w:kern w:val="0"/>
          <w:sz w:val="32"/>
          <w:szCs w:val="32"/>
          <w:highlight w:val="none"/>
        </w:rPr>
        <w:t>劳务费所需费用。</w:t>
      </w:r>
    </w:p>
    <w:p>
      <w:pPr>
        <w:shd w:val="clear"/>
        <w:spacing w:line="600" w:lineRule="exact"/>
        <w:ind w:firstLine="640" w:firstLineChars="200"/>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资金执行时间：</w:t>
      </w:r>
      <w:r>
        <w:rPr>
          <w:rFonts w:hint="eastAsia" w:ascii="仿宋_GB2312" w:hAnsi="宋体" w:eastAsia="仿宋_GB2312" w:cs="宋体"/>
          <w:color w:val="auto"/>
          <w:kern w:val="0"/>
          <w:sz w:val="32"/>
          <w:szCs w:val="32"/>
          <w:highlight w:val="none"/>
          <w:lang w:eastAsia="zh-Hans"/>
        </w:rPr>
        <w:t>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年1月1日-202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年12月31日</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（二）项目名称：2025年教育补助项目经费-示范校</w:t>
      </w:r>
    </w:p>
    <w:p>
      <w:pPr>
        <w:shd w:val="clear"/>
        <w:spacing w:line="60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设立的政策依据：昌州财教【2024】100号-</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关于提前下达2025年教育补助项目经费预算的通知</w:t>
      </w:r>
      <w:r>
        <w:rPr>
          <w:rFonts w:hint="eastAsia" w:ascii="仿宋_GB2312" w:hAnsi="宋体" w:eastAsia="仿宋_GB2312" w:cs="宋体"/>
          <w:color w:val="auto"/>
          <w:kern w:val="0"/>
          <w:sz w:val="32"/>
          <w:szCs w:val="32"/>
          <w:highlight w:val="none"/>
          <w:lang w:eastAsia="zh-CN"/>
        </w:rPr>
        <w:t>》</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预算安排规模：2万元</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项目承担单位：呼图壁县第二中学</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资金分配情况：2万元</w:t>
      </w:r>
      <w:r>
        <w:rPr>
          <w:rFonts w:hint="eastAsia" w:ascii="仿宋_GB2312" w:hAnsi="宋体" w:eastAsia="仿宋_GB2312" w:cs="宋体"/>
          <w:color w:val="auto"/>
          <w:kern w:val="0"/>
          <w:sz w:val="32"/>
          <w:szCs w:val="32"/>
          <w:highlight w:val="none"/>
          <w:lang w:val="en-US" w:eastAsia="zh-CN"/>
        </w:rPr>
        <w:t>全部</w:t>
      </w:r>
      <w:r>
        <w:rPr>
          <w:rFonts w:hint="eastAsia" w:ascii="仿宋_GB2312" w:hAnsi="宋体" w:eastAsia="仿宋_GB2312" w:cs="宋体"/>
          <w:color w:val="auto"/>
          <w:kern w:val="0"/>
          <w:sz w:val="32"/>
          <w:szCs w:val="32"/>
          <w:highlight w:val="none"/>
        </w:rPr>
        <w:t>用于教师培训费支出</w:t>
      </w:r>
    </w:p>
    <w:p>
      <w:pPr>
        <w:shd w:val="clear"/>
        <w:spacing w:line="600" w:lineRule="exact"/>
        <w:ind w:firstLine="640" w:firstLineChars="200"/>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资金执行时间：</w:t>
      </w:r>
      <w:r>
        <w:rPr>
          <w:rFonts w:hint="eastAsia" w:ascii="仿宋_GB2312" w:hAnsi="宋体" w:eastAsia="仿宋_GB2312" w:cs="宋体"/>
          <w:color w:val="auto"/>
          <w:kern w:val="0"/>
          <w:sz w:val="32"/>
          <w:szCs w:val="32"/>
          <w:highlight w:val="none"/>
          <w:lang w:eastAsia="zh-Hans"/>
        </w:rPr>
        <w:t>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年1月1日-202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年12月31日</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（三）项目名称：2025年中央城乡义务教育补助经费-残疾生公用经费</w:t>
      </w:r>
    </w:p>
    <w:p>
      <w:pPr>
        <w:shd w:val="clear"/>
        <w:spacing w:line="60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设立的政策依据：昌州财教【2024】92号-</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关于提前下达2025年中央城乡义务教育补助经费预算的通知</w:t>
      </w:r>
      <w:r>
        <w:rPr>
          <w:rFonts w:hint="eastAsia" w:ascii="仿宋_GB2312" w:hAnsi="宋体" w:eastAsia="仿宋_GB2312" w:cs="宋体"/>
          <w:color w:val="auto"/>
          <w:kern w:val="0"/>
          <w:sz w:val="32"/>
          <w:szCs w:val="32"/>
          <w:highlight w:val="none"/>
          <w:lang w:eastAsia="zh-CN"/>
        </w:rPr>
        <w:t>》</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预算安排规模：7.2万元</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项目承担单位：呼图壁县第二中学</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资金分配情况：12名学生，每年每人6000元计7.2万元经费支出进行补助。</w:t>
      </w:r>
    </w:p>
    <w:p>
      <w:pPr>
        <w:shd w:val="clear"/>
        <w:spacing w:line="600" w:lineRule="exact"/>
        <w:ind w:firstLine="640" w:firstLineChars="200"/>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资金执行时间：</w:t>
      </w:r>
      <w:r>
        <w:rPr>
          <w:rFonts w:hint="eastAsia" w:ascii="仿宋_GB2312" w:hAnsi="宋体" w:eastAsia="仿宋_GB2312" w:cs="宋体"/>
          <w:color w:val="auto"/>
          <w:kern w:val="0"/>
          <w:sz w:val="32"/>
          <w:szCs w:val="32"/>
          <w:highlight w:val="none"/>
          <w:lang w:eastAsia="zh-Hans"/>
        </w:rPr>
        <w:t>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年1月1日-202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年12月31日</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（四）项目名称：2025年义务教育阶段特殊教育学校和随班就读残疾学生生均公用经费（县级配套）（非定额）</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设立的政策依据：《关于修订&lt;新疆维吾尔自治区城乡义务教育“两免一补”资金管理办法&gt;的通知》(新财规[2020]10号）</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预算安排规模：1.18万元</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项目承担单位：呼图壁县第二中学</w:t>
      </w:r>
    </w:p>
    <w:p>
      <w:pPr>
        <w:shd w:val="clear"/>
        <w:spacing w:line="60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资金分配情况：</w:t>
      </w:r>
      <w:r>
        <w:rPr>
          <w:rFonts w:hint="eastAsia" w:ascii="仿宋_GB2312" w:hAnsi="宋体" w:eastAsia="仿宋_GB2312" w:cs="宋体"/>
          <w:color w:val="auto"/>
          <w:kern w:val="0"/>
          <w:sz w:val="32"/>
          <w:szCs w:val="32"/>
          <w:highlight w:val="none"/>
          <w:lang w:val="en-US" w:eastAsia="zh-CN"/>
        </w:rPr>
        <w:t>1.18万元全部用于购买残疾学生学习用品</w:t>
      </w:r>
    </w:p>
    <w:p>
      <w:pPr>
        <w:shd w:val="clear"/>
        <w:spacing w:line="600" w:lineRule="exact"/>
        <w:ind w:firstLine="640" w:firstLineChars="200"/>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资金执行时间：</w:t>
      </w:r>
      <w:r>
        <w:rPr>
          <w:rFonts w:hint="eastAsia" w:ascii="仿宋_GB2312" w:hAnsi="宋体" w:eastAsia="仿宋_GB2312" w:cs="宋体"/>
          <w:color w:val="auto"/>
          <w:kern w:val="0"/>
          <w:sz w:val="32"/>
          <w:szCs w:val="32"/>
          <w:highlight w:val="none"/>
          <w:lang w:eastAsia="zh-Hans"/>
        </w:rPr>
        <w:t>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年1月1日-202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年12月31日</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（五）项目名称：2025年中央城乡义务教育补助经费-公用经费</w:t>
      </w:r>
    </w:p>
    <w:p>
      <w:pPr>
        <w:shd w:val="clear"/>
        <w:spacing w:line="60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设立的政策依据：昌州财教【2024】92号-</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关于提前下达2025年中央城乡义务教育补助经费预算的通知</w:t>
      </w:r>
      <w:r>
        <w:rPr>
          <w:rFonts w:hint="eastAsia" w:ascii="仿宋_GB2312" w:hAnsi="宋体" w:eastAsia="仿宋_GB2312" w:cs="宋体"/>
          <w:color w:val="auto"/>
          <w:kern w:val="0"/>
          <w:sz w:val="32"/>
          <w:szCs w:val="32"/>
          <w:highlight w:val="none"/>
          <w:lang w:eastAsia="zh-CN"/>
        </w:rPr>
        <w:t>》</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预算安排规模：16</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.21万元</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项目承担单位：呼图壁县第二中学</w:t>
      </w:r>
    </w:p>
    <w:p>
      <w:pPr>
        <w:shd w:val="clear"/>
        <w:spacing w:line="600" w:lineRule="exact"/>
        <w:ind w:firstLine="640" w:firstLineChars="200"/>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资金分配情况：用于</w:t>
      </w:r>
      <w:r>
        <w:rPr>
          <w:rFonts w:hint="eastAsia" w:ascii="仿宋_GB2312" w:hAnsi="宋体" w:eastAsia="仿宋_GB2312" w:cs="宋体"/>
          <w:color w:val="auto"/>
          <w:kern w:val="0"/>
          <w:sz w:val="32"/>
          <w:szCs w:val="32"/>
          <w:highlight w:val="none"/>
          <w:lang w:val="en-US" w:eastAsia="zh-CN"/>
        </w:rPr>
        <w:t>购买办公用品20万元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3万元</w:t>
      </w:r>
      <w:r>
        <w:rPr>
          <w:rFonts w:hint="eastAsia" w:ascii="仿宋_GB2312" w:hAnsi="宋体" w:eastAsia="仿宋_GB2312" w:cs="宋体"/>
          <w:color w:val="auto"/>
          <w:kern w:val="0"/>
          <w:sz w:val="32"/>
          <w:szCs w:val="32"/>
          <w:highlight w:val="none"/>
        </w:rPr>
        <w:t>、网络接入费</w:t>
      </w:r>
      <w:r>
        <w:rPr>
          <w:rFonts w:hint="eastAsia" w:ascii="仿宋_GB2312" w:hAnsi="宋体" w:eastAsia="仿宋_GB2312" w:cs="宋体"/>
          <w:color w:val="auto"/>
          <w:kern w:val="0"/>
          <w:sz w:val="32"/>
          <w:szCs w:val="32"/>
          <w:highlight w:val="none"/>
          <w:lang w:val="en-US" w:eastAsia="zh-CN"/>
        </w:rPr>
        <w:t>4万元</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10万元</w:t>
      </w:r>
      <w:r>
        <w:rPr>
          <w:rFonts w:hint="eastAsia" w:ascii="仿宋_GB2312" w:hAnsi="宋体" w:eastAsia="仿宋_GB2312" w:cs="宋体"/>
          <w:color w:val="auto"/>
          <w:kern w:val="0"/>
          <w:sz w:val="32"/>
          <w:szCs w:val="32"/>
          <w:highlight w:val="none"/>
        </w:rPr>
        <w:t>、学校日常公用经费运转所需费用</w:t>
      </w:r>
      <w:r>
        <w:rPr>
          <w:rFonts w:hint="eastAsia" w:ascii="仿宋_GB2312" w:hAnsi="宋体" w:eastAsia="仿宋_GB2312" w:cs="宋体"/>
          <w:color w:val="auto"/>
          <w:kern w:val="0"/>
          <w:sz w:val="32"/>
          <w:szCs w:val="32"/>
          <w:highlight w:val="none"/>
          <w:lang w:val="en-US" w:eastAsia="zh-CN"/>
        </w:rPr>
        <w:t>15.5万元、用于学校取暖费62.21万元、用于各类教学楼用电用水网络设备维修费用25万元、办公设备购置费25.5万元，共计165.21。</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资金执行时间：</w:t>
      </w:r>
      <w:r>
        <w:rPr>
          <w:rFonts w:hint="eastAsia" w:ascii="仿宋_GB2312" w:hAnsi="宋体" w:eastAsia="仿宋_GB2312" w:cs="宋体"/>
          <w:color w:val="auto"/>
          <w:kern w:val="0"/>
          <w:sz w:val="32"/>
          <w:szCs w:val="32"/>
          <w:highlight w:val="none"/>
          <w:lang w:eastAsia="zh-Hans"/>
        </w:rPr>
        <w:t>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年1月1日-202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年12月31日</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（六）项目名称：2025年寄宿生生活补助（非定额）</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设立的政策依据：《新疆维吾尔自治区人民政府办公厅关于印发教育领域自治区以下财政事权和支出责任划分改革实施方案的通知》（新政办发【2020】45号）</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预算安排规模：2.36万元</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项目承担单位：呼图壁县第二中学</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资金分配情况：</w:t>
      </w:r>
      <w:r>
        <w:rPr>
          <w:rFonts w:hint="eastAsia" w:ascii="仿宋_GB2312" w:hAnsi="宋体" w:eastAsia="仿宋_GB2312" w:cs="宋体"/>
          <w:color w:val="auto"/>
          <w:kern w:val="0"/>
          <w:sz w:val="32"/>
          <w:szCs w:val="32"/>
          <w:highlight w:val="none"/>
          <w:lang w:val="en-US" w:eastAsia="zh-CN"/>
        </w:rPr>
        <w:t>105</w:t>
      </w:r>
      <w:r>
        <w:rPr>
          <w:rFonts w:hint="eastAsia" w:ascii="仿宋_GB2312" w:hAnsi="宋体" w:eastAsia="仿宋_GB2312" w:cs="宋体"/>
          <w:color w:val="auto"/>
          <w:kern w:val="0"/>
          <w:sz w:val="32"/>
          <w:szCs w:val="32"/>
          <w:highlight w:val="none"/>
        </w:rPr>
        <w:t>名</w:t>
      </w:r>
      <w:r>
        <w:rPr>
          <w:rFonts w:hint="eastAsia" w:ascii="仿宋_GB2312" w:hAnsi="宋体" w:eastAsia="仿宋_GB2312" w:cs="宋体"/>
          <w:color w:val="auto"/>
          <w:kern w:val="0"/>
          <w:sz w:val="32"/>
          <w:szCs w:val="32"/>
          <w:highlight w:val="none"/>
          <w:lang w:val="en-US" w:eastAsia="zh-CN"/>
        </w:rPr>
        <w:t>初中</w:t>
      </w:r>
      <w:r>
        <w:rPr>
          <w:rFonts w:hint="eastAsia" w:ascii="仿宋_GB2312" w:hAnsi="宋体" w:eastAsia="仿宋_GB2312" w:cs="宋体"/>
          <w:color w:val="auto"/>
          <w:kern w:val="0"/>
          <w:sz w:val="32"/>
          <w:szCs w:val="32"/>
          <w:highlight w:val="none"/>
        </w:rPr>
        <w:t xml:space="preserve">寄宿学生按照寄宿生补助标准 </w:t>
      </w:r>
      <w:r>
        <w:rPr>
          <w:rFonts w:hint="eastAsia" w:ascii="仿宋_GB2312" w:hAnsi="宋体" w:eastAsia="仿宋_GB2312" w:cs="宋体"/>
          <w:color w:val="auto"/>
          <w:kern w:val="0"/>
          <w:sz w:val="32"/>
          <w:szCs w:val="32"/>
          <w:highlight w:val="none"/>
          <w:lang w:val="en-US" w:eastAsia="zh-CN"/>
        </w:rPr>
        <w:t>225</w:t>
      </w:r>
      <w:r>
        <w:rPr>
          <w:rFonts w:hint="eastAsia" w:ascii="仿宋_GB2312" w:hAnsi="宋体" w:eastAsia="仿宋_GB2312" w:cs="宋体"/>
          <w:color w:val="auto"/>
          <w:kern w:val="0"/>
          <w:sz w:val="32"/>
          <w:szCs w:val="32"/>
          <w:highlight w:val="none"/>
        </w:rPr>
        <w:t>元/生/年</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资金执行时间：</w:t>
      </w:r>
      <w:r>
        <w:rPr>
          <w:rFonts w:hint="eastAsia" w:ascii="仿宋_GB2312" w:hAnsi="宋体" w:eastAsia="仿宋_GB2312" w:cs="宋体"/>
          <w:color w:val="auto"/>
          <w:kern w:val="0"/>
          <w:sz w:val="32"/>
          <w:szCs w:val="32"/>
          <w:highlight w:val="none"/>
          <w:lang w:eastAsia="zh-Hans"/>
        </w:rPr>
        <w:t>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年1月1日-202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年12月31日</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资金来源：县级配套资金</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补贴人数：105人</w:t>
      </w:r>
    </w:p>
    <w:p>
      <w:pPr>
        <w:shd w:val="clear"/>
        <w:spacing w:line="60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补贴标准：225元/生/</w:t>
      </w:r>
      <w:r>
        <w:rPr>
          <w:rFonts w:hint="eastAsia" w:ascii="仿宋_GB2312" w:hAnsi="宋体" w:eastAsia="仿宋_GB2312" w:cs="宋体"/>
          <w:color w:val="auto"/>
          <w:kern w:val="0"/>
          <w:sz w:val="32"/>
          <w:szCs w:val="32"/>
          <w:highlight w:val="none"/>
          <w:lang w:val="en-US" w:eastAsia="zh-CN"/>
        </w:rPr>
        <w:t>年</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补贴范围：义务教育阶段</w:t>
      </w:r>
      <w:r>
        <w:rPr>
          <w:rFonts w:hint="eastAsia" w:ascii="仿宋_GB2312" w:hAnsi="宋体" w:eastAsia="仿宋_GB2312" w:cs="宋体"/>
          <w:color w:val="auto"/>
          <w:kern w:val="0"/>
          <w:sz w:val="32"/>
          <w:szCs w:val="32"/>
          <w:highlight w:val="none"/>
          <w:lang w:val="en-US" w:eastAsia="zh-CN"/>
        </w:rPr>
        <w:t>初中</w:t>
      </w:r>
      <w:r>
        <w:rPr>
          <w:rFonts w:hint="eastAsia" w:ascii="仿宋_GB2312" w:hAnsi="宋体" w:eastAsia="仿宋_GB2312" w:cs="宋体"/>
          <w:color w:val="auto"/>
          <w:kern w:val="0"/>
          <w:sz w:val="32"/>
          <w:szCs w:val="32"/>
          <w:highlight w:val="none"/>
        </w:rPr>
        <w:t>寄宿生</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补贴方式：惠民惠农一卡通</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发放程序：学校审核学生</w:t>
      </w:r>
      <w:r>
        <w:rPr>
          <w:rFonts w:hint="eastAsia" w:ascii="仿宋_GB2312" w:hAnsi="宋体" w:eastAsia="仿宋_GB2312" w:cs="宋体"/>
          <w:color w:val="auto"/>
          <w:kern w:val="0"/>
          <w:sz w:val="32"/>
          <w:szCs w:val="32"/>
          <w:highlight w:val="none"/>
          <w:lang w:val="en-US" w:eastAsia="zh-CN"/>
        </w:rPr>
        <w:t>名单</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核实人员情况，提交资金申请，</w:t>
      </w:r>
      <w:r>
        <w:rPr>
          <w:rFonts w:hint="eastAsia" w:ascii="仿宋_GB2312" w:hAnsi="宋体" w:eastAsia="仿宋_GB2312" w:cs="宋体"/>
          <w:color w:val="auto"/>
          <w:kern w:val="0"/>
          <w:sz w:val="32"/>
          <w:szCs w:val="32"/>
          <w:highlight w:val="none"/>
        </w:rPr>
        <w:t>财政拨款后由学校打入家庭经济困难学生惠民惠农一卡通中</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受益人群和社会效益：保障所有贫困户家庭子女都能上的起学，提升贫困 乡村教育质量，为全县社会稳定和长治久安奠定坚实基础</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（七）项目名称：2025年非寄宿生生活补助（非定额）</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设立的政策依据：《新疆维吾尔自治区人民政府办公厅关于印发教育领域自治区以下财政事权和支出责任划分改革实施方案的通知》（新政办发【2020】45号）</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项目承担单位：呼图壁县第二中学</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资金分配情况：</w:t>
      </w:r>
      <w:r>
        <w:rPr>
          <w:rFonts w:hint="eastAsia" w:ascii="仿宋_GB2312" w:hAnsi="宋体" w:eastAsia="仿宋_GB2312" w:cs="宋体"/>
          <w:color w:val="auto"/>
          <w:kern w:val="0"/>
          <w:sz w:val="32"/>
          <w:szCs w:val="32"/>
          <w:highlight w:val="none"/>
          <w:lang w:val="en-US" w:eastAsia="zh-CN"/>
        </w:rPr>
        <w:t>486</w:t>
      </w:r>
      <w:r>
        <w:rPr>
          <w:rFonts w:hint="eastAsia" w:ascii="仿宋_GB2312" w:hAnsi="宋体" w:eastAsia="仿宋_GB2312" w:cs="宋体"/>
          <w:color w:val="auto"/>
          <w:kern w:val="0"/>
          <w:sz w:val="32"/>
          <w:szCs w:val="32"/>
          <w:highlight w:val="none"/>
        </w:rPr>
        <w:t>名</w:t>
      </w:r>
      <w:r>
        <w:rPr>
          <w:rFonts w:hint="eastAsia" w:ascii="仿宋_GB2312" w:hAnsi="宋体" w:eastAsia="仿宋_GB2312" w:cs="宋体"/>
          <w:color w:val="auto"/>
          <w:kern w:val="0"/>
          <w:sz w:val="32"/>
          <w:szCs w:val="32"/>
          <w:highlight w:val="none"/>
          <w:lang w:val="en-US" w:eastAsia="zh-CN"/>
        </w:rPr>
        <w:t>初中非</w:t>
      </w:r>
      <w:r>
        <w:rPr>
          <w:rFonts w:hint="eastAsia" w:ascii="仿宋_GB2312" w:hAnsi="宋体" w:eastAsia="仿宋_GB2312" w:cs="宋体"/>
          <w:color w:val="auto"/>
          <w:kern w:val="0"/>
          <w:sz w:val="32"/>
          <w:szCs w:val="32"/>
          <w:highlight w:val="none"/>
        </w:rPr>
        <w:t>寄宿学生按照</w:t>
      </w:r>
      <w:r>
        <w:rPr>
          <w:rFonts w:hint="eastAsia" w:ascii="仿宋_GB2312" w:hAnsi="宋体" w:eastAsia="仿宋_GB2312" w:cs="宋体"/>
          <w:color w:val="auto"/>
          <w:kern w:val="0"/>
          <w:sz w:val="32"/>
          <w:szCs w:val="32"/>
          <w:highlight w:val="none"/>
          <w:lang w:val="en-US" w:eastAsia="zh-CN"/>
        </w:rPr>
        <w:t>非</w:t>
      </w:r>
      <w:r>
        <w:rPr>
          <w:rFonts w:hint="eastAsia" w:ascii="仿宋_GB2312" w:hAnsi="宋体" w:eastAsia="仿宋_GB2312" w:cs="宋体"/>
          <w:color w:val="auto"/>
          <w:kern w:val="0"/>
          <w:sz w:val="32"/>
          <w:szCs w:val="32"/>
          <w:highlight w:val="none"/>
        </w:rPr>
        <w:t xml:space="preserve">寄宿生补助标准 </w:t>
      </w:r>
      <w:r>
        <w:rPr>
          <w:rFonts w:hint="eastAsia" w:ascii="仿宋_GB2312" w:hAnsi="宋体" w:eastAsia="仿宋_GB2312" w:cs="宋体"/>
          <w:color w:val="auto"/>
          <w:kern w:val="0"/>
          <w:sz w:val="32"/>
          <w:szCs w:val="32"/>
          <w:highlight w:val="none"/>
          <w:lang w:val="en-US" w:eastAsia="zh-CN"/>
        </w:rPr>
        <w:t>112.5</w:t>
      </w:r>
      <w:r>
        <w:rPr>
          <w:rFonts w:hint="eastAsia" w:ascii="仿宋_GB2312" w:hAnsi="宋体" w:eastAsia="仿宋_GB2312" w:cs="宋体"/>
          <w:color w:val="auto"/>
          <w:kern w:val="0"/>
          <w:sz w:val="32"/>
          <w:szCs w:val="32"/>
          <w:highlight w:val="none"/>
        </w:rPr>
        <w:t>元/生/年</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资金执行时间：</w:t>
      </w:r>
      <w:r>
        <w:rPr>
          <w:rFonts w:hint="eastAsia" w:ascii="仿宋_GB2312" w:hAnsi="宋体" w:eastAsia="仿宋_GB2312" w:cs="宋体"/>
          <w:color w:val="auto"/>
          <w:kern w:val="0"/>
          <w:sz w:val="32"/>
          <w:szCs w:val="32"/>
          <w:highlight w:val="none"/>
          <w:lang w:eastAsia="zh-Hans"/>
        </w:rPr>
        <w:t>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年1月1日-202</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eastAsia="zh-Hans"/>
        </w:rPr>
        <w:t>年12月31日</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资金来源：县级配套资金</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补贴人数：486人</w:t>
      </w:r>
    </w:p>
    <w:p>
      <w:pPr>
        <w:shd w:val="clear"/>
        <w:spacing w:line="60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补贴标准：112.5元/生/</w:t>
      </w:r>
      <w:r>
        <w:rPr>
          <w:rFonts w:hint="eastAsia" w:ascii="仿宋_GB2312" w:hAnsi="宋体" w:eastAsia="仿宋_GB2312" w:cs="宋体"/>
          <w:color w:val="auto"/>
          <w:kern w:val="0"/>
          <w:sz w:val="32"/>
          <w:szCs w:val="32"/>
          <w:highlight w:val="none"/>
          <w:lang w:val="en-US" w:eastAsia="zh-CN"/>
        </w:rPr>
        <w:t>年</w:t>
      </w:r>
    </w:p>
    <w:p>
      <w:pPr>
        <w:shd w:val="clear"/>
        <w:spacing w:line="60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补贴范围：</w:t>
      </w:r>
      <w:r>
        <w:rPr>
          <w:rFonts w:hint="eastAsia" w:ascii="仿宋_GB2312" w:hAnsi="宋体" w:eastAsia="仿宋_GB2312" w:cs="宋体"/>
          <w:color w:val="auto"/>
          <w:kern w:val="0"/>
          <w:sz w:val="32"/>
          <w:szCs w:val="32"/>
          <w:highlight w:val="none"/>
          <w:lang w:val="en-US" w:eastAsia="zh-CN"/>
        </w:rPr>
        <w:t>义务教育阶段初中非寄宿生</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补贴方式：惠民惠农一卡通</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发放程序：学校审核学生</w:t>
      </w:r>
      <w:r>
        <w:rPr>
          <w:rFonts w:hint="eastAsia" w:ascii="仿宋_GB2312" w:hAnsi="宋体" w:eastAsia="仿宋_GB2312" w:cs="宋体"/>
          <w:color w:val="auto"/>
          <w:kern w:val="0"/>
          <w:sz w:val="32"/>
          <w:szCs w:val="32"/>
          <w:highlight w:val="none"/>
          <w:lang w:val="en-US" w:eastAsia="zh-CN"/>
        </w:rPr>
        <w:t>名单</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核实人员情况，提交资金申请，</w:t>
      </w:r>
      <w:r>
        <w:rPr>
          <w:rFonts w:hint="eastAsia" w:ascii="仿宋_GB2312" w:hAnsi="宋体" w:eastAsia="仿宋_GB2312" w:cs="宋体"/>
          <w:color w:val="auto"/>
          <w:kern w:val="0"/>
          <w:sz w:val="32"/>
          <w:szCs w:val="32"/>
          <w:highlight w:val="none"/>
        </w:rPr>
        <w:t>财政拨款后由学校打入家庭经济困难学生惠民惠农一卡通中</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受益人群和社会效益：保障所有贫困户家庭子女都能上的起学，提升贫困 乡村教育质量，为全县社会稳定和长治久安奠定坚实基础</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八</w:t>
      </w:r>
      <w:r>
        <w:rPr>
          <w:rFonts w:hint="eastAsia" w:ascii="楷体_GB2312" w:hAnsi="楷体_GB2312" w:eastAsia="楷体_GB2312" w:cs="楷体_GB2312"/>
          <w:b/>
          <w:bCs/>
          <w:color w:val="auto"/>
          <w:kern w:val="0"/>
          <w:sz w:val="32"/>
          <w:szCs w:val="32"/>
          <w:highlight w:val="none"/>
        </w:rPr>
        <w:t>、关于呼图壁县第二中学2025年政府性基金预算拨款情况说明</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呼图壁县第二中学2025年没有使用政府性基金预算拨款安排的支出，政府性基金预算支出情况表为空表。</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九、</w:t>
      </w:r>
      <w:r>
        <w:rPr>
          <w:rFonts w:hint="eastAsia" w:ascii="楷体_GB2312" w:hAnsi="楷体_GB2312" w:eastAsia="楷体_GB2312" w:cs="楷体_GB2312"/>
          <w:b/>
          <w:bCs/>
          <w:color w:val="auto"/>
          <w:kern w:val="0"/>
          <w:sz w:val="32"/>
          <w:szCs w:val="32"/>
          <w:highlight w:val="none"/>
        </w:rPr>
        <w:t>关于呼图壁县第二中学2025年国有资本经营预算拨款情况说明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呼图壁县第二中学2025年没有使用国有资本经营预算拨款安排的支出，国有资本经营预算支出情况表为空表。</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十</w:t>
      </w:r>
      <w:r>
        <w:rPr>
          <w:rFonts w:hint="eastAsia" w:ascii="楷体_GB2312" w:hAnsi="楷体_GB2312" w:eastAsia="楷体_GB2312" w:cs="楷体_GB2312"/>
          <w:b/>
          <w:bCs/>
          <w:color w:val="auto"/>
          <w:kern w:val="0"/>
          <w:sz w:val="32"/>
          <w:szCs w:val="32"/>
          <w:highlight w:val="none"/>
        </w:rPr>
        <w:t>、关于呼图壁县第二中学2025年</w:t>
      </w:r>
      <w:r>
        <w:rPr>
          <w:rFonts w:hint="eastAsia" w:ascii="楷体_GB2312" w:hAnsi="楷体_GB2312" w:eastAsia="楷体_GB2312" w:cs="楷体_GB2312"/>
          <w:b/>
          <w:bCs/>
          <w:color w:val="auto"/>
          <w:kern w:val="0"/>
          <w:sz w:val="32"/>
          <w:szCs w:val="32"/>
          <w:highlight w:val="none"/>
          <w:lang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呼图壁县第二中学2025年</w:t>
      </w:r>
      <w:r>
        <w:rPr>
          <w:rFonts w:hint="eastAsia" w:ascii="仿宋_GB2312" w:hAnsi="宋体" w:eastAsia="仿宋_GB2312" w:cs="宋体"/>
          <w:i w:val="0"/>
          <w:iCs w:val="0"/>
          <w:color w:val="auto"/>
          <w:kern w:val="0"/>
          <w:sz w:val="32"/>
          <w:szCs w:val="32"/>
          <w:highlight w:val="none"/>
          <w:lang w:eastAsia="zh-Hans"/>
        </w:rPr>
        <w:t>财政拨款</w:t>
      </w:r>
      <w:r>
        <w:rPr>
          <w:rFonts w:hint="eastAsia" w:ascii="仿宋_GB2312" w:hAnsi="宋体" w:eastAsia="仿宋_GB2312" w:cs="宋体"/>
          <w:i w:val="0"/>
          <w:iCs w:val="0"/>
          <w:color w:val="auto"/>
          <w:kern w:val="0"/>
          <w:sz w:val="32"/>
          <w:szCs w:val="32"/>
          <w:highlight w:val="none"/>
        </w:rPr>
        <w:t>“三公”经费数为    0万元，其中：因公出国（境）费 0万元，公务用车购置费0万元，公务用车运行费0万元，公务接待费0万元。</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2025年</w:t>
      </w:r>
      <w:r>
        <w:rPr>
          <w:rFonts w:hint="eastAsia" w:ascii="仿宋_GB2312" w:hAnsi="宋体" w:eastAsia="仿宋_GB2312" w:cs="宋体"/>
          <w:i w:val="0"/>
          <w:iCs w:val="0"/>
          <w:color w:val="auto"/>
          <w:kern w:val="0"/>
          <w:sz w:val="32"/>
          <w:szCs w:val="32"/>
          <w:highlight w:val="none"/>
          <w:lang w:eastAsia="zh-Hans"/>
        </w:rPr>
        <w:t>财政拨款</w:t>
      </w:r>
      <w:r>
        <w:rPr>
          <w:rFonts w:hint="eastAsia" w:ascii="仿宋_GB2312" w:hAnsi="宋体" w:eastAsia="仿宋_GB2312" w:cs="宋体"/>
          <w:i w:val="0"/>
          <w:iCs w:val="0"/>
          <w:color w:val="auto"/>
          <w:kern w:val="0"/>
          <w:sz w:val="32"/>
          <w:szCs w:val="32"/>
          <w:highlight w:val="none"/>
        </w:rPr>
        <w:t>“三公”经费比上年</w:t>
      </w:r>
      <w:r>
        <w:rPr>
          <w:rFonts w:hint="eastAsia" w:ascii="仿宋_GB2312" w:hAnsi="宋体" w:eastAsia="仿宋_GB2312" w:cs="宋体"/>
          <w:i w:val="0"/>
          <w:iCs w:val="0"/>
          <w:color w:val="auto"/>
          <w:kern w:val="0"/>
          <w:sz w:val="32"/>
          <w:szCs w:val="32"/>
          <w:highlight w:val="none"/>
          <w:lang w:eastAsia="zh-Hans"/>
        </w:rPr>
        <w:t>预算</w:t>
      </w:r>
      <w:r>
        <w:rPr>
          <w:rFonts w:hint="eastAsia" w:ascii="仿宋_GB2312" w:hAnsi="宋体" w:eastAsia="仿宋_GB2312" w:cs="宋体"/>
          <w:i w:val="0"/>
          <w:iCs w:val="0"/>
          <w:color w:val="auto"/>
          <w:kern w:val="0"/>
          <w:sz w:val="32"/>
          <w:szCs w:val="32"/>
          <w:highlight w:val="none"/>
        </w:rPr>
        <w:t>增加0万元，增长0.00 %，其中：因公出国（境）费增加0万元，增长0.00%，主要原因是2024及2025年公务用车购置费</w:t>
      </w:r>
      <w:r>
        <w:rPr>
          <w:rFonts w:hint="eastAsia" w:ascii="仿宋_GB2312" w:hAnsi="宋体" w:eastAsia="仿宋_GB2312" w:cs="宋体"/>
          <w:i w:val="0"/>
          <w:iCs w:val="0"/>
          <w:color w:val="auto"/>
          <w:kern w:val="0"/>
          <w:sz w:val="32"/>
          <w:szCs w:val="32"/>
          <w:highlight w:val="none"/>
          <w:lang w:val="en-US" w:eastAsia="zh-CN"/>
        </w:rPr>
        <w:t>均</w:t>
      </w:r>
      <w:r>
        <w:rPr>
          <w:rFonts w:hint="eastAsia" w:ascii="仿宋_GB2312" w:hAnsi="宋体" w:eastAsia="仿宋_GB2312" w:cs="宋体"/>
          <w:i w:val="0"/>
          <w:iCs w:val="0"/>
          <w:color w:val="auto"/>
          <w:kern w:val="0"/>
          <w:sz w:val="32"/>
          <w:szCs w:val="32"/>
          <w:highlight w:val="none"/>
        </w:rPr>
        <w:t>未安排</w:t>
      </w:r>
      <w:r>
        <w:rPr>
          <w:rFonts w:hint="eastAsia" w:ascii="仿宋_GB2312" w:hAnsi="宋体" w:eastAsia="仿宋_GB2312" w:cs="宋体"/>
          <w:i w:val="0"/>
          <w:iCs w:val="0"/>
          <w:color w:val="auto"/>
          <w:kern w:val="0"/>
          <w:sz w:val="32"/>
          <w:szCs w:val="32"/>
          <w:highlight w:val="none"/>
          <w:lang w:val="en-US" w:eastAsia="zh-CN"/>
        </w:rPr>
        <w:t>此项</w:t>
      </w:r>
      <w:r>
        <w:rPr>
          <w:rFonts w:hint="eastAsia" w:ascii="仿宋_GB2312" w:hAnsi="宋体" w:eastAsia="仿宋_GB2312" w:cs="宋体"/>
          <w:i w:val="0"/>
          <w:iCs w:val="0"/>
          <w:color w:val="auto"/>
          <w:kern w:val="0"/>
          <w:sz w:val="32"/>
          <w:szCs w:val="32"/>
          <w:highlight w:val="none"/>
        </w:rPr>
        <w:t>预算；公务用车购置费增加0万元，增长0%，主要原因</w:t>
      </w:r>
      <w:r>
        <w:rPr>
          <w:rFonts w:hint="eastAsia" w:ascii="仿宋_GB2312" w:hAnsi="宋体" w:eastAsia="仿宋_GB2312" w:cs="宋体"/>
          <w:i w:val="0"/>
          <w:iCs w:val="0"/>
          <w:color w:val="auto"/>
          <w:kern w:val="0"/>
          <w:sz w:val="32"/>
          <w:szCs w:val="32"/>
          <w:highlight w:val="none"/>
          <w:lang w:val="en-US" w:eastAsia="zh-CN"/>
        </w:rPr>
        <w:t>2024年与</w:t>
      </w:r>
      <w:r>
        <w:rPr>
          <w:rFonts w:hint="eastAsia" w:ascii="仿宋_GB2312" w:hAnsi="宋体" w:eastAsia="仿宋_GB2312" w:cs="宋体"/>
          <w:i w:val="0"/>
          <w:iCs w:val="0"/>
          <w:color w:val="auto"/>
          <w:kern w:val="0"/>
          <w:sz w:val="32"/>
          <w:szCs w:val="32"/>
          <w:highlight w:val="none"/>
        </w:rPr>
        <w:t>202</w:t>
      </w:r>
      <w:r>
        <w:rPr>
          <w:rFonts w:hint="eastAsia" w:ascii="仿宋_GB2312" w:hAnsi="宋体" w:eastAsia="仿宋_GB2312" w:cs="宋体"/>
          <w:i w:val="0"/>
          <w:iCs w:val="0"/>
          <w:color w:val="auto"/>
          <w:kern w:val="0"/>
          <w:sz w:val="32"/>
          <w:szCs w:val="32"/>
          <w:highlight w:val="none"/>
          <w:lang w:val="en-US" w:eastAsia="zh-CN"/>
        </w:rPr>
        <w:t>5</w:t>
      </w:r>
      <w:r>
        <w:rPr>
          <w:rFonts w:hint="eastAsia" w:ascii="仿宋_GB2312" w:hAnsi="宋体" w:eastAsia="仿宋_GB2312" w:cs="宋体"/>
          <w:i w:val="0"/>
          <w:iCs w:val="0"/>
          <w:color w:val="auto"/>
          <w:kern w:val="0"/>
          <w:sz w:val="32"/>
          <w:szCs w:val="32"/>
          <w:highlight w:val="none"/>
        </w:rPr>
        <w:t>年</w:t>
      </w:r>
      <w:r>
        <w:rPr>
          <w:rFonts w:hint="eastAsia" w:ascii="仿宋_GB2312" w:hAnsi="宋体" w:eastAsia="仿宋_GB2312" w:cs="宋体"/>
          <w:i w:val="0"/>
          <w:iCs w:val="0"/>
          <w:color w:val="auto"/>
          <w:kern w:val="0"/>
          <w:sz w:val="32"/>
          <w:szCs w:val="32"/>
          <w:highlight w:val="none"/>
          <w:lang w:eastAsia="zh-CN"/>
        </w:rPr>
        <w:t>均</w:t>
      </w:r>
      <w:r>
        <w:rPr>
          <w:rFonts w:hint="eastAsia" w:ascii="仿宋_GB2312" w:hAnsi="宋体" w:eastAsia="仿宋_GB2312" w:cs="宋体"/>
          <w:i w:val="0"/>
          <w:iCs w:val="0"/>
          <w:color w:val="auto"/>
          <w:kern w:val="0"/>
          <w:sz w:val="32"/>
          <w:szCs w:val="32"/>
          <w:highlight w:val="none"/>
        </w:rPr>
        <w:t>未安排公务用车购置费；公务用车运行费增加0万元，增长0%，主要原因是2024年及2025年公务用车运行费</w:t>
      </w:r>
      <w:r>
        <w:rPr>
          <w:rFonts w:hint="eastAsia" w:ascii="仿宋_GB2312" w:hAnsi="宋体" w:eastAsia="仿宋_GB2312" w:cs="宋体"/>
          <w:i w:val="0"/>
          <w:iCs w:val="0"/>
          <w:color w:val="auto"/>
          <w:kern w:val="0"/>
          <w:sz w:val="32"/>
          <w:szCs w:val="32"/>
          <w:highlight w:val="none"/>
          <w:lang w:val="en-US" w:eastAsia="zh-CN"/>
        </w:rPr>
        <w:t>均</w:t>
      </w:r>
      <w:r>
        <w:rPr>
          <w:rFonts w:hint="eastAsia" w:ascii="仿宋_GB2312" w:hAnsi="宋体" w:eastAsia="仿宋_GB2312" w:cs="宋体"/>
          <w:i w:val="0"/>
          <w:iCs w:val="0"/>
          <w:color w:val="auto"/>
          <w:kern w:val="0"/>
          <w:sz w:val="32"/>
          <w:szCs w:val="32"/>
          <w:highlight w:val="none"/>
        </w:rPr>
        <w:t>未安排</w:t>
      </w:r>
      <w:r>
        <w:rPr>
          <w:rFonts w:hint="eastAsia" w:ascii="仿宋_GB2312" w:hAnsi="宋体" w:eastAsia="仿宋_GB2312" w:cs="宋体"/>
          <w:i w:val="0"/>
          <w:iCs w:val="0"/>
          <w:color w:val="auto"/>
          <w:kern w:val="0"/>
          <w:sz w:val="32"/>
          <w:szCs w:val="32"/>
          <w:highlight w:val="none"/>
          <w:lang w:val="en-US" w:eastAsia="zh-CN"/>
        </w:rPr>
        <w:t>此项</w:t>
      </w:r>
      <w:r>
        <w:rPr>
          <w:rFonts w:hint="eastAsia" w:ascii="仿宋_GB2312" w:hAnsi="宋体" w:eastAsia="仿宋_GB2312" w:cs="宋体"/>
          <w:i w:val="0"/>
          <w:iCs w:val="0"/>
          <w:color w:val="auto"/>
          <w:kern w:val="0"/>
          <w:sz w:val="32"/>
          <w:szCs w:val="32"/>
          <w:highlight w:val="none"/>
        </w:rPr>
        <w:t>预算；公务接待费增加0万元，增长0%，主要原因是2024年及2025年公务接待费</w:t>
      </w:r>
      <w:r>
        <w:rPr>
          <w:rFonts w:hint="eastAsia" w:ascii="仿宋_GB2312" w:hAnsi="宋体" w:eastAsia="仿宋_GB2312" w:cs="宋体"/>
          <w:i w:val="0"/>
          <w:iCs w:val="0"/>
          <w:color w:val="auto"/>
          <w:kern w:val="0"/>
          <w:sz w:val="32"/>
          <w:szCs w:val="32"/>
          <w:highlight w:val="none"/>
          <w:lang w:val="en-US" w:eastAsia="zh-CN"/>
        </w:rPr>
        <w:t>均</w:t>
      </w:r>
      <w:r>
        <w:rPr>
          <w:rFonts w:hint="eastAsia" w:ascii="仿宋_GB2312" w:hAnsi="宋体" w:eastAsia="仿宋_GB2312" w:cs="宋体"/>
          <w:i w:val="0"/>
          <w:iCs w:val="0"/>
          <w:color w:val="auto"/>
          <w:kern w:val="0"/>
          <w:sz w:val="32"/>
          <w:szCs w:val="32"/>
          <w:highlight w:val="none"/>
        </w:rPr>
        <w:t>未安排</w:t>
      </w:r>
      <w:r>
        <w:rPr>
          <w:rFonts w:hint="eastAsia" w:ascii="仿宋_GB2312" w:hAnsi="宋体" w:eastAsia="仿宋_GB2312" w:cs="宋体"/>
          <w:i w:val="0"/>
          <w:iCs w:val="0"/>
          <w:color w:val="auto"/>
          <w:kern w:val="0"/>
          <w:sz w:val="32"/>
          <w:szCs w:val="32"/>
          <w:highlight w:val="none"/>
          <w:lang w:val="en-US" w:eastAsia="zh-CN"/>
        </w:rPr>
        <w:t>此项</w:t>
      </w:r>
      <w:r>
        <w:rPr>
          <w:rFonts w:hint="eastAsia" w:ascii="仿宋_GB2312" w:hAnsi="宋体" w:eastAsia="仿宋_GB2312" w:cs="宋体"/>
          <w:i w:val="0"/>
          <w:iCs w:val="0"/>
          <w:color w:val="auto"/>
          <w:kern w:val="0"/>
          <w:sz w:val="32"/>
          <w:szCs w:val="32"/>
          <w:highlight w:val="none"/>
        </w:rPr>
        <w:t>预算。</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十</w:t>
      </w:r>
      <w:r>
        <w:rPr>
          <w:rFonts w:hint="eastAsia" w:ascii="楷体_GB2312" w:hAnsi="楷体_GB2312" w:eastAsia="楷体_GB2312" w:cs="楷体_GB2312"/>
          <w:b/>
          <w:bCs/>
          <w:color w:val="auto"/>
          <w:kern w:val="0"/>
          <w:sz w:val="32"/>
          <w:szCs w:val="32"/>
          <w:highlight w:val="none"/>
        </w:rPr>
        <w:t>一、关于呼图壁县第二中学2025年上年结转结余预算情况说明</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呼图壁县第二中学2025年上年结转结余9.4万元，包括：财政拨款9.4万元，非财政拨款0万元，其中：</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1.2025年昌吉州教育项目州本级配套资金——教师体检费1.05万元，主要用于教师体检费用支出。</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2.体育事业的彩票公益金支出8.35万元，主要用于田径队训练，参加比赛，购置训练用设备等支出。</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十</w:t>
      </w:r>
      <w:r>
        <w:rPr>
          <w:rFonts w:hint="eastAsia" w:ascii="楷体_GB2312" w:hAnsi="楷体_GB2312" w:eastAsia="楷体_GB2312" w:cs="楷体_GB2312"/>
          <w:b/>
          <w:bCs/>
          <w:color w:val="auto"/>
          <w:kern w:val="0"/>
          <w:sz w:val="32"/>
          <w:szCs w:val="32"/>
          <w:highlight w:val="none"/>
        </w:rPr>
        <w:t>二、其他重要事项的情况说明</w:t>
      </w:r>
    </w:p>
    <w:p>
      <w:pPr>
        <w:shd w:val="clear"/>
        <w:spacing w:line="600" w:lineRule="exact"/>
        <w:ind w:firstLine="643"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呼图壁县第二中学2025年的事业单位运行经费财政拨款预算87.79万元，比上年预算增加57.4万元，增</w:t>
      </w:r>
      <w:r>
        <w:rPr>
          <w:rFonts w:hint="eastAsia" w:ascii="仿宋_GB2312" w:hAnsi="宋体" w:eastAsia="仿宋_GB2312" w:cs="宋体"/>
          <w:i w:val="0"/>
          <w:iCs w:val="0"/>
          <w:color w:val="auto"/>
          <w:kern w:val="0"/>
          <w:sz w:val="32"/>
          <w:szCs w:val="32"/>
          <w:highlight w:val="none"/>
          <w:lang w:val="en-US" w:eastAsia="zh-CN"/>
        </w:rPr>
        <w:t>长188.88</w:t>
      </w:r>
      <w:r>
        <w:rPr>
          <w:rFonts w:hint="eastAsia" w:ascii="仿宋_GB2312" w:hAnsi="宋体" w:eastAsia="仿宋_GB2312" w:cs="宋体"/>
          <w:i w:val="0"/>
          <w:iCs w:val="0"/>
          <w:color w:val="auto"/>
          <w:kern w:val="0"/>
          <w:sz w:val="32"/>
          <w:szCs w:val="32"/>
          <w:highlight w:val="none"/>
        </w:rPr>
        <w:t>%。主要原因是2024年单位运行经费只包括工会经费，2025年单位运行经费包括工会经费、教育保安预算经费，县级配套公用经费。</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2025年，呼图壁县第二中学政府采购预算71.4万元，其中：政府采购货物预算16.2万元，政府采购工程预算0     万元，政府采购服务预算55.2万元。</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2025年，呼图壁县第二中学面向中小企业预留政府采购项目预算金额 71.4万元，小微企业预留政府采购项目预算金额 71.4万元。</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截至2024年底，呼图壁县第二中学占用使用国有资产总体情况为：</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1.房屋30926.11 平方米，价值2183.14万元。</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2.车辆0辆，价值0万元；其中：一般公务用车0辆，价值0万元；执法执勤用车0辆，价值0万元；其他车辆0辆，价值0万元。</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3.办公家具价值235.26万元。</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4.其他资产价值676.82万元。</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部门价值50万元以上大型设备0台，部门价值100万元以上大型设备0台。</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r>
        <w:rPr>
          <w:rFonts w:hint="eastAsia" w:ascii="仿宋_GB2312" w:hAnsi="宋体" w:eastAsia="仿宋_GB2312" w:cs="宋体"/>
          <w:i w:val="0"/>
          <w:iCs w:val="0"/>
          <w:color w:val="auto"/>
          <w:kern w:val="0"/>
          <w:sz w:val="32"/>
          <w:szCs w:val="32"/>
          <w:highlight w:val="none"/>
        </w:rPr>
        <w:t>2025年部门预算未安排购置车辆经费，安排购置50万元以上大型设备0 台，单位价值100万元以上大型设备0台。</w:t>
      </w:r>
    </w:p>
    <w:p>
      <w:pPr>
        <w:shd w:val="clear"/>
        <w:spacing w:line="600" w:lineRule="exact"/>
        <w:ind w:firstLine="643"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b/>
          <w:color w:val="auto"/>
          <w:kern w:val="0"/>
          <w:sz w:val="32"/>
          <w:szCs w:val="32"/>
          <w:highlight w:val="none"/>
          <w:lang w:eastAsia="zh-Hans"/>
        </w:rPr>
        <w:t>（四）</w:t>
      </w:r>
      <w:r>
        <w:rPr>
          <w:rFonts w:hint="eastAsia" w:ascii="仿宋_GB2312" w:hAnsi="仿宋_GB2312" w:eastAsia="仿宋_GB2312" w:cs="仿宋_GB2312"/>
          <w:b/>
          <w:color w:val="auto"/>
          <w:kern w:val="0"/>
          <w:sz w:val="32"/>
          <w:szCs w:val="32"/>
          <w:highlight w:val="none"/>
        </w:rPr>
        <w:t>预算绩效情况</w:t>
      </w:r>
    </w:p>
    <w:p>
      <w:pPr>
        <w:shd w:val="clear"/>
        <w:spacing w:line="600" w:lineRule="exact"/>
        <w:ind w:firstLine="640" w:firstLineChars="200"/>
        <w:rPr>
          <w:rFonts w:hint="eastAsia" w:ascii="仿宋_GB2312" w:hAnsi="宋体" w:eastAsia="仿宋_GB2312" w:cs="宋体"/>
          <w:i w:val="0"/>
          <w:iCs w:val="0"/>
          <w:color w:val="auto"/>
          <w:kern w:val="0"/>
          <w:sz w:val="32"/>
          <w:szCs w:val="32"/>
          <w:highlight w:val="none"/>
        </w:rPr>
      </w:pPr>
      <w:bookmarkStart w:id="0" w:name="OLE_LINK1"/>
      <w:r>
        <w:rPr>
          <w:rFonts w:hint="eastAsia" w:ascii="仿宋_GB2312" w:hAnsi="宋体" w:eastAsia="仿宋_GB2312" w:cs="宋体"/>
          <w:i w:val="0"/>
          <w:iCs w:val="0"/>
          <w:color w:val="auto"/>
          <w:kern w:val="0"/>
          <w:sz w:val="32"/>
          <w:szCs w:val="32"/>
          <w:highlight w:val="none"/>
        </w:rPr>
        <w:t>2025年，本部门预算绩效管理整体预算绩效目标1个，涉及预算金额3160.72万元；当年预算安排项目共7个，其中:</w:t>
      </w:r>
      <w:r>
        <w:rPr>
          <w:rFonts w:hint="eastAsia" w:ascii="仿宋_GB2312" w:hAnsi="宋体" w:eastAsia="仿宋_GB2312" w:cs="宋体"/>
          <w:i w:val="0"/>
          <w:iCs w:val="0"/>
          <w:color w:val="auto"/>
          <w:kern w:val="0"/>
          <w:sz w:val="32"/>
          <w:szCs w:val="32"/>
          <w:highlight w:val="none"/>
          <w:lang w:eastAsia="zh-Hans"/>
        </w:rPr>
        <w:t>财政拨款</w:t>
      </w:r>
      <w:r>
        <w:rPr>
          <w:rFonts w:hint="eastAsia" w:ascii="仿宋_GB2312" w:hAnsi="宋体" w:eastAsia="仿宋_GB2312" w:cs="宋体"/>
          <w:i w:val="0"/>
          <w:iCs w:val="0"/>
          <w:color w:val="auto"/>
          <w:kern w:val="0"/>
          <w:sz w:val="32"/>
          <w:szCs w:val="32"/>
          <w:highlight w:val="none"/>
        </w:rPr>
        <w:t>项目涉及预算金额207.41万元；</w:t>
      </w:r>
      <w:r>
        <w:rPr>
          <w:rFonts w:hint="eastAsia" w:ascii="仿宋_GB2312" w:hAnsi="宋体" w:eastAsia="仿宋_GB2312" w:cs="宋体"/>
          <w:i w:val="0"/>
          <w:iCs w:val="0"/>
          <w:color w:val="auto"/>
          <w:kern w:val="0"/>
          <w:sz w:val="32"/>
          <w:szCs w:val="32"/>
          <w:highlight w:val="none"/>
          <w:lang w:eastAsia="zh-Hans"/>
        </w:rPr>
        <w:t>非财政拨款项目</w:t>
      </w:r>
      <w:r>
        <w:rPr>
          <w:rFonts w:hint="eastAsia" w:ascii="仿宋_GB2312" w:hAnsi="宋体" w:eastAsia="仿宋_GB2312" w:cs="宋体"/>
          <w:i w:val="0"/>
          <w:iCs w:val="0"/>
          <w:color w:val="auto"/>
          <w:kern w:val="0"/>
          <w:sz w:val="32"/>
          <w:szCs w:val="32"/>
          <w:highlight w:val="none"/>
        </w:rPr>
        <w:t xml:space="preserve">涉及预算金额0万元。具体情况见下表：  </w:t>
      </w:r>
    </w:p>
    <w:bookmarkEnd w:id="0"/>
    <w:tbl>
      <w:tblPr>
        <w:tblStyle w:val="10"/>
        <w:tblpPr w:leftFromText="180" w:rightFromText="180" w:vertAnchor="text" w:horzAnchor="page" w:tblpX="1210" w:tblpY="-1043"/>
        <w:tblOverlap w:val="never"/>
        <w:tblW w:w="9340" w:type="dxa"/>
        <w:tblInd w:w="0" w:type="dxa"/>
        <w:tblLayout w:type="fixed"/>
        <w:tblCellMar>
          <w:top w:w="0" w:type="dxa"/>
          <w:left w:w="108" w:type="dxa"/>
          <w:bottom w:w="0" w:type="dxa"/>
          <w:right w:w="108" w:type="dxa"/>
        </w:tblCellMar>
      </w:tblPr>
      <w:tblGrid>
        <w:gridCol w:w="1122"/>
        <w:gridCol w:w="1367"/>
        <w:gridCol w:w="2251"/>
        <w:gridCol w:w="1200"/>
        <w:gridCol w:w="2265"/>
        <w:gridCol w:w="1135"/>
      </w:tblGrid>
      <w:tr>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仿宋_GB2312" w:hAnsi="宋体" w:eastAsia="仿宋_GB2312" w:cs="仿宋_GB2312"/>
                <w:b/>
                <w:color w:val="auto"/>
                <w:kern w:val="0"/>
                <w:sz w:val="32"/>
                <w:szCs w:val="32"/>
                <w:highlight w:val="none"/>
                <w:lang w:bidi="ar"/>
              </w:rPr>
            </w:pPr>
            <w:r>
              <w:rPr>
                <w:rFonts w:hint="eastAsia" w:ascii="仿宋_GB2312" w:hAnsi="宋体" w:eastAsia="仿宋_GB2312" w:cs="仿宋_GB2312"/>
                <w:b/>
                <w:color w:val="auto"/>
                <w:kern w:val="0"/>
                <w:sz w:val="32"/>
                <w:szCs w:val="32"/>
                <w:highlight w:val="none"/>
                <w:lang w:bidi="ar"/>
              </w:rPr>
              <w:t>部门整体绩效目标表</w:t>
            </w:r>
          </w:p>
        </w:tc>
      </w:tr>
      <w:tr>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仿宋_GB2312" w:hAnsi="宋体" w:eastAsia="仿宋_GB2312" w:cs="仿宋_GB2312"/>
                <w:b/>
                <w:color w:val="auto"/>
                <w:kern w:val="0"/>
                <w:sz w:val="32"/>
                <w:szCs w:val="32"/>
                <w:highlight w:val="none"/>
                <w:lang w:bidi="ar"/>
              </w:rPr>
            </w:pPr>
            <w:r>
              <w:rPr>
                <w:rFonts w:hint="eastAsia" w:ascii="宋体" w:hAnsi="宋体" w:cs="宋体"/>
                <w:color w:val="auto"/>
                <w:sz w:val="24"/>
                <w:highlight w:val="none"/>
              </w:rPr>
              <w:t>（2025年）</w:t>
            </w:r>
          </w:p>
        </w:tc>
      </w:tr>
      <w:tr>
        <w:tblPrEx>
          <w:tblCellMar>
            <w:top w:w="0" w:type="dxa"/>
            <w:left w:w="108" w:type="dxa"/>
            <w:bottom w:w="0" w:type="dxa"/>
            <w:right w:w="108" w:type="dxa"/>
          </w:tblCellMar>
        </w:tblPrEx>
        <w:trPr>
          <w:trHeight w:val="54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left"/>
              <w:rPr>
                <w:rFonts w:hint="default" w:ascii="宋体" w:hAnsi="宋体" w:cs="宋体"/>
                <w:color w:val="auto"/>
                <w:sz w:val="20"/>
                <w:szCs w:val="20"/>
                <w:highlight w:val="none"/>
              </w:rPr>
            </w:pPr>
            <w:r>
              <w:rPr>
                <w:rFonts w:hint="eastAsia" w:ascii="宋体" w:hAnsi="宋体" w:cs="宋体"/>
                <w:color w:val="auto"/>
                <w:sz w:val="20"/>
                <w:szCs w:val="20"/>
                <w:highlight w:val="none"/>
              </w:rPr>
              <w:t>呼图壁县第二中学</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单位联系人</w:t>
            </w:r>
          </w:p>
        </w:tc>
        <w:tc>
          <w:tcPr>
            <w:tcW w:w="345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left"/>
              <w:rPr>
                <w:rFonts w:hint="default" w:ascii="宋体" w:hAnsi="宋体" w:cs="宋体"/>
                <w:color w:val="auto"/>
                <w:sz w:val="20"/>
                <w:szCs w:val="20"/>
                <w:highlight w:val="none"/>
              </w:rPr>
            </w:pPr>
            <w:r>
              <w:rPr>
                <w:rFonts w:hint="eastAsia" w:ascii="宋体" w:hAnsi="宋体" w:cs="宋体"/>
                <w:color w:val="auto"/>
                <w:sz w:val="20"/>
                <w:szCs w:val="20"/>
                <w:highlight w:val="none"/>
              </w:rPr>
              <w:t>夏广志</w:t>
            </w:r>
          </w:p>
        </w:tc>
        <w:tc>
          <w:tcPr>
            <w:tcW w:w="22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联系电话：</w:t>
            </w:r>
          </w:p>
        </w:tc>
        <w:tc>
          <w:tcPr>
            <w:tcW w:w="113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rPr>
                <w:rFonts w:hint="default" w:ascii="宋体" w:hAnsi="宋体" w:cs="宋体"/>
                <w:color w:val="auto"/>
                <w:sz w:val="20"/>
                <w:szCs w:val="20"/>
                <w:highlight w:val="none"/>
              </w:rPr>
            </w:pPr>
            <w:r>
              <w:rPr>
                <w:rFonts w:hint="eastAsia" w:ascii="宋体" w:hAnsi="宋体" w:cs="宋体"/>
                <w:color w:val="auto"/>
                <w:sz w:val="20"/>
                <w:szCs w:val="20"/>
                <w:highlight w:val="none"/>
              </w:rPr>
              <w:t>18999567866</w:t>
            </w:r>
          </w:p>
        </w:tc>
      </w:tr>
      <w:tr>
        <w:tblPrEx>
          <w:tblCellMar>
            <w:top w:w="0" w:type="dxa"/>
            <w:left w:w="108" w:type="dxa"/>
            <w:bottom w:w="0" w:type="dxa"/>
            <w:right w:w="108" w:type="dxa"/>
          </w:tblCellMar>
        </w:tblPrEx>
        <w:trPr>
          <w:trHeight w:val="784" w:hRule="atLeast"/>
        </w:trPr>
        <w:tc>
          <w:tcPr>
            <w:tcW w:w="2489" w:type="dxa"/>
            <w:gridSpan w:val="2"/>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top"/>
              <w:rPr>
                <w:rFonts w:hint="default" w:ascii="宋体" w:hAnsi="宋体" w:cs="宋体"/>
                <w:color w:val="auto"/>
                <w:kern w:val="0"/>
                <w:sz w:val="20"/>
                <w:szCs w:val="20"/>
                <w:highlight w:val="none"/>
                <w:lang w:bidi="ar"/>
              </w:rPr>
            </w:pPr>
          </w:p>
          <w:p>
            <w:pPr>
              <w:keepNext w:val="0"/>
              <w:keepLines w:val="0"/>
              <w:widowControl/>
              <w:suppressLineNumbers w:val="0"/>
              <w:shd w:val="clear"/>
              <w:spacing w:before="0" w:beforeAutospacing="0" w:after="0" w:afterAutospacing="0"/>
              <w:ind w:left="0" w:right="0"/>
              <w:jc w:val="center"/>
              <w:textAlignment w:val="top"/>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通过开展教师业务培训，促进教师专业成长；通过开展各项教学竞赛，提高学生知识水平</w:t>
            </w:r>
          </w:p>
        </w:tc>
      </w:tr>
      <w:tr>
        <w:tblPrEx>
          <w:tblCellMar>
            <w:top w:w="0" w:type="dxa"/>
            <w:left w:w="108" w:type="dxa"/>
            <w:bottom w:w="0" w:type="dxa"/>
            <w:right w:w="108" w:type="dxa"/>
          </w:tblCellMar>
        </w:tblPrEx>
        <w:trPr>
          <w:trHeight w:val="46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年度预算（万元）</w:t>
            </w:r>
          </w:p>
        </w:tc>
        <w:tc>
          <w:tcPr>
            <w:tcW w:w="345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资金来源</w:t>
            </w:r>
          </w:p>
        </w:tc>
        <w:tc>
          <w:tcPr>
            <w:tcW w:w="340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资金总额3160.72（万元）</w:t>
            </w:r>
          </w:p>
        </w:tc>
      </w:tr>
      <w:tr>
        <w:tblPrEx>
          <w:tblCellMar>
            <w:top w:w="0" w:type="dxa"/>
            <w:left w:w="108" w:type="dxa"/>
            <w:bottom w:w="0" w:type="dxa"/>
            <w:right w:w="108" w:type="dxa"/>
          </w:tblCellMar>
        </w:tblPrEx>
        <w:trPr>
          <w:trHeight w:val="4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20"/>
                <w:szCs w:val="20"/>
                <w:highlight w:val="none"/>
              </w:rPr>
            </w:pPr>
          </w:p>
        </w:tc>
        <w:tc>
          <w:tcPr>
            <w:tcW w:w="225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财政资金（万元）</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上级安排</w:t>
            </w:r>
          </w:p>
        </w:tc>
        <w:tc>
          <w:tcPr>
            <w:tcW w:w="340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left"/>
              <w:rPr>
                <w:rFonts w:hint="default" w:ascii="宋体" w:hAnsi="宋体" w:cs="宋体"/>
                <w:color w:val="auto"/>
                <w:sz w:val="20"/>
                <w:szCs w:val="20"/>
                <w:highlight w:val="none"/>
              </w:rPr>
            </w:pPr>
            <w:r>
              <w:rPr>
                <w:rFonts w:hint="eastAsia" w:ascii="宋体" w:hAnsi="宋体" w:cs="宋体"/>
                <w:color w:val="auto"/>
                <w:sz w:val="20"/>
                <w:szCs w:val="20"/>
                <w:highlight w:val="none"/>
              </w:rPr>
              <w:t>174.41</w:t>
            </w:r>
          </w:p>
        </w:tc>
      </w:tr>
      <w:tr>
        <w:tblPrEx>
          <w:tblCellMar>
            <w:top w:w="0" w:type="dxa"/>
            <w:left w:w="108" w:type="dxa"/>
            <w:bottom w:w="0" w:type="dxa"/>
            <w:right w:w="108" w:type="dxa"/>
          </w:tblCellMar>
        </w:tblPrEx>
        <w:trPr>
          <w:trHeight w:val="55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20"/>
                <w:szCs w:val="20"/>
                <w:highlight w:val="none"/>
              </w:rPr>
            </w:pPr>
          </w:p>
        </w:tc>
        <w:tc>
          <w:tcPr>
            <w:tcW w:w="22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20"/>
                <w:szCs w:val="20"/>
                <w:highlight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本级安排</w:t>
            </w:r>
          </w:p>
        </w:tc>
        <w:tc>
          <w:tcPr>
            <w:tcW w:w="340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left"/>
              <w:rPr>
                <w:rFonts w:hint="default" w:ascii="宋体" w:hAnsi="宋体" w:cs="宋体"/>
                <w:color w:val="auto"/>
                <w:sz w:val="20"/>
                <w:szCs w:val="20"/>
                <w:highlight w:val="none"/>
              </w:rPr>
            </w:pPr>
            <w:r>
              <w:rPr>
                <w:rFonts w:hint="eastAsia" w:ascii="宋体" w:hAnsi="宋体" w:cs="宋体"/>
                <w:color w:val="auto"/>
                <w:sz w:val="20"/>
                <w:szCs w:val="20"/>
                <w:highlight w:val="none"/>
              </w:rPr>
              <w:t>2464.31</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20"/>
                <w:szCs w:val="20"/>
                <w:highlight w:val="none"/>
              </w:rPr>
            </w:pPr>
          </w:p>
        </w:tc>
        <w:tc>
          <w:tcPr>
            <w:tcW w:w="22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其他资金（万元）</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其他</w:t>
            </w:r>
          </w:p>
        </w:tc>
        <w:tc>
          <w:tcPr>
            <w:tcW w:w="340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left"/>
              <w:rPr>
                <w:rFonts w:hint="default" w:ascii="宋体" w:hAnsi="宋体" w:cs="宋体"/>
                <w:color w:val="auto"/>
                <w:sz w:val="20"/>
                <w:szCs w:val="20"/>
                <w:highlight w:val="none"/>
              </w:rPr>
            </w:pPr>
            <w:r>
              <w:rPr>
                <w:rFonts w:hint="eastAsia" w:ascii="宋体" w:hAnsi="宋体" w:cs="宋体"/>
                <w:color w:val="auto"/>
                <w:sz w:val="20"/>
                <w:szCs w:val="20"/>
                <w:highlight w:val="none"/>
              </w:rPr>
              <w:t>522.00</w:t>
            </w:r>
          </w:p>
        </w:tc>
      </w:tr>
      <w:tr>
        <w:tblPrEx>
          <w:tblCellMar>
            <w:top w:w="0" w:type="dxa"/>
            <w:left w:w="108" w:type="dxa"/>
            <w:bottom w:w="0" w:type="dxa"/>
            <w:right w:w="108" w:type="dxa"/>
          </w:tblCellMar>
        </w:tblPrEx>
        <w:trPr>
          <w:trHeight w:val="39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二级指标</w:t>
            </w:r>
          </w:p>
        </w:tc>
        <w:tc>
          <w:tcPr>
            <w:tcW w:w="22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三级指标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指标值</w:t>
            </w:r>
          </w:p>
        </w:tc>
        <w:tc>
          <w:tcPr>
            <w:tcW w:w="22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指标设定依据</w:t>
            </w:r>
          </w:p>
        </w:tc>
        <w:tc>
          <w:tcPr>
            <w:tcW w:w="11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分值权重</w:t>
            </w:r>
          </w:p>
        </w:tc>
      </w:tr>
      <w:tr>
        <w:tblPrEx>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kern w:val="0"/>
                <w:sz w:val="20"/>
                <w:szCs w:val="20"/>
                <w:highlight w:val="none"/>
                <w:lang w:bidi="ar"/>
              </w:rPr>
              <w:t>履职效能</w:t>
            </w:r>
          </w:p>
        </w:tc>
        <w:tc>
          <w:tcPr>
            <w:tcW w:w="1367"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数量指标</w:t>
            </w:r>
          </w:p>
        </w:tc>
        <w:tc>
          <w:tcPr>
            <w:tcW w:w="22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教师校本培训次数</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≥10次</w:t>
            </w:r>
          </w:p>
        </w:tc>
        <w:tc>
          <w:tcPr>
            <w:tcW w:w="226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2024年教学工作计划</w:t>
            </w:r>
          </w:p>
        </w:tc>
        <w:tc>
          <w:tcPr>
            <w:tcW w:w="11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18</w:t>
            </w:r>
          </w:p>
        </w:tc>
      </w:tr>
      <w:tr>
        <w:tblPrEx>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20"/>
                <w:szCs w:val="20"/>
                <w:highlight w:val="none"/>
                <w:lang w:bidi="ar"/>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p>
        </w:tc>
        <w:tc>
          <w:tcPr>
            <w:tcW w:w="22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教研活动每组每期次数</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≥8次</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2024年教学工作计划</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15</w:t>
            </w:r>
          </w:p>
        </w:tc>
      </w:tr>
      <w:tr>
        <w:tblPrEx>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20"/>
                <w:szCs w:val="20"/>
                <w:highlight w:val="none"/>
                <w:lang w:bidi="ar"/>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p>
        </w:tc>
        <w:tc>
          <w:tcPr>
            <w:tcW w:w="22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教学常规检查督导每学期次数</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≥4次</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2024年教学工作计划</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13</w:t>
            </w:r>
          </w:p>
        </w:tc>
      </w:tr>
      <w:tr>
        <w:tblPrEx>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20"/>
                <w:szCs w:val="20"/>
                <w:highlight w:val="none"/>
                <w:lang w:bidi="ar"/>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p>
        </w:tc>
        <w:tc>
          <w:tcPr>
            <w:tcW w:w="22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教师每期听课次数</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≥16节</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2024年教学工作计划</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20</w:t>
            </w:r>
          </w:p>
        </w:tc>
      </w:tr>
      <w:tr>
        <w:tblPrEx>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20"/>
                <w:szCs w:val="20"/>
                <w:highlight w:val="none"/>
                <w:lang w:bidi="ar"/>
              </w:rPr>
            </w:pPr>
          </w:p>
        </w:tc>
        <w:tc>
          <w:tcPr>
            <w:tcW w:w="1367"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p>
        </w:tc>
        <w:tc>
          <w:tcPr>
            <w:tcW w:w="22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教师基本功训练次数</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≥10次</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2024年教学工作计划</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9</w:t>
            </w:r>
          </w:p>
        </w:tc>
      </w:tr>
      <w:tr>
        <w:tblPrEx>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20"/>
                <w:szCs w:val="20"/>
                <w:highlight w:val="none"/>
                <w:lang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质量指标</w:t>
            </w:r>
          </w:p>
        </w:tc>
        <w:tc>
          <w:tcPr>
            <w:tcW w:w="22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教师培训合格率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≥90%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2024年教学工作计划</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5</w:t>
            </w:r>
          </w:p>
        </w:tc>
      </w:tr>
      <w:tr>
        <w:tblPrEx>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20"/>
                <w:szCs w:val="20"/>
                <w:highlight w:val="none"/>
                <w:lang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时效指标</w:t>
            </w:r>
          </w:p>
        </w:tc>
        <w:tc>
          <w:tcPr>
            <w:tcW w:w="22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教师培训及时率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left"/>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≥90%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2024年教学工作计划</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20"/>
                <w:szCs w:val="20"/>
                <w:highlight w:val="none"/>
              </w:rPr>
            </w:pPr>
            <w:r>
              <w:rPr>
                <w:rFonts w:hint="eastAsia" w:ascii="宋体" w:hAnsi="宋体" w:cs="宋体"/>
                <w:color w:val="auto"/>
                <w:sz w:val="20"/>
                <w:szCs w:val="20"/>
                <w:highlight w:val="none"/>
              </w:rPr>
              <w:t>10</w:t>
            </w:r>
          </w:p>
        </w:tc>
      </w:tr>
    </w:tbl>
    <w:p>
      <w:pPr>
        <w:keepNext w:val="0"/>
        <w:keepLines w:val="0"/>
        <w:widowControl/>
        <w:suppressLineNumbers w:val="0"/>
        <w:shd w:val="clear"/>
        <w:spacing w:before="0" w:beforeAutospacing="0" w:after="0" w:afterAutospacing="0"/>
        <w:ind w:left="0" w:right="0"/>
        <w:jc w:val="center"/>
        <w:textAlignment w:val="center"/>
        <w:rPr>
          <w:rFonts w:hint="eastAsia" w:ascii="仿宋_GB2312" w:hAnsi="宋体" w:eastAsia="仿宋_GB2312" w:cs="仿宋_GB2312"/>
          <w:b/>
          <w:color w:val="auto"/>
          <w:kern w:val="0"/>
          <w:sz w:val="32"/>
          <w:szCs w:val="32"/>
          <w:highlight w:val="none"/>
          <w:lang w:bidi="ar"/>
        </w:rPr>
      </w:pPr>
      <w:r>
        <w:rPr>
          <w:rFonts w:hint="eastAsia" w:ascii="仿宋_GB2312" w:hAnsi="宋体" w:eastAsia="仿宋_GB2312" w:cs="仿宋_GB2312"/>
          <w:b/>
          <w:color w:val="auto"/>
          <w:kern w:val="0"/>
          <w:sz w:val="32"/>
          <w:szCs w:val="32"/>
          <w:highlight w:val="none"/>
          <w:lang w:bidi="ar"/>
        </w:rPr>
        <w:br w:type="page"/>
      </w:r>
    </w:p>
    <w:tbl>
      <w:tblPr>
        <w:tblStyle w:val="10"/>
        <w:tblpPr w:leftFromText="180" w:rightFromText="180" w:vertAnchor="text" w:horzAnchor="page" w:tblpX="1103" w:tblpY="515"/>
        <w:tblOverlap w:val="never"/>
        <w:tblW w:w="9404" w:type="dxa"/>
        <w:tblInd w:w="0" w:type="dxa"/>
        <w:tblLayout w:type="fixed"/>
        <w:tblCellMar>
          <w:top w:w="0" w:type="dxa"/>
          <w:left w:w="108" w:type="dxa"/>
          <w:bottom w:w="0" w:type="dxa"/>
          <w:right w:w="108" w:type="dxa"/>
        </w:tblCellMar>
      </w:tblPr>
      <w:tblGrid>
        <w:gridCol w:w="811"/>
        <w:gridCol w:w="943"/>
        <w:gridCol w:w="1670"/>
        <w:gridCol w:w="1040"/>
        <w:gridCol w:w="980"/>
        <w:gridCol w:w="580"/>
        <w:gridCol w:w="620"/>
        <w:gridCol w:w="1750"/>
        <w:gridCol w:w="1010"/>
      </w:tblGrid>
      <w:tr>
        <w:tblPrEx>
          <w:tblCellMar>
            <w:top w:w="0" w:type="dxa"/>
            <w:left w:w="108" w:type="dxa"/>
            <w:bottom w:w="0" w:type="dxa"/>
            <w:right w:w="108" w:type="dxa"/>
          </w:tblCellMar>
        </w:tblPrEx>
        <w:trPr>
          <w:trHeight w:val="631" w:hRule="atLeast"/>
        </w:trPr>
        <w:tc>
          <w:tcPr>
            <w:tcW w:w="9404" w:type="dxa"/>
            <w:gridSpan w:val="9"/>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360" w:hRule="atLeast"/>
        </w:trPr>
        <w:tc>
          <w:tcPr>
            <w:tcW w:w="9404" w:type="dxa"/>
            <w:gridSpan w:val="9"/>
            <w:tcBorders>
              <w:top w:val="nil"/>
              <w:left w:val="nil"/>
              <w:bottom w:val="nil"/>
              <w:right w:val="nil"/>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24"/>
                <w:highlight w:val="none"/>
                <w:lang w:eastAsia="zh-Hans"/>
              </w:rPr>
            </w:pPr>
            <w:r>
              <w:rPr>
                <w:rFonts w:hint="eastAsia" w:ascii="宋体" w:hAnsi="宋体" w:cs="宋体"/>
                <w:color w:val="auto"/>
                <w:sz w:val="22"/>
                <w:szCs w:val="22"/>
                <w:highlight w:val="none"/>
                <w:lang w:eastAsia="zh-Hans"/>
              </w:rPr>
              <w:t>（</w:t>
            </w:r>
            <w:r>
              <w:rPr>
                <w:rFonts w:hint="default" w:ascii="宋体" w:hAnsi="宋体" w:cs="宋体"/>
                <w:color w:val="auto"/>
                <w:sz w:val="22"/>
                <w:szCs w:val="22"/>
                <w:highlight w:val="none"/>
                <w:lang w:eastAsia="zh-Hans"/>
              </w:rPr>
              <w:t>202</w:t>
            </w:r>
            <w:r>
              <w:rPr>
                <w:rFonts w:hint="eastAsia" w:ascii="宋体" w:hAnsi="宋体" w:cs="宋体"/>
                <w:color w:val="auto"/>
                <w:sz w:val="22"/>
                <w:szCs w:val="22"/>
                <w:highlight w:val="none"/>
              </w:rPr>
              <w:t>5</w:t>
            </w:r>
            <w:r>
              <w:rPr>
                <w:rFonts w:hint="eastAsia" w:ascii="宋体" w:hAnsi="宋体" w:cs="宋体"/>
                <w:color w:val="auto"/>
                <w:sz w:val="22"/>
                <w:szCs w:val="22"/>
                <w:highlight w:val="none"/>
                <w:lang w:eastAsia="zh-Hans"/>
              </w:rPr>
              <w:t>年）</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650"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呼图壁县第二中学</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369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仿宋_GB2312" w:eastAsia="仿宋_GB2312"/>
                <w:b/>
                <w:bCs/>
                <w:color w:val="auto"/>
                <w:sz w:val="20"/>
                <w:szCs w:val="20"/>
                <w:highlight w:val="none"/>
              </w:rPr>
              <w:t>银龄计划教师经费（非定额）</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夏广志</w:t>
            </w:r>
          </w:p>
        </w:tc>
      </w:tr>
      <w:tr>
        <w:tblPrEx>
          <w:tblCellMar>
            <w:top w:w="0" w:type="dxa"/>
            <w:left w:w="108" w:type="dxa"/>
            <w:bottom w:w="0" w:type="dxa"/>
            <w:right w:w="108" w:type="dxa"/>
          </w:tblCellMar>
        </w:tblPrEx>
        <w:trPr>
          <w:trHeight w:val="69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 ：</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24.00</w:t>
            </w:r>
          </w:p>
        </w:tc>
        <w:tc>
          <w:tcPr>
            <w:tcW w:w="9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24.00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0</w:t>
            </w:r>
          </w:p>
        </w:tc>
      </w:tr>
      <w:tr>
        <w:tblPrEx>
          <w:tblCellMar>
            <w:top w:w="0" w:type="dxa"/>
            <w:left w:w="108" w:type="dxa"/>
            <w:bottom w:w="0" w:type="dxa"/>
            <w:right w:w="108" w:type="dxa"/>
          </w:tblCellMar>
        </w:tblPrEx>
        <w:trPr>
          <w:trHeight w:val="578"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650" w:type="dxa"/>
            <w:gridSpan w:val="7"/>
            <w:tcBorders>
              <w:top w:val="single" w:color="000000" w:sz="4" w:space="0"/>
              <w:left w:val="nil"/>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left"/>
              <w:rPr>
                <w:rFonts w:hint="default" w:ascii="宋体" w:hAnsi="宋体" w:cs="宋体"/>
                <w:color w:val="auto"/>
                <w:sz w:val="18"/>
                <w:szCs w:val="18"/>
                <w:highlight w:val="none"/>
              </w:rPr>
            </w:pPr>
            <w:r>
              <w:rPr>
                <w:rFonts w:hint="eastAsia" w:ascii="宋体" w:hAnsi="宋体" w:cs="宋体"/>
                <w:color w:val="auto"/>
                <w:sz w:val="18"/>
                <w:szCs w:val="18"/>
                <w:highlight w:val="none"/>
              </w:rPr>
              <w:t>为银龄计划人员发放劳务费提供资金保障</w:t>
            </w:r>
            <w:bookmarkStart w:id="1" w:name="_GoBack"/>
            <w:bookmarkEnd w:id="1"/>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享受学生人数</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=4人</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资金按期拨付率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公用经费享受比例</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公用经费标准</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=24万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维护学校正常运转能力</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家长满意度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学生满意度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bl>
    <w:p>
      <w:pPr>
        <w:shd w:val="clear"/>
        <w:spacing w:line="600" w:lineRule="exact"/>
        <w:rPr>
          <w:rFonts w:ascii="楷体_GB2312" w:hAnsi="宋体" w:eastAsia="楷体_GB2312" w:cs="宋体"/>
          <w:b/>
          <w:color w:val="auto"/>
          <w:kern w:val="0"/>
          <w:sz w:val="32"/>
          <w:szCs w:val="32"/>
          <w:highlight w:val="none"/>
        </w:rPr>
      </w:pPr>
    </w:p>
    <w:p>
      <w:pPr>
        <w:pStyle w:val="9"/>
        <w:shd w:val="clear"/>
        <w:ind w:firstLine="643"/>
        <w:rPr>
          <w:rFonts w:ascii="楷体_GB2312" w:hAnsi="宋体" w:eastAsia="楷体_GB2312" w:cs="宋体"/>
          <w:b/>
          <w:color w:val="auto"/>
          <w:kern w:val="0"/>
          <w:sz w:val="32"/>
          <w:szCs w:val="32"/>
          <w:highlight w:val="none"/>
        </w:rPr>
      </w:pPr>
    </w:p>
    <w:p>
      <w:pPr>
        <w:keepNext w:val="0"/>
        <w:keepLines w:val="0"/>
        <w:widowControl/>
        <w:suppressLineNumbers w:val="0"/>
        <w:shd w:val="clear"/>
        <w:spacing w:before="0" w:beforeAutospacing="0" w:after="0" w:afterAutospacing="0"/>
        <w:ind w:left="0" w:right="0"/>
        <w:jc w:val="center"/>
        <w:textAlignment w:val="center"/>
        <w:rPr>
          <w:rFonts w:hint="eastAsia" w:ascii="仿宋_GB2312" w:hAnsi="宋体" w:eastAsia="仿宋_GB2312" w:cs="仿宋_GB2312"/>
          <w:b/>
          <w:color w:val="auto"/>
          <w:kern w:val="0"/>
          <w:sz w:val="32"/>
          <w:szCs w:val="32"/>
          <w:highlight w:val="none"/>
          <w:lang w:bidi="ar"/>
        </w:rPr>
      </w:pPr>
      <w:r>
        <w:rPr>
          <w:rFonts w:hint="eastAsia" w:ascii="仿宋_GB2312" w:hAnsi="宋体" w:eastAsia="仿宋_GB2312" w:cs="仿宋_GB2312"/>
          <w:b/>
          <w:color w:val="auto"/>
          <w:kern w:val="0"/>
          <w:sz w:val="32"/>
          <w:szCs w:val="32"/>
          <w:highlight w:val="none"/>
          <w:lang w:bidi="ar"/>
        </w:rPr>
        <w:br w:type="page"/>
      </w:r>
    </w:p>
    <w:tbl>
      <w:tblPr>
        <w:tblStyle w:val="10"/>
        <w:tblpPr w:leftFromText="180" w:rightFromText="180" w:vertAnchor="text" w:horzAnchor="page" w:tblpX="1103" w:tblpY="515"/>
        <w:tblOverlap w:val="never"/>
        <w:tblW w:w="9404" w:type="dxa"/>
        <w:tblInd w:w="0" w:type="dxa"/>
        <w:tblLayout w:type="fixed"/>
        <w:tblCellMar>
          <w:top w:w="0" w:type="dxa"/>
          <w:left w:w="108" w:type="dxa"/>
          <w:bottom w:w="0" w:type="dxa"/>
          <w:right w:w="108" w:type="dxa"/>
        </w:tblCellMar>
      </w:tblPr>
      <w:tblGrid>
        <w:gridCol w:w="811"/>
        <w:gridCol w:w="943"/>
        <w:gridCol w:w="1670"/>
        <w:gridCol w:w="1040"/>
        <w:gridCol w:w="980"/>
        <w:gridCol w:w="580"/>
        <w:gridCol w:w="620"/>
        <w:gridCol w:w="1750"/>
        <w:gridCol w:w="1010"/>
      </w:tblGrid>
      <w:tr>
        <w:tblPrEx>
          <w:tblCellMar>
            <w:top w:w="0" w:type="dxa"/>
            <w:left w:w="108" w:type="dxa"/>
            <w:bottom w:w="0" w:type="dxa"/>
            <w:right w:w="108" w:type="dxa"/>
          </w:tblCellMar>
        </w:tblPrEx>
        <w:trPr>
          <w:trHeight w:val="631" w:hRule="atLeast"/>
        </w:trPr>
        <w:tc>
          <w:tcPr>
            <w:tcW w:w="9404" w:type="dxa"/>
            <w:gridSpan w:val="9"/>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center"/>
              <w:textAlignment w:val="center"/>
              <w:rPr>
                <w:rFonts w:hint="eastAsia" w:ascii="仿宋_GB2312" w:hAnsi="宋体" w:eastAsia="仿宋_GB2312" w:cs="仿宋_GB2312"/>
                <w:b/>
                <w:color w:val="auto"/>
                <w:kern w:val="0"/>
                <w:sz w:val="32"/>
                <w:szCs w:val="32"/>
                <w:highlight w:val="none"/>
                <w:lang w:bidi="ar"/>
              </w:rPr>
            </w:pPr>
          </w:p>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360" w:hRule="atLeast"/>
        </w:trPr>
        <w:tc>
          <w:tcPr>
            <w:tcW w:w="9404" w:type="dxa"/>
            <w:gridSpan w:val="9"/>
            <w:tcBorders>
              <w:top w:val="nil"/>
              <w:left w:val="nil"/>
              <w:bottom w:val="nil"/>
              <w:right w:val="nil"/>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24"/>
                <w:highlight w:val="none"/>
                <w:lang w:eastAsia="zh-Hans"/>
              </w:rPr>
            </w:pPr>
            <w:r>
              <w:rPr>
                <w:rFonts w:hint="eastAsia" w:ascii="宋体" w:hAnsi="宋体" w:cs="宋体"/>
                <w:color w:val="auto"/>
                <w:sz w:val="22"/>
                <w:szCs w:val="22"/>
                <w:highlight w:val="none"/>
                <w:lang w:eastAsia="zh-Hans"/>
              </w:rPr>
              <w:t>（</w:t>
            </w:r>
            <w:r>
              <w:rPr>
                <w:rFonts w:hint="default" w:ascii="宋体" w:hAnsi="宋体" w:cs="宋体"/>
                <w:color w:val="auto"/>
                <w:sz w:val="22"/>
                <w:szCs w:val="22"/>
                <w:highlight w:val="none"/>
                <w:lang w:eastAsia="zh-Hans"/>
              </w:rPr>
              <w:t>202</w:t>
            </w:r>
            <w:r>
              <w:rPr>
                <w:rFonts w:hint="eastAsia" w:ascii="宋体" w:hAnsi="宋体" w:cs="宋体"/>
                <w:color w:val="auto"/>
                <w:sz w:val="22"/>
                <w:szCs w:val="22"/>
                <w:highlight w:val="none"/>
              </w:rPr>
              <w:t>5</w:t>
            </w:r>
            <w:r>
              <w:rPr>
                <w:rFonts w:hint="eastAsia" w:ascii="宋体" w:hAnsi="宋体" w:cs="宋体"/>
                <w:color w:val="auto"/>
                <w:sz w:val="22"/>
                <w:szCs w:val="22"/>
                <w:highlight w:val="none"/>
                <w:lang w:eastAsia="zh-Hans"/>
              </w:rPr>
              <w:t>年）</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预算单位</w:t>
            </w:r>
          </w:p>
        </w:tc>
        <w:tc>
          <w:tcPr>
            <w:tcW w:w="7650"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呼图壁县第二中学</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项目名称</w:t>
            </w:r>
          </w:p>
        </w:tc>
        <w:tc>
          <w:tcPr>
            <w:tcW w:w="369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2025年教育补助项目经费-示范校</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项目负责人</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夏广志</w:t>
            </w:r>
          </w:p>
        </w:tc>
      </w:tr>
      <w:tr>
        <w:tblPrEx>
          <w:tblCellMar>
            <w:top w:w="0" w:type="dxa"/>
            <w:left w:w="108" w:type="dxa"/>
            <w:bottom w:w="0" w:type="dxa"/>
            <w:right w:w="108" w:type="dxa"/>
          </w:tblCellMar>
        </w:tblPrEx>
        <w:trPr>
          <w:trHeight w:val="69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项目资金（万元）</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年度预算总额 ：</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2.00</w:t>
            </w:r>
          </w:p>
        </w:tc>
        <w:tc>
          <w:tcPr>
            <w:tcW w:w="980" w:type="dxa"/>
            <w:tcBorders>
              <w:top w:val="single" w:color="000000" w:sz="4" w:space="0"/>
              <w:left w:val="nil"/>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其中：财政拨款</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2.00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其他资金：</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0</w:t>
            </w:r>
          </w:p>
        </w:tc>
      </w:tr>
      <w:tr>
        <w:tblPrEx>
          <w:tblCellMar>
            <w:top w:w="0" w:type="dxa"/>
            <w:left w:w="108" w:type="dxa"/>
            <w:bottom w:w="0" w:type="dxa"/>
            <w:right w:w="108" w:type="dxa"/>
          </w:tblCellMar>
        </w:tblPrEx>
        <w:trPr>
          <w:trHeight w:val="578"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项目总体目标</w:t>
            </w:r>
          </w:p>
        </w:tc>
        <w:tc>
          <w:tcPr>
            <w:tcW w:w="7650" w:type="dxa"/>
            <w:gridSpan w:val="7"/>
            <w:tcBorders>
              <w:top w:val="single" w:color="000000" w:sz="4" w:space="0"/>
              <w:left w:val="nil"/>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rPr>
              <w:t>为义务教育示范校提供经费保障</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rPr>
              <w:t>把教育经费用到最关键处，切实提高教育经费使用效益。</w:t>
            </w:r>
            <w:r>
              <w:rPr>
                <w:rFonts w:hint="eastAsia" w:ascii="宋体" w:hAnsi="宋体" w:cs="宋体"/>
                <w:color w:val="auto"/>
                <w:sz w:val="18"/>
                <w:szCs w:val="18"/>
                <w:highlight w:val="none"/>
                <w:lang w:val="en-US" w:eastAsia="zh-CN"/>
              </w:rPr>
              <w:t>落实城乡统一、重在农村的义务教育经费保障机制，学生享受三免政策。</w:t>
            </w:r>
            <w:r>
              <w:rPr>
                <w:rFonts w:hint="eastAsia" w:ascii="宋体" w:hAnsi="宋体" w:cs="宋体"/>
                <w:color w:val="auto"/>
                <w:sz w:val="18"/>
                <w:szCs w:val="18"/>
                <w:highlight w:val="none"/>
              </w:rPr>
              <w:t>花好每一分钱，把教育经费用到最关键处，切实提高教育经费使用效益。通过开展教师业务培训，促进教师专业成长</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lang w:val="en-US" w:eastAsia="zh-CN"/>
              </w:rPr>
              <w:t>提升教学质量</w:t>
            </w:r>
            <w:r>
              <w:rPr>
                <w:rFonts w:hint="eastAsia" w:ascii="宋体" w:hAnsi="宋体" w:cs="宋体"/>
                <w:color w:val="auto"/>
                <w:sz w:val="18"/>
                <w:szCs w:val="18"/>
                <w:highlight w:val="none"/>
                <w:lang w:eastAsia="zh-CN"/>
              </w:rPr>
              <w:t>。</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一级指标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二级指标</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三级指标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指标值</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指标值设置依据</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上年完成值</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指标分值权重</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指标赋分规则</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佐证资料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产出指标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数量指标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参与培训教师人数</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≥50人</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nil"/>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质量指标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资金按期拨付率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时效指标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公用经费享受比例</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成本指标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经济成本指标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公用经费标准</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社会效益指标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维护学校正常运转能力</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r>
        <w:tblPrEx>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满意度指标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家长满意度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r>
        <w:tblPrEx>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学生满意度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bl>
    <w:p>
      <w:pPr>
        <w:shd w:val="clear"/>
        <w:rPr>
          <w:rFonts w:hint="eastAsia" w:ascii="宋体" w:hAnsi="宋体" w:cs="宋体"/>
          <w:color w:val="auto"/>
          <w:sz w:val="18"/>
          <w:szCs w:val="18"/>
          <w:highlight w:val="none"/>
        </w:rPr>
      </w:pPr>
      <w:r>
        <w:rPr>
          <w:rFonts w:hint="eastAsia" w:ascii="宋体" w:hAnsi="宋体" w:cs="宋体"/>
          <w:color w:val="auto"/>
          <w:sz w:val="18"/>
          <w:szCs w:val="18"/>
          <w:highlight w:val="none"/>
        </w:rPr>
        <w:br w:type="page"/>
      </w:r>
    </w:p>
    <w:p>
      <w:pPr>
        <w:keepNext w:val="0"/>
        <w:keepLines w:val="0"/>
        <w:suppressLineNumbers w:val="0"/>
        <w:shd w:val="clear"/>
        <w:spacing w:before="0" w:beforeAutospacing="0" w:after="0" w:afterAutospacing="0"/>
        <w:ind w:left="0" w:right="0"/>
        <w:jc w:val="center"/>
        <w:rPr>
          <w:rFonts w:hint="eastAsia" w:ascii="宋体" w:hAnsi="宋体" w:cs="宋体"/>
          <w:color w:val="auto"/>
          <w:sz w:val="18"/>
          <w:szCs w:val="18"/>
          <w:highlight w:val="none"/>
        </w:rPr>
      </w:pPr>
    </w:p>
    <w:tbl>
      <w:tblPr>
        <w:tblStyle w:val="10"/>
        <w:tblpPr w:leftFromText="180" w:rightFromText="180" w:vertAnchor="text" w:horzAnchor="page" w:tblpX="1103" w:tblpY="515"/>
        <w:tblOverlap w:val="never"/>
        <w:tblW w:w="9404" w:type="dxa"/>
        <w:tblInd w:w="0" w:type="dxa"/>
        <w:tblLayout w:type="fixed"/>
        <w:tblCellMar>
          <w:top w:w="0" w:type="dxa"/>
          <w:left w:w="108" w:type="dxa"/>
          <w:bottom w:w="0" w:type="dxa"/>
          <w:right w:w="108" w:type="dxa"/>
        </w:tblCellMar>
      </w:tblPr>
      <w:tblGrid>
        <w:gridCol w:w="811"/>
        <w:gridCol w:w="943"/>
        <w:gridCol w:w="1670"/>
        <w:gridCol w:w="1040"/>
        <w:gridCol w:w="980"/>
        <w:gridCol w:w="580"/>
        <w:gridCol w:w="620"/>
        <w:gridCol w:w="1750"/>
        <w:gridCol w:w="1010"/>
      </w:tblGrid>
      <w:tr>
        <w:tblPrEx>
          <w:tblCellMar>
            <w:top w:w="0" w:type="dxa"/>
            <w:left w:w="108" w:type="dxa"/>
            <w:bottom w:w="0" w:type="dxa"/>
            <w:right w:w="108" w:type="dxa"/>
          </w:tblCellMar>
        </w:tblPrEx>
        <w:trPr>
          <w:trHeight w:val="631" w:hRule="atLeast"/>
        </w:trPr>
        <w:tc>
          <w:tcPr>
            <w:tcW w:w="9404" w:type="dxa"/>
            <w:gridSpan w:val="9"/>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360" w:hRule="atLeast"/>
        </w:trPr>
        <w:tc>
          <w:tcPr>
            <w:tcW w:w="9404" w:type="dxa"/>
            <w:gridSpan w:val="9"/>
            <w:tcBorders>
              <w:top w:val="nil"/>
              <w:left w:val="nil"/>
              <w:bottom w:val="nil"/>
              <w:right w:val="nil"/>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24"/>
                <w:highlight w:val="none"/>
                <w:lang w:eastAsia="zh-Hans"/>
              </w:rPr>
            </w:pPr>
            <w:r>
              <w:rPr>
                <w:rFonts w:hint="eastAsia" w:ascii="宋体" w:hAnsi="宋体" w:cs="宋体"/>
                <w:color w:val="auto"/>
                <w:sz w:val="22"/>
                <w:szCs w:val="22"/>
                <w:highlight w:val="none"/>
                <w:lang w:eastAsia="zh-Hans"/>
              </w:rPr>
              <w:t>（</w:t>
            </w:r>
            <w:r>
              <w:rPr>
                <w:rFonts w:hint="default" w:ascii="宋体" w:hAnsi="宋体" w:cs="宋体"/>
                <w:color w:val="auto"/>
                <w:sz w:val="22"/>
                <w:szCs w:val="22"/>
                <w:highlight w:val="none"/>
                <w:lang w:eastAsia="zh-Hans"/>
              </w:rPr>
              <w:t>202</w:t>
            </w:r>
            <w:r>
              <w:rPr>
                <w:rFonts w:hint="eastAsia" w:ascii="宋体" w:hAnsi="宋体" w:cs="宋体"/>
                <w:color w:val="auto"/>
                <w:sz w:val="22"/>
                <w:szCs w:val="22"/>
                <w:highlight w:val="none"/>
              </w:rPr>
              <w:t>5</w:t>
            </w:r>
            <w:r>
              <w:rPr>
                <w:rFonts w:hint="eastAsia" w:ascii="宋体" w:hAnsi="宋体" w:cs="宋体"/>
                <w:color w:val="auto"/>
                <w:sz w:val="22"/>
                <w:szCs w:val="22"/>
                <w:highlight w:val="none"/>
                <w:lang w:eastAsia="zh-Hans"/>
              </w:rPr>
              <w:t>年）</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650"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呼图壁县第二中学</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369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2025年中央城乡义务教育补助经费-残疾生公用经费</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夏广志</w:t>
            </w:r>
          </w:p>
        </w:tc>
      </w:tr>
      <w:tr>
        <w:tblPrEx>
          <w:tblCellMar>
            <w:top w:w="0" w:type="dxa"/>
            <w:left w:w="108" w:type="dxa"/>
            <w:bottom w:w="0" w:type="dxa"/>
            <w:right w:w="108" w:type="dxa"/>
          </w:tblCellMar>
        </w:tblPrEx>
        <w:trPr>
          <w:trHeight w:val="69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 ：</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7.20</w:t>
            </w:r>
          </w:p>
        </w:tc>
        <w:tc>
          <w:tcPr>
            <w:tcW w:w="9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7.20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0</w:t>
            </w:r>
          </w:p>
        </w:tc>
      </w:tr>
      <w:tr>
        <w:tblPrEx>
          <w:tblCellMar>
            <w:top w:w="0" w:type="dxa"/>
            <w:left w:w="108" w:type="dxa"/>
            <w:bottom w:w="0" w:type="dxa"/>
            <w:right w:w="108" w:type="dxa"/>
          </w:tblCellMar>
        </w:tblPrEx>
        <w:trPr>
          <w:trHeight w:val="578"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650" w:type="dxa"/>
            <w:gridSpan w:val="7"/>
            <w:tcBorders>
              <w:top w:val="single" w:color="000000" w:sz="4" w:space="0"/>
              <w:left w:val="nil"/>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left"/>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rPr>
              <w:t>为2025年义务教育阶段特殊教育学校和随班就读残疾学生提供经费保障</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lang w:val="en-US" w:eastAsia="zh-CN"/>
              </w:rPr>
              <w:t>落实城乡统一、重在农村的义务教育经费保障机制，学生享受三免政策。</w:t>
            </w:r>
            <w:r>
              <w:rPr>
                <w:rFonts w:hint="eastAsia" w:ascii="宋体" w:hAnsi="宋体" w:cs="宋体"/>
                <w:color w:val="auto"/>
                <w:sz w:val="18"/>
                <w:szCs w:val="18"/>
                <w:highlight w:val="none"/>
              </w:rPr>
              <w:t>提高学生学习生活环境质量，促进教育教学质量提高，使学生在健康快乐的环境中学习成长。</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参与培训教师人数</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＝12人</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资金按期拨付率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公用经费享受比例</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公用经费标准</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=6000元/生/年</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维护学校正常运转能力</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家长满意度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学生满意度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bl>
    <w:p>
      <w:pPr>
        <w:shd w:val="clear"/>
        <w:spacing w:line="600" w:lineRule="exact"/>
        <w:rPr>
          <w:rFonts w:ascii="楷体_GB2312" w:hAnsi="宋体" w:eastAsia="楷体_GB2312" w:cs="宋体"/>
          <w:b/>
          <w:color w:val="auto"/>
          <w:kern w:val="0"/>
          <w:sz w:val="32"/>
          <w:szCs w:val="32"/>
          <w:highlight w:val="none"/>
        </w:rPr>
      </w:pPr>
    </w:p>
    <w:p>
      <w:pPr>
        <w:shd w:val="clear"/>
        <w:spacing w:line="600" w:lineRule="exact"/>
        <w:rPr>
          <w:rFonts w:ascii="楷体_GB2312" w:hAnsi="宋体" w:eastAsia="楷体_GB2312" w:cs="宋体"/>
          <w:b/>
          <w:color w:val="auto"/>
          <w:kern w:val="0"/>
          <w:sz w:val="32"/>
          <w:szCs w:val="32"/>
          <w:highlight w:val="none"/>
        </w:rPr>
      </w:pPr>
    </w:p>
    <w:p>
      <w:pPr>
        <w:keepNext w:val="0"/>
        <w:keepLines w:val="0"/>
        <w:widowControl/>
        <w:suppressLineNumbers w:val="0"/>
        <w:shd w:val="clear"/>
        <w:spacing w:before="0" w:beforeAutospacing="0" w:after="0" w:afterAutospacing="0"/>
        <w:ind w:left="0" w:right="0"/>
        <w:jc w:val="center"/>
        <w:textAlignment w:val="center"/>
        <w:rPr>
          <w:rFonts w:hint="eastAsia" w:ascii="仿宋_GB2312" w:hAnsi="宋体" w:eastAsia="仿宋_GB2312" w:cs="仿宋_GB2312"/>
          <w:b/>
          <w:color w:val="auto"/>
          <w:kern w:val="0"/>
          <w:sz w:val="32"/>
          <w:szCs w:val="32"/>
          <w:highlight w:val="none"/>
          <w:lang w:bidi="ar"/>
        </w:rPr>
      </w:pPr>
      <w:r>
        <w:rPr>
          <w:rFonts w:hint="eastAsia" w:ascii="仿宋_GB2312" w:hAnsi="宋体" w:eastAsia="仿宋_GB2312" w:cs="仿宋_GB2312"/>
          <w:b/>
          <w:color w:val="auto"/>
          <w:kern w:val="0"/>
          <w:sz w:val="32"/>
          <w:szCs w:val="32"/>
          <w:highlight w:val="none"/>
          <w:lang w:bidi="ar"/>
        </w:rPr>
        <w:br w:type="page"/>
      </w:r>
    </w:p>
    <w:tbl>
      <w:tblPr>
        <w:tblStyle w:val="10"/>
        <w:tblpPr w:leftFromText="180" w:rightFromText="180" w:vertAnchor="text" w:horzAnchor="page" w:tblpX="1103" w:tblpY="515"/>
        <w:tblOverlap w:val="never"/>
        <w:tblW w:w="9404" w:type="dxa"/>
        <w:tblInd w:w="0" w:type="dxa"/>
        <w:tblLayout w:type="fixed"/>
        <w:tblCellMar>
          <w:top w:w="0" w:type="dxa"/>
          <w:left w:w="108" w:type="dxa"/>
          <w:bottom w:w="0" w:type="dxa"/>
          <w:right w:w="108" w:type="dxa"/>
        </w:tblCellMar>
      </w:tblPr>
      <w:tblGrid>
        <w:gridCol w:w="811"/>
        <w:gridCol w:w="943"/>
        <w:gridCol w:w="1670"/>
        <w:gridCol w:w="1040"/>
        <w:gridCol w:w="980"/>
        <w:gridCol w:w="580"/>
        <w:gridCol w:w="620"/>
        <w:gridCol w:w="1750"/>
        <w:gridCol w:w="1010"/>
      </w:tblGrid>
      <w:tr>
        <w:tblPrEx>
          <w:tblCellMar>
            <w:top w:w="0" w:type="dxa"/>
            <w:left w:w="108" w:type="dxa"/>
            <w:bottom w:w="0" w:type="dxa"/>
            <w:right w:w="108" w:type="dxa"/>
          </w:tblCellMar>
        </w:tblPrEx>
        <w:trPr>
          <w:trHeight w:val="631" w:hRule="atLeast"/>
        </w:trPr>
        <w:tc>
          <w:tcPr>
            <w:tcW w:w="9404" w:type="dxa"/>
            <w:gridSpan w:val="9"/>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360" w:hRule="atLeast"/>
        </w:trPr>
        <w:tc>
          <w:tcPr>
            <w:tcW w:w="9404" w:type="dxa"/>
            <w:gridSpan w:val="9"/>
            <w:tcBorders>
              <w:top w:val="nil"/>
              <w:left w:val="nil"/>
              <w:bottom w:val="nil"/>
              <w:right w:val="nil"/>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24"/>
                <w:highlight w:val="none"/>
                <w:lang w:eastAsia="zh-Hans"/>
              </w:rPr>
            </w:pPr>
            <w:r>
              <w:rPr>
                <w:rFonts w:hint="eastAsia" w:ascii="宋体" w:hAnsi="宋体" w:cs="宋体"/>
                <w:color w:val="auto"/>
                <w:sz w:val="22"/>
                <w:szCs w:val="22"/>
                <w:highlight w:val="none"/>
                <w:lang w:eastAsia="zh-Hans"/>
              </w:rPr>
              <w:t>（</w:t>
            </w:r>
            <w:r>
              <w:rPr>
                <w:rFonts w:hint="default" w:ascii="宋体" w:hAnsi="宋体" w:cs="宋体"/>
                <w:color w:val="auto"/>
                <w:sz w:val="22"/>
                <w:szCs w:val="22"/>
                <w:highlight w:val="none"/>
                <w:lang w:eastAsia="zh-Hans"/>
              </w:rPr>
              <w:t>202</w:t>
            </w:r>
            <w:r>
              <w:rPr>
                <w:rFonts w:hint="eastAsia" w:ascii="宋体" w:hAnsi="宋体" w:cs="宋体"/>
                <w:color w:val="auto"/>
                <w:sz w:val="22"/>
                <w:szCs w:val="22"/>
                <w:highlight w:val="none"/>
              </w:rPr>
              <w:t>5</w:t>
            </w:r>
            <w:r>
              <w:rPr>
                <w:rFonts w:hint="eastAsia" w:ascii="宋体" w:hAnsi="宋体" w:cs="宋体"/>
                <w:color w:val="auto"/>
                <w:sz w:val="22"/>
                <w:szCs w:val="22"/>
                <w:highlight w:val="none"/>
                <w:lang w:eastAsia="zh-Hans"/>
              </w:rPr>
              <w:t>年）</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650"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呼图壁县第二中学</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369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仿宋_GB2312" w:eastAsia="仿宋_GB2312"/>
                <w:color w:val="auto"/>
                <w:sz w:val="20"/>
                <w:szCs w:val="20"/>
                <w:highlight w:val="none"/>
              </w:rPr>
              <w:t>2025年义务教育阶段特殊教育学校和随班就读残疾学生生均公用经费（县级配套）（非定额）</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夏广志</w:t>
            </w:r>
          </w:p>
        </w:tc>
      </w:tr>
      <w:tr>
        <w:tblPrEx>
          <w:tblCellMar>
            <w:top w:w="0" w:type="dxa"/>
            <w:left w:w="108" w:type="dxa"/>
            <w:bottom w:w="0" w:type="dxa"/>
            <w:right w:w="108" w:type="dxa"/>
          </w:tblCellMar>
        </w:tblPrEx>
        <w:trPr>
          <w:trHeight w:val="69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 ：</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1.18</w:t>
            </w:r>
          </w:p>
        </w:tc>
        <w:tc>
          <w:tcPr>
            <w:tcW w:w="9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1.18</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0</w:t>
            </w:r>
          </w:p>
        </w:tc>
      </w:tr>
      <w:tr>
        <w:tblPrEx>
          <w:tblCellMar>
            <w:top w:w="0" w:type="dxa"/>
            <w:left w:w="108" w:type="dxa"/>
            <w:bottom w:w="0" w:type="dxa"/>
            <w:right w:w="108" w:type="dxa"/>
          </w:tblCellMar>
        </w:tblPrEx>
        <w:trPr>
          <w:trHeight w:val="578"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650" w:type="dxa"/>
            <w:gridSpan w:val="7"/>
            <w:tcBorders>
              <w:top w:val="single" w:color="000000" w:sz="4" w:space="0"/>
              <w:left w:val="nil"/>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left"/>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rPr>
              <w:t>为2025年义务教育阶段特殊教育学校和随班就读残疾学生提供经费保障</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lang w:val="en-US" w:eastAsia="zh-CN"/>
              </w:rPr>
              <w:t>落实城乡统一、重在农村的义务教育经费保障机制，学生享受三免政策。</w:t>
            </w:r>
            <w:r>
              <w:rPr>
                <w:rFonts w:hint="eastAsia" w:ascii="宋体" w:hAnsi="宋体" w:cs="宋体"/>
                <w:color w:val="auto"/>
                <w:sz w:val="18"/>
                <w:szCs w:val="18"/>
                <w:highlight w:val="none"/>
              </w:rPr>
              <w:t>通过开展教师业务培训，促进教师专业成长</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lang w:val="en-US" w:eastAsia="zh-CN"/>
              </w:rPr>
              <w:t>提升教学质量</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rPr>
              <w:t>把教育经费用到最关键处，切实提高教育经费使用效益。</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参与培训教师人数</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＝14人</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资金按期拨付率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公用经费享受比例</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公用经费标准</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=840元/生/年</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维护学校正常运转能力</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家长满意度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学生满意度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bl>
    <w:p>
      <w:pPr>
        <w:shd w:val="clear"/>
        <w:spacing w:line="600" w:lineRule="exact"/>
        <w:rPr>
          <w:rFonts w:ascii="楷体_GB2312" w:hAnsi="宋体" w:eastAsia="楷体_GB2312" w:cs="宋体"/>
          <w:b/>
          <w:color w:val="auto"/>
          <w:kern w:val="0"/>
          <w:sz w:val="32"/>
          <w:szCs w:val="32"/>
          <w:highlight w:val="none"/>
        </w:rPr>
      </w:pPr>
    </w:p>
    <w:p>
      <w:pPr>
        <w:keepNext w:val="0"/>
        <w:keepLines w:val="0"/>
        <w:widowControl/>
        <w:suppressLineNumbers w:val="0"/>
        <w:shd w:val="clear"/>
        <w:spacing w:before="0" w:beforeAutospacing="0" w:after="0" w:afterAutospacing="0"/>
        <w:ind w:left="0" w:right="0"/>
        <w:jc w:val="center"/>
        <w:textAlignment w:val="center"/>
        <w:rPr>
          <w:rFonts w:hint="eastAsia" w:ascii="仿宋_GB2312" w:hAnsi="宋体" w:eastAsia="仿宋_GB2312" w:cs="仿宋_GB2312"/>
          <w:b/>
          <w:color w:val="auto"/>
          <w:kern w:val="0"/>
          <w:sz w:val="32"/>
          <w:szCs w:val="32"/>
          <w:highlight w:val="none"/>
          <w:lang w:bidi="ar"/>
        </w:rPr>
      </w:pPr>
      <w:r>
        <w:rPr>
          <w:rFonts w:hint="eastAsia" w:ascii="仿宋_GB2312" w:hAnsi="宋体" w:eastAsia="仿宋_GB2312" w:cs="仿宋_GB2312"/>
          <w:b/>
          <w:color w:val="auto"/>
          <w:kern w:val="0"/>
          <w:sz w:val="32"/>
          <w:szCs w:val="32"/>
          <w:highlight w:val="none"/>
          <w:lang w:bidi="ar"/>
        </w:rPr>
        <w:br w:type="page"/>
      </w:r>
    </w:p>
    <w:tbl>
      <w:tblPr>
        <w:tblStyle w:val="10"/>
        <w:tblpPr w:leftFromText="180" w:rightFromText="180" w:vertAnchor="text" w:horzAnchor="page" w:tblpX="1103" w:tblpY="515"/>
        <w:tblOverlap w:val="never"/>
        <w:tblW w:w="9404" w:type="dxa"/>
        <w:tblInd w:w="0" w:type="dxa"/>
        <w:tblLayout w:type="fixed"/>
        <w:tblCellMar>
          <w:top w:w="0" w:type="dxa"/>
          <w:left w:w="108" w:type="dxa"/>
          <w:bottom w:w="0" w:type="dxa"/>
          <w:right w:w="108" w:type="dxa"/>
        </w:tblCellMar>
      </w:tblPr>
      <w:tblGrid>
        <w:gridCol w:w="811"/>
        <w:gridCol w:w="943"/>
        <w:gridCol w:w="1670"/>
        <w:gridCol w:w="1040"/>
        <w:gridCol w:w="980"/>
        <w:gridCol w:w="580"/>
        <w:gridCol w:w="620"/>
        <w:gridCol w:w="1750"/>
        <w:gridCol w:w="1010"/>
      </w:tblGrid>
      <w:tr>
        <w:tblPrEx>
          <w:tblCellMar>
            <w:top w:w="0" w:type="dxa"/>
            <w:left w:w="108" w:type="dxa"/>
            <w:bottom w:w="0" w:type="dxa"/>
            <w:right w:w="108" w:type="dxa"/>
          </w:tblCellMar>
        </w:tblPrEx>
        <w:trPr>
          <w:trHeight w:val="631" w:hRule="atLeast"/>
        </w:trPr>
        <w:tc>
          <w:tcPr>
            <w:tcW w:w="9404" w:type="dxa"/>
            <w:gridSpan w:val="9"/>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360" w:hRule="atLeast"/>
        </w:trPr>
        <w:tc>
          <w:tcPr>
            <w:tcW w:w="9404" w:type="dxa"/>
            <w:gridSpan w:val="9"/>
            <w:tcBorders>
              <w:top w:val="nil"/>
              <w:left w:val="nil"/>
              <w:bottom w:val="nil"/>
              <w:right w:val="nil"/>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24"/>
                <w:highlight w:val="none"/>
                <w:lang w:eastAsia="zh-Hans"/>
              </w:rPr>
            </w:pPr>
            <w:r>
              <w:rPr>
                <w:rFonts w:hint="eastAsia" w:ascii="宋体" w:hAnsi="宋体" w:cs="宋体"/>
                <w:color w:val="auto"/>
                <w:sz w:val="22"/>
                <w:szCs w:val="22"/>
                <w:highlight w:val="none"/>
                <w:lang w:eastAsia="zh-Hans"/>
              </w:rPr>
              <w:t>（</w:t>
            </w:r>
            <w:r>
              <w:rPr>
                <w:rFonts w:hint="default" w:ascii="宋体" w:hAnsi="宋体" w:cs="宋体"/>
                <w:color w:val="auto"/>
                <w:sz w:val="22"/>
                <w:szCs w:val="22"/>
                <w:highlight w:val="none"/>
                <w:lang w:eastAsia="zh-Hans"/>
              </w:rPr>
              <w:t>202</w:t>
            </w:r>
            <w:r>
              <w:rPr>
                <w:rFonts w:hint="eastAsia" w:ascii="宋体" w:hAnsi="宋体" w:cs="宋体"/>
                <w:color w:val="auto"/>
                <w:sz w:val="22"/>
                <w:szCs w:val="22"/>
                <w:highlight w:val="none"/>
              </w:rPr>
              <w:t>5</w:t>
            </w:r>
            <w:r>
              <w:rPr>
                <w:rFonts w:hint="eastAsia" w:ascii="宋体" w:hAnsi="宋体" w:cs="宋体"/>
                <w:color w:val="auto"/>
                <w:sz w:val="22"/>
                <w:szCs w:val="22"/>
                <w:highlight w:val="none"/>
                <w:lang w:eastAsia="zh-Hans"/>
              </w:rPr>
              <w:t>年）</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预算单位</w:t>
            </w:r>
          </w:p>
        </w:tc>
        <w:tc>
          <w:tcPr>
            <w:tcW w:w="7650"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呼图壁县第二中学</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项目名称</w:t>
            </w:r>
          </w:p>
        </w:tc>
        <w:tc>
          <w:tcPr>
            <w:tcW w:w="369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2025年中央城乡义务教育补助经费-公用经费</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项目负责人</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夏广志</w:t>
            </w:r>
          </w:p>
        </w:tc>
      </w:tr>
      <w:tr>
        <w:tblPrEx>
          <w:tblCellMar>
            <w:top w:w="0" w:type="dxa"/>
            <w:left w:w="108" w:type="dxa"/>
            <w:bottom w:w="0" w:type="dxa"/>
            <w:right w:w="108" w:type="dxa"/>
          </w:tblCellMar>
        </w:tblPrEx>
        <w:trPr>
          <w:trHeight w:val="69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项目资金（万元）</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年度预算总额 ：</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165.21</w:t>
            </w:r>
          </w:p>
        </w:tc>
        <w:tc>
          <w:tcPr>
            <w:tcW w:w="980" w:type="dxa"/>
            <w:tcBorders>
              <w:top w:val="single" w:color="000000" w:sz="4" w:space="0"/>
              <w:left w:val="nil"/>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其中：财政拨款</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165.21</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其他资金：</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0</w:t>
            </w:r>
          </w:p>
        </w:tc>
      </w:tr>
      <w:tr>
        <w:tblPrEx>
          <w:tblCellMar>
            <w:top w:w="0" w:type="dxa"/>
            <w:left w:w="108" w:type="dxa"/>
            <w:bottom w:w="0" w:type="dxa"/>
            <w:right w:w="108" w:type="dxa"/>
          </w:tblCellMar>
        </w:tblPrEx>
        <w:trPr>
          <w:trHeight w:val="578"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项目总体目标</w:t>
            </w:r>
          </w:p>
        </w:tc>
        <w:tc>
          <w:tcPr>
            <w:tcW w:w="7650" w:type="dxa"/>
            <w:gridSpan w:val="7"/>
            <w:tcBorders>
              <w:top w:val="single" w:color="000000" w:sz="4" w:space="0"/>
              <w:left w:val="nil"/>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rPr>
              <w:t>为2025年义务教育阶段特殊教育学校和随班就读残疾学生提供经费保障</w:t>
            </w:r>
            <w:r>
              <w:rPr>
                <w:rFonts w:hint="eastAsia" w:ascii="宋体" w:hAnsi="宋体" w:cs="宋体"/>
                <w:color w:val="auto"/>
                <w:sz w:val="18"/>
                <w:szCs w:val="18"/>
                <w:highlight w:val="none"/>
                <w:lang w:eastAsia="zh-CN"/>
              </w:rPr>
              <w:t>，</w:t>
            </w:r>
            <w:r>
              <w:rPr>
                <w:rFonts w:hint="eastAsia" w:ascii="宋体" w:hAnsi="宋体" w:cs="宋体"/>
                <w:i w:val="0"/>
                <w:iCs w:val="0"/>
                <w:color w:val="000000"/>
                <w:sz w:val="20"/>
                <w:szCs w:val="20"/>
                <w:highlight w:val="none"/>
                <w:u w:val="none"/>
                <w:lang w:val="en-US" w:eastAsia="zh-CN"/>
              </w:rPr>
              <w:t>落实城乡统一、重在农村的义务教育经费保障机制，学生享受三免政策。</w:t>
            </w:r>
            <w:r>
              <w:rPr>
                <w:rFonts w:hint="eastAsia" w:ascii="宋体" w:hAnsi="宋体" w:eastAsia="宋体" w:cs="宋体"/>
                <w:i w:val="0"/>
                <w:iCs w:val="0"/>
                <w:color w:val="000000"/>
                <w:sz w:val="20"/>
                <w:szCs w:val="20"/>
                <w:highlight w:val="none"/>
                <w:u w:val="none"/>
              </w:rPr>
              <w:t>通过开展教师业务培训，促进教师专业成长</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提升教学质量</w:t>
            </w:r>
            <w:r>
              <w:rPr>
                <w:rFonts w:hint="eastAsia" w:ascii="宋体" w:hAnsi="宋体" w:cs="宋体"/>
                <w:i w:val="0"/>
                <w:iCs w:val="0"/>
                <w:color w:val="000000"/>
                <w:sz w:val="20"/>
                <w:szCs w:val="20"/>
                <w:highlight w:val="none"/>
                <w:u w:val="none"/>
                <w:lang w:eastAsia="zh-CN"/>
              </w:rPr>
              <w:t>。</w:t>
            </w:r>
            <w:r>
              <w:rPr>
                <w:rFonts w:hint="eastAsia"/>
                <w:color w:val="000000"/>
                <w:sz w:val="20"/>
                <w:szCs w:val="20"/>
                <w:highlight w:val="none"/>
              </w:rPr>
              <w:t>把教育经费用到最关键处，切实提高教育经费使用效益。</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一级指标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二级指标</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三级指标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指标值</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指标值设置依据</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上年完成值</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指标分值权重</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指标赋分规则</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b/>
                <w:bCs/>
                <w:color w:val="auto"/>
                <w:sz w:val="18"/>
                <w:szCs w:val="18"/>
                <w:highlight w:val="none"/>
              </w:rPr>
            </w:pPr>
            <w:r>
              <w:rPr>
                <w:rFonts w:hint="eastAsia" w:ascii="宋体" w:hAnsi="宋体" w:cs="宋体"/>
                <w:b/>
                <w:bCs/>
                <w:color w:val="auto"/>
                <w:sz w:val="18"/>
                <w:szCs w:val="18"/>
                <w:highlight w:val="none"/>
              </w:rPr>
              <w:t>佐证资料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产出指标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数量指标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参与培训教师人数</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＝1724人</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nil"/>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质量指标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资金按期拨付率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时效指标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公用经费享受比例</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成本指标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经济成本指标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公用经费标准</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=940元/生/年</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社会效益指标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维护学校正常运转能力</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r>
        <w:tblPrEx>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满意度指标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家长满意度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r>
        <w:tblPrEx>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default" w:ascii="宋体" w:hAnsi="宋体" w:cs="宋体"/>
                <w:color w:val="auto"/>
                <w:sz w:val="18"/>
                <w:szCs w:val="18"/>
                <w:highlight w:val="none"/>
              </w:rPr>
              <w:t>学生满意度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lang w:val="en-US" w:eastAsia="zh-CN"/>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工作资料</w:t>
            </w:r>
          </w:p>
        </w:tc>
      </w:tr>
    </w:tbl>
    <w:p>
      <w:pPr>
        <w:shd w:val="clear"/>
        <w:spacing w:line="600" w:lineRule="exact"/>
        <w:rPr>
          <w:rFonts w:ascii="楷体_GB2312" w:hAnsi="宋体" w:eastAsia="楷体_GB2312" w:cs="宋体"/>
          <w:b/>
          <w:color w:val="auto"/>
          <w:kern w:val="0"/>
          <w:sz w:val="32"/>
          <w:szCs w:val="32"/>
          <w:highlight w:val="none"/>
        </w:rPr>
      </w:pPr>
    </w:p>
    <w:p>
      <w:pPr>
        <w:pStyle w:val="9"/>
        <w:shd w:val="clear"/>
        <w:ind w:firstLine="643"/>
        <w:rPr>
          <w:rFonts w:ascii="楷体_GB2312" w:hAnsi="宋体" w:eastAsia="楷体_GB2312" w:cs="宋体"/>
          <w:b/>
          <w:color w:val="auto"/>
          <w:kern w:val="0"/>
          <w:sz w:val="32"/>
          <w:szCs w:val="32"/>
          <w:highlight w:val="none"/>
        </w:rPr>
      </w:pPr>
    </w:p>
    <w:p>
      <w:pPr>
        <w:keepNext w:val="0"/>
        <w:keepLines w:val="0"/>
        <w:widowControl/>
        <w:suppressLineNumbers w:val="0"/>
        <w:shd w:val="clear"/>
        <w:spacing w:before="0" w:beforeAutospacing="0" w:after="0" w:afterAutospacing="0"/>
        <w:ind w:left="0" w:right="0"/>
        <w:jc w:val="center"/>
        <w:textAlignment w:val="center"/>
        <w:rPr>
          <w:rFonts w:hint="eastAsia" w:ascii="仿宋_GB2312" w:hAnsi="宋体" w:eastAsia="仿宋_GB2312" w:cs="仿宋_GB2312"/>
          <w:b/>
          <w:color w:val="auto"/>
          <w:kern w:val="0"/>
          <w:sz w:val="32"/>
          <w:szCs w:val="32"/>
          <w:highlight w:val="none"/>
          <w:lang w:bidi="ar"/>
        </w:rPr>
      </w:pPr>
      <w:r>
        <w:rPr>
          <w:rFonts w:hint="eastAsia" w:ascii="仿宋_GB2312" w:hAnsi="宋体" w:eastAsia="仿宋_GB2312" w:cs="仿宋_GB2312"/>
          <w:b/>
          <w:color w:val="auto"/>
          <w:kern w:val="0"/>
          <w:sz w:val="32"/>
          <w:szCs w:val="32"/>
          <w:highlight w:val="none"/>
          <w:lang w:bidi="ar"/>
        </w:rPr>
        <w:br w:type="page"/>
      </w:r>
    </w:p>
    <w:tbl>
      <w:tblPr>
        <w:tblStyle w:val="10"/>
        <w:tblpPr w:leftFromText="180" w:rightFromText="180" w:vertAnchor="text" w:horzAnchor="page" w:tblpX="1103" w:tblpY="515"/>
        <w:tblOverlap w:val="never"/>
        <w:tblW w:w="9404" w:type="dxa"/>
        <w:tblInd w:w="0" w:type="dxa"/>
        <w:tblLayout w:type="fixed"/>
        <w:tblCellMar>
          <w:top w:w="0" w:type="dxa"/>
          <w:left w:w="108" w:type="dxa"/>
          <w:bottom w:w="0" w:type="dxa"/>
          <w:right w:w="108" w:type="dxa"/>
        </w:tblCellMar>
      </w:tblPr>
      <w:tblGrid>
        <w:gridCol w:w="811"/>
        <w:gridCol w:w="943"/>
        <w:gridCol w:w="1670"/>
        <w:gridCol w:w="1040"/>
        <w:gridCol w:w="980"/>
        <w:gridCol w:w="580"/>
        <w:gridCol w:w="620"/>
        <w:gridCol w:w="1750"/>
        <w:gridCol w:w="1010"/>
      </w:tblGrid>
      <w:tr>
        <w:tblPrEx>
          <w:tblCellMar>
            <w:top w:w="0" w:type="dxa"/>
            <w:left w:w="108" w:type="dxa"/>
            <w:bottom w:w="0" w:type="dxa"/>
            <w:right w:w="108" w:type="dxa"/>
          </w:tblCellMar>
        </w:tblPrEx>
        <w:trPr>
          <w:trHeight w:val="631" w:hRule="atLeast"/>
        </w:trPr>
        <w:tc>
          <w:tcPr>
            <w:tcW w:w="9404" w:type="dxa"/>
            <w:gridSpan w:val="9"/>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360" w:hRule="atLeast"/>
        </w:trPr>
        <w:tc>
          <w:tcPr>
            <w:tcW w:w="9404" w:type="dxa"/>
            <w:gridSpan w:val="9"/>
            <w:tcBorders>
              <w:top w:val="nil"/>
              <w:left w:val="nil"/>
              <w:bottom w:val="nil"/>
              <w:right w:val="nil"/>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24"/>
                <w:highlight w:val="none"/>
                <w:lang w:eastAsia="zh-Hans"/>
              </w:rPr>
            </w:pPr>
            <w:r>
              <w:rPr>
                <w:rFonts w:hint="eastAsia" w:ascii="宋体" w:hAnsi="宋体" w:cs="宋体"/>
                <w:color w:val="auto"/>
                <w:sz w:val="22"/>
                <w:szCs w:val="22"/>
                <w:highlight w:val="none"/>
                <w:lang w:eastAsia="zh-Hans"/>
              </w:rPr>
              <w:t>（</w:t>
            </w:r>
            <w:r>
              <w:rPr>
                <w:rFonts w:hint="default" w:ascii="宋体" w:hAnsi="宋体" w:cs="宋体"/>
                <w:color w:val="auto"/>
                <w:sz w:val="22"/>
                <w:szCs w:val="22"/>
                <w:highlight w:val="none"/>
                <w:lang w:eastAsia="zh-Hans"/>
              </w:rPr>
              <w:t>202</w:t>
            </w:r>
            <w:r>
              <w:rPr>
                <w:rFonts w:hint="eastAsia" w:ascii="宋体" w:hAnsi="宋体" w:cs="宋体"/>
                <w:color w:val="auto"/>
                <w:sz w:val="22"/>
                <w:szCs w:val="22"/>
                <w:highlight w:val="none"/>
              </w:rPr>
              <w:t>5</w:t>
            </w:r>
            <w:r>
              <w:rPr>
                <w:rFonts w:hint="eastAsia" w:ascii="宋体" w:hAnsi="宋体" w:cs="宋体"/>
                <w:color w:val="auto"/>
                <w:sz w:val="22"/>
                <w:szCs w:val="22"/>
                <w:highlight w:val="none"/>
                <w:lang w:eastAsia="zh-Hans"/>
              </w:rPr>
              <w:t>年）</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650"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呼图壁县第二中学</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369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仿宋_GB2312" w:eastAsia="仿宋_GB2312"/>
                <w:color w:val="auto"/>
                <w:sz w:val="20"/>
                <w:szCs w:val="20"/>
                <w:highlight w:val="none"/>
              </w:rPr>
              <w:t>2025年寄宿生生活补助（非定额）</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夏广志</w:t>
            </w:r>
          </w:p>
        </w:tc>
      </w:tr>
      <w:tr>
        <w:tblPrEx>
          <w:tblCellMar>
            <w:top w:w="0" w:type="dxa"/>
            <w:left w:w="108" w:type="dxa"/>
            <w:bottom w:w="0" w:type="dxa"/>
            <w:right w:w="108" w:type="dxa"/>
          </w:tblCellMar>
        </w:tblPrEx>
        <w:trPr>
          <w:trHeight w:val="69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 ：</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2.36</w:t>
            </w:r>
          </w:p>
        </w:tc>
        <w:tc>
          <w:tcPr>
            <w:tcW w:w="9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2.36</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0</w:t>
            </w:r>
          </w:p>
        </w:tc>
      </w:tr>
      <w:tr>
        <w:tblPrEx>
          <w:tblCellMar>
            <w:top w:w="0" w:type="dxa"/>
            <w:left w:w="108" w:type="dxa"/>
            <w:bottom w:w="0" w:type="dxa"/>
            <w:right w:w="108" w:type="dxa"/>
          </w:tblCellMar>
        </w:tblPrEx>
        <w:trPr>
          <w:trHeight w:val="578"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650" w:type="dxa"/>
            <w:gridSpan w:val="7"/>
            <w:tcBorders>
              <w:top w:val="single" w:color="000000" w:sz="4" w:space="0"/>
              <w:left w:val="nil"/>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left"/>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rPr>
              <w:t>为寄宿生提供生活补助，提供资金保障</w:t>
            </w:r>
            <w:r>
              <w:rPr>
                <w:rFonts w:hint="eastAsia" w:ascii="宋体" w:hAnsi="宋体" w:cs="宋体"/>
                <w:color w:val="auto"/>
                <w:sz w:val="18"/>
                <w:szCs w:val="18"/>
                <w:highlight w:val="none"/>
                <w:lang w:eastAsia="zh-CN"/>
              </w:rPr>
              <w:t>，</w:t>
            </w:r>
            <w:r>
              <w:rPr>
                <w:rFonts w:hint="eastAsia"/>
                <w:color w:val="000000"/>
                <w:sz w:val="18"/>
                <w:szCs w:val="18"/>
                <w:highlight w:val="none"/>
              </w:rPr>
              <w:t>促进教育均衡发展，改善家庭困难寄宿学生生活质量。</w:t>
            </w:r>
            <w:r>
              <w:rPr>
                <w:rFonts w:hint="eastAsia" w:ascii="宋体" w:hAnsi="宋体" w:cs="宋体"/>
                <w:i w:val="0"/>
                <w:iCs w:val="0"/>
                <w:color w:val="000000"/>
                <w:sz w:val="20"/>
                <w:szCs w:val="20"/>
                <w:highlight w:val="none"/>
                <w:u w:val="none"/>
                <w:lang w:val="en-US" w:eastAsia="zh-CN"/>
              </w:rPr>
              <w:t>落实城乡统一、重在农村的义务教育经费保障机制，学生享受三免政策。</w:t>
            </w:r>
            <w:r>
              <w:rPr>
                <w:rFonts w:hint="eastAsia" w:ascii="宋体" w:hAnsi="宋体" w:eastAsia="宋体" w:cs="宋体"/>
                <w:i w:val="0"/>
                <w:iCs w:val="0"/>
                <w:color w:val="000000"/>
                <w:sz w:val="20"/>
                <w:szCs w:val="20"/>
                <w:highlight w:val="none"/>
                <w:u w:val="none"/>
              </w:rPr>
              <w:t>通过开展教师业务培训，促进教师专业成长</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提升教学质量</w:t>
            </w:r>
            <w:r>
              <w:rPr>
                <w:rFonts w:hint="eastAsia" w:ascii="宋体" w:hAnsi="宋体" w:cs="宋体"/>
                <w:i w:val="0"/>
                <w:iCs w:val="0"/>
                <w:color w:val="000000"/>
                <w:sz w:val="20"/>
                <w:szCs w:val="20"/>
                <w:highlight w:val="none"/>
                <w:u w:val="none"/>
                <w:lang w:eastAsia="zh-CN"/>
              </w:rPr>
              <w:t>。</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参与培训教师人数</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＝105人</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资金按期拨付率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公用经费享受比例</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公用经费标准</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=225元/生/期</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维护学校正常运转能力</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家长满意度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学生满意度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bl>
    <w:p>
      <w:pPr>
        <w:shd w:val="clear"/>
        <w:spacing w:line="600" w:lineRule="exact"/>
        <w:rPr>
          <w:rFonts w:ascii="楷体_GB2312" w:hAnsi="宋体" w:eastAsia="楷体_GB2312" w:cs="宋体"/>
          <w:b/>
          <w:color w:val="auto"/>
          <w:kern w:val="0"/>
          <w:sz w:val="32"/>
          <w:szCs w:val="32"/>
          <w:highlight w:val="none"/>
        </w:rPr>
      </w:pPr>
    </w:p>
    <w:p>
      <w:pPr>
        <w:shd w:val="clear"/>
        <w:spacing w:line="600" w:lineRule="exact"/>
        <w:rPr>
          <w:rFonts w:ascii="楷体_GB2312" w:hAnsi="宋体" w:eastAsia="楷体_GB2312" w:cs="宋体"/>
          <w:b/>
          <w:color w:val="auto"/>
          <w:kern w:val="0"/>
          <w:sz w:val="32"/>
          <w:szCs w:val="32"/>
          <w:highlight w:val="none"/>
        </w:rPr>
      </w:pPr>
    </w:p>
    <w:p>
      <w:pPr>
        <w:keepNext w:val="0"/>
        <w:keepLines w:val="0"/>
        <w:widowControl/>
        <w:suppressLineNumbers w:val="0"/>
        <w:shd w:val="clear"/>
        <w:spacing w:before="0" w:beforeAutospacing="0" w:after="0" w:afterAutospacing="0"/>
        <w:ind w:left="0" w:right="0"/>
        <w:jc w:val="center"/>
        <w:textAlignment w:val="center"/>
        <w:rPr>
          <w:rFonts w:hint="eastAsia" w:ascii="仿宋_GB2312" w:hAnsi="宋体" w:eastAsia="仿宋_GB2312" w:cs="仿宋_GB2312"/>
          <w:b/>
          <w:color w:val="auto"/>
          <w:kern w:val="0"/>
          <w:sz w:val="32"/>
          <w:szCs w:val="32"/>
          <w:highlight w:val="none"/>
          <w:lang w:bidi="ar"/>
        </w:rPr>
      </w:pPr>
      <w:r>
        <w:rPr>
          <w:rFonts w:hint="eastAsia" w:ascii="仿宋_GB2312" w:hAnsi="宋体" w:eastAsia="仿宋_GB2312" w:cs="仿宋_GB2312"/>
          <w:b/>
          <w:color w:val="auto"/>
          <w:kern w:val="0"/>
          <w:sz w:val="32"/>
          <w:szCs w:val="32"/>
          <w:highlight w:val="none"/>
          <w:lang w:bidi="ar"/>
        </w:rPr>
        <w:br w:type="page"/>
      </w:r>
    </w:p>
    <w:tbl>
      <w:tblPr>
        <w:tblStyle w:val="10"/>
        <w:tblpPr w:leftFromText="180" w:rightFromText="180" w:vertAnchor="text" w:horzAnchor="page" w:tblpX="1103" w:tblpY="515"/>
        <w:tblOverlap w:val="never"/>
        <w:tblW w:w="9404" w:type="dxa"/>
        <w:tblInd w:w="0" w:type="dxa"/>
        <w:tblLayout w:type="fixed"/>
        <w:tblCellMar>
          <w:top w:w="0" w:type="dxa"/>
          <w:left w:w="108" w:type="dxa"/>
          <w:bottom w:w="0" w:type="dxa"/>
          <w:right w:w="108" w:type="dxa"/>
        </w:tblCellMar>
      </w:tblPr>
      <w:tblGrid>
        <w:gridCol w:w="811"/>
        <w:gridCol w:w="943"/>
        <w:gridCol w:w="1670"/>
        <w:gridCol w:w="1040"/>
        <w:gridCol w:w="980"/>
        <w:gridCol w:w="580"/>
        <w:gridCol w:w="620"/>
        <w:gridCol w:w="1750"/>
        <w:gridCol w:w="1010"/>
      </w:tblGrid>
      <w:tr>
        <w:tblPrEx>
          <w:tblCellMar>
            <w:top w:w="0" w:type="dxa"/>
            <w:left w:w="108" w:type="dxa"/>
            <w:bottom w:w="0" w:type="dxa"/>
            <w:right w:w="108" w:type="dxa"/>
          </w:tblCellMar>
        </w:tblPrEx>
        <w:trPr>
          <w:trHeight w:val="631" w:hRule="atLeast"/>
        </w:trPr>
        <w:tc>
          <w:tcPr>
            <w:tcW w:w="9404" w:type="dxa"/>
            <w:gridSpan w:val="9"/>
            <w:tcBorders>
              <w:top w:val="nil"/>
              <w:left w:val="nil"/>
              <w:bottom w:val="nil"/>
              <w:right w:val="nil"/>
            </w:tcBorders>
            <w:vAlign w:val="center"/>
          </w:tcPr>
          <w:p>
            <w:pPr>
              <w:keepNext w:val="0"/>
              <w:keepLines w:val="0"/>
              <w:widowControl/>
              <w:suppressLineNumbers w:val="0"/>
              <w:shd w:val="clear"/>
              <w:spacing w:before="0" w:beforeAutospacing="0" w:after="0" w:afterAutospacing="0"/>
              <w:ind w:left="0" w:right="0"/>
              <w:jc w:val="center"/>
              <w:textAlignment w:val="center"/>
              <w:rPr>
                <w:rFonts w:hint="eastAsia" w:ascii="仿宋_GB2312" w:hAnsi="宋体" w:eastAsia="仿宋_GB2312" w:cs="仿宋_GB2312"/>
                <w:b/>
                <w:color w:val="auto"/>
                <w:kern w:val="0"/>
                <w:sz w:val="32"/>
                <w:szCs w:val="32"/>
                <w:highlight w:val="none"/>
                <w:lang w:bidi="ar"/>
              </w:rPr>
            </w:pPr>
          </w:p>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360" w:hRule="atLeast"/>
        </w:trPr>
        <w:tc>
          <w:tcPr>
            <w:tcW w:w="9404" w:type="dxa"/>
            <w:gridSpan w:val="9"/>
            <w:tcBorders>
              <w:top w:val="nil"/>
              <w:left w:val="nil"/>
              <w:bottom w:val="nil"/>
              <w:right w:val="nil"/>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24"/>
                <w:highlight w:val="none"/>
                <w:lang w:eastAsia="zh-Hans"/>
              </w:rPr>
            </w:pPr>
            <w:r>
              <w:rPr>
                <w:rFonts w:hint="eastAsia" w:ascii="宋体" w:hAnsi="宋体" w:cs="宋体"/>
                <w:color w:val="auto"/>
                <w:sz w:val="22"/>
                <w:szCs w:val="22"/>
                <w:highlight w:val="none"/>
                <w:lang w:eastAsia="zh-Hans"/>
              </w:rPr>
              <w:t>（</w:t>
            </w:r>
            <w:r>
              <w:rPr>
                <w:rFonts w:hint="default" w:ascii="宋体" w:hAnsi="宋体" w:cs="宋体"/>
                <w:color w:val="auto"/>
                <w:sz w:val="22"/>
                <w:szCs w:val="22"/>
                <w:highlight w:val="none"/>
                <w:lang w:eastAsia="zh-Hans"/>
              </w:rPr>
              <w:t>202</w:t>
            </w:r>
            <w:r>
              <w:rPr>
                <w:rFonts w:hint="eastAsia" w:ascii="宋体" w:hAnsi="宋体" w:cs="宋体"/>
                <w:color w:val="auto"/>
                <w:sz w:val="22"/>
                <w:szCs w:val="22"/>
                <w:highlight w:val="none"/>
              </w:rPr>
              <w:t>5</w:t>
            </w:r>
            <w:r>
              <w:rPr>
                <w:rFonts w:hint="eastAsia" w:ascii="宋体" w:hAnsi="宋体" w:cs="宋体"/>
                <w:color w:val="auto"/>
                <w:sz w:val="22"/>
                <w:szCs w:val="22"/>
                <w:highlight w:val="none"/>
                <w:lang w:eastAsia="zh-Hans"/>
              </w:rPr>
              <w:t>年）</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650"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呼图壁县第二中学</w:t>
            </w:r>
          </w:p>
        </w:tc>
      </w:tr>
      <w:tr>
        <w:tblPrEx>
          <w:tblCellMar>
            <w:top w:w="0" w:type="dxa"/>
            <w:left w:w="108" w:type="dxa"/>
            <w:bottom w:w="0" w:type="dxa"/>
            <w:right w:w="108" w:type="dxa"/>
          </w:tblCellMar>
        </w:tblPrEx>
        <w:trPr>
          <w:trHeight w:val="61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369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仿宋_GB2312" w:eastAsia="仿宋_GB2312"/>
                <w:color w:val="auto"/>
                <w:sz w:val="20"/>
                <w:szCs w:val="20"/>
                <w:highlight w:val="none"/>
              </w:rPr>
              <w:t>2025年非寄宿生生活补助（非定额）</w:t>
            </w: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夏广志</w:t>
            </w:r>
          </w:p>
        </w:tc>
      </w:tr>
      <w:tr>
        <w:trPr>
          <w:trHeight w:val="699"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 ：</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5.47</w:t>
            </w:r>
          </w:p>
        </w:tc>
        <w:tc>
          <w:tcPr>
            <w:tcW w:w="9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5.47</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7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r>
              <w:rPr>
                <w:rFonts w:hint="eastAsia" w:ascii="宋体" w:hAnsi="宋体" w:cs="宋体"/>
                <w:color w:val="auto"/>
                <w:sz w:val="18"/>
                <w:szCs w:val="18"/>
                <w:highlight w:val="none"/>
              </w:rPr>
              <w:t>0</w:t>
            </w:r>
          </w:p>
        </w:tc>
      </w:tr>
      <w:tr>
        <w:tblPrEx>
          <w:tblCellMar>
            <w:top w:w="0" w:type="dxa"/>
            <w:left w:w="108" w:type="dxa"/>
            <w:bottom w:w="0" w:type="dxa"/>
            <w:right w:w="108" w:type="dxa"/>
          </w:tblCellMar>
        </w:tblPrEx>
        <w:trPr>
          <w:trHeight w:val="578" w:hRule="atLeast"/>
        </w:trPr>
        <w:tc>
          <w:tcPr>
            <w:tcW w:w="175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650" w:type="dxa"/>
            <w:gridSpan w:val="7"/>
            <w:tcBorders>
              <w:top w:val="single" w:color="000000" w:sz="4" w:space="0"/>
              <w:left w:val="nil"/>
              <w:bottom w:val="single" w:color="000000" w:sz="4" w:space="0"/>
              <w:right w:val="single" w:color="000000" w:sz="4" w:space="0"/>
            </w:tcBorders>
          </w:tcPr>
          <w:p>
            <w:pPr>
              <w:keepNext w:val="0"/>
              <w:keepLines w:val="0"/>
              <w:suppressLineNumbers w:val="0"/>
              <w:shd w:val="clear"/>
              <w:spacing w:before="0" w:beforeAutospacing="0" w:after="0" w:afterAutospacing="0"/>
              <w:ind w:left="0" w:right="0"/>
              <w:jc w:val="left"/>
              <w:rPr>
                <w:rFonts w:hint="default" w:ascii="宋体" w:hAnsi="宋体" w:cs="宋体"/>
                <w:color w:val="auto"/>
                <w:sz w:val="18"/>
                <w:szCs w:val="18"/>
                <w:highlight w:val="none"/>
              </w:rPr>
            </w:pPr>
            <w:r>
              <w:rPr>
                <w:rFonts w:hint="eastAsia"/>
                <w:color w:val="000000"/>
                <w:sz w:val="18"/>
                <w:szCs w:val="18"/>
                <w:highlight w:val="none"/>
              </w:rPr>
              <w:t>促进教育均衡发展，改善家庭困难寄宿学生生活质量。</w:t>
            </w:r>
            <w:r>
              <w:rPr>
                <w:rFonts w:hint="eastAsia" w:ascii="宋体" w:hAnsi="宋体" w:cs="宋体"/>
                <w:i w:val="0"/>
                <w:iCs w:val="0"/>
                <w:color w:val="000000"/>
                <w:sz w:val="20"/>
                <w:szCs w:val="20"/>
                <w:highlight w:val="none"/>
                <w:u w:val="none"/>
                <w:lang w:val="en-US" w:eastAsia="zh-CN"/>
              </w:rPr>
              <w:t>落实城乡统一、重在农村的义务教育经费保障机制，学生享受三免政策。</w:t>
            </w:r>
            <w:r>
              <w:rPr>
                <w:rFonts w:hint="eastAsia" w:ascii="宋体" w:hAnsi="宋体" w:eastAsia="宋体" w:cs="宋体"/>
                <w:i w:val="0"/>
                <w:iCs w:val="0"/>
                <w:color w:val="000000"/>
                <w:sz w:val="20"/>
                <w:szCs w:val="20"/>
                <w:highlight w:val="none"/>
                <w:u w:val="none"/>
              </w:rPr>
              <w:t>通过开展教师业务培训，促进教师专业成长</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提升教学质量</w:t>
            </w:r>
            <w:r>
              <w:rPr>
                <w:rFonts w:hint="eastAsia" w:ascii="宋体" w:hAnsi="宋体" w:cs="宋体"/>
                <w:i w:val="0"/>
                <w:iCs w:val="0"/>
                <w:color w:val="000000"/>
                <w:sz w:val="20"/>
                <w:szCs w:val="20"/>
                <w:highlight w:val="none"/>
                <w:u w:val="none"/>
                <w:lang w:eastAsia="zh-CN"/>
              </w:rPr>
              <w:t>。</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6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参与培训教师人数</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＝486人</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资金按期拨付率</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公用经费享受比例</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公用经费标准</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=112.5元/生/期</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hd w:val="clear"/>
              <w:spacing w:before="0" w:beforeAutospacing="0" w:after="0" w:afterAutospacing="0"/>
              <w:ind w:left="0" w:right="0"/>
              <w:jc w:val="center"/>
              <w:rPr>
                <w:rFonts w:hint="default" w:ascii="宋体" w:hAnsi="宋体" w:cs="宋体"/>
                <w:color w:val="auto"/>
                <w:sz w:val="18"/>
                <w:szCs w:val="18"/>
                <w:highlight w:val="none"/>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维护学校正常运转能力</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按照完成比例赋分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家长满意度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r>
        <w:tblPrEx>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p>
        </w:tc>
        <w:tc>
          <w:tcPr>
            <w:tcW w:w="9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满意度指标</w:t>
            </w:r>
          </w:p>
        </w:tc>
        <w:tc>
          <w:tcPr>
            <w:tcW w:w="1670" w:type="dxa"/>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学生满意度</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≥95%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满意度赋分</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spacing w:before="0" w:beforeAutospacing="0" w:after="0" w:afterAutospacing="0"/>
              <w:ind w:left="0" w:right="0"/>
              <w:jc w:val="center"/>
              <w:textAlignment w:val="center"/>
              <w:rPr>
                <w:rFonts w:hint="default"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工作资料</w:t>
            </w:r>
          </w:p>
        </w:tc>
      </w:tr>
    </w:tbl>
    <w:p>
      <w:pPr>
        <w:shd w:val="clear"/>
        <w:spacing w:line="600" w:lineRule="exact"/>
        <w:rPr>
          <w:rFonts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（五）其他需说明的事项</w:t>
      </w:r>
    </w:p>
    <w:p>
      <w:pPr>
        <w:shd w:val="clear"/>
        <w:spacing w:line="600" w:lineRule="exact"/>
        <w:ind w:firstLine="643" w:firstLineChars="200"/>
        <w:rPr>
          <w:rFonts w:ascii="黑体" w:hAnsi="黑体" w:eastAsia="黑体"/>
          <w:color w:val="auto"/>
          <w:kern w:val="0"/>
          <w:sz w:val="32"/>
          <w:szCs w:val="32"/>
          <w:highlight w:val="none"/>
        </w:rPr>
      </w:pPr>
      <w:r>
        <w:rPr>
          <w:rFonts w:hint="eastAsia" w:ascii="楷体_GB2312" w:hAnsi="宋体" w:eastAsia="楷体_GB2312" w:cs="宋体"/>
          <w:b/>
          <w:color w:val="auto"/>
          <w:kern w:val="0"/>
          <w:sz w:val="32"/>
          <w:szCs w:val="32"/>
          <w:highlight w:val="none"/>
        </w:rPr>
        <w:t>无</w:t>
      </w:r>
    </w:p>
    <w:p>
      <w:pPr>
        <w:shd w:val="clear"/>
        <w:spacing w:line="600" w:lineRule="exact"/>
        <w:jc w:val="center"/>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pPr>
        <w:shd w:val="clear"/>
        <w:spacing w:line="600" w:lineRule="exact"/>
        <w:ind w:firstLine="640" w:firstLineChars="200"/>
        <w:rPr>
          <w:rFonts w:ascii="黑体" w:hAnsi="黑体" w:eastAsia="黑体"/>
          <w:color w:val="auto"/>
          <w:sz w:val="32"/>
          <w:szCs w:val="32"/>
          <w:highlight w:val="none"/>
        </w:rPr>
      </w:pP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shd w:val="clear"/>
        <w:spacing w:line="600" w:lineRule="exact"/>
        <w:ind w:firstLine="643" w:firstLineChars="200"/>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部门（单位）支出预算的组成部分，是</w:t>
      </w:r>
      <w:r>
        <w:rPr>
          <w:rFonts w:hint="eastAsia" w:ascii="仿宋_GB2312" w:eastAsia="仿宋_GB2312"/>
          <w:color w:val="auto"/>
          <w:sz w:val="32"/>
          <w:szCs w:val="32"/>
          <w:highlight w:val="none"/>
          <w:lang w:eastAsia="zh-Hans"/>
        </w:rPr>
        <w:t>各</w:t>
      </w:r>
      <w:r>
        <w:rPr>
          <w:rFonts w:hint="eastAsia" w:ascii="仿宋_GB2312" w:eastAsia="仿宋_GB2312"/>
          <w:color w:val="auto"/>
          <w:sz w:val="32"/>
          <w:szCs w:val="32"/>
          <w:highlight w:val="none"/>
        </w:rPr>
        <w:t>部门为完成其特定的行政任务或事业发展目标，在基本支出预算之外编制的年度项目支出计划。</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hd w:val="clear"/>
        <w:spacing w:line="600" w:lineRule="exact"/>
        <w:ind w:firstLine="964" w:firstLineChars="300"/>
        <w:rPr>
          <w:rFonts w:ascii="仿宋_GB2312" w:eastAsia="仿宋_GB2312"/>
          <w:b/>
          <w:color w:val="auto"/>
          <w:sz w:val="32"/>
          <w:szCs w:val="32"/>
          <w:highlight w:val="none"/>
          <w:lang w:eastAsia="zh-Hans"/>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color w:val="auto"/>
          <w:spacing w:val="-11"/>
          <w:sz w:val="32"/>
          <w:szCs w:val="32"/>
          <w:highlight w:val="none"/>
        </w:rPr>
        <w:t>取暖费、办公用房物业管理费、公务用车运行维护费及其他费用。</w:t>
      </w:r>
    </w:p>
    <w:p>
      <w:pPr>
        <w:shd w:val="clear"/>
        <w:spacing w:line="600" w:lineRule="exact"/>
        <w:ind w:firstLine="640" w:firstLineChars="200"/>
        <w:rPr>
          <w:rFonts w:ascii="仿宋_GB2312" w:hAnsi="宋体" w:eastAsia="仿宋_GB2312" w:cs="宋体"/>
          <w:color w:val="auto"/>
          <w:kern w:val="0"/>
          <w:sz w:val="32"/>
          <w:szCs w:val="32"/>
          <w:highlight w:val="none"/>
        </w:rPr>
      </w:pPr>
    </w:p>
    <w:p>
      <w:pPr>
        <w:shd w:val="clear"/>
        <w:spacing w:line="600" w:lineRule="exact"/>
        <w:ind w:firstLine="640" w:firstLineChars="200"/>
        <w:rPr>
          <w:rFonts w:ascii="仿宋_GB2312" w:hAnsi="宋体" w:eastAsia="仿宋_GB2312" w:cs="宋体"/>
          <w:color w:val="auto"/>
          <w:kern w:val="0"/>
          <w:sz w:val="32"/>
          <w:szCs w:val="32"/>
          <w:highlight w:val="none"/>
        </w:rPr>
      </w:pPr>
    </w:p>
    <w:p>
      <w:pPr>
        <w:shd w:val="clear"/>
        <w:spacing w:line="600" w:lineRule="exact"/>
        <w:ind w:firstLine="640" w:firstLineChars="200"/>
        <w:rPr>
          <w:rFonts w:ascii="仿宋_GB2312" w:hAnsi="宋体" w:eastAsia="仿宋_GB2312" w:cs="宋体"/>
          <w:color w:val="auto"/>
          <w:kern w:val="0"/>
          <w:sz w:val="32"/>
          <w:szCs w:val="32"/>
          <w:highlight w:val="none"/>
        </w:rPr>
      </w:pP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呼图壁县第二中学</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2025</w:t>
      </w:r>
      <w:r>
        <w:rPr>
          <w:rFonts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rPr>
        <w:t>2</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rPr>
        <w:t xml:space="preserve"> 12</w:t>
      </w:r>
      <w:r>
        <w:rPr>
          <w:rFonts w:ascii="仿宋_GB2312" w:hAnsi="宋体" w:eastAsia="仿宋_GB2312" w:cs="宋体"/>
          <w:color w:val="auto"/>
          <w:kern w:val="0"/>
          <w:sz w:val="32"/>
          <w:szCs w:val="32"/>
          <w:highlight w:val="none"/>
        </w:rPr>
        <w:t>日</w:t>
      </w:r>
    </w:p>
    <w:p>
      <w:pPr>
        <w:shd w:val="clear"/>
        <w:rPr>
          <w:color w:val="auto"/>
          <w:highlight w:val="none"/>
        </w:rPr>
      </w:pPr>
    </w:p>
    <w:p>
      <w:pPr>
        <w:shd w:val="clear"/>
        <w:rPr>
          <w:color w:val="auto"/>
          <w:highlight w:val="none"/>
        </w:rPr>
      </w:pPr>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ArialUnicodeMS">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- 3 -</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- 25 -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- 25 -</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mN2I3ZmU4MjVmZDNkOTEyYmM0NThiMGIxZTQ2ZmYifQ=="/>
  </w:docVars>
  <w:rsids>
    <w:rsidRoot w:val="10587512"/>
    <w:rsid w:val="000065BB"/>
    <w:rsid w:val="00192FA1"/>
    <w:rsid w:val="001B2382"/>
    <w:rsid w:val="001E1FA4"/>
    <w:rsid w:val="00270004"/>
    <w:rsid w:val="00280CC1"/>
    <w:rsid w:val="0043476A"/>
    <w:rsid w:val="00513864"/>
    <w:rsid w:val="00577D53"/>
    <w:rsid w:val="005A46BE"/>
    <w:rsid w:val="00650C1D"/>
    <w:rsid w:val="006B12B0"/>
    <w:rsid w:val="00784029"/>
    <w:rsid w:val="008019B1"/>
    <w:rsid w:val="00951845"/>
    <w:rsid w:val="00A71BE6"/>
    <w:rsid w:val="00AB355B"/>
    <w:rsid w:val="00DC1E01"/>
    <w:rsid w:val="00E0744F"/>
    <w:rsid w:val="00E41A1F"/>
    <w:rsid w:val="00E42DC9"/>
    <w:rsid w:val="01106206"/>
    <w:rsid w:val="012104EA"/>
    <w:rsid w:val="01715A71"/>
    <w:rsid w:val="017B2F92"/>
    <w:rsid w:val="01804D23"/>
    <w:rsid w:val="020E507E"/>
    <w:rsid w:val="02732F8E"/>
    <w:rsid w:val="02CB7F49"/>
    <w:rsid w:val="037800D1"/>
    <w:rsid w:val="04267087"/>
    <w:rsid w:val="04267B2D"/>
    <w:rsid w:val="044C330C"/>
    <w:rsid w:val="05397FD9"/>
    <w:rsid w:val="057A5F58"/>
    <w:rsid w:val="05CA273A"/>
    <w:rsid w:val="06754509"/>
    <w:rsid w:val="070E6657"/>
    <w:rsid w:val="07347160"/>
    <w:rsid w:val="077C36F0"/>
    <w:rsid w:val="080E3E4F"/>
    <w:rsid w:val="084451C2"/>
    <w:rsid w:val="08450B28"/>
    <w:rsid w:val="08762705"/>
    <w:rsid w:val="088F5575"/>
    <w:rsid w:val="08921BF9"/>
    <w:rsid w:val="08D202B4"/>
    <w:rsid w:val="08E81855"/>
    <w:rsid w:val="0917709C"/>
    <w:rsid w:val="09C851E3"/>
    <w:rsid w:val="0A1E0BA0"/>
    <w:rsid w:val="0A4168EC"/>
    <w:rsid w:val="0A83305F"/>
    <w:rsid w:val="0AD672A7"/>
    <w:rsid w:val="0B247F12"/>
    <w:rsid w:val="0B7C3034"/>
    <w:rsid w:val="0B841FFD"/>
    <w:rsid w:val="0BD56A2F"/>
    <w:rsid w:val="0C0A3890"/>
    <w:rsid w:val="0CD20198"/>
    <w:rsid w:val="0CEC568C"/>
    <w:rsid w:val="0D6E5FD0"/>
    <w:rsid w:val="0E320E7D"/>
    <w:rsid w:val="0E9208E7"/>
    <w:rsid w:val="0E962D95"/>
    <w:rsid w:val="103D4841"/>
    <w:rsid w:val="10587512"/>
    <w:rsid w:val="105D0E37"/>
    <w:rsid w:val="10916BDA"/>
    <w:rsid w:val="11036B00"/>
    <w:rsid w:val="11301FEB"/>
    <w:rsid w:val="11833C9E"/>
    <w:rsid w:val="11B6451D"/>
    <w:rsid w:val="121E62E8"/>
    <w:rsid w:val="14A54A6E"/>
    <w:rsid w:val="15DA3BD6"/>
    <w:rsid w:val="1697741D"/>
    <w:rsid w:val="16AB53C2"/>
    <w:rsid w:val="19A215AC"/>
    <w:rsid w:val="1A132B78"/>
    <w:rsid w:val="1A3A3E87"/>
    <w:rsid w:val="1A3D454E"/>
    <w:rsid w:val="1AC437A4"/>
    <w:rsid w:val="1B153D26"/>
    <w:rsid w:val="1BEB54C3"/>
    <w:rsid w:val="1C3C6084"/>
    <w:rsid w:val="1C8C02F2"/>
    <w:rsid w:val="1D3E1AFE"/>
    <w:rsid w:val="1E6432D4"/>
    <w:rsid w:val="1E89232D"/>
    <w:rsid w:val="1EB61656"/>
    <w:rsid w:val="1EE14DB9"/>
    <w:rsid w:val="20407429"/>
    <w:rsid w:val="20CF3CE4"/>
    <w:rsid w:val="20DD55C0"/>
    <w:rsid w:val="21794D99"/>
    <w:rsid w:val="22922CB8"/>
    <w:rsid w:val="22DB78DD"/>
    <w:rsid w:val="244D65B8"/>
    <w:rsid w:val="24862F0A"/>
    <w:rsid w:val="2492221D"/>
    <w:rsid w:val="24B42D8E"/>
    <w:rsid w:val="250855AF"/>
    <w:rsid w:val="25174EE8"/>
    <w:rsid w:val="258B383C"/>
    <w:rsid w:val="263B7010"/>
    <w:rsid w:val="26B4291F"/>
    <w:rsid w:val="26BD282A"/>
    <w:rsid w:val="26E769FA"/>
    <w:rsid w:val="285D306E"/>
    <w:rsid w:val="286D65BC"/>
    <w:rsid w:val="28D9041B"/>
    <w:rsid w:val="29275B6F"/>
    <w:rsid w:val="293B2E83"/>
    <w:rsid w:val="298243C1"/>
    <w:rsid w:val="2AFC4894"/>
    <w:rsid w:val="2B3A05DE"/>
    <w:rsid w:val="2B6901C6"/>
    <w:rsid w:val="2D480265"/>
    <w:rsid w:val="2D977453"/>
    <w:rsid w:val="2E2943BA"/>
    <w:rsid w:val="2EC37ED0"/>
    <w:rsid w:val="2EF22236"/>
    <w:rsid w:val="2F2F6CBA"/>
    <w:rsid w:val="2FEA237A"/>
    <w:rsid w:val="2FED29FE"/>
    <w:rsid w:val="300E1D4A"/>
    <w:rsid w:val="30B05F05"/>
    <w:rsid w:val="310F3573"/>
    <w:rsid w:val="31EF25AF"/>
    <w:rsid w:val="32D560F7"/>
    <w:rsid w:val="32DA5F84"/>
    <w:rsid w:val="33A76F60"/>
    <w:rsid w:val="341E7629"/>
    <w:rsid w:val="35721E16"/>
    <w:rsid w:val="35ED0920"/>
    <w:rsid w:val="35F117C8"/>
    <w:rsid w:val="36290B2F"/>
    <w:rsid w:val="38284F1B"/>
    <w:rsid w:val="38E0527B"/>
    <w:rsid w:val="39B0409D"/>
    <w:rsid w:val="3A4252F9"/>
    <w:rsid w:val="3AFC3D88"/>
    <w:rsid w:val="3BE45FB7"/>
    <w:rsid w:val="3BF21AC7"/>
    <w:rsid w:val="3C013037"/>
    <w:rsid w:val="3E37139E"/>
    <w:rsid w:val="3FA141F3"/>
    <w:rsid w:val="3FBD0C89"/>
    <w:rsid w:val="3FDF4D23"/>
    <w:rsid w:val="41083B3B"/>
    <w:rsid w:val="41270465"/>
    <w:rsid w:val="41DB2FFE"/>
    <w:rsid w:val="41E27BB7"/>
    <w:rsid w:val="42F779C3"/>
    <w:rsid w:val="43502DA9"/>
    <w:rsid w:val="43C26223"/>
    <w:rsid w:val="43D8307E"/>
    <w:rsid w:val="44507CD3"/>
    <w:rsid w:val="44AF5181"/>
    <w:rsid w:val="45290D07"/>
    <w:rsid w:val="452E518F"/>
    <w:rsid w:val="455A018C"/>
    <w:rsid w:val="45BE082D"/>
    <w:rsid w:val="46B02CAB"/>
    <w:rsid w:val="46CE3131"/>
    <w:rsid w:val="47E00AF1"/>
    <w:rsid w:val="493059DD"/>
    <w:rsid w:val="494F7907"/>
    <w:rsid w:val="4ADF73DC"/>
    <w:rsid w:val="4B1B26BD"/>
    <w:rsid w:val="4B315A3D"/>
    <w:rsid w:val="4C0055E5"/>
    <w:rsid w:val="4C3677AE"/>
    <w:rsid w:val="4C706B3A"/>
    <w:rsid w:val="4DBD5253"/>
    <w:rsid w:val="4E39550D"/>
    <w:rsid w:val="4F3B332E"/>
    <w:rsid w:val="50B30215"/>
    <w:rsid w:val="51C15CED"/>
    <w:rsid w:val="52285DEB"/>
    <w:rsid w:val="52AD62F0"/>
    <w:rsid w:val="53403A04"/>
    <w:rsid w:val="53A94D0A"/>
    <w:rsid w:val="540B46A1"/>
    <w:rsid w:val="546308FE"/>
    <w:rsid w:val="56FE59C9"/>
    <w:rsid w:val="570D735E"/>
    <w:rsid w:val="571B2674"/>
    <w:rsid w:val="571C1C97"/>
    <w:rsid w:val="58483560"/>
    <w:rsid w:val="587653E5"/>
    <w:rsid w:val="589917F1"/>
    <w:rsid w:val="59850085"/>
    <w:rsid w:val="59B241EC"/>
    <w:rsid w:val="5A5E27F6"/>
    <w:rsid w:val="5A704801"/>
    <w:rsid w:val="5A8C5E4D"/>
    <w:rsid w:val="5AED2A9A"/>
    <w:rsid w:val="5D3B04D0"/>
    <w:rsid w:val="5D9E1657"/>
    <w:rsid w:val="5E225DE5"/>
    <w:rsid w:val="5E257683"/>
    <w:rsid w:val="5E7802BC"/>
    <w:rsid w:val="5EBE2BFD"/>
    <w:rsid w:val="5EE078B0"/>
    <w:rsid w:val="5F0D5523"/>
    <w:rsid w:val="5F2346ED"/>
    <w:rsid w:val="5F4C2735"/>
    <w:rsid w:val="61086613"/>
    <w:rsid w:val="61686204"/>
    <w:rsid w:val="61ED5626"/>
    <w:rsid w:val="62917095"/>
    <w:rsid w:val="630E06E5"/>
    <w:rsid w:val="636808B3"/>
    <w:rsid w:val="6408782B"/>
    <w:rsid w:val="643A7354"/>
    <w:rsid w:val="65322CBF"/>
    <w:rsid w:val="65B35574"/>
    <w:rsid w:val="65C658ED"/>
    <w:rsid w:val="68026233"/>
    <w:rsid w:val="68CC52CB"/>
    <w:rsid w:val="68DE4FFE"/>
    <w:rsid w:val="691B0000"/>
    <w:rsid w:val="694B58D7"/>
    <w:rsid w:val="696F420B"/>
    <w:rsid w:val="697D07AC"/>
    <w:rsid w:val="69CE4E15"/>
    <w:rsid w:val="6B3E7E06"/>
    <w:rsid w:val="6B5B46E4"/>
    <w:rsid w:val="6B7F3246"/>
    <w:rsid w:val="6BF904A6"/>
    <w:rsid w:val="6CB5251A"/>
    <w:rsid w:val="6CD429A0"/>
    <w:rsid w:val="6EE800F6"/>
    <w:rsid w:val="6EF07839"/>
    <w:rsid w:val="6F63000B"/>
    <w:rsid w:val="6FCF0C72"/>
    <w:rsid w:val="707E07AB"/>
    <w:rsid w:val="70A703CB"/>
    <w:rsid w:val="70EC6D83"/>
    <w:rsid w:val="71500A63"/>
    <w:rsid w:val="717C1858"/>
    <w:rsid w:val="72064AD8"/>
    <w:rsid w:val="727D177D"/>
    <w:rsid w:val="72B56DCF"/>
    <w:rsid w:val="72E964BC"/>
    <w:rsid w:val="733B7698"/>
    <w:rsid w:val="735C7C42"/>
    <w:rsid w:val="74D07EF1"/>
    <w:rsid w:val="75B570E6"/>
    <w:rsid w:val="75BF3AC1"/>
    <w:rsid w:val="75EF60A9"/>
    <w:rsid w:val="7706409E"/>
    <w:rsid w:val="7797777E"/>
    <w:rsid w:val="77AC0947"/>
    <w:rsid w:val="780A1873"/>
    <w:rsid w:val="787D11B8"/>
    <w:rsid w:val="78A771BA"/>
    <w:rsid w:val="78AC6820"/>
    <w:rsid w:val="792C5912"/>
    <w:rsid w:val="7A0D5743"/>
    <w:rsid w:val="7A18189D"/>
    <w:rsid w:val="7CBA4FE2"/>
    <w:rsid w:val="7D06612B"/>
    <w:rsid w:val="7D411977"/>
    <w:rsid w:val="7DEC2F26"/>
    <w:rsid w:val="7E880152"/>
    <w:rsid w:val="7E8B30DA"/>
    <w:rsid w:val="7EA00E00"/>
    <w:rsid w:val="7F03440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link w:val="19"/>
    <w:qFormat/>
    <w:uiPriority w:val="0"/>
    <w:pPr>
      <w:spacing w:after="120"/>
      <w:ind w:left="420" w:leftChars="2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jc w:val="left"/>
    </w:pPr>
    <w:rPr>
      <w:kern w:val="0"/>
      <w:sz w:val="24"/>
    </w:rPr>
  </w:style>
  <w:style w:type="paragraph" w:styleId="9">
    <w:name w:val="Body Text First Indent 2"/>
    <w:basedOn w:val="3"/>
    <w:qFormat/>
    <w:uiPriority w:val="0"/>
    <w:pPr>
      <w:ind w:firstLine="420" w:firstLineChars="200"/>
    </w:pPr>
    <w:rPr>
      <w:rFonts w:ascii="Calibri" w:hAnsi="Calibri"/>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qFormat/>
    <w:uiPriority w:val="0"/>
    <w:rPr>
      <w:sz w:val="21"/>
      <w:szCs w:val="21"/>
    </w:rPr>
  </w:style>
  <w:style w:type="character" w:customStyle="1" w:styleId="14">
    <w:name w:val="font11"/>
    <w:basedOn w:val="12"/>
    <w:qFormat/>
    <w:uiPriority w:val="0"/>
    <w:rPr>
      <w:rFonts w:hint="eastAsia" w:ascii="宋体" w:hAnsi="宋体" w:eastAsia="宋体" w:cs="宋体"/>
      <w:color w:val="000000"/>
      <w:sz w:val="24"/>
      <w:szCs w:val="24"/>
      <w:u w:val="none"/>
    </w:rPr>
  </w:style>
  <w:style w:type="character" w:customStyle="1" w:styleId="15">
    <w:name w:val="font51"/>
    <w:basedOn w:val="12"/>
    <w:qFormat/>
    <w:uiPriority w:val="0"/>
    <w:rPr>
      <w:rFonts w:hint="default" w:ascii="Times New Roman" w:hAnsi="Times New Roman" w:cs="Times New Roman"/>
      <w:color w:val="000000"/>
      <w:sz w:val="24"/>
      <w:szCs w:val="24"/>
      <w:u w:val="none"/>
    </w:rPr>
  </w:style>
  <w:style w:type="paragraph" w:styleId="16">
    <w:name w:val="List Paragraph"/>
    <w:basedOn w:val="1"/>
    <w:qFormat/>
    <w:uiPriority w:val="0"/>
    <w:pPr>
      <w:ind w:firstLine="420" w:firstLineChars="200"/>
    </w:pPr>
    <w:rPr>
      <w:rFonts w:ascii="Calibri" w:hAnsi="Calibri"/>
      <w:szCs w:val="22"/>
    </w:rPr>
  </w:style>
  <w:style w:type="character" w:customStyle="1" w:styleId="17">
    <w:name w:val="批注框文本 Char"/>
    <w:basedOn w:val="12"/>
    <w:link w:val="4"/>
    <w:qFormat/>
    <w:uiPriority w:val="0"/>
    <w:rPr>
      <w:kern w:val="2"/>
      <w:sz w:val="18"/>
      <w:szCs w:val="18"/>
    </w:rPr>
  </w:style>
  <w:style w:type="character" w:customStyle="1" w:styleId="18">
    <w:name w:val="正文文本首行缩进 2 字符"/>
    <w:basedOn w:val="19"/>
    <w:qFormat/>
    <w:uiPriority w:val="0"/>
    <w:rPr>
      <w:kern w:val="2"/>
      <w:sz w:val="21"/>
      <w:szCs w:val="24"/>
    </w:rPr>
  </w:style>
  <w:style w:type="character" w:customStyle="1" w:styleId="19">
    <w:name w:val="正文文本缩进 字符"/>
    <w:basedOn w:val="12"/>
    <w:link w:val="3"/>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7850</Words>
  <Characters>9641</Characters>
  <Lines>121</Lines>
  <Paragraphs>34</Paragraphs>
  <TotalTime>0</TotalTime>
  <ScaleCrop>false</ScaleCrop>
  <LinksUpToDate>false</LinksUpToDate>
  <CharactersWithSpaces>10667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2025-03-07T07:59:00Z</dcterms:created>
  <dc:creator>审核人</dc:creator>
  <cp:lastModifiedBy>htbczj</cp:lastModifiedBy>
  <dcterms:modified xsi:type="dcterms:W3CDTF">2025-05-29T04:23:28Z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4E003FD1BC794A4D89F3E499E7622BAD_13</vt:lpwstr>
  </property>
  <property fmtid="{D5CDD505-2E9C-101B-9397-08002B2CF9AE}" pid="4" name="KSOTemplateDocerSaveRecord">
    <vt:lpwstr>eyJoZGlkIjoiNjY2NzEwZWVhMWZlNDZlMTE3NDBlNzBjOTU5NDMxNTEiLCJ1c2VySWQiOiI2NTM1MTIyMzEifQ==</vt:lpwstr>
  </property>
</Properties>
</file>