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Times New Roman" w:hAnsi="Times New Roman" w:eastAsia="宋体" w:cs="Times New Roman"/>
          <w:color w:val="auto"/>
          <w:sz w:val="32"/>
          <w:szCs w:val="32"/>
          <w:highlight w:val="none"/>
          <w:lang w:eastAsia="zh-CN"/>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highlight w:val="none"/>
          <w:lang w:val="en-US" w:eastAsia="zh-CN"/>
        </w:rPr>
      </w:pPr>
      <w:r>
        <w:rPr>
          <w:rFonts w:hint="eastAsia" w:ascii="方正小标宋_GBK" w:hAnsi="宋体" w:eastAsia="方正小标宋_GBK"/>
          <w:kern w:val="0"/>
          <w:sz w:val="44"/>
          <w:szCs w:val="44"/>
          <w:highlight w:val="none"/>
          <w:lang w:val="en-US" w:eastAsia="zh-CN"/>
        </w:rPr>
        <w:t>呼图壁县乡村振兴综合保障中心</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kern w:val="0"/>
          <w:sz w:val="32"/>
          <w:szCs w:val="32"/>
          <w:highlight w:val="none"/>
          <w:lang w:val="en-US" w:eastAsia="zh-CN"/>
        </w:rPr>
        <w:t>呼图壁县乡村振兴综合保障中心部门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 部门收支总体情况表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 部门收入总体情况表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 部门支出总体情况表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bCs/>
          <w:color w:val="auto"/>
          <w:kern w:val="0"/>
          <w:sz w:val="32"/>
          <w:szCs w:val="32"/>
          <w:highlight w:val="none"/>
          <w:lang w:eastAsia="zh-CN"/>
        </w:rPr>
        <w:t>2025年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spacing w:val="-6"/>
          <w:kern w:val="0"/>
          <w:sz w:val="32"/>
          <w:szCs w:val="32"/>
          <w:highlight w:val="none"/>
          <w:lang w:eastAsia="zh-CN"/>
        </w:rPr>
        <w:t>2025年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spacing w:val="-6"/>
          <w:kern w:val="0"/>
          <w:sz w:val="32"/>
          <w:szCs w:val="32"/>
          <w:highlight w:val="none"/>
          <w:lang w:eastAsia="zh-CN"/>
        </w:rPr>
        <w:t>2025年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spacing w:val="-6"/>
          <w:kern w:val="0"/>
          <w:sz w:val="32"/>
          <w:szCs w:val="32"/>
          <w:highlight w:val="none"/>
          <w:lang w:eastAsia="zh-CN"/>
        </w:rPr>
        <w:t>2025年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2025年</w:t>
      </w:r>
      <w:r>
        <w:rPr>
          <w:rFonts w:hint="eastAsia" w:ascii="黑体" w:hAnsi="黑体" w:eastAsia="黑体"/>
          <w:color w:val="auto"/>
          <w:kern w:val="0"/>
          <w:sz w:val="32"/>
          <w:szCs w:val="32"/>
          <w:highlight w:val="none"/>
        </w:rPr>
        <w:t>呼图壁县乡村振兴综合保障中心</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贯彻执行国家、区、州、县巩固拓展脱贫攻坚成果同乡村振兴有效衔接的法律法规和方针政策；承担防止返贫动态监测帮扶工作的政策咨询服务；实施巩固拓展脱贫攻坚成果同乡村振兴有效衔接总体规划；承担防止返贫动态监测和帮扶工作，指导乡镇做好年度乡村人口的动态管理；承担巩固拓展脱贫攻坚成果信息数据统计汇总、动态监测、平台数据管理和数据维护工作；收集整理巩固拓展脱贫攻坚成果档案资料，并做好归档管理；开展社会扶贫工作，落实好全县定点扶贫计划，做好定点扶贫、区内协作扶贫等工作。承担区级、州直部门单位定点帮扶、社会帮扶、消费帮扶、区内协作帮扶工作任务;落实全县监测对象小额信贷等相关政策;协调各级领导联系乡村振兴包联工作;配合审计部门开展衔接资金专项审计工作。围绕实施全县乡村振兴战略有关规划、计划，承担全县乡村项目建设的服务保障工作。</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参与县级乡村振兴相关规划编制;协调推进农业农村社会事业发展各项工作;协调推动完善农村基础设施建设工作;承担推进农村人居环境整治、农村“厕所革命”工作;承担积分制清单制推广应用、乡村治理试点示范行动等工作;全面推进乡村振兴示范乡镇、示范村创建，推进乡村建设“一乡一村”示范建设。</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left"/>
        <w:textAlignment w:val="auto"/>
        <w:rPr>
          <w:rFonts w:hint="eastAsia" w:ascii="仿宋_GB2312" w:hAnsi="黑体" w:eastAsia="仿宋_GB2312" w:cs="宋体"/>
          <w:bCs/>
          <w:kern w:val="0"/>
          <w:sz w:val="32"/>
          <w:szCs w:val="32"/>
          <w:highlight w:val="none"/>
          <w:lang w:val="en-US" w:eastAsia="zh-CN"/>
        </w:rPr>
      </w:pPr>
      <w:r>
        <w:rPr>
          <w:rFonts w:hint="eastAsia" w:ascii="仿宋_GB2312" w:hAnsi="黑体" w:eastAsia="仿宋_GB2312" w:cs="宋体"/>
          <w:bCs/>
          <w:kern w:val="0"/>
          <w:sz w:val="32"/>
          <w:szCs w:val="32"/>
          <w:highlight w:val="none"/>
          <w:lang w:val="en-US" w:eastAsia="zh-CN"/>
        </w:rPr>
        <w:t>呼图壁县乡村振兴综合保障中心</w:t>
      </w:r>
      <w:r>
        <w:rPr>
          <w:rFonts w:hint="eastAsia" w:ascii="仿宋_GB2312" w:hAnsi="黑体" w:eastAsia="仿宋_GB2312" w:cs="宋体"/>
          <w:bCs/>
          <w:kern w:val="0"/>
          <w:sz w:val="32"/>
          <w:szCs w:val="32"/>
          <w:highlight w:val="none"/>
        </w:rPr>
        <w:t>无下属预算单位</w:t>
      </w:r>
      <w:r>
        <w:rPr>
          <w:rFonts w:hint="eastAsia" w:ascii="仿宋_GB2312" w:hAnsi="黑体" w:eastAsia="仿宋_GB2312" w:cs="宋体"/>
          <w:bCs/>
          <w:kern w:val="0"/>
          <w:sz w:val="32"/>
          <w:szCs w:val="32"/>
          <w:highlight w:val="none"/>
          <w:lang w:eastAsia="zh-CN"/>
        </w:rPr>
        <w:t>，下设</w:t>
      </w:r>
      <w:r>
        <w:rPr>
          <w:rFonts w:hint="eastAsia" w:ascii="仿宋_GB2312" w:hAnsi="黑体" w:eastAsia="仿宋_GB2312" w:cs="宋体"/>
          <w:bCs/>
          <w:kern w:val="0"/>
          <w:sz w:val="32"/>
          <w:szCs w:val="32"/>
          <w:highlight w:val="none"/>
          <w:lang w:val="en-US" w:eastAsia="zh-CN"/>
        </w:rPr>
        <w:t>0个处室，分别是</w:t>
      </w:r>
      <w:r>
        <w:rPr>
          <w:rFonts w:hint="eastAsia"/>
          <w:lang w:eastAsia="zh-CN"/>
        </w:rPr>
        <w:t>：</w:t>
      </w:r>
      <w:r>
        <w:rPr>
          <w:rFonts w:hint="eastAsia" w:ascii="仿宋_GB2312" w:hAnsi="黑体" w:eastAsia="仿宋_GB2312" w:cs="宋体"/>
          <w:bCs/>
          <w:kern w:val="0"/>
          <w:sz w:val="32"/>
          <w:szCs w:val="32"/>
          <w:highlight w:val="none"/>
          <w:lang w:val="en-US" w:eastAsia="zh-CN"/>
        </w:rPr>
        <w:t>无。</w:t>
      </w:r>
    </w:p>
    <w:p>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left"/>
        <w:textAlignment w:val="auto"/>
        <w:rPr>
          <w:rFonts w:hint="eastAsia" w:ascii="仿宋_GB2312" w:hAnsi="宋体" w:eastAsia="仿宋_GB2312" w:cs="宋体"/>
          <w:color w:val="auto"/>
          <w:kern w:val="0"/>
          <w:sz w:val="32"/>
          <w:szCs w:val="32"/>
          <w:highlight w:val="none"/>
          <w:lang w:eastAsia="zh-Hans"/>
        </w:rPr>
      </w:pPr>
      <w:r>
        <w:rPr>
          <w:rFonts w:hint="eastAsia" w:ascii="仿宋_GB2312" w:hAnsi="黑体" w:eastAsia="仿宋_GB2312" w:cs="宋体"/>
          <w:bCs/>
          <w:kern w:val="0"/>
          <w:sz w:val="32"/>
          <w:szCs w:val="32"/>
          <w:highlight w:val="none"/>
          <w:lang w:val="en-US" w:eastAsia="zh-CN"/>
        </w:rPr>
        <w:t>呼图壁县乡村振兴综合保障中心</w:t>
      </w:r>
      <w:r>
        <w:rPr>
          <w:rFonts w:hint="eastAsia" w:ascii="仿宋_GB2312" w:hAnsi="宋体" w:eastAsia="仿宋_GB2312" w:cs="宋体"/>
          <w:kern w:val="0"/>
          <w:sz w:val="32"/>
          <w:szCs w:val="32"/>
          <w:highlight w:val="none"/>
        </w:rPr>
        <w:t>编制数</w:t>
      </w:r>
      <w:r>
        <w:rPr>
          <w:rFonts w:hint="eastAsia" w:ascii="仿宋_GB2312" w:hAnsi="宋体" w:eastAsia="仿宋_GB2312" w:cs="宋体"/>
          <w:kern w:val="0"/>
          <w:sz w:val="32"/>
          <w:szCs w:val="32"/>
          <w:highlight w:val="none"/>
          <w:lang w:val="en-US" w:eastAsia="zh-CN"/>
        </w:rPr>
        <w:t>22</w:t>
      </w:r>
      <w:r>
        <w:rPr>
          <w:rFonts w:hint="eastAsia" w:ascii="仿宋_GB2312" w:hAnsi="宋体" w:eastAsia="仿宋_GB2312" w:cs="宋体"/>
          <w:kern w:val="0"/>
          <w:sz w:val="32"/>
          <w:szCs w:val="32"/>
          <w:highlight w:val="none"/>
        </w:rPr>
        <w:t>，实有人数</w:t>
      </w:r>
      <w:r>
        <w:rPr>
          <w:rFonts w:hint="eastAsia" w:ascii="仿宋_GB2312" w:hAnsi="宋体" w:eastAsia="仿宋_GB2312" w:cs="宋体"/>
          <w:kern w:val="0"/>
          <w:sz w:val="32"/>
          <w:szCs w:val="32"/>
          <w:highlight w:val="none"/>
          <w:lang w:val="en-US" w:eastAsia="zh-CN"/>
        </w:rPr>
        <w:t>20</w:t>
      </w:r>
      <w:r>
        <w:rPr>
          <w:rFonts w:hint="eastAsia" w:ascii="仿宋_GB2312" w:hAnsi="宋体" w:eastAsia="仿宋_GB2312" w:cs="宋体"/>
          <w:kern w:val="0"/>
          <w:sz w:val="32"/>
          <w:szCs w:val="32"/>
          <w:highlight w:val="none"/>
        </w:rPr>
        <w:t>人，其中：在职</w:t>
      </w:r>
      <w:r>
        <w:rPr>
          <w:rFonts w:hint="eastAsia" w:ascii="仿宋_GB2312" w:hAnsi="宋体" w:eastAsia="仿宋_GB2312" w:cs="宋体"/>
          <w:kern w:val="0"/>
          <w:sz w:val="32"/>
          <w:szCs w:val="32"/>
          <w:highlight w:val="none"/>
          <w:lang w:val="en-US" w:eastAsia="zh-CN"/>
        </w:rPr>
        <w:t>20</w:t>
      </w:r>
      <w:r>
        <w:rPr>
          <w:rFonts w:hint="eastAsia" w:ascii="仿宋_GB2312" w:hAnsi="宋体" w:eastAsia="仿宋_GB2312" w:cs="宋体"/>
          <w:kern w:val="0"/>
          <w:sz w:val="32"/>
          <w:szCs w:val="32"/>
          <w:highlight w:val="none"/>
        </w:rPr>
        <w:t>人，增加</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人；退休</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人；离休</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w:t>
      </w:r>
    </w:p>
    <w:p>
      <w:pP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2025年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呼图壁县乡村振兴综合保障中心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1"/>
        <w:tblW w:w="9283" w:type="dxa"/>
        <w:tblInd w:w="93" w:type="dxa"/>
        <w:tblLayout w:type="fixed"/>
        <w:tblCellMar>
          <w:top w:w="0" w:type="dxa"/>
          <w:left w:w="108" w:type="dxa"/>
          <w:bottom w:w="0" w:type="dxa"/>
          <w:right w:w="108" w:type="dxa"/>
        </w:tblCellMar>
      </w:tblPr>
      <w:tblGrid>
        <w:gridCol w:w="3448"/>
        <w:gridCol w:w="1290"/>
        <w:gridCol w:w="2760"/>
        <w:gridCol w:w="1785"/>
      </w:tblGrid>
      <w:tr>
        <w:tblPrEx>
          <w:tblCellMar>
            <w:top w:w="0" w:type="dxa"/>
            <w:left w:w="108" w:type="dxa"/>
            <w:bottom w:w="0" w:type="dxa"/>
            <w:right w:w="108" w:type="dxa"/>
          </w:tblCellMar>
        </w:tblPrEx>
        <w:trPr>
          <w:trHeight w:val="360" w:hRule="atLeast"/>
        </w:trPr>
        <w:tc>
          <w:tcPr>
            <w:tcW w:w="473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收     入</w:t>
            </w:r>
          </w:p>
        </w:tc>
        <w:tc>
          <w:tcPr>
            <w:tcW w:w="4545"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支     出</w:t>
            </w: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b/>
                <w:color w:val="auto"/>
                <w:kern w:val="0"/>
                <w:sz w:val="18"/>
                <w:szCs w:val="18"/>
                <w:highlight w:val="none"/>
              </w:rPr>
              <w:t>项     目</w:t>
            </w:r>
          </w:p>
        </w:tc>
        <w:tc>
          <w:tcPr>
            <w:tcW w:w="129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color w:val="auto"/>
                <w:kern w:val="0"/>
                <w:sz w:val="18"/>
                <w:szCs w:val="18"/>
                <w:highlight w:val="none"/>
              </w:rPr>
            </w:pPr>
            <w:r>
              <w:rPr>
                <w:rFonts w:hint="eastAsia" w:ascii="仿宋_GB2312" w:hAnsi="仿宋_GB2312" w:eastAsia="仿宋_GB2312" w:cs="仿宋_GB2312"/>
                <w:b/>
                <w:color w:val="auto"/>
                <w:kern w:val="0"/>
                <w:sz w:val="18"/>
                <w:szCs w:val="18"/>
                <w:highlight w:val="none"/>
              </w:rPr>
              <w:t>预算数</w:t>
            </w:r>
          </w:p>
        </w:tc>
        <w:tc>
          <w:tcPr>
            <w:tcW w:w="276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color w:val="auto"/>
                <w:kern w:val="0"/>
                <w:sz w:val="18"/>
                <w:szCs w:val="18"/>
                <w:highlight w:val="none"/>
              </w:rPr>
            </w:pPr>
            <w:r>
              <w:rPr>
                <w:rFonts w:hint="eastAsia" w:ascii="仿宋_GB2312" w:hAnsi="仿宋_GB2312" w:eastAsia="仿宋_GB2312" w:cs="仿宋_GB2312"/>
                <w:b/>
                <w:color w:val="auto"/>
                <w:kern w:val="0"/>
                <w:sz w:val="18"/>
                <w:szCs w:val="18"/>
                <w:highlight w:val="none"/>
              </w:rPr>
              <w:t>功能分类</w:t>
            </w:r>
          </w:p>
        </w:tc>
        <w:tc>
          <w:tcPr>
            <w:tcW w:w="178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color w:val="auto"/>
                <w:kern w:val="0"/>
                <w:sz w:val="18"/>
                <w:szCs w:val="18"/>
                <w:highlight w:val="none"/>
              </w:rPr>
            </w:pPr>
            <w:r>
              <w:rPr>
                <w:rFonts w:hint="eastAsia" w:ascii="仿宋_GB2312" w:hAnsi="仿宋_GB2312" w:eastAsia="仿宋_GB2312" w:cs="仿宋_GB2312"/>
                <w:b/>
                <w:color w:val="auto"/>
                <w:kern w:val="0"/>
                <w:sz w:val="18"/>
                <w:szCs w:val="18"/>
                <w:highlight w:val="none"/>
              </w:rPr>
              <w:t>预算数</w:t>
            </w: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b/>
                <w:color w:val="000000"/>
                <w:sz w:val="18"/>
                <w:szCs w:val="18"/>
                <w:highlight w:val="none"/>
              </w:rPr>
              <w:t>一、本年收入</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rPr>
            </w:pPr>
            <w:r>
              <w:rPr>
                <w:rFonts w:hint="eastAsia" w:ascii="仿宋_GB2312" w:hAnsi="仿宋_GB2312" w:eastAsia="仿宋_GB2312" w:cs="仿宋_GB2312"/>
                <w:b/>
                <w:bCs/>
                <w:color w:val="auto"/>
                <w:kern w:val="0"/>
                <w:sz w:val="18"/>
                <w:szCs w:val="18"/>
                <w:highlight w:val="none"/>
                <w:lang w:val="en-US" w:eastAsia="zh-CN"/>
              </w:rPr>
              <w:t>398.80</w:t>
            </w: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201 一般公共服务支出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b/>
                <w:color w:val="000000"/>
                <w:sz w:val="18"/>
                <w:szCs w:val="18"/>
                <w:highlight w:val="none"/>
              </w:rPr>
              <w:t>1、一般公共预算拨款</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rPr>
            </w:pPr>
            <w:r>
              <w:rPr>
                <w:rFonts w:hint="eastAsia" w:ascii="仿宋_GB2312" w:hAnsi="仿宋_GB2312" w:eastAsia="仿宋_GB2312" w:cs="仿宋_GB2312"/>
                <w:b/>
                <w:bCs/>
                <w:color w:val="auto"/>
                <w:kern w:val="0"/>
                <w:sz w:val="18"/>
                <w:szCs w:val="18"/>
                <w:highlight w:val="none"/>
                <w:lang w:val="en-US" w:eastAsia="zh-CN"/>
              </w:rPr>
              <w:t>305.80</w:t>
            </w: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202 外交支出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其中：一般财力</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color w:val="auto"/>
                <w:kern w:val="0"/>
                <w:sz w:val="18"/>
                <w:szCs w:val="18"/>
                <w:highlight w:val="none"/>
                <w:lang w:val="en-US" w:eastAsia="zh-CN"/>
              </w:rPr>
              <w:t>305.80</w:t>
            </w: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203 国防支出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75"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上级一般公共预算安排转移支付</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204 公共安全支出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lang w:eastAsia="zh-CN"/>
              </w:rPr>
            </w:pPr>
            <w:r>
              <w:rPr>
                <w:rFonts w:hint="eastAsia" w:ascii="仿宋_GB2312" w:hAnsi="仿宋_GB2312" w:eastAsia="仿宋_GB2312" w:cs="仿宋_GB2312"/>
                <w:b/>
                <w:color w:val="000000"/>
                <w:sz w:val="18"/>
                <w:szCs w:val="18"/>
                <w:highlight w:val="none"/>
              </w:rPr>
              <w:t>2、基金预算拨款</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205 教育支出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其中：政府性基金收入</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206 科学技术支出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上级政府性基金安排转移支付</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207 文化旅游体育与传媒支出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45"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b/>
                <w:color w:val="000000"/>
                <w:sz w:val="18"/>
                <w:szCs w:val="18"/>
                <w:highlight w:val="none"/>
              </w:rPr>
              <w:t>3、国有资本经营预算拨款</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208 社会保障和就业支出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color w:val="auto"/>
                <w:kern w:val="0"/>
                <w:sz w:val="18"/>
                <w:szCs w:val="18"/>
                <w:highlight w:val="none"/>
                <w:lang w:val="en-US" w:eastAsia="zh-CN"/>
              </w:rPr>
              <w:t>53.48</w:t>
            </w:r>
          </w:p>
        </w:tc>
      </w:tr>
      <w:tr>
        <w:tblPrEx>
          <w:tblCellMar>
            <w:top w:w="0" w:type="dxa"/>
            <w:left w:w="108" w:type="dxa"/>
            <w:bottom w:w="0" w:type="dxa"/>
            <w:right w:w="108" w:type="dxa"/>
          </w:tblCellMar>
        </w:tblPrEx>
        <w:trPr>
          <w:trHeight w:val="315"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其中：国有资本经营收入</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209 社会保险基金支出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0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上级国有资本经营预算安排转移支付</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210卫生健康支出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28.05</w:t>
            </w: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4.财政专户核拨</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211 节能环保支出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b/>
                <w:color w:val="000000"/>
                <w:sz w:val="18"/>
                <w:szCs w:val="18"/>
                <w:highlight w:val="none"/>
              </w:rPr>
              <w:t>5.单位资金</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93.00</w:t>
            </w: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212 城乡社区支出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其中：事业收入</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213 农林水支出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color w:val="auto"/>
                <w:kern w:val="0"/>
                <w:sz w:val="18"/>
                <w:szCs w:val="18"/>
                <w:highlight w:val="none"/>
                <w:lang w:val="en-US" w:eastAsia="zh-CN"/>
              </w:rPr>
              <w:t>266.29</w:t>
            </w: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上级补助收入</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214 交通运输支出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附属单位上缴收入</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215 资源勘探</w:t>
            </w:r>
            <w:r>
              <w:rPr>
                <w:rFonts w:hint="eastAsia" w:ascii="仿宋_GB2312" w:hAnsi="仿宋_GB2312" w:eastAsia="仿宋_GB2312" w:cs="仿宋_GB2312"/>
                <w:color w:val="auto"/>
                <w:kern w:val="0"/>
                <w:sz w:val="18"/>
                <w:szCs w:val="18"/>
                <w:highlight w:val="none"/>
                <w:lang w:val="en-US" w:eastAsia="zh-Hans"/>
              </w:rPr>
              <w:t>工业</w:t>
            </w:r>
            <w:r>
              <w:rPr>
                <w:rFonts w:hint="eastAsia" w:ascii="仿宋_GB2312" w:hAnsi="仿宋_GB2312" w:eastAsia="仿宋_GB2312" w:cs="仿宋_GB2312"/>
                <w:color w:val="auto"/>
                <w:kern w:val="0"/>
                <w:sz w:val="18"/>
                <w:szCs w:val="18"/>
                <w:highlight w:val="none"/>
              </w:rPr>
              <w:t>信息等支出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280"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事业单位经营收入</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216 商业服务业等支出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其他收入</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93.00</w:t>
            </w: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217 金融支出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b/>
                <w:color w:val="000000"/>
                <w:sz w:val="18"/>
                <w:szCs w:val="18"/>
                <w:highlight w:val="none"/>
              </w:rPr>
              <w:t>二、上年结转结余</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219 援助其他地区支出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b/>
                <w:color w:val="000000"/>
                <w:sz w:val="18"/>
                <w:szCs w:val="18"/>
                <w:highlight w:val="none"/>
              </w:rPr>
              <w:t>1、财政拨款结转</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220 自然资源海洋气象等支出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其中：一般公共预算拨款</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221 住房保障支出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color w:val="auto"/>
                <w:kern w:val="0"/>
                <w:sz w:val="18"/>
                <w:szCs w:val="18"/>
                <w:highlight w:val="none"/>
                <w:lang w:val="en-US" w:eastAsia="zh-CN"/>
              </w:rPr>
              <w:t>50.98</w:t>
            </w: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基金预算拨款</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222 粮油物资储备支出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国有资本经营预算拨款</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223 国有资本经营预算支出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b/>
                <w:color w:val="000000"/>
                <w:sz w:val="18"/>
                <w:szCs w:val="18"/>
                <w:highlight w:val="none"/>
              </w:rPr>
              <w:t>2、非财政拨款结转结余</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224灾害防治及应急管理支出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其中：财政专户核拨</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227 预备费</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单位资金</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229 其他支出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296" w:hRule="exact"/>
        </w:trPr>
        <w:tc>
          <w:tcPr>
            <w:tcW w:w="3448"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shd w:val="clear" w:color="auto" w:fill="auto"/>
              </w:rPr>
            </w:pP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230转移性支出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auto"/>
                <w:kern w:val="0"/>
                <w:sz w:val="18"/>
                <w:szCs w:val="18"/>
                <w:highlight w:val="none"/>
                <w:shd w:val="clear" w:color="auto" w:fill="auto"/>
              </w:rPr>
              <w:t>　</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231 债务还本支出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232 债务付息支出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233 债务发行费用支出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448" w:type="dxa"/>
            <w:tcBorders>
              <w:top w:val="nil"/>
              <w:left w:val="single" w:color="auto" w:sz="4" w:space="0"/>
              <w:bottom w:val="single" w:color="auto" w:sz="4" w:space="0"/>
              <w:right w:val="nil"/>
            </w:tcBorders>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收  入  总  计</w:t>
            </w:r>
          </w:p>
        </w:tc>
        <w:tc>
          <w:tcPr>
            <w:tcW w:w="1290"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398.80</w:t>
            </w:r>
          </w:p>
        </w:tc>
        <w:tc>
          <w:tcPr>
            <w:tcW w:w="2760" w:type="dxa"/>
            <w:tcBorders>
              <w:top w:val="nil"/>
              <w:left w:val="nil"/>
              <w:bottom w:val="single" w:color="auto" w:sz="4" w:space="0"/>
              <w:right w:val="nil"/>
            </w:tcBorders>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支  出  总  计</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b/>
                <w:bCs/>
                <w:color w:val="auto"/>
                <w:kern w:val="0"/>
                <w:sz w:val="18"/>
                <w:szCs w:val="18"/>
                <w:highlight w:val="none"/>
                <w:lang w:val="en-US" w:eastAsia="zh-CN"/>
              </w:rPr>
              <w:t>398.80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4" w:type="default"/>
          <w:pgSz w:w="11906" w:h="16838"/>
          <w:pgMar w:top="1440" w:right="1080" w:bottom="1440" w:left="1080" w:header="851" w:footer="567"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olor w:val="auto"/>
          <w:kern w:val="0"/>
          <w:sz w:val="24"/>
          <w:highlight w:val="none"/>
        </w:rPr>
        <w:t>呼图壁县乡村振兴综合保障中心</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1"/>
        <w:tblW w:w="14738" w:type="dxa"/>
        <w:jc w:val="center"/>
        <w:tblLayout w:type="fixed"/>
        <w:tblCellMar>
          <w:top w:w="0" w:type="dxa"/>
          <w:left w:w="108" w:type="dxa"/>
          <w:bottom w:w="0" w:type="dxa"/>
          <w:right w:w="108" w:type="dxa"/>
        </w:tblCellMar>
      </w:tblPr>
      <w:tblGrid>
        <w:gridCol w:w="484"/>
        <w:gridCol w:w="525"/>
        <w:gridCol w:w="601"/>
        <w:gridCol w:w="2645"/>
        <w:gridCol w:w="831"/>
        <w:gridCol w:w="885"/>
        <w:gridCol w:w="855"/>
        <w:gridCol w:w="874"/>
        <w:gridCol w:w="720"/>
        <w:gridCol w:w="930"/>
        <w:gridCol w:w="825"/>
        <w:gridCol w:w="1185"/>
        <w:gridCol w:w="960"/>
        <w:gridCol w:w="765"/>
        <w:gridCol w:w="568"/>
        <w:gridCol w:w="1085"/>
      </w:tblGrid>
      <w:tr>
        <w:tblPrEx>
          <w:tblCellMar>
            <w:top w:w="0" w:type="dxa"/>
            <w:left w:w="108" w:type="dxa"/>
            <w:bottom w:w="0" w:type="dxa"/>
            <w:right w:w="108" w:type="dxa"/>
          </w:tblCellMar>
        </w:tblPrEx>
        <w:trPr>
          <w:trHeight w:val="454" w:hRule="atLeast"/>
          <w:jc w:val="center"/>
        </w:trPr>
        <w:tc>
          <w:tcPr>
            <w:tcW w:w="1610"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color w:val="auto"/>
                <w:sz w:val="18"/>
                <w:szCs w:val="18"/>
                <w:highlight w:val="none"/>
              </w:rPr>
            </w:pPr>
            <w:r>
              <w:rPr>
                <w:rFonts w:hint="eastAsia" w:ascii="仿宋_GB2312" w:hAnsi="仿宋_GB2312" w:eastAsia="仿宋_GB2312" w:cs="仿宋_GB2312"/>
                <w:b/>
                <w:color w:val="auto"/>
                <w:sz w:val="18"/>
                <w:szCs w:val="18"/>
                <w:highlight w:val="none"/>
              </w:rPr>
              <w:t>功能分类科目编码</w:t>
            </w:r>
          </w:p>
        </w:tc>
        <w:tc>
          <w:tcPr>
            <w:tcW w:w="264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color w:val="auto"/>
                <w:sz w:val="18"/>
                <w:szCs w:val="18"/>
                <w:highlight w:val="none"/>
              </w:rPr>
            </w:pPr>
            <w:r>
              <w:rPr>
                <w:rFonts w:hint="eastAsia" w:ascii="仿宋_GB2312" w:hAnsi="仿宋_GB2312" w:eastAsia="仿宋_GB2312" w:cs="仿宋_GB2312"/>
                <w:b/>
                <w:color w:val="auto"/>
                <w:sz w:val="18"/>
                <w:szCs w:val="18"/>
                <w:highlight w:val="none"/>
              </w:rPr>
              <w:t>功能分类科目名称</w:t>
            </w:r>
          </w:p>
        </w:tc>
        <w:tc>
          <w:tcPr>
            <w:tcW w:w="83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val="0"/>
                <w:color w:val="auto"/>
                <w:sz w:val="18"/>
                <w:szCs w:val="18"/>
                <w:highlight w:val="none"/>
              </w:rPr>
            </w:pPr>
            <w:r>
              <w:rPr>
                <w:rFonts w:hint="eastAsia" w:ascii="仿宋_GB2312" w:hAnsi="仿宋_GB2312" w:eastAsia="仿宋_GB2312" w:cs="仿宋_GB2312"/>
                <w:b/>
                <w:bCs w:val="0"/>
                <w:color w:val="auto"/>
                <w:sz w:val="18"/>
                <w:szCs w:val="18"/>
                <w:highlight w:val="none"/>
              </w:rPr>
              <w:t>总  计</w:t>
            </w:r>
          </w:p>
        </w:tc>
        <w:tc>
          <w:tcPr>
            <w:tcW w:w="6274"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val="0"/>
                <w:color w:val="auto"/>
                <w:sz w:val="18"/>
                <w:szCs w:val="18"/>
                <w:highlight w:val="none"/>
              </w:rPr>
            </w:pPr>
            <w:r>
              <w:rPr>
                <w:rFonts w:hint="eastAsia" w:ascii="仿宋_GB2312" w:hAnsi="仿宋_GB2312" w:eastAsia="仿宋_GB2312" w:cs="仿宋_GB2312"/>
                <w:b/>
                <w:bCs w:val="0"/>
                <w:color w:val="auto"/>
                <w:sz w:val="18"/>
                <w:szCs w:val="18"/>
                <w:highlight w:val="none"/>
              </w:rPr>
              <w:t>财  政  拨  款  (  补  助  )</w:t>
            </w:r>
          </w:p>
        </w:tc>
        <w:tc>
          <w:tcPr>
            <w:tcW w:w="96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val="0"/>
                <w:color w:val="auto"/>
                <w:sz w:val="18"/>
                <w:szCs w:val="18"/>
                <w:highlight w:val="none"/>
              </w:rPr>
            </w:pPr>
            <w:r>
              <w:rPr>
                <w:rFonts w:hint="eastAsia" w:ascii="仿宋_GB2312" w:hAnsi="仿宋_GB2312" w:eastAsia="仿宋_GB2312" w:cs="仿宋_GB2312"/>
                <w:b/>
                <w:bCs w:val="0"/>
                <w:color w:val="auto"/>
                <w:sz w:val="18"/>
                <w:szCs w:val="18"/>
                <w:highlight w:val="none"/>
              </w:rPr>
              <w:t>财政专户（教育收费）</w:t>
            </w:r>
          </w:p>
        </w:tc>
        <w:tc>
          <w:tcPr>
            <w:tcW w:w="76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color w:val="auto"/>
                <w:sz w:val="18"/>
                <w:szCs w:val="18"/>
                <w:highlight w:val="none"/>
              </w:rPr>
            </w:pPr>
            <w:r>
              <w:rPr>
                <w:rFonts w:hint="eastAsia" w:ascii="仿宋_GB2312" w:hAnsi="仿宋_GB2312" w:eastAsia="仿宋_GB2312" w:cs="仿宋_GB2312"/>
                <w:b/>
                <w:color w:val="auto"/>
                <w:sz w:val="18"/>
                <w:szCs w:val="18"/>
                <w:highlight w:val="none"/>
              </w:rPr>
              <w:t>单位资金</w:t>
            </w:r>
          </w:p>
        </w:tc>
        <w:tc>
          <w:tcPr>
            <w:tcW w:w="56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color w:val="auto"/>
                <w:sz w:val="18"/>
                <w:szCs w:val="18"/>
                <w:highlight w:val="none"/>
              </w:rPr>
            </w:pPr>
            <w:r>
              <w:rPr>
                <w:rFonts w:hint="eastAsia" w:ascii="仿宋_GB2312" w:hAnsi="仿宋_GB2312" w:eastAsia="仿宋_GB2312" w:cs="仿宋_GB2312"/>
                <w:b/>
                <w:color w:val="auto"/>
                <w:sz w:val="18"/>
                <w:szCs w:val="18"/>
                <w:highlight w:val="none"/>
              </w:rPr>
              <w:t>财政拨款结转</w:t>
            </w:r>
          </w:p>
        </w:tc>
        <w:tc>
          <w:tcPr>
            <w:tcW w:w="108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color w:val="auto"/>
                <w:sz w:val="18"/>
                <w:szCs w:val="18"/>
                <w:highlight w:val="none"/>
              </w:rPr>
            </w:pPr>
            <w:r>
              <w:rPr>
                <w:rFonts w:hint="eastAsia" w:ascii="仿宋_GB2312" w:hAnsi="仿宋_GB2312" w:eastAsia="仿宋_GB2312" w:cs="仿宋_GB2312"/>
                <w:b/>
                <w:color w:val="auto"/>
                <w:sz w:val="18"/>
                <w:szCs w:val="18"/>
                <w:highlight w:val="none"/>
              </w:rPr>
              <w:t>非财政拨款结转结余</w:t>
            </w:r>
          </w:p>
        </w:tc>
      </w:tr>
      <w:tr>
        <w:tblPrEx>
          <w:tblCellMar>
            <w:top w:w="0" w:type="dxa"/>
            <w:left w:w="108" w:type="dxa"/>
            <w:bottom w:w="0" w:type="dxa"/>
            <w:right w:w="108" w:type="dxa"/>
          </w:tblCellMar>
        </w:tblPrEx>
        <w:trPr>
          <w:trHeight w:val="454" w:hRule="atLeast"/>
          <w:jc w:val="center"/>
        </w:trPr>
        <w:tc>
          <w:tcPr>
            <w:tcW w:w="484" w:type="dxa"/>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color w:val="auto"/>
                <w:sz w:val="18"/>
                <w:szCs w:val="18"/>
                <w:highlight w:val="none"/>
                <w:lang w:val="en-US" w:eastAsia="zh-Hans"/>
              </w:rPr>
            </w:pPr>
            <w:r>
              <w:rPr>
                <w:rFonts w:hint="eastAsia" w:ascii="仿宋_GB2312" w:hAnsi="仿宋_GB2312" w:eastAsia="仿宋_GB2312" w:cs="仿宋_GB2312"/>
                <w:b/>
                <w:color w:val="auto"/>
                <w:sz w:val="18"/>
                <w:szCs w:val="18"/>
                <w:highlight w:val="none"/>
                <w:lang w:val="en-US" w:eastAsia="zh-Hans"/>
              </w:rPr>
              <w:t>类</w:t>
            </w:r>
          </w:p>
        </w:tc>
        <w:tc>
          <w:tcPr>
            <w:tcW w:w="525" w:type="dxa"/>
            <w:tcBorders>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color w:val="auto"/>
                <w:sz w:val="18"/>
                <w:szCs w:val="18"/>
                <w:highlight w:val="none"/>
                <w:lang w:val="en-US" w:eastAsia="zh-Hans"/>
              </w:rPr>
            </w:pPr>
            <w:r>
              <w:rPr>
                <w:rFonts w:hint="eastAsia" w:ascii="仿宋_GB2312" w:hAnsi="仿宋_GB2312" w:eastAsia="仿宋_GB2312" w:cs="仿宋_GB2312"/>
                <w:b/>
                <w:color w:val="auto"/>
                <w:sz w:val="18"/>
                <w:szCs w:val="18"/>
                <w:highlight w:val="none"/>
                <w:lang w:val="en-US" w:eastAsia="zh-Hans"/>
              </w:rPr>
              <w:t>款</w:t>
            </w:r>
          </w:p>
        </w:tc>
        <w:tc>
          <w:tcPr>
            <w:tcW w:w="601" w:type="dxa"/>
            <w:tcBorders>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color w:val="auto"/>
                <w:sz w:val="18"/>
                <w:szCs w:val="18"/>
                <w:highlight w:val="none"/>
                <w:lang w:val="en-US" w:eastAsia="zh-Hans"/>
              </w:rPr>
            </w:pPr>
            <w:r>
              <w:rPr>
                <w:rFonts w:hint="eastAsia" w:ascii="仿宋_GB2312" w:hAnsi="仿宋_GB2312" w:eastAsia="仿宋_GB2312" w:cs="仿宋_GB2312"/>
                <w:b/>
                <w:color w:val="auto"/>
                <w:sz w:val="18"/>
                <w:szCs w:val="18"/>
                <w:highlight w:val="none"/>
                <w:lang w:val="en-US" w:eastAsia="zh-Hans"/>
              </w:rPr>
              <w:t>项</w:t>
            </w:r>
          </w:p>
        </w:tc>
        <w:tc>
          <w:tcPr>
            <w:tcW w:w="2645" w:type="dxa"/>
            <w:vMerge w:val="continue"/>
            <w:tcBorders>
              <w:left w:val="single" w:color="auto" w:sz="4" w:space="0"/>
              <w:bottom w:val="single" w:color="000000" w:sz="4" w:space="0"/>
              <w:right w:val="single" w:color="auto" w:sz="4" w:space="0"/>
            </w:tcBorders>
            <w:vAlign w:val="center"/>
          </w:tcPr>
          <w:p>
            <w:pPr>
              <w:rPr>
                <w:rFonts w:hint="eastAsia" w:ascii="仿宋_GB2312" w:hAnsi="仿宋_GB2312" w:eastAsia="仿宋_GB2312" w:cs="仿宋_GB2312"/>
                <w:color w:val="auto"/>
                <w:sz w:val="18"/>
                <w:szCs w:val="18"/>
                <w:highlight w:val="none"/>
              </w:rPr>
            </w:pPr>
          </w:p>
        </w:tc>
        <w:tc>
          <w:tcPr>
            <w:tcW w:w="831" w:type="dxa"/>
            <w:vMerge w:val="continue"/>
            <w:tcBorders>
              <w:left w:val="single" w:color="auto" w:sz="4" w:space="0"/>
              <w:bottom w:val="single" w:color="000000" w:sz="4" w:space="0"/>
              <w:right w:val="single" w:color="auto" w:sz="4" w:space="0"/>
            </w:tcBorders>
            <w:vAlign w:val="center"/>
          </w:tcPr>
          <w:p>
            <w:pPr>
              <w:rPr>
                <w:rFonts w:hint="eastAsia" w:ascii="仿宋_GB2312" w:hAnsi="仿宋_GB2312" w:eastAsia="仿宋_GB2312" w:cs="仿宋_GB2312"/>
                <w:color w:val="auto"/>
                <w:sz w:val="18"/>
                <w:szCs w:val="18"/>
                <w:highlight w:val="none"/>
              </w:rPr>
            </w:pPr>
          </w:p>
        </w:tc>
        <w:tc>
          <w:tcPr>
            <w:tcW w:w="885"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财政拨款(补助)小计</w:t>
            </w:r>
          </w:p>
        </w:tc>
        <w:tc>
          <w:tcPr>
            <w:tcW w:w="855"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一般公共预算</w:t>
            </w:r>
          </w:p>
        </w:tc>
        <w:tc>
          <w:tcPr>
            <w:tcW w:w="874"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上级一般公共预算安排的转移支付</w:t>
            </w:r>
          </w:p>
        </w:tc>
        <w:tc>
          <w:tcPr>
            <w:tcW w:w="720"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政府性基金预算</w:t>
            </w:r>
          </w:p>
        </w:tc>
        <w:tc>
          <w:tcPr>
            <w:tcW w:w="930"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上级政府性基金安排的转移支付</w:t>
            </w:r>
          </w:p>
        </w:tc>
        <w:tc>
          <w:tcPr>
            <w:tcW w:w="825"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国有资本经营预算</w:t>
            </w:r>
          </w:p>
        </w:tc>
        <w:tc>
          <w:tcPr>
            <w:tcW w:w="1185"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上级国有资本经营预算安排的转移支付</w:t>
            </w:r>
          </w:p>
        </w:tc>
        <w:tc>
          <w:tcPr>
            <w:tcW w:w="960" w:type="dxa"/>
            <w:vMerge w:val="continue"/>
            <w:tcBorders>
              <w:left w:val="single" w:color="auto" w:sz="4" w:space="0"/>
              <w:bottom w:val="single" w:color="000000" w:sz="4" w:space="0"/>
              <w:right w:val="single" w:color="auto" w:sz="4" w:space="0"/>
            </w:tcBorders>
            <w:vAlign w:val="center"/>
          </w:tcPr>
          <w:p>
            <w:pPr>
              <w:rPr>
                <w:rFonts w:hint="eastAsia" w:ascii="仿宋_GB2312" w:hAnsi="仿宋_GB2312" w:eastAsia="仿宋_GB2312" w:cs="仿宋_GB2312"/>
                <w:color w:val="auto"/>
                <w:sz w:val="18"/>
                <w:szCs w:val="18"/>
                <w:highlight w:val="none"/>
              </w:rPr>
            </w:pPr>
          </w:p>
        </w:tc>
        <w:tc>
          <w:tcPr>
            <w:tcW w:w="765" w:type="dxa"/>
            <w:vMerge w:val="continue"/>
            <w:tcBorders>
              <w:left w:val="single" w:color="auto" w:sz="4" w:space="0"/>
              <w:bottom w:val="single" w:color="000000" w:sz="4" w:space="0"/>
              <w:right w:val="single" w:color="auto" w:sz="4" w:space="0"/>
            </w:tcBorders>
            <w:vAlign w:val="center"/>
          </w:tcPr>
          <w:p>
            <w:pPr>
              <w:rPr>
                <w:rFonts w:hint="eastAsia" w:ascii="仿宋_GB2312" w:hAnsi="仿宋_GB2312" w:eastAsia="仿宋_GB2312" w:cs="仿宋_GB2312"/>
                <w:color w:val="auto"/>
                <w:sz w:val="18"/>
                <w:szCs w:val="18"/>
                <w:highlight w:val="none"/>
              </w:rPr>
            </w:pPr>
          </w:p>
        </w:tc>
        <w:tc>
          <w:tcPr>
            <w:tcW w:w="568" w:type="dxa"/>
            <w:vMerge w:val="continue"/>
            <w:tcBorders>
              <w:left w:val="single" w:color="auto" w:sz="4" w:space="0"/>
              <w:bottom w:val="single" w:color="000000" w:sz="4" w:space="0"/>
              <w:right w:val="single" w:color="auto" w:sz="4" w:space="0"/>
            </w:tcBorders>
            <w:vAlign w:val="center"/>
          </w:tcPr>
          <w:p>
            <w:pPr>
              <w:rPr>
                <w:rFonts w:hint="eastAsia" w:ascii="仿宋_GB2312" w:hAnsi="仿宋_GB2312" w:eastAsia="仿宋_GB2312" w:cs="仿宋_GB2312"/>
                <w:color w:val="auto"/>
                <w:sz w:val="18"/>
                <w:szCs w:val="18"/>
                <w:highlight w:val="none"/>
              </w:rPr>
            </w:pPr>
          </w:p>
        </w:tc>
        <w:tc>
          <w:tcPr>
            <w:tcW w:w="1085" w:type="dxa"/>
            <w:vMerge w:val="continue"/>
            <w:tcBorders>
              <w:left w:val="single" w:color="auto" w:sz="4" w:space="0"/>
              <w:bottom w:val="single" w:color="000000" w:sz="4" w:space="0"/>
              <w:right w:val="single" w:color="auto" w:sz="4" w:space="0"/>
            </w:tcBorders>
            <w:vAlign w:val="center"/>
          </w:tcPr>
          <w:p>
            <w:pPr>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val="0"/>
                <w:color w:val="000000"/>
                <w:kern w:val="2"/>
                <w:sz w:val="13"/>
                <w:szCs w:val="13"/>
                <w:highlight w:val="none"/>
                <w:lang w:val="en-US" w:eastAsia="zh-CN" w:bidi="ar-SA"/>
              </w:rPr>
            </w:pPr>
            <w:r>
              <w:rPr>
                <w:rFonts w:hint="eastAsia" w:ascii="仿宋_GB2312" w:hAnsi="仿宋_GB2312" w:eastAsia="仿宋_GB2312" w:cs="仿宋_GB2312"/>
                <w:b/>
                <w:bCs w:val="0"/>
                <w:color w:val="000000"/>
                <w:sz w:val="16"/>
                <w:szCs w:val="16"/>
                <w:highlight w:val="none"/>
              </w:rPr>
              <w:t>208</w:t>
            </w:r>
          </w:p>
        </w:tc>
        <w:tc>
          <w:tcPr>
            <w:tcW w:w="525"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val="0"/>
                <w:color w:val="000000"/>
                <w:kern w:val="2"/>
                <w:sz w:val="13"/>
                <w:szCs w:val="13"/>
                <w:highlight w:val="none"/>
                <w:lang w:val="en-US" w:eastAsia="zh-CN" w:bidi="ar-SA"/>
              </w:rPr>
            </w:pPr>
          </w:p>
        </w:tc>
        <w:tc>
          <w:tcPr>
            <w:tcW w:w="601"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val="0"/>
                <w:color w:val="000000"/>
                <w:kern w:val="2"/>
                <w:sz w:val="13"/>
                <w:szCs w:val="13"/>
                <w:highlight w:val="none"/>
                <w:lang w:val="en-US" w:eastAsia="zh-CN" w:bidi="ar-SA"/>
              </w:rPr>
            </w:pPr>
          </w:p>
        </w:tc>
        <w:tc>
          <w:tcPr>
            <w:tcW w:w="2645" w:type="dxa"/>
            <w:tcBorders>
              <w:top w:val="nil"/>
              <w:left w:val="nil"/>
              <w:bottom w:val="single" w:color="auto" w:sz="4" w:space="0"/>
              <w:right w:val="single" w:color="auto" w:sz="4" w:space="0"/>
            </w:tcBorders>
            <w:shd w:val="clear" w:color="auto" w:fill="auto"/>
            <w:vAlign w:val="center"/>
          </w:tcPr>
          <w:p>
            <w:pPr>
              <w:jc w:val="left"/>
              <w:rPr>
                <w:rFonts w:hint="eastAsia" w:ascii="仿宋_GB2312" w:hAnsi="仿宋_GB2312" w:eastAsia="仿宋_GB2312" w:cs="仿宋_GB2312"/>
                <w:b/>
                <w:bCs w:val="0"/>
                <w:color w:val="000000"/>
                <w:kern w:val="2"/>
                <w:sz w:val="13"/>
                <w:szCs w:val="13"/>
                <w:highlight w:val="none"/>
                <w:lang w:val="en-US" w:eastAsia="zh-CN" w:bidi="ar-SA"/>
              </w:rPr>
            </w:pPr>
            <w:r>
              <w:rPr>
                <w:rFonts w:hint="eastAsia" w:ascii="仿宋_GB2312" w:hAnsi="仿宋_GB2312" w:eastAsia="仿宋_GB2312" w:cs="仿宋_GB2312"/>
                <w:b/>
                <w:bCs w:val="0"/>
                <w:color w:val="000000"/>
                <w:sz w:val="16"/>
                <w:szCs w:val="16"/>
                <w:highlight w:val="none"/>
              </w:rPr>
              <w:t>社会保障和就业支出</w:t>
            </w:r>
          </w:p>
        </w:tc>
        <w:tc>
          <w:tcPr>
            <w:tcW w:w="831"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53.48</w:t>
            </w:r>
          </w:p>
        </w:tc>
        <w:tc>
          <w:tcPr>
            <w:tcW w:w="885"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30.48</w:t>
            </w:r>
          </w:p>
        </w:tc>
        <w:tc>
          <w:tcPr>
            <w:tcW w:w="855"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30.48</w:t>
            </w:r>
          </w:p>
        </w:tc>
        <w:tc>
          <w:tcPr>
            <w:tcW w:w="874"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720"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930"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825"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1185"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23.00</w:t>
            </w:r>
          </w:p>
        </w:tc>
        <w:tc>
          <w:tcPr>
            <w:tcW w:w="568"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bCs w:val="0"/>
                <w:color w:val="auto"/>
                <w:sz w:val="15"/>
                <w:szCs w:val="15"/>
                <w:highlight w:val="none"/>
              </w:rPr>
            </w:pPr>
          </w:p>
        </w:tc>
        <w:tc>
          <w:tcPr>
            <w:tcW w:w="1085"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bCs w:val="0"/>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val="0"/>
                <w:color w:val="000000"/>
                <w:kern w:val="2"/>
                <w:sz w:val="13"/>
                <w:szCs w:val="13"/>
                <w:highlight w:val="none"/>
                <w:lang w:val="en-US" w:eastAsia="zh-CN" w:bidi="ar-SA"/>
              </w:rPr>
            </w:pPr>
            <w:r>
              <w:rPr>
                <w:rFonts w:hint="eastAsia" w:ascii="仿宋_GB2312" w:hAnsi="仿宋_GB2312" w:eastAsia="仿宋_GB2312" w:cs="仿宋_GB2312"/>
                <w:b/>
                <w:bCs w:val="0"/>
                <w:color w:val="000000"/>
                <w:sz w:val="16"/>
                <w:szCs w:val="16"/>
                <w:highlight w:val="none"/>
              </w:rPr>
              <w:t>208</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val="0"/>
                <w:color w:val="000000"/>
                <w:kern w:val="2"/>
                <w:sz w:val="13"/>
                <w:szCs w:val="13"/>
                <w:highlight w:val="none"/>
                <w:lang w:val="en-US" w:eastAsia="zh-CN" w:bidi="ar-SA"/>
              </w:rPr>
            </w:pPr>
            <w:r>
              <w:rPr>
                <w:rFonts w:hint="eastAsia" w:ascii="仿宋_GB2312" w:hAnsi="仿宋_GB2312" w:eastAsia="仿宋_GB2312" w:cs="仿宋_GB2312"/>
                <w:b/>
                <w:bCs w:val="0"/>
                <w:color w:val="000000"/>
                <w:sz w:val="16"/>
                <w:szCs w:val="16"/>
                <w:highlight w:val="none"/>
              </w:rPr>
              <w:t>05</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val="0"/>
                <w:color w:val="000000"/>
                <w:kern w:val="2"/>
                <w:sz w:val="13"/>
                <w:szCs w:val="13"/>
                <w:highlight w:val="none"/>
                <w:lang w:val="en-US" w:eastAsia="zh-CN" w:bidi="ar-SA"/>
              </w:rPr>
            </w:pPr>
          </w:p>
        </w:tc>
        <w:tc>
          <w:tcPr>
            <w:tcW w:w="264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val="0"/>
                <w:color w:val="000000"/>
                <w:kern w:val="2"/>
                <w:sz w:val="13"/>
                <w:szCs w:val="13"/>
                <w:highlight w:val="none"/>
                <w:lang w:val="en-US" w:eastAsia="zh-CN" w:bidi="ar-SA"/>
              </w:rPr>
            </w:pPr>
            <w:r>
              <w:rPr>
                <w:rFonts w:hint="eastAsia" w:ascii="仿宋_GB2312" w:hAnsi="仿宋_GB2312" w:eastAsia="仿宋_GB2312" w:cs="仿宋_GB2312"/>
                <w:b/>
                <w:bCs w:val="0"/>
                <w:color w:val="000000"/>
                <w:sz w:val="16"/>
                <w:szCs w:val="16"/>
                <w:highlight w:val="none"/>
              </w:rPr>
              <w:t xml:space="preserve">  行政事业单位养老支出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53.48</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30.48</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30.48</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23.00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208</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05</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05</w:t>
            </w: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00" w:firstLineChars="200"/>
              <w:jc w:val="left"/>
              <w:textAlignment w:val="auto"/>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rPr>
              <w:t>机关事业单位基本养老保险缴费支出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45.48</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30.48</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30.48</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15.00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208</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05</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06</w:t>
            </w: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00" w:firstLineChars="200"/>
              <w:jc w:val="left"/>
              <w:textAlignment w:val="auto"/>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rPr>
              <w:t>机关事业单位</w:t>
            </w:r>
            <w:r>
              <w:rPr>
                <w:rFonts w:hint="eastAsia" w:ascii="仿宋_GB2312" w:hAnsi="仿宋_GB2312" w:eastAsia="仿宋_GB2312" w:cs="仿宋_GB2312"/>
                <w:color w:val="000000"/>
                <w:sz w:val="15"/>
                <w:szCs w:val="15"/>
                <w:highlight w:val="none"/>
                <w:lang w:val="en-US" w:eastAsia="zh-CN"/>
              </w:rPr>
              <w:t>职业年金</w:t>
            </w:r>
            <w:r>
              <w:rPr>
                <w:rFonts w:hint="eastAsia" w:ascii="仿宋_GB2312" w:hAnsi="仿宋_GB2312" w:eastAsia="仿宋_GB2312" w:cs="仿宋_GB2312"/>
                <w:color w:val="000000"/>
                <w:sz w:val="15"/>
                <w:szCs w:val="15"/>
                <w:highlight w:val="none"/>
              </w:rPr>
              <w:t>缴费支出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8.00</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8.00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210</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264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rPr>
              <w:t>卫生健康支出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28.05</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23.05</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23.05</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5.00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210</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11</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51" w:firstLineChars="100"/>
              <w:jc w:val="left"/>
              <w:textAlignment w:val="auto"/>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rPr>
              <w:t>行政事业单位医疗</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28.05</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23.05</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23.05</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5.00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210</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11</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02</w:t>
            </w: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00" w:firstLineChars="200"/>
              <w:jc w:val="left"/>
              <w:textAlignment w:val="auto"/>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事业</w:t>
            </w:r>
            <w:r>
              <w:rPr>
                <w:rFonts w:hint="eastAsia" w:ascii="仿宋_GB2312" w:hAnsi="仿宋_GB2312" w:eastAsia="仿宋_GB2312" w:cs="仿宋_GB2312"/>
                <w:color w:val="000000"/>
                <w:sz w:val="15"/>
                <w:szCs w:val="15"/>
                <w:highlight w:val="none"/>
              </w:rPr>
              <w:t>单位医疗</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20.24</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15.24</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15.24</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5.00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210</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11</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03</w:t>
            </w: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00" w:firstLineChars="200"/>
              <w:jc w:val="left"/>
              <w:textAlignment w:val="auto"/>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rPr>
              <w:t>公务员医疗补助</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7.62</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7.62</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7.62</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210</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11</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kern w:val="2"/>
                <w:sz w:val="15"/>
                <w:szCs w:val="15"/>
                <w:highlight w:val="none"/>
                <w:lang w:val="en-US" w:eastAsia="zh-CN" w:bidi="ar-SA"/>
              </w:rPr>
              <w:t>99</w:t>
            </w: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00" w:firstLineChars="200"/>
              <w:jc w:val="left"/>
              <w:textAlignment w:val="auto"/>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其他行政事业单位医疗支出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0.19</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0.19</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0.19</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213</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264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农林水支出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266.29</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226.79</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226.79</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39.50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213</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01</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51" w:firstLineChars="100"/>
              <w:jc w:val="left"/>
              <w:textAlignment w:val="auto"/>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农业农村</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266.29</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226.79</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226.79</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39.50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213</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01</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04</w:t>
            </w: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00" w:firstLineChars="200"/>
              <w:jc w:val="left"/>
              <w:textAlignment w:val="auto"/>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事业运行</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266.29</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226.79</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226.79</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39.50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221</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264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住房保障支出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50.98</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25.48</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25.48</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25.50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221</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02</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51" w:firstLineChars="100"/>
              <w:jc w:val="left"/>
              <w:textAlignment w:val="auto"/>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住房改革支出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50.98</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25.48</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25.48</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25.50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5"/>
                <w:szCs w:val="15"/>
                <w:highlight w:val="none"/>
              </w:rPr>
            </w:pPr>
            <w:r>
              <w:rPr>
                <w:rFonts w:hint="eastAsia" w:ascii="仿宋_GB2312" w:hAnsi="仿宋_GB2312" w:eastAsia="仿宋_GB2312" w:cs="仿宋_GB2312"/>
                <w:color w:val="000000"/>
                <w:sz w:val="15"/>
                <w:szCs w:val="15"/>
                <w:highlight w:val="none"/>
                <w:lang w:val="en-US" w:eastAsia="zh-CN"/>
              </w:rPr>
              <w:t>221</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5"/>
                <w:szCs w:val="15"/>
                <w:highlight w:val="none"/>
              </w:rPr>
            </w:pPr>
            <w:r>
              <w:rPr>
                <w:rFonts w:hint="eastAsia" w:ascii="仿宋_GB2312" w:hAnsi="仿宋_GB2312" w:eastAsia="仿宋_GB2312" w:cs="仿宋_GB2312"/>
                <w:color w:val="000000"/>
                <w:sz w:val="15"/>
                <w:szCs w:val="15"/>
                <w:highlight w:val="none"/>
                <w:lang w:val="en-US" w:eastAsia="zh-CN"/>
              </w:rPr>
              <w:t>02</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5"/>
                <w:szCs w:val="15"/>
                <w:highlight w:val="none"/>
              </w:rPr>
            </w:pPr>
            <w:r>
              <w:rPr>
                <w:rFonts w:hint="eastAsia" w:ascii="仿宋_GB2312" w:hAnsi="仿宋_GB2312" w:eastAsia="仿宋_GB2312" w:cs="仿宋_GB2312"/>
                <w:color w:val="000000"/>
                <w:sz w:val="15"/>
                <w:szCs w:val="15"/>
                <w:highlight w:val="none"/>
                <w:lang w:val="en-US" w:eastAsia="zh-CN"/>
              </w:rPr>
              <w:t>01</w:t>
            </w: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00" w:firstLineChars="200"/>
              <w:jc w:val="left"/>
              <w:textAlignment w:val="auto"/>
              <w:rPr>
                <w:rFonts w:hint="eastAsia" w:ascii="仿宋_GB2312" w:hAnsi="仿宋_GB2312" w:eastAsia="仿宋_GB2312" w:cs="仿宋_GB2312"/>
                <w:color w:val="auto"/>
                <w:sz w:val="15"/>
                <w:szCs w:val="15"/>
                <w:highlight w:val="none"/>
              </w:rPr>
            </w:pPr>
            <w:r>
              <w:rPr>
                <w:rFonts w:hint="eastAsia" w:ascii="仿宋_GB2312" w:hAnsi="仿宋_GB2312" w:eastAsia="仿宋_GB2312" w:cs="仿宋_GB2312"/>
                <w:color w:val="000000"/>
                <w:sz w:val="15"/>
                <w:szCs w:val="15"/>
                <w:highlight w:val="none"/>
                <w:lang w:val="en-US" w:eastAsia="zh-CN"/>
              </w:rPr>
              <w:t>住房公积金</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50.98</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25.48</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25.48</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25.50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r>
              <w:rPr>
                <w:rFonts w:hint="eastAsia" w:ascii="仿宋_GB2312" w:hAnsi="仿宋_GB2312" w:eastAsia="仿宋_GB2312" w:cs="仿宋_GB2312"/>
                <w:b/>
                <w:bCs/>
                <w:color w:val="auto"/>
                <w:sz w:val="15"/>
                <w:szCs w:val="15"/>
                <w:highlight w:val="none"/>
              </w:rPr>
              <w:t>　</w:t>
            </w:r>
          </w:p>
        </w:tc>
        <w:tc>
          <w:tcPr>
            <w:tcW w:w="5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r>
              <w:rPr>
                <w:rFonts w:hint="eastAsia" w:ascii="仿宋_GB2312" w:hAnsi="仿宋_GB2312" w:eastAsia="仿宋_GB2312" w:cs="仿宋_GB2312"/>
                <w:b/>
                <w:bCs/>
                <w:color w:val="auto"/>
                <w:sz w:val="15"/>
                <w:szCs w:val="15"/>
                <w:highlight w:val="none"/>
              </w:rPr>
              <w:t>　</w:t>
            </w:r>
          </w:p>
        </w:tc>
        <w:tc>
          <w:tcPr>
            <w:tcW w:w="60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r>
              <w:rPr>
                <w:rFonts w:hint="eastAsia" w:ascii="仿宋_GB2312" w:hAnsi="仿宋_GB2312" w:eastAsia="仿宋_GB2312" w:cs="仿宋_GB2312"/>
                <w:b/>
                <w:bCs/>
                <w:color w:val="auto"/>
                <w:sz w:val="15"/>
                <w:szCs w:val="15"/>
                <w:highlight w:val="none"/>
              </w:rPr>
              <w:t>　</w:t>
            </w:r>
          </w:p>
        </w:tc>
        <w:tc>
          <w:tcPr>
            <w:tcW w:w="26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sz w:val="15"/>
                <w:szCs w:val="15"/>
                <w:highlight w:val="none"/>
              </w:rPr>
            </w:pPr>
            <w:r>
              <w:rPr>
                <w:rFonts w:hint="eastAsia" w:ascii="仿宋_GB2312" w:hAnsi="仿宋_GB2312" w:eastAsia="仿宋_GB2312" w:cs="仿宋_GB2312"/>
                <w:b/>
                <w:bCs/>
                <w:color w:val="auto"/>
                <w:sz w:val="15"/>
                <w:szCs w:val="15"/>
                <w:highlight w:val="none"/>
              </w:rPr>
              <w:t>合  计　</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398.80</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305.80</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305.80</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93.00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080" w:right="1440" w:bottom="1080" w:left="1440" w:header="851" w:footer="567"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olor w:val="auto"/>
          <w:kern w:val="0"/>
          <w:sz w:val="24"/>
          <w:highlight w:val="none"/>
        </w:rPr>
        <w:t xml:space="preserve">呼图壁县乡村振兴综合保障中心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1"/>
        <w:tblW w:w="10528" w:type="dxa"/>
        <w:jc w:val="center"/>
        <w:tblLayout w:type="fixed"/>
        <w:tblCellMar>
          <w:top w:w="0" w:type="dxa"/>
          <w:left w:w="108" w:type="dxa"/>
          <w:bottom w:w="0" w:type="dxa"/>
          <w:right w:w="108" w:type="dxa"/>
        </w:tblCellMar>
      </w:tblPr>
      <w:tblGrid>
        <w:gridCol w:w="615"/>
        <w:gridCol w:w="510"/>
        <w:gridCol w:w="450"/>
        <w:gridCol w:w="3525"/>
        <w:gridCol w:w="1905"/>
        <w:gridCol w:w="1875"/>
        <w:gridCol w:w="1648"/>
      </w:tblGrid>
      <w:tr>
        <w:tblPrEx>
          <w:tblCellMar>
            <w:top w:w="0" w:type="dxa"/>
            <w:left w:w="108" w:type="dxa"/>
            <w:bottom w:w="0" w:type="dxa"/>
            <w:right w:w="108" w:type="dxa"/>
          </w:tblCellMar>
        </w:tblPrEx>
        <w:trPr>
          <w:trHeight w:val="328" w:hRule="atLeast"/>
          <w:jc w:val="center"/>
        </w:trPr>
        <w:tc>
          <w:tcPr>
            <w:tcW w:w="5100"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428"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jc w:val="center"/>
        </w:trPr>
        <w:tc>
          <w:tcPr>
            <w:tcW w:w="1575"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352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90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648"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jc w:val="center"/>
        </w:trPr>
        <w:tc>
          <w:tcPr>
            <w:tcW w:w="61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5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5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352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90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48"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val="0"/>
                <w:color w:val="000000"/>
                <w:sz w:val="18"/>
                <w:szCs w:val="18"/>
                <w:highlight w:val="none"/>
              </w:rPr>
              <w:t>208</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val="0"/>
                <w:color w:val="000000"/>
                <w:sz w:val="18"/>
                <w:szCs w:val="18"/>
                <w:highlight w:val="none"/>
              </w:rPr>
              <w:t>社会保障和就业支出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53.48</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53.48</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val="0"/>
                <w:color w:val="000000"/>
                <w:sz w:val="18"/>
                <w:szCs w:val="18"/>
                <w:highlight w:val="none"/>
              </w:rPr>
              <w:t>208</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val="0"/>
                <w:color w:val="000000"/>
                <w:sz w:val="18"/>
                <w:szCs w:val="18"/>
                <w:highlight w:val="none"/>
              </w:rPr>
              <w:t>05</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val="0"/>
                <w:color w:val="000000"/>
                <w:sz w:val="18"/>
                <w:szCs w:val="18"/>
                <w:highlight w:val="none"/>
              </w:rPr>
              <w:t xml:space="preserve">  行政事业单位养老支出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53.48</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53.48</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208</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05</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05</w:t>
            </w: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rPr>
              <w:t>机关事业单位基本养老保险缴费支出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45.48</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45.48</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208</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05</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06</w:t>
            </w: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rPr>
              <w:t>机关事业单位</w:t>
            </w:r>
            <w:r>
              <w:rPr>
                <w:rFonts w:hint="eastAsia" w:ascii="仿宋_GB2312" w:hAnsi="仿宋_GB2312" w:eastAsia="仿宋_GB2312" w:cs="仿宋_GB2312"/>
                <w:color w:val="000000"/>
                <w:sz w:val="18"/>
                <w:szCs w:val="18"/>
                <w:highlight w:val="none"/>
                <w:lang w:val="en-US" w:eastAsia="zh-CN"/>
              </w:rPr>
              <w:t>职业年金</w:t>
            </w:r>
            <w:r>
              <w:rPr>
                <w:rFonts w:hint="eastAsia" w:ascii="仿宋_GB2312" w:hAnsi="仿宋_GB2312" w:eastAsia="仿宋_GB2312" w:cs="仿宋_GB2312"/>
                <w:color w:val="000000"/>
                <w:sz w:val="18"/>
                <w:szCs w:val="18"/>
                <w:highlight w:val="none"/>
              </w:rPr>
              <w:t>缴费支出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8.00</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8.00</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color w:val="000000"/>
                <w:sz w:val="18"/>
                <w:szCs w:val="18"/>
                <w:highlight w:val="none"/>
              </w:rPr>
              <w:t>卫生健康支出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28.05</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28.05</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11</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81" w:firstLineChars="100"/>
              <w:jc w:val="left"/>
              <w:textAlignment w:val="auto"/>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color w:val="000000"/>
                <w:sz w:val="18"/>
                <w:szCs w:val="18"/>
                <w:highlight w:val="none"/>
              </w:rPr>
              <w:t>行政事业单位医疗</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28.05</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28.05</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11</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02</w:t>
            </w: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事业</w:t>
            </w:r>
            <w:r>
              <w:rPr>
                <w:rFonts w:hint="eastAsia" w:ascii="仿宋_GB2312" w:hAnsi="仿宋_GB2312" w:eastAsia="仿宋_GB2312" w:cs="仿宋_GB2312"/>
                <w:color w:val="000000"/>
                <w:sz w:val="18"/>
                <w:szCs w:val="18"/>
                <w:highlight w:val="none"/>
              </w:rPr>
              <w:t>单位医疗</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20.24</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20.24</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11</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03</w:t>
            </w: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rPr>
              <w:t>公务员医疗补助</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7.62</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7.62</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11</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kern w:val="2"/>
                <w:sz w:val="18"/>
                <w:szCs w:val="18"/>
                <w:highlight w:val="none"/>
                <w:lang w:val="en-US" w:eastAsia="zh-CN" w:bidi="ar-SA"/>
              </w:rPr>
              <w:t>99</w:t>
            </w: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其他行政事业单位医疗支出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0.19</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0.19</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213</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农林水支出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266.29</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266.29</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213</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01</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81" w:firstLineChars="100"/>
              <w:jc w:val="left"/>
              <w:textAlignment w:val="auto"/>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农业农村</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266.29</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266.29</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213</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01</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04</w:t>
            </w: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事业运行</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266.29</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266.29</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221</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住房保障支出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50.98</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50.98</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221</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02</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81" w:firstLineChars="100"/>
              <w:jc w:val="left"/>
              <w:textAlignment w:val="auto"/>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住房改革支出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50.98</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50.98</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221</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02</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01</w:t>
            </w: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住房公积金</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50.98</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50.98</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22"/>
                <w:szCs w:val="22"/>
                <w:highlight w:val="none"/>
                <w:lang w:val="en-US" w:eastAsia="zh-CN" w:bidi="ar-SA"/>
              </w:rPr>
            </w:pP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22"/>
                <w:szCs w:val="22"/>
                <w:highlight w:val="none"/>
                <w:lang w:val="en-US" w:eastAsia="zh-CN" w:bidi="ar-SA"/>
              </w:rPr>
            </w:pP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22"/>
                <w:szCs w:val="22"/>
                <w:highlight w:val="none"/>
                <w:lang w:val="en-US" w:eastAsia="zh-CN" w:bidi="ar-SA"/>
              </w:rPr>
            </w:pP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22"/>
                <w:szCs w:val="22"/>
                <w:highlight w:val="none"/>
                <w:lang w:val="en-US" w:eastAsia="zh-CN" w:bidi="ar-SA"/>
              </w:rPr>
            </w:pP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22"/>
                <w:szCs w:val="22"/>
                <w:highlight w:val="none"/>
                <w:lang w:val="en-US" w:eastAsia="zh-CN" w:bidi="ar-SA"/>
              </w:rPr>
            </w:pP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22"/>
                <w:szCs w:val="22"/>
                <w:highlight w:val="none"/>
                <w:lang w:val="en-US" w:eastAsia="zh-CN" w:bidi="ar-SA"/>
              </w:rPr>
            </w:pP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22"/>
                <w:szCs w:val="22"/>
                <w:highlight w:val="none"/>
                <w:lang w:val="en-US" w:eastAsia="zh-CN" w:bidi="ar-SA"/>
              </w:rPr>
            </w:pPr>
          </w:p>
        </w:tc>
        <w:tc>
          <w:tcPr>
            <w:tcW w:w="19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highlight w:val="none"/>
              </w:rPr>
            </w:pPr>
          </w:p>
        </w:tc>
        <w:tc>
          <w:tcPr>
            <w:tcW w:w="18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highlight w:val="none"/>
              </w:rPr>
            </w:pPr>
          </w:p>
        </w:tc>
        <w:tc>
          <w:tcPr>
            <w:tcW w:w="1648"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000000"/>
                <w:kern w:val="0"/>
                <w:sz w:val="20"/>
                <w:szCs w:val="20"/>
                <w:highlight w:val="none"/>
                <w:lang w:val="en-US" w:eastAsia="zh-CN"/>
              </w:rPr>
            </w:pPr>
            <w:r>
              <w:rPr>
                <w:rFonts w:hint="eastAsia" w:ascii="仿宋_GB2312" w:hAnsi="仿宋_GB2312" w:eastAsia="仿宋_GB2312" w:cs="仿宋_GB2312"/>
                <w:b/>
                <w:bCs/>
                <w:color w:val="000000"/>
                <w:kern w:val="0"/>
                <w:sz w:val="20"/>
                <w:szCs w:val="20"/>
                <w:highlight w:val="none"/>
                <w:lang w:val="en-US" w:eastAsia="zh-CN"/>
              </w:rPr>
              <w:t>合  计</w:t>
            </w:r>
          </w:p>
        </w:tc>
        <w:tc>
          <w:tcPr>
            <w:tcW w:w="190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b/>
                <w:bCs/>
                <w:color w:val="000000"/>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398.8</w:t>
            </w:r>
          </w:p>
        </w:tc>
        <w:tc>
          <w:tcPr>
            <w:tcW w:w="187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b/>
                <w:bCs/>
                <w:color w:val="000000"/>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398.8</w:t>
            </w:r>
          </w:p>
        </w:tc>
        <w:tc>
          <w:tcPr>
            <w:tcW w:w="1648"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1440" w:right="1080" w:bottom="1440" w:left="1080"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编制部门：</w:t>
      </w:r>
      <w:r>
        <w:rPr>
          <w:rFonts w:hint="eastAsia" w:ascii="仿宋_GB2312" w:hAnsi="宋体" w:eastAsia="仿宋_GB2312"/>
          <w:color w:val="auto"/>
          <w:kern w:val="0"/>
          <w:sz w:val="24"/>
          <w:szCs w:val="24"/>
          <w:highlight w:val="none"/>
        </w:rPr>
        <w:t xml:space="preserve">呼图壁县乡村振兴综合保障中心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11"/>
        <w:tblW w:w="9449" w:type="dxa"/>
        <w:jc w:val="center"/>
        <w:tblLayout w:type="fixed"/>
        <w:tblCellMar>
          <w:top w:w="0" w:type="dxa"/>
          <w:left w:w="108" w:type="dxa"/>
          <w:bottom w:w="0" w:type="dxa"/>
          <w:right w:w="108" w:type="dxa"/>
        </w:tblCellMar>
      </w:tblPr>
      <w:tblGrid>
        <w:gridCol w:w="1929"/>
        <w:gridCol w:w="914"/>
        <w:gridCol w:w="2570"/>
        <w:gridCol w:w="900"/>
        <w:gridCol w:w="876"/>
        <w:gridCol w:w="1130"/>
        <w:gridCol w:w="1130"/>
      </w:tblGrid>
      <w:tr>
        <w:tblPrEx>
          <w:tblCellMar>
            <w:top w:w="0" w:type="dxa"/>
            <w:left w:w="108" w:type="dxa"/>
            <w:bottom w:w="0" w:type="dxa"/>
            <w:right w:w="108" w:type="dxa"/>
          </w:tblCellMar>
        </w:tblPrEx>
        <w:trPr>
          <w:trHeight w:val="285" w:hRule="atLeast"/>
          <w:jc w:val="center"/>
        </w:trPr>
        <w:tc>
          <w:tcPr>
            <w:tcW w:w="2843"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highlight w:val="none"/>
              </w:rPr>
            </w:pPr>
            <w:r>
              <w:rPr>
                <w:rFonts w:hint="eastAsia" w:ascii="仿宋_GB2312" w:hAnsi="仿宋_GB2312" w:eastAsia="仿宋_GB2312" w:cs="仿宋_GB2312"/>
                <w:b/>
                <w:bCs/>
                <w:color w:val="auto"/>
                <w:kern w:val="0"/>
                <w:sz w:val="24"/>
                <w:highlight w:val="none"/>
              </w:rPr>
              <w:t>财政拨款收入</w:t>
            </w:r>
          </w:p>
        </w:tc>
        <w:tc>
          <w:tcPr>
            <w:tcW w:w="6606"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highlight w:val="none"/>
              </w:rPr>
            </w:pPr>
            <w:r>
              <w:rPr>
                <w:rFonts w:hint="eastAsia" w:ascii="仿宋_GB2312" w:hAnsi="仿宋_GB2312" w:eastAsia="仿宋_GB2312" w:cs="仿宋_GB2312"/>
                <w:b/>
                <w:bCs/>
                <w:color w:val="auto"/>
                <w:kern w:val="0"/>
                <w:sz w:val="24"/>
                <w:highlight w:val="none"/>
              </w:rPr>
              <w:t>财政拨款支出</w:t>
            </w:r>
          </w:p>
        </w:tc>
      </w:tr>
      <w:tr>
        <w:tblPrEx>
          <w:tblCellMar>
            <w:top w:w="0" w:type="dxa"/>
            <w:left w:w="108" w:type="dxa"/>
            <w:bottom w:w="0" w:type="dxa"/>
            <w:right w:w="108" w:type="dxa"/>
          </w:tblCellMar>
        </w:tblPrEx>
        <w:trPr>
          <w:trHeight w:val="500" w:hRule="atLeast"/>
          <w:jc w:val="center"/>
        </w:trPr>
        <w:tc>
          <w:tcPr>
            <w:tcW w:w="192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b/>
                <w:color w:val="auto"/>
                <w:kern w:val="0"/>
                <w:sz w:val="20"/>
                <w:szCs w:val="20"/>
                <w:highlight w:val="none"/>
              </w:rPr>
              <w:t>合  计</w:t>
            </w:r>
          </w:p>
        </w:tc>
        <w:tc>
          <w:tcPr>
            <w:tcW w:w="257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87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一般公共预算</w:t>
            </w:r>
          </w:p>
        </w:tc>
        <w:tc>
          <w:tcPr>
            <w:tcW w:w="1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政府性基金预算</w:t>
            </w:r>
          </w:p>
        </w:tc>
        <w:tc>
          <w:tcPr>
            <w:tcW w:w="1130"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Hans"/>
              </w:rPr>
              <w:t>一、</w:t>
            </w:r>
            <w:r>
              <w:rPr>
                <w:rFonts w:hint="eastAsia" w:ascii="仿宋_GB2312" w:hAnsi="仿宋_GB2312" w:eastAsia="仿宋_GB2312" w:cs="仿宋_GB2312"/>
                <w:b/>
                <w:bCs/>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sz w:val="18"/>
                <w:szCs w:val="18"/>
                <w:highlight w:val="none"/>
              </w:rPr>
              <w:t>305.8</w:t>
            </w:r>
            <w:r>
              <w:rPr>
                <w:rFonts w:hint="eastAsia" w:ascii="仿宋_GB2312" w:hAnsi="仿宋_GB2312" w:eastAsia="仿宋_GB2312" w:cs="仿宋_GB2312"/>
                <w:b/>
                <w:bCs/>
                <w:sz w:val="18"/>
                <w:szCs w:val="18"/>
                <w:highlight w:val="none"/>
                <w:lang w:val="en-US" w:eastAsia="zh-CN"/>
              </w:rPr>
              <w:t>0</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sz w:val="18"/>
                <w:szCs w:val="18"/>
                <w:highlight w:val="none"/>
              </w:rPr>
              <w:t>305.8</w:t>
            </w:r>
            <w:r>
              <w:rPr>
                <w:rFonts w:hint="eastAsia" w:ascii="仿宋_GB2312" w:hAnsi="仿宋_GB2312" w:eastAsia="仿宋_GB2312" w:cs="仿宋_GB2312"/>
                <w:sz w:val="18"/>
                <w:szCs w:val="18"/>
                <w:highlight w:val="none"/>
                <w:lang w:val="en-US" w:eastAsia="zh-CN"/>
              </w:rPr>
              <w:t>0</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297"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30.48 </w:t>
            </w:r>
          </w:p>
        </w:tc>
        <w:tc>
          <w:tcPr>
            <w:tcW w:w="87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30.48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23.05 </w:t>
            </w:r>
          </w:p>
        </w:tc>
        <w:tc>
          <w:tcPr>
            <w:tcW w:w="87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23.05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226.79 </w:t>
            </w:r>
          </w:p>
        </w:tc>
        <w:tc>
          <w:tcPr>
            <w:tcW w:w="87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226.79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215 资源勘探</w:t>
            </w:r>
            <w:r>
              <w:rPr>
                <w:rFonts w:hint="eastAsia" w:ascii="仿宋_GB2312" w:hAnsi="仿宋_GB2312" w:eastAsia="仿宋_GB2312" w:cs="仿宋_GB2312"/>
                <w:b w:val="0"/>
                <w:bCs w:val="0"/>
                <w:color w:val="auto"/>
                <w:kern w:val="0"/>
                <w:sz w:val="18"/>
                <w:szCs w:val="18"/>
                <w:highlight w:val="none"/>
                <w:lang w:val="en-US" w:eastAsia="zh-Hans"/>
              </w:rPr>
              <w:t>工业</w:t>
            </w:r>
            <w:r>
              <w:rPr>
                <w:rFonts w:hint="eastAsia" w:ascii="仿宋_GB2312" w:hAnsi="仿宋_GB2312" w:eastAsia="仿宋_GB2312" w:cs="仿宋_GB2312"/>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25.48 </w:t>
            </w:r>
          </w:p>
        </w:tc>
        <w:tc>
          <w:tcPr>
            <w:tcW w:w="87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25.48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收入总计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sz w:val="18"/>
                <w:szCs w:val="18"/>
                <w:highlight w:val="none"/>
              </w:rPr>
              <w:t>305.8</w:t>
            </w:r>
            <w:r>
              <w:rPr>
                <w:rFonts w:hint="eastAsia" w:ascii="仿宋_GB2312" w:hAnsi="仿宋_GB2312" w:eastAsia="仿宋_GB2312" w:cs="仿宋_GB2312"/>
                <w:b/>
                <w:bCs/>
                <w:sz w:val="18"/>
                <w:szCs w:val="18"/>
                <w:highlight w:val="none"/>
                <w:lang w:val="en-US" w:eastAsia="zh-CN"/>
              </w:rPr>
              <w:t>0</w:t>
            </w:r>
            <w:r>
              <w:rPr>
                <w:rFonts w:hint="eastAsia" w:ascii="仿宋_GB2312" w:hAnsi="仿宋_GB2312" w:eastAsia="仿宋_GB2312" w:cs="仿宋_GB2312"/>
                <w:b/>
                <w:bCs/>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支出总计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sz w:val="18"/>
                <w:szCs w:val="18"/>
                <w:highlight w:val="none"/>
              </w:rPr>
              <w:t>305.8</w:t>
            </w:r>
            <w:r>
              <w:rPr>
                <w:rFonts w:hint="eastAsia" w:ascii="仿宋_GB2312" w:hAnsi="仿宋_GB2312" w:eastAsia="仿宋_GB2312" w:cs="仿宋_GB2312"/>
                <w:b/>
                <w:bCs/>
                <w:sz w:val="18"/>
                <w:szCs w:val="18"/>
                <w:highlight w:val="none"/>
                <w:lang w:val="en-US" w:eastAsia="zh-CN"/>
              </w:rPr>
              <w:t>0</w:t>
            </w:r>
            <w:r>
              <w:rPr>
                <w:rFonts w:hint="eastAsia" w:ascii="仿宋_GB2312" w:hAnsi="仿宋_GB2312" w:eastAsia="仿宋_GB2312" w:cs="仿宋_GB2312"/>
                <w:b/>
                <w:bCs/>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sz w:val="18"/>
                <w:szCs w:val="18"/>
                <w:highlight w:val="none"/>
              </w:rPr>
              <w:t>305.8</w:t>
            </w:r>
            <w:r>
              <w:rPr>
                <w:rFonts w:hint="eastAsia" w:ascii="仿宋_GB2312" w:hAnsi="仿宋_GB2312" w:eastAsia="仿宋_GB2312" w:cs="仿宋_GB2312"/>
                <w:b/>
                <w:bCs/>
                <w:sz w:val="18"/>
                <w:szCs w:val="18"/>
                <w:highlight w:val="none"/>
                <w:lang w:val="en-US" w:eastAsia="zh-CN"/>
              </w:rPr>
              <w:t>0</w:t>
            </w:r>
            <w:r>
              <w:rPr>
                <w:rFonts w:hint="eastAsia" w:ascii="仿宋_GB2312" w:hAnsi="仿宋_GB2312" w:eastAsia="仿宋_GB2312" w:cs="仿宋_GB2312"/>
                <w:b/>
                <w:bCs/>
                <w:color w:val="auto"/>
                <w:kern w:val="0"/>
                <w:sz w:val="18"/>
                <w:szCs w:val="18"/>
                <w:highlight w:val="none"/>
              </w:rPr>
              <w:t>　</w:t>
            </w:r>
          </w:p>
        </w:tc>
        <w:tc>
          <w:tcPr>
            <w:tcW w:w="2260" w:type="dxa"/>
            <w:gridSpan w:val="2"/>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11"/>
        <w:tblW w:w="10056" w:type="dxa"/>
        <w:jc w:val="center"/>
        <w:tblLayout w:type="fixed"/>
        <w:tblCellMar>
          <w:top w:w="0" w:type="dxa"/>
          <w:left w:w="108" w:type="dxa"/>
          <w:bottom w:w="0" w:type="dxa"/>
          <w:right w:w="108" w:type="dxa"/>
        </w:tblCellMar>
      </w:tblPr>
      <w:tblGrid>
        <w:gridCol w:w="604"/>
        <w:gridCol w:w="588"/>
        <w:gridCol w:w="512"/>
        <w:gridCol w:w="3563"/>
        <w:gridCol w:w="1462"/>
        <w:gridCol w:w="188"/>
        <w:gridCol w:w="1587"/>
        <w:gridCol w:w="1552"/>
      </w:tblGrid>
      <w:tr>
        <w:tblPrEx>
          <w:tblCellMar>
            <w:top w:w="0" w:type="dxa"/>
            <w:left w:w="108" w:type="dxa"/>
            <w:bottom w:w="0" w:type="dxa"/>
            <w:right w:w="108" w:type="dxa"/>
          </w:tblCellMar>
        </w:tblPrEx>
        <w:trPr>
          <w:trHeight w:val="450" w:hRule="atLeast"/>
          <w:jc w:val="center"/>
        </w:trPr>
        <w:tc>
          <w:tcPr>
            <w:tcW w:w="10056" w:type="dxa"/>
            <w:gridSpan w:val="8"/>
            <w:tcBorders>
              <w:top w:val="nil"/>
              <w:left w:val="nil"/>
              <w:bottom w:val="nil"/>
              <w:right w:val="nil"/>
            </w:tcBorders>
            <w:vAlign w:val="center"/>
          </w:tcPr>
          <w:p>
            <w:pPr>
              <w:widowControl/>
              <w:jc w:val="center"/>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jc w:val="center"/>
        </w:trPr>
        <w:tc>
          <w:tcPr>
            <w:tcW w:w="6729" w:type="dxa"/>
            <w:gridSpan w:val="5"/>
            <w:tcBorders>
              <w:top w:val="nil"/>
              <w:left w:val="nil"/>
              <w:bottom w:val="nil"/>
              <w:right w:val="nil"/>
            </w:tcBorders>
            <w:vAlign w:val="center"/>
          </w:tcPr>
          <w:p>
            <w:pPr>
              <w:widowControl/>
              <w:jc w:val="left"/>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lang w:eastAsia="zh-CN"/>
              </w:rPr>
              <w:t>编制部门：</w:t>
            </w:r>
            <w:r>
              <w:rPr>
                <w:rFonts w:hint="eastAsia" w:ascii="仿宋_GB2312" w:hAnsi="仿宋_GB2312" w:eastAsia="仿宋_GB2312" w:cs="仿宋_GB2312"/>
                <w:color w:val="auto"/>
                <w:kern w:val="0"/>
                <w:sz w:val="24"/>
                <w:highlight w:val="none"/>
                <w:lang w:val="en-US" w:eastAsia="zh-CN"/>
              </w:rPr>
              <w:t>呼图壁县乡村振兴综合保障中心</w:t>
            </w:r>
            <w:r>
              <w:rPr>
                <w:rFonts w:hint="eastAsia" w:ascii="仿宋_GB2312" w:hAnsi="仿宋_GB2312" w:eastAsia="仿宋_GB2312" w:cs="仿宋_GB2312"/>
                <w:color w:val="auto"/>
                <w:kern w:val="0"/>
                <w:sz w:val="24"/>
                <w:highlight w:val="none"/>
              </w:rPr>
              <w:t xml:space="preserve">  </w:t>
            </w:r>
          </w:p>
        </w:tc>
        <w:tc>
          <w:tcPr>
            <w:tcW w:w="3327" w:type="dxa"/>
            <w:gridSpan w:val="3"/>
            <w:tcBorders>
              <w:top w:val="nil"/>
              <w:left w:val="nil"/>
              <w:bottom w:val="nil"/>
              <w:right w:val="nil"/>
            </w:tcBorders>
            <w:vAlign w:val="center"/>
          </w:tcPr>
          <w:p>
            <w:pPr>
              <w:widowControl/>
              <w:jc w:val="right"/>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单位：万元</w:t>
            </w:r>
          </w:p>
        </w:tc>
      </w:tr>
      <w:tr>
        <w:tblPrEx>
          <w:tblCellMar>
            <w:top w:w="0" w:type="dxa"/>
            <w:left w:w="108" w:type="dxa"/>
            <w:bottom w:w="0" w:type="dxa"/>
            <w:right w:w="108" w:type="dxa"/>
          </w:tblCellMar>
        </w:tblPrEx>
        <w:trPr>
          <w:trHeight w:val="405" w:hRule="atLeast"/>
          <w:jc w:val="center"/>
        </w:trPr>
        <w:tc>
          <w:tcPr>
            <w:tcW w:w="526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4789" w:type="dxa"/>
            <w:gridSpan w:val="4"/>
            <w:tcBorders>
              <w:top w:val="single" w:color="auto" w:sz="4" w:space="0"/>
              <w:left w:val="nil"/>
              <w:bottom w:val="single" w:color="auto" w:sz="4" w:space="0"/>
              <w:right w:val="single" w:color="000000" w:sz="4" w:space="0"/>
            </w:tcBorders>
            <w:vAlign w:val="center"/>
          </w:tcPr>
          <w:p>
            <w:pPr>
              <w:widowControl/>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jc w:val="center"/>
        </w:trPr>
        <w:tc>
          <w:tcPr>
            <w:tcW w:w="1704"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3563"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650"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87"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552"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588"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512"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3563"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仿宋_GB2312" w:eastAsia="仿宋_GB2312" w:cs="仿宋_GB2312"/>
                <w:b/>
                <w:bCs/>
                <w:color w:val="auto"/>
                <w:kern w:val="0"/>
                <w:sz w:val="20"/>
                <w:szCs w:val="20"/>
                <w:highlight w:val="none"/>
              </w:rPr>
            </w:pPr>
          </w:p>
        </w:tc>
        <w:tc>
          <w:tcPr>
            <w:tcW w:w="1650"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仿宋_GB2312" w:eastAsia="仿宋_GB2312" w:cs="仿宋_GB2312"/>
                <w:b/>
                <w:bCs/>
                <w:color w:val="auto"/>
                <w:kern w:val="0"/>
                <w:sz w:val="20"/>
                <w:szCs w:val="20"/>
                <w:highlight w:val="none"/>
              </w:rPr>
            </w:pPr>
          </w:p>
        </w:tc>
        <w:tc>
          <w:tcPr>
            <w:tcW w:w="1587"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仿宋_GB2312" w:eastAsia="仿宋_GB2312" w:cs="仿宋_GB2312"/>
                <w:b/>
                <w:bCs/>
                <w:color w:val="auto"/>
                <w:kern w:val="0"/>
                <w:sz w:val="20"/>
                <w:szCs w:val="20"/>
                <w:highlight w:val="none"/>
              </w:rPr>
            </w:pPr>
          </w:p>
        </w:tc>
        <w:tc>
          <w:tcPr>
            <w:tcW w:w="155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b/>
                <w:bCs w:val="0"/>
                <w:color w:val="000000"/>
                <w:sz w:val="18"/>
                <w:szCs w:val="18"/>
                <w:highlight w:val="none"/>
              </w:rPr>
              <w:t>208</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20"/>
                <w:szCs w:val="20"/>
                <w:highlight w:val="none"/>
                <w:lang w:val="en-US" w:eastAsia="zh-CN" w:bidi="ar-SA"/>
              </w:rPr>
            </w:pPr>
            <w:r>
              <w:rPr>
                <w:rFonts w:hint="eastAsia" w:ascii="仿宋_GB2312" w:hAnsi="仿宋_GB2312" w:eastAsia="仿宋_GB2312" w:cs="仿宋_GB2312"/>
                <w:b/>
                <w:bCs w:val="0"/>
                <w:color w:val="000000"/>
                <w:sz w:val="18"/>
                <w:szCs w:val="18"/>
                <w:highlight w:val="none"/>
              </w:rPr>
              <w:t>社会保障和就业支出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30.48</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30.48</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b/>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b/>
                <w:bCs w:val="0"/>
                <w:color w:val="000000"/>
                <w:sz w:val="18"/>
                <w:szCs w:val="18"/>
                <w:highlight w:val="none"/>
              </w:rPr>
              <w:t>208</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b/>
                <w:bCs w:val="0"/>
                <w:color w:val="000000"/>
                <w:sz w:val="18"/>
                <w:szCs w:val="18"/>
                <w:highlight w:val="none"/>
              </w:rPr>
              <w:t>05</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20"/>
                <w:szCs w:val="20"/>
                <w:highlight w:val="none"/>
                <w:lang w:val="en-US" w:eastAsia="zh-CN" w:bidi="ar-SA"/>
              </w:rPr>
            </w:pPr>
            <w:r>
              <w:rPr>
                <w:rFonts w:hint="eastAsia" w:ascii="仿宋_GB2312" w:hAnsi="仿宋_GB2312" w:eastAsia="仿宋_GB2312" w:cs="仿宋_GB2312"/>
                <w:b/>
                <w:bCs w:val="0"/>
                <w:color w:val="000000"/>
                <w:sz w:val="18"/>
                <w:szCs w:val="18"/>
                <w:highlight w:val="none"/>
              </w:rPr>
              <w:t xml:space="preserve">  行政事业单位养老支出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30.48</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30.48</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208</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05</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05</w:t>
            </w: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2"/>
                <w:sz w:val="20"/>
                <w:szCs w:val="20"/>
                <w:highlight w:val="none"/>
                <w:lang w:val="en-US" w:eastAsia="zh-CN" w:bidi="ar-SA"/>
              </w:rPr>
            </w:pPr>
            <w:r>
              <w:rPr>
                <w:rFonts w:hint="eastAsia" w:ascii="仿宋_GB2312" w:hAnsi="仿宋_GB2312" w:eastAsia="仿宋_GB2312" w:cs="仿宋_GB2312"/>
                <w:color w:val="000000"/>
                <w:sz w:val="18"/>
                <w:szCs w:val="18"/>
                <w:highlight w:val="none"/>
              </w:rPr>
              <w:t>机关事业单位基本养老保险缴费支出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30.48</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30.48</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210</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20"/>
                <w:szCs w:val="20"/>
                <w:highlight w:val="none"/>
                <w:lang w:val="en-US" w:eastAsia="zh-CN" w:bidi="ar-SA"/>
              </w:rPr>
            </w:pPr>
            <w:r>
              <w:rPr>
                <w:rFonts w:hint="eastAsia" w:ascii="仿宋_GB2312" w:hAnsi="仿宋_GB2312" w:eastAsia="仿宋_GB2312" w:cs="仿宋_GB2312"/>
                <w:b/>
                <w:bCs/>
                <w:color w:val="000000"/>
                <w:sz w:val="18"/>
                <w:szCs w:val="18"/>
                <w:highlight w:val="none"/>
              </w:rPr>
              <w:t>卫生健康支出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23.05</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23.05</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75"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210</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11</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81" w:firstLineChars="100"/>
              <w:jc w:val="left"/>
              <w:textAlignment w:val="auto"/>
              <w:rPr>
                <w:rFonts w:hint="eastAsia" w:ascii="仿宋_GB2312" w:hAnsi="仿宋_GB2312" w:eastAsia="仿宋_GB2312" w:cs="仿宋_GB2312"/>
                <w:b/>
                <w:bCs/>
                <w:color w:val="000000"/>
                <w:kern w:val="2"/>
                <w:sz w:val="20"/>
                <w:szCs w:val="20"/>
                <w:highlight w:val="none"/>
                <w:lang w:val="en-US" w:eastAsia="zh-CN" w:bidi="ar-SA"/>
              </w:rPr>
            </w:pPr>
            <w:r>
              <w:rPr>
                <w:rFonts w:hint="eastAsia" w:ascii="仿宋_GB2312" w:hAnsi="仿宋_GB2312" w:eastAsia="仿宋_GB2312" w:cs="仿宋_GB2312"/>
                <w:b/>
                <w:bCs/>
                <w:color w:val="000000"/>
                <w:sz w:val="18"/>
                <w:szCs w:val="18"/>
                <w:highlight w:val="none"/>
              </w:rPr>
              <w:t>行政事业单位医疗</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23.05</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23.05</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210</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11</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02</w:t>
            </w: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22"/>
                <w:szCs w:val="22"/>
                <w:highlight w:val="none"/>
                <w:lang w:val="en-US" w:eastAsia="zh-CN" w:bidi="ar-SA"/>
              </w:rPr>
            </w:pPr>
            <w:r>
              <w:rPr>
                <w:rFonts w:hint="eastAsia" w:ascii="仿宋_GB2312" w:hAnsi="仿宋_GB2312" w:eastAsia="仿宋_GB2312" w:cs="仿宋_GB2312"/>
                <w:color w:val="000000"/>
                <w:sz w:val="18"/>
                <w:szCs w:val="18"/>
                <w:highlight w:val="none"/>
                <w:lang w:val="en-US" w:eastAsia="zh-CN"/>
              </w:rPr>
              <w:t>事业</w:t>
            </w:r>
            <w:r>
              <w:rPr>
                <w:rFonts w:hint="eastAsia" w:ascii="仿宋_GB2312" w:hAnsi="仿宋_GB2312" w:eastAsia="仿宋_GB2312" w:cs="仿宋_GB2312"/>
                <w:color w:val="000000"/>
                <w:sz w:val="18"/>
                <w:szCs w:val="18"/>
                <w:highlight w:val="none"/>
              </w:rPr>
              <w:t>单位医疗</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15.24</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15.24</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210</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11</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03</w:t>
            </w: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22"/>
                <w:szCs w:val="22"/>
                <w:highlight w:val="none"/>
                <w:lang w:val="en-US" w:eastAsia="zh-CN" w:bidi="ar-SA"/>
              </w:rPr>
            </w:pPr>
            <w:r>
              <w:rPr>
                <w:rFonts w:hint="eastAsia" w:ascii="仿宋_GB2312" w:hAnsi="仿宋_GB2312" w:eastAsia="仿宋_GB2312" w:cs="仿宋_GB2312"/>
                <w:color w:val="000000"/>
                <w:sz w:val="18"/>
                <w:szCs w:val="18"/>
                <w:highlight w:val="none"/>
              </w:rPr>
              <w:t>公务员医疗补助</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7.62</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7.62</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210</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11</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kern w:val="2"/>
                <w:sz w:val="18"/>
                <w:szCs w:val="18"/>
                <w:highlight w:val="none"/>
                <w:lang w:val="en-US" w:eastAsia="zh-CN" w:bidi="ar-SA"/>
              </w:rPr>
              <w:t>99</w:t>
            </w: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22"/>
                <w:szCs w:val="22"/>
                <w:highlight w:val="none"/>
                <w:lang w:val="en-US" w:eastAsia="zh-CN" w:bidi="ar-SA"/>
              </w:rPr>
            </w:pPr>
            <w:r>
              <w:rPr>
                <w:rFonts w:hint="eastAsia" w:ascii="仿宋_GB2312" w:hAnsi="仿宋_GB2312" w:eastAsia="仿宋_GB2312" w:cs="仿宋_GB2312"/>
                <w:color w:val="000000"/>
                <w:sz w:val="18"/>
                <w:szCs w:val="18"/>
                <w:highlight w:val="none"/>
                <w:lang w:val="en-US" w:eastAsia="zh-CN"/>
              </w:rPr>
              <w:t>其他行政事业单位医疗支出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0.19</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0.19</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213</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0"/>
                <w:sz w:val="22"/>
                <w:szCs w:val="22"/>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农林水支出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226.79</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226.79</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213</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01</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81" w:firstLineChars="100"/>
              <w:jc w:val="left"/>
              <w:textAlignment w:val="auto"/>
              <w:rPr>
                <w:rFonts w:hint="eastAsia" w:ascii="仿宋_GB2312" w:hAnsi="仿宋_GB2312" w:eastAsia="仿宋_GB2312" w:cs="仿宋_GB2312"/>
                <w:b/>
                <w:bCs/>
                <w:color w:val="000000"/>
                <w:kern w:val="0"/>
                <w:sz w:val="22"/>
                <w:szCs w:val="22"/>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农业农村</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226.79</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226.79</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213</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01</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04</w:t>
            </w: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22"/>
                <w:szCs w:val="22"/>
                <w:highlight w:val="none"/>
                <w:lang w:val="en-US" w:eastAsia="zh-CN" w:bidi="ar-SA"/>
              </w:rPr>
            </w:pPr>
            <w:r>
              <w:rPr>
                <w:rFonts w:hint="eastAsia" w:ascii="仿宋_GB2312" w:hAnsi="仿宋_GB2312" w:eastAsia="仿宋_GB2312" w:cs="仿宋_GB2312"/>
                <w:color w:val="000000"/>
                <w:sz w:val="18"/>
                <w:szCs w:val="18"/>
                <w:highlight w:val="none"/>
                <w:lang w:val="en-US" w:eastAsia="zh-CN"/>
              </w:rPr>
              <w:t>事业运行</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226.79</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226.79</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221</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0"/>
                <w:sz w:val="22"/>
                <w:szCs w:val="22"/>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住房保障支出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25.48</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25.48</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221</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02</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81" w:firstLineChars="100"/>
              <w:jc w:val="left"/>
              <w:textAlignment w:val="auto"/>
              <w:rPr>
                <w:rFonts w:hint="eastAsia" w:ascii="仿宋_GB2312" w:hAnsi="仿宋_GB2312" w:eastAsia="仿宋_GB2312" w:cs="仿宋_GB2312"/>
                <w:b/>
                <w:bCs/>
                <w:color w:val="000000"/>
                <w:kern w:val="0"/>
                <w:sz w:val="20"/>
                <w:szCs w:val="20"/>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住房改革支出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25.48</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25.48</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221</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02</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01</w:t>
            </w: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住房公积金</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25.48</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25.48</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88"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56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650"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8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88"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56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650"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8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88"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56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650"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8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88"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1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356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1650"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8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88"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1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3563"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c>
          <w:tcPr>
            <w:tcW w:w="1650"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158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88"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1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3563"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305.8</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305.8</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11"/>
        <w:tblW w:w="9328" w:type="dxa"/>
        <w:jc w:val="center"/>
        <w:tblLayout w:type="fixed"/>
        <w:tblCellMar>
          <w:top w:w="0" w:type="dxa"/>
          <w:left w:w="108" w:type="dxa"/>
          <w:bottom w:w="0" w:type="dxa"/>
          <w:right w:w="108" w:type="dxa"/>
        </w:tblCellMar>
      </w:tblPr>
      <w:tblGrid>
        <w:gridCol w:w="757"/>
        <w:gridCol w:w="577"/>
        <w:gridCol w:w="3259"/>
        <w:gridCol w:w="1587"/>
        <w:gridCol w:w="722"/>
        <w:gridCol w:w="1003"/>
        <w:gridCol w:w="1423"/>
      </w:tblGrid>
      <w:tr>
        <w:tblPrEx>
          <w:tblCellMar>
            <w:top w:w="0" w:type="dxa"/>
            <w:left w:w="108" w:type="dxa"/>
            <w:bottom w:w="0" w:type="dxa"/>
            <w:right w:w="108" w:type="dxa"/>
          </w:tblCellMar>
        </w:tblPrEx>
        <w:trPr>
          <w:trHeight w:val="375" w:hRule="atLeast"/>
          <w:jc w:val="center"/>
        </w:trPr>
        <w:tc>
          <w:tcPr>
            <w:tcW w:w="9328" w:type="dxa"/>
            <w:gridSpan w:val="7"/>
            <w:tcBorders>
              <w:top w:val="nil"/>
              <w:left w:val="nil"/>
              <w:bottom w:val="nil"/>
              <w:right w:val="nil"/>
            </w:tcBorders>
            <w:vAlign w:val="center"/>
          </w:tcPr>
          <w:p>
            <w:pPr>
              <w:widowControl/>
              <w:jc w:val="center"/>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jc w:val="center"/>
        </w:trPr>
        <w:tc>
          <w:tcPr>
            <w:tcW w:w="6902" w:type="dxa"/>
            <w:gridSpan w:val="5"/>
            <w:tcBorders>
              <w:top w:val="nil"/>
              <w:left w:val="nil"/>
              <w:bottom w:val="nil"/>
              <w:right w:val="nil"/>
            </w:tcBorders>
            <w:vAlign w:val="center"/>
          </w:tcPr>
          <w:p>
            <w:pPr>
              <w:widowControl/>
              <w:jc w:val="left"/>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lang w:eastAsia="zh-CN"/>
              </w:rPr>
              <w:t>编制部门：</w:t>
            </w:r>
            <w:r>
              <w:rPr>
                <w:rFonts w:hint="eastAsia" w:ascii="仿宋_GB2312" w:hAnsi="仿宋_GB2312" w:eastAsia="仿宋_GB2312" w:cs="仿宋_GB2312"/>
                <w:color w:val="auto"/>
                <w:kern w:val="0"/>
                <w:sz w:val="24"/>
                <w:highlight w:val="none"/>
                <w:lang w:val="en-US" w:eastAsia="zh-CN"/>
              </w:rPr>
              <w:t>呼图壁县乡村振兴综合保障中心</w:t>
            </w:r>
            <w:r>
              <w:rPr>
                <w:rFonts w:hint="eastAsia" w:ascii="仿宋_GB2312" w:hAnsi="仿宋_GB2312" w:eastAsia="仿宋_GB2312" w:cs="仿宋_GB2312"/>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jc w:val="center"/>
        </w:trPr>
        <w:tc>
          <w:tcPr>
            <w:tcW w:w="4593"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 xml:space="preserve">科  </w:t>
            </w:r>
            <w:r>
              <w:rPr>
                <w:rFonts w:hint="eastAsia" w:ascii="仿宋_GB2312" w:hAnsi="仿宋_GB2312" w:eastAsia="仿宋_GB2312" w:cs="仿宋_GB2312"/>
                <w:b/>
                <w:bCs/>
                <w:color w:val="auto"/>
                <w:kern w:val="0"/>
                <w:sz w:val="24"/>
                <w:szCs w:val="24"/>
                <w:highlight w:val="none"/>
              </w:rPr>
              <w:t>目</w:t>
            </w:r>
          </w:p>
        </w:tc>
        <w:tc>
          <w:tcPr>
            <w:tcW w:w="4735" w:type="dxa"/>
            <w:gridSpan w:val="4"/>
            <w:tcBorders>
              <w:top w:val="single" w:color="auto" w:sz="4" w:space="0"/>
              <w:left w:val="nil"/>
              <w:bottom w:val="single" w:color="auto" w:sz="4" w:space="0"/>
              <w:right w:val="single" w:color="000000" w:sz="4" w:space="0"/>
            </w:tcBorders>
            <w:vAlign w:val="center"/>
          </w:tcPr>
          <w:p>
            <w:pPr>
              <w:widowControl/>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jc w:val="center"/>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经济分类科目编码</w:t>
            </w:r>
          </w:p>
        </w:tc>
        <w:tc>
          <w:tcPr>
            <w:tcW w:w="3259"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经济分类科目名称</w:t>
            </w:r>
          </w:p>
        </w:tc>
        <w:tc>
          <w:tcPr>
            <w:tcW w:w="1587"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25"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人员经费</w:t>
            </w:r>
          </w:p>
        </w:tc>
        <w:tc>
          <w:tcPr>
            <w:tcW w:w="1423"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3259"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p>
        </w:tc>
        <w:tc>
          <w:tcPr>
            <w:tcW w:w="1587"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p>
        </w:tc>
        <w:tc>
          <w:tcPr>
            <w:tcW w:w="1725"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p>
        </w:tc>
        <w:tc>
          <w:tcPr>
            <w:tcW w:w="1423"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000000"/>
                <w:kern w:val="0"/>
                <w:sz w:val="20"/>
                <w:szCs w:val="20"/>
                <w:highlight w:val="none"/>
                <w:lang w:val="en-US" w:eastAsia="zh-CN" w:bidi="ar-SA"/>
              </w:rPr>
            </w:pPr>
            <w:r>
              <w:rPr>
                <w:rFonts w:hint="eastAsia" w:ascii="仿宋_GB2312" w:hAnsi="仿宋_GB2312" w:eastAsia="仿宋_GB2312" w:cs="仿宋_GB2312"/>
                <w:b/>
                <w:bCs/>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000000"/>
                <w:kern w:val="0"/>
                <w:sz w:val="20"/>
                <w:szCs w:val="20"/>
                <w:highlight w:val="none"/>
                <w:lang w:val="en-US" w:eastAsia="zh-CN" w:bidi="ar-SA"/>
              </w:rPr>
            </w:pPr>
          </w:p>
        </w:tc>
        <w:tc>
          <w:tcPr>
            <w:tcW w:w="325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b/>
                <w:bCs/>
                <w:color w:val="auto"/>
                <w:kern w:val="0"/>
                <w:sz w:val="20"/>
                <w:szCs w:val="20"/>
                <w:highlight w:val="none"/>
                <w:lang w:val="en-US" w:eastAsia="zh-CN" w:bidi="ar-SA"/>
              </w:rPr>
            </w:pPr>
            <w:r>
              <w:rPr>
                <w:rFonts w:hint="eastAsia" w:ascii="仿宋_GB2312" w:hAnsi="仿宋_GB2312" w:eastAsia="仿宋_GB2312" w:cs="仿宋_GB2312"/>
                <w:b/>
                <w:bCs/>
                <w:color w:val="000000"/>
                <w:kern w:val="0"/>
                <w:sz w:val="20"/>
                <w:szCs w:val="20"/>
                <w:highlight w:val="none"/>
                <w:lang w:val="en-US" w:eastAsia="zh-CN"/>
              </w:rPr>
              <w:t>工资福利支出</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 xml:space="preserve">293.08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 xml:space="preserve">293.08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01</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基本工资</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73.05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73.05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02</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津贴补贴</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25.73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25.73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03</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奖金</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62.74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62.74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07</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绩效工资</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50.83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50.83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08</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机关事业单位基本养老保险缴费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30.48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30.48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10</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rPr>
              <w:t>城镇职工基本医疗保险缴费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15.24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15.24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11</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rPr>
              <w:t>公务员医疗补助缴费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7.62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7.62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12</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rPr>
              <w:t>其他社会保障缴费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1.91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1.91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13</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rPr>
              <w:t>住房公积金</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25.48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25.48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000000"/>
                <w:kern w:val="0"/>
                <w:sz w:val="20"/>
                <w:szCs w:val="20"/>
                <w:highlight w:val="none"/>
                <w:lang w:val="en-US" w:eastAsia="zh-CN" w:bidi="ar-SA"/>
              </w:rPr>
            </w:pPr>
            <w:r>
              <w:rPr>
                <w:rFonts w:hint="eastAsia" w:ascii="仿宋_GB2312" w:hAnsi="仿宋_GB2312" w:eastAsia="仿宋_GB2312" w:cs="仿宋_GB2312"/>
                <w:b/>
                <w:bCs/>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000000"/>
                <w:kern w:val="0"/>
                <w:sz w:val="20"/>
                <w:szCs w:val="20"/>
                <w:highlight w:val="none"/>
                <w:lang w:val="en-US" w:eastAsia="zh-CN" w:bidi="ar-SA"/>
              </w:rPr>
            </w:pPr>
          </w:p>
        </w:tc>
        <w:tc>
          <w:tcPr>
            <w:tcW w:w="325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b/>
                <w:bCs/>
                <w:color w:val="000000"/>
                <w:kern w:val="0"/>
                <w:sz w:val="20"/>
                <w:szCs w:val="20"/>
                <w:highlight w:val="none"/>
                <w:lang w:val="en-US" w:eastAsia="zh-CN" w:bidi="ar-SA"/>
              </w:rPr>
            </w:pPr>
            <w:r>
              <w:rPr>
                <w:rFonts w:hint="eastAsia" w:ascii="仿宋_GB2312" w:hAnsi="仿宋_GB2312" w:eastAsia="仿宋_GB2312" w:cs="仿宋_GB2312"/>
                <w:b/>
                <w:bCs/>
                <w:color w:val="000000"/>
                <w:kern w:val="0"/>
                <w:sz w:val="20"/>
                <w:szCs w:val="20"/>
                <w:highlight w:val="none"/>
                <w:lang w:val="en-US" w:eastAsia="zh-CN"/>
              </w:rPr>
              <w:t>商品和服务支出</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 xml:space="preserve">9.09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 xml:space="preserve">9.09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01</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rPr>
              <w:t>办公费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1.60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1.60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02</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印刷费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0.20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0.20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05</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水费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0.04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0.04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06</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电费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0.12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0.12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07</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邮电费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0.68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0.68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11</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差旅费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0.56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0.56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17</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公务接待费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0.60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0.60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28</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工会经费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3.69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3.69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31</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rPr>
              <w:t>公务用车运行维护费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1.60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1.60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000000"/>
                <w:kern w:val="0"/>
                <w:sz w:val="20"/>
                <w:szCs w:val="20"/>
                <w:highlight w:val="none"/>
                <w:lang w:val="en-US" w:eastAsia="zh-CN" w:bidi="ar-SA"/>
              </w:rPr>
            </w:pPr>
            <w:r>
              <w:rPr>
                <w:rFonts w:hint="eastAsia" w:ascii="仿宋_GB2312" w:hAnsi="仿宋_GB2312" w:eastAsia="仿宋_GB2312" w:cs="仿宋_GB2312"/>
                <w:b/>
                <w:bCs/>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000000"/>
                <w:kern w:val="0"/>
                <w:sz w:val="20"/>
                <w:szCs w:val="20"/>
                <w:highlight w:val="none"/>
                <w:lang w:val="en-US" w:eastAsia="zh-CN" w:bidi="ar-SA"/>
              </w:rPr>
            </w:pPr>
          </w:p>
        </w:tc>
        <w:tc>
          <w:tcPr>
            <w:tcW w:w="325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b/>
                <w:bCs/>
                <w:color w:val="000000"/>
                <w:kern w:val="0"/>
                <w:sz w:val="20"/>
                <w:szCs w:val="20"/>
                <w:highlight w:val="none"/>
                <w:lang w:val="en-US" w:eastAsia="zh-CN" w:bidi="ar-SA"/>
              </w:rPr>
            </w:pPr>
            <w:r>
              <w:rPr>
                <w:rFonts w:hint="eastAsia" w:ascii="仿宋_GB2312" w:hAnsi="仿宋_GB2312" w:eastAsia="仿宋_GB2312" w:cs="仿宋_GB2312"/>
                <w:b/>
                <w:bCs/>
                <w:color w:val="000000"/>
                <w:kern w:val="0"/>
                <w:sz w:val="20"/>
                <w:szCs w:val="20"/>
                <w:highlight w:val="none"/>
                <w:lang w:val="en-US" w:eastAsia="zh-CN"/>
              </w:rPr>
              <w:t>对个人和家庭的补助</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 xml:space="preserve">3.64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 xml:space="preserve">3.64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99</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其他对个人和家庭的补助</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3.64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3.64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25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8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c>
          <w:tcPr>
            <w:tcW w:w="1725"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c>
          <w:tcPr>
            <w:tcW w:w="1423"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259"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87" w:type="dxa"/>
            <w:tcBorders>
              <w:top w:val="nil"/>
              <w:left w:val="nil"/>
              <w:bottom w:val="single" w:color="auto" w:sz="4" w:space="0"/>
              <w:right w:val="single" w:color="auto" w:sz="4" w:space="0"/>
            </w:tcBorders>
            <w:vAlign w:val="top"/>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305.80</w:t>
            </w:r>
          </w:p>
        </w:tc>
        <w:tc>
          <w:tcPr>
            <w:tcW w:w="1725" w:type="dxa"/>
            <w:gridSpan w:val="2"/>
            <w:tcBorders>
              <w:top w:val="nil"/>
              <w:left w:val="nil"/>
              <w:bottom w:val="single" w:color="auto" w:sz="4" w:space="0"/>
              <w:right w:val="single" w:color="auto" w:sz="4" w:space="0"/>
            </w:tcBorders>
            <w:vAlign w:val="top"/>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296.71</w:t>
            </w:r>
          </w:p>
        </w:tc>
        <w:tc>
          <w:tcPr>
            <w:tcW w:w="1423" w:type="dxa"/>
            <w:tcBorders>
              <w:top w:val="nil"/>
              <w:left w:val="nil"/>
              <w:bottom w:val="single" w:color="auto" w:sz="4" w:space="0"/>
              <w:right w:val="single" w:color="auto" w:sz="4" w:space="0"/>
            </w:tcBorders>
            <w:vAlign w:val="top"/>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9.09</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11"/>
        <w:tblW w:w="9540" w:type="dxa"/>
        <w:jc w:val="center"/>
        <w:tblLayout w:type="fixed"/>
        <w:tblCellMar>
          <w:top w:w="0" w:type="dxa"/>
          <w:left w:w="108" w:type="dxa"/>
          <w:bottom w:w="0" w:type="dxa"/>
          <w:right w:w="108" w:type="dxa"/>
        </w:tblCellMar>
      </w:tblPr>
      <w:tblGrid>
        <w:gridCol w:w="8"/>
        <w:gridCol w:w="409"/>
        <w:gridCol w:w="417"/>
        <w:gridCol w:w="417"/>
        <w:gridCol w:w="828"/>
        <w:gridCol w:w="1400"/>
        <w:gridCol w:w="732"/>
        <w:gridCol w:w="561"/>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jc w:val="center"/>
        </w:trPr>
        <w:tc>
          <w:tcPr>
            <w:tcW w:w="9455" w:type="dxa"/>
            <w:gridSpan w:val="1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jc w:val="center"/>
        </w:trPr>
        <w:tc>
          <w:tcPr>
            <w:tcW w:w="5294" w:type="dxa"/>
            <w:gridSpan w:val="8"/>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编制部门：</w:t>
            </w:r>
            <w:r>
              <w:rPr>
                <w:rFonts w:hint="eastAsia" w:ascii="仿宋_GB2312" w:hAnsi="宋体" w:eastAsia="仿宋_GB2312" w:cs="宋体"/>
                <w:color w:val="auto"/>
                <w:kern w:val="0"/>
                <w:sz w:val="24"/>
                <w:highlight w:val="none"/>
                <w:lang w:val="en-US" w:eastAsia="zh-CN"/>
              </w:rPr>
              <w:t>呼图壁县乡村振兴综合保障中心</w:t>
            </w:r>
            <w:r>
              <w:rPr>
                <w:rFonts w:hint="eastAsia" w:ascii="仿宋_GB2312" w:hAnsi="宋体" w:eastAsia="仿宋_GB2312" w:cs="宋体"/>
                <w:color w:val="auto"/>
                <w:kern w:val="0"/>
                <w:sz w:val="24"/>
                <w:highlight w:val="none"/>
              </w:rPr>
              <w:t xml:space="preserve">  </w:t>
            </w:r>
          </w:p>
        </w:tc>
        <w:tc>
          <w:tcPr>
            <w:tcW w:w="1682"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251"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jc w:val="center"/>
        </w:trPr>
        <w:tc>
          <w:tcPr>
            <w:tcW w:w="417"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61"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828" w:type="dxa"/>
            <w:vAlign w:val="top"/>
          </w:tcPr>
          <w:p>
            <w:pPr>
              <w:widowControl/>
              <w:jc w:val="left"/>
              <w:outlineLvl w:val="1"/>
              <w:rPr>
                <w:rFonts w:ascii="仿宋_GB2312" w:hAnsi="宋体" w:eastAsia="仿宋_GB2312"/>
                <w:color w:val="auto"/>
                <w:kern w:val="0"/>
                <w:sz w:val="32"/>
                <w:szCs w:val="32"/>
                <w:highlight w:val="none"/>
              </w:rPr>
            </w:pPr>
          </w:p>
        </w:tc>
        <w:tc>
          <w:tcPr>
            <w:tcW w:w="1400" w:type="dxa"/>
            <w:vAlign w:val="top"/>
          </w:tcPr>
          <w:p>
            <w:pPr>
              <w:widowControl/>
              <w:jc w:val="left"/>
              <w:outlineLvl w:val="1"/>
              <w:rPr>
                <w:rFonts w:ascii="仿宋_GB2312" w:hAnsi="宋体" w:eastAsia="仿宋_GB2312"/>
                <w:color w:val="auto"/>
                <w:kern w:val="0"/>
                <w:sz w:val="32"/>
                <w:szCs w:val="32"/>
                <w:highlight w:val="none"/>
              </w:rPr>
            </w:pPr>
          </w:p>
        </w:tc>
        <w:tc>
          <w:tcPr>
            <w:tcW w:w="732" w:type="dxa"/>
            <w:vAlign w:val="top"/>
          </w:tcPr>
          <w:p>
            <w:pPr>
              <w:widowControl/>
              <w:jc w:val="left"/>
              <w:outlineLvl w:val="1"/>
              <w:rPr>
                <w:rFonts w:ascii="仿宋_GB2312" w:hAnsi="宋体" w:eastAsia="仿宋_GB2312"/>
                <w:color w:val="auto"/>
                <w:kern w:val="0"/>
                <w:sz w:val="32"/>
                <w:szCs w:val="32"/>
                <w:highlight w:val="none"/>
              </w:rPr>
            </w:pPr>
          </w:p>
        </w:tc>
        <w:tc>
          <w:tcPr>
            <w:tcW w:w="561" w:type="dxa"/>
            <w:vAlign w:val="top"/>
          </w:tcPr>
          <w:p>
            <w:pPr>
              <w:widowControl/>
              <w:jc w:val="left"/>
              <w:outlineLvl w:val="1"/>
              <w:rPr>
                <w:rFonts w:ascii="仿宋_GB2312" w:hAnsi="宋体" w:eastAsia="仿宋_GB2312"/>
                <w:color w:val="auto"/>
                <w:kern w:val="0"/>
                <w:sz w:val="32"/>
                <w:szCs w:val="32"/>
                <w:highlight w:val="none"/>
              </w:rPr>
            </w:pPr>
          </w:p>
        </w:tc>
        <w:tc>
          <w:tcPr>
            <w:tcW w:w="530" w:type="dxa"/>
            <w:vAlign w:val="top"/>
          </w:tcPr>
          <w:p>
            <w:pPr>
              <w:widowControl/>
              <w:jc w:val="left"/>
              <w:outlineLvl w:val="1"/>
              <w:rPr>
                <w:rFonts w:ascii="仿宋_GB2312" w:hAnsi="宋体" w:eastAsia="仿宋_GB2312"/>
                <w:color w:val="auto"/>
                <w:kern w:val="0"/>
                <w:sz w:val="32"/>
                <w:szCs w:val="32"/>
                <w:highlight w:val="none"/>
              </w:rPr>
            </w:pPr>
          </w:p>
        </w:tc>
        <w:tc>
          <w:tcPr>
            <w:tcW w:w="639" w:type="dxa"/>
            <w:vAlign w:val="top"/>
          </w:tcPr>
          <w:p>
            <w:pPr>
              <w:widowControl/>
              <w:jc w:val="left"/>
              <w:outlineLvl w:val="1"/>
              <w:rPr>
                <w:rFonts w:ascii="仿宋_GB2312" w:hAnsi="宋体" w:eastAsia="仿宋_GB2312"/>
                <w:color w:val="auto"/>
                <w:kern w:val="0"/>
                <w:sz w:val="32"/>
                <w:szCs w:val="32"/>
                <w:highlight w:val="none"/>
              </w:rPr>
            </w:pPr>
          </w:p>
        </w:tc>
        <w:tc>
          <w:tcPr>
            <w:tcW w:w="639" w:type="dxa"/>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p>
        </w:tc>
        <w:tc>
          <w:tcPr>
            <w:tcW w:w="419" w:type="dxa"/>
            <w:vAlign w:val="top"/>
          </w:tcPr>
          <w:p>
            <w:pPr>
              <w:widowControl/>
              <w:jc w:val="left"/>
              <w:outlineLvl w:val="1"/>
              <w:rPr>
                <w:rFonts w:ascii="仿宋_GB2312" w:hAnsi="宋体" w:eastAsia="仿宋_GB2312"/>
                <w:color w:val="auto"/>
                <w:kern w:val="0"/>
                <w:sz w:val="32"/>
                <w:szCs w:val="32"/>
                <w:highlight w:val="none"/>
              </w:rPr>
            </w:pPr>
          </w:p>
        </w:tc>
        <w:tc>
          <w:tcPr>
            <w:tcW w:w="618"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pPr>
              <w:widowControl/>
              <w:jc w:val="center"/>
              <w:outlineLvl w:val="1"/>
              <w:rPr>
                <w:rFonts w:ascii="仿宋_GB2312" w:hAnsi="宋体" w:eastAsia="仿宋_GB2312"/>
                <w:color w:val="auto"/>
                <w:kern w:val="0"/>
                <w:szCs w:val="21"/>
                <w:highlight w:val="none"/>
              </w:rPr>
            </w:pP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ind w:firstLine="281" w:firstLineChars="100"/>
        <w:outlineLvl w:val="1"/>
        <w:rPr>
          <w:rFonts w:hint="eastAsia" w:ascii="仿宋" w:hAnsi="仿宋" w:eastAsia="仿宋" w:cs="仿宋"/>
          <w:i w:val="0"/>
          <w:color w:val="auto"/>
          <w:kern w:val="0"/>
          <w:sz w:val="28"/>
          <w:szCs w:val="28"/>
          <w:highlight w:val="none"/>
          <w:u w:val="none"/>
          <w:lang w:val="en-US" w:eastAsia="zh-CN" w:bidi="ar"/>
        </w:rPr>
      </w:pPr>
      <w:r>
        <w:rPr>
          <w:rFonts w:hint="eastAsia" w:ascii="仿宋_GB2312" w:hAnsi="宋体" w:eastAsia="仿宋_GB2312"/>
          <w:b/>
          <w:color w:val="auto"/>
          <w:kern w:val="0"/>
          <w:sz w:val="28"/>
          <w:szCs w:val="32"/>
          <w:highlight w:val="none"/>
        </w:rPr>
        <w:t>备注：</w:t>
      </w:r>
      <w:r>
        <w:rPr>
          <w:rFonts w:hint="eastAsia" w:ascii="仿宋" w:hAnsi="仿宋" w:eastAsia="仿宋" w:cs="仿宋"/>
          <w:b/>
          <w:bCs/>
          <w:color w:val="000000"/>
          <w:sz w:val="28"/>
          <w:szCs w:val="28"/>
          <w:lang w:eastAsia="zh-CN"/>
        </w:rPr>
        <w:t>呼图壁县乡村振兴综合保障中心</w:t>
      </w:r>
      <w:r>
        <w:rPr>
          <w:rFonts w:hint="eastAsia" w:ascii="仿宋" w:hAnsi="仿宋" w:eastAsia="仿宋" w:cs="仿宋"/>
          <w:b/>
          <w:bCs/>
          <w:color w:val="000000"/>
          <w:sz w:val="28"/>
          <w:szCs w:val="28"/>
        </w:rPr>
        <w:t xml:space="preserve"> 2025 年没有使用一般公共预算安排项目支出，一般公共预算项目支出情况表为空表。</w:t>
      </w:r>
    </w:p>
    <w:p>
      <w:pPr>
        <w:rPr>
          <w:rFonts w:hint="eastAsia" w:ascii="宋体" w:hAnsi="宋体" w:eastAsia="宋体" w:cs="宋体"/>
          <w:i w:val="0"/>
          <w:color w:val="auto"/>
          <w:kern w:val="0"/>
          <w:sz w:val="20"/>
          <w:szCs w:val="20"/>
          <w:highlight w:val="none"/>
          <w:u w:val="none"/>
          <w:lang w:val="en-US" w:eastAsia="zh-CN" w:bidi="ar"/>
        </w:rPr>
      </w:pPr>
      <w:r>
        <w:rPr>
          <w:rFonts w:hint="eastAsia" w:ascii="仿宋" w:hAnsi="仿宋" w:eastAsia="仿宋" w:cs="仿宋"/>
          <w:i w:val="0"/>
          <w:color w:val="auto"/>
          <w:kern w:val="0"/>
          <w:sz w:val="28"/>
          <w:szCs w:val="28"/>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s="宋体"/>
          <w:color w:val="auto"/>
          <w:kern w:val="0"/>
          <w:sz w:val="24"/>
          <w:highlight w:val="none"/>
          <w:lang w:val="en-US" w:eastAsia="zh-CN"/>
        </w:rPr>
        <w:t>呼图壁县乡村振兴综合保障中心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1"/>
        <w:tblW w:w="9214" w:type="dxa"/>
        <w:jc w:val="center"/>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jc w:val="center"/>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jc w:val="center"/>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jc w:val="center"/>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ind w:firstLine="281" w:firstLineChars="100"/>
        <w:textAlignment w:val="auto"/>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备注：</w:t>
      </w:r>
      <w:r>
        <w:rPr>
          <w:rFonts w:hint="eastAsia" w:ascii="仿宋" w:hAnsi="仿宋" w:eastAsia="仿宋" w:cs="仿宋"/>
          <w:b/>
          <w:bCs/>
          <w:color w:val="000000"/>
          <w:sz w:val="28"/>
          <w:szCs w:val="28"/>
          <w:lang w:eastAsia="zh-CN"/>
        </w:rPr>
        <w:t>呼图壁县乡村振兴综合保障中心</w:t>
      </w:r>
      <w:r>
        <w:rPr>
          <w:rFonts w:hint="eastAsia" w:ascii="仿宋" w:hAnsi="仿宋" w:eastAsia="仿宋" w:cs="仿宋"/>
          <w:b/>
          <w:bCs/>
          <w:color w:val="000000"/>
          <w:sz w:val="28"/>
          <w:szCs w:val="28"/>
        </w:rPr>
        <w:t xml:space="preserve"> 2025 年没有使用政府性基金预算拨款安排的支出，政府性基金预算支出情况表为空表。</w:t>
      </w: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s="宋体"/>
          <w:color w:val="auto"/>
          <w:kern w:val="0"/>
          <w:sz w:val="24"/>
          <w:highlight w:val="none"/>
          <w:lang w:val="en-US" w:eastAsia="zh-CN"/>
        </w:rPr>
        <w:t>呼图壁县乡村振兴综合保障中心</w:t>
      </w:r>
      <w:r>
        <w:rPr>
          <w:rFonts w:hint="eastAsia" w:ascii="仿宋_GB2312" w:hAnsi="宋体" w:eastAsia="仿宋_GB2312" w:cs="宋体"/>
          <w:color w:val="auto"/>
          <w:kern w:val="0"/>
          <w:sz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1"/>
        <w:tblW w:w="9214" w:type="dxa"/>
        <w:jc w:val="center"/>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jc w:val="center"/>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jc w:val="center"/>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jc w:val="center"/>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ind w:firstLine="281" w:firstLineChars="100"/>
        <w:textAlignment w:val="auto"/>
        <w:outlineLvl w:val="1"/>
        <w:rPr>
          <w:rFonts w:hint="eastAsia" w:ascii="仿宋" w:hAnsi="仿宋" w:eastAsia="仿宋" w:cs="仿宋"/>
          <w:b/>
          <w:color w:val="auto"/>
          <w:kern w:val="0"/>
          <w:sz w:val="28"/>
          <w:szCs w:val="28"/>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 w:hAnsi="仿宋" w:eastAsia="仿宋" w:cs="仿宋"/>
          <w:b/>
          <w:bCs/>
          <w:color w:val="000000"/>
          <w:sz w:val="28"/>
          <w:szCs w:val="28"/>
          <w:lang w:eastAsia="zh-CN"/>
        </w:rPr>
        <w:t>呼图壁县乡村振兴综合保障中心</w:t>
      </w:r>
      <w:r>
        <w:rPr>
          <w:rFonts w:hint="eastAsia" w:ascii="仿宋" w:hAnsi="仿宋" w:eastAsia="仿宋" w:cs="仿宋"/>
          <w:b/>
          <w:bCs/>
          <w:color w:val="000000"/>
          <w:sz w:val="28"/>
          <w:szCs w:val="28"/>
        </w:rPr>
        <w:t xml:space="preserve"> 2025 年没有使用国有资本经营预算拨款安排的支出，国有资本经营预算支出情况表为空表</w:t>
      </w:r>
      <w:r>
        <w:rPr>
          <w:rFonts w:hint="eastAsia" w:ascii="仿宋" w:hAnsi="仿宋" w:eastAsia="仿宋" w:cs="仿宋"/>
          <w:sz w:val="28"/>
          <w:szCs w:val="28"/>
          <w:lang w:eastAsia="zh-CN"/>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1440" w:right="1080" w:bottom="1440" w:left="1080"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s="宋体"/>
          <w:color w:val="auto"/>
          <w:kern w:val="0"/>
          <w:sz w:val="24"/>
          <w:highlight w:val="none"/>
          <w:lang w:val="en-US" w:eastAsia="zh-CN"/>
        </w:rPr>
        <w:t>呼图壁县乡村振兴综合保障中心</w:t>
      </w:r>
      <w:r>
        <w:rPr>
          <w:rFonts w:hint="eastAsia" w:ascii="仿宋_GB2312" w:hAnsi="宋体" w:eastAsia="仿宋_GB2312" w:cs="宋体"/>
          <w:color w:val="auto"/>
          <w:kern w:val="0"/>
          <w:sz w:val="24"/>
          <w:highlight w:val="none"/>
        </w:rPr>
        <w:t xml:space="preserve">  </w:t>
      </w: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2"/>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center"/>
          </w:tcPr>
          <w:p>
            <w:pPr>
              <w:widowControl/>
              <w:jc w:val="right"/>
              <w:outlineLvl w:val="1"/>
              <w:rPr>
                <w:rFonts w:hint="default" w:ascii="仿宋_GB2312" w:hAnsi="宋体" w:eastAsia="仿宋_GB2312" w:cs="Times New Roman"/>
                <w:b/>
                <w:kern w:val="0"/>
                <w:sz w:val="24"/>
                <w:szCs w:val="24"/>
                <w:highlight w:val="none"/>
                <w:lang w:val="en-US" w:eastAsia="zh-CN" w:bidi="ar-SA"/>
              </w:rPr>
            </w:pPr>
            <w:r>
              <w:rPr>
                <w:rFonts w:hint="eastAsia" w:ascii="仿宋_GB2312" w:hAnsi="宋体" w:eastAsia="仿宋_GB2312"/>
                <w:b/>
                <w:kern w:val="0"/>
                <w:sz w:val="24"/>
                <w:highlight w:val="none"/>
                <w:lang w:val="en-US" w:eastAsia="zh-CN"/>
              </w:rPr>
              <w:t>2.20</w:t>
            </w:r>
          </w:p>
        </w:tc>
        <w:tc>
          <w:tcPr>
            <w:tcW w:w="1314" w:type="dxa"/>
            <w:vAlign w:val="center"/>
          </w:tcPr>
          <w:p>
            <w:pPr>
              <w:widowControl/>
              <w:jc w:val="right"/>
              <w:outlineLvl w:val="1"/>
              <w:rPr>
                <w:rFonts w:hint="default" w:ascii="仿宋_GB2312" w:hAnsi="宋体" w:eastAsia="仿宋_GB2312" w:cs="Times New Roman"/>
                <w:b/>
                <w:kern w:val="0"/>
                <w:sz w:val="24"/>
                <w:szCs w:val="24"/>
                <w:highlight w:val="none"/>
                <w:lang w:val="en-US" w:eastAsia="zh-CN" w:bidi="ar-SA"/>
              </w:rPr>
            </w:pPr>
            <w:r>
              <w:rPr>
                <w:rFonts w:hint="eastAsia" w:ascii="仿宋_GB2312" w:hAnsi="宋体" w:eastAsia="仿宋_GB2312"/>
                <w:b/>
                <w:kern w:val="0"/>
                <w:sz w:val="24"/>
                <w:highlight w:val="none"/>
                <w:lang w:val="en-US" w:eastAsia="zh-CN"/>
              </w:rPr>
              <w:t>2.20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因公出国（境）费</w:t>
            </w:r>
          </w:p>
        </w:tc>
        <w:tc>
          <w:tcPr>
            <w:tcW w:w="1215" w:type="dxa"/>
            <w:vAlign w:val="center"/>
          </w:tcPr>
          <w:p>
            <w:pPr>
              <w:widowControl/>
              <w:jc w:val="right"/>
              <w:outlineLvl w:val="1"/>
              <w:rPr>
                <w:rFonts w:hint="eastAsia" w:ascii="仿宋_GB2312" w:hAnsi="宋体" w:eastAsia="仿宋_GB2312" w:cs="Times New Roman"/>
                <w:b w:val="0"/>
                <w:bCs/>
                <w:kern w:val="0"/>
                <w:sz w:val="24"/>
                <w:szCs w:val="24"/>
                <w:highlight w:val="none"/>
                <w:lang w:val="en-US" w:eastAsia="zh-CN" w:bidi="ar-SA"/>
              </w:rPr>
            </w:pPr>
          </w:p>
        </w:tc>
        <w:tc>
          <w:tcPr>
            <w:tcW w:w="1314" w:type="dxa"/>
            <w:vAlign w:val="center"/>
          </w:tcPr>
          <w:p>
            <w:pPr>
              <w:widowControl/>
              <w:jc w:val="right"/>
              <w:outlineLvl w:val="1"/>
              <w:rPr>
                <w:rFonts w:hint="eastAsia" w:ascii="仿宋_GB2312" w:hAnsi="宋体" w:eastAsia="仿宋_GB2312" w:cs="Times New Roman"/>
                <w:b w:val="0"/>
                <w:bCs/>
                <w:kern w:val="0"/>
                <w:sz w:val="24"/>
                <w:szCs w:val="24"/>
                <w:highlight w:val="none"/>
                <w:lang w:val="en-US" w:eastAsia="zh-CN" w:bidi="ar-SA"/>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公务接待费</w:t>
            </w:r>
          </w:p>
        </w:tc>
        <w:tc>
          <w:tcPr>
            <w:tcW w:w="1215" w:type="dxa"/>
            <w:vAlign w:val="center"/>
          </w:tcPr>
          <w:p>
            <w:pPr>
              <w:widowControl/>
              <w:jc w:val="right"/>
              <w:outlineLvl w:val="1"/>
              <w:rPr>
                <w:rFonts w:hint="default" w:ascii="仿宋_GB2312" w:hAnsi="宋体" w:eastAsia="仿宋_GB2312" w:cs="Times New Roman"/>
                <w:b w:val="0"/>
                <w:bCs/>
                <w:kern w:val="0"/>
                <w:sz w:val="24"/>
                <w:szCs w:val="24"/>
                <w:highlight w:val="none"/>
                <w:lang w:val="en-US" w:eastAsia="zh-CN" w:bidi="ar-SA"/>
              </w:rPr>
            </w:pPr>
            <w:r>
              <w:rPr>
                <w:rFonts w:hint="eastAsia" w:ascii="仿宋_GB2312" w:hAnsi="宋体" w:eastAsia="仿宋_GB2312" w:cs="Times New Roman"/>
                <w:b w:val="0"/>
                <w:bCs/>
                <w:kern w:val="0"/>
                <w:sz w:val="24"/>
                <w:szCs w:val="24"/>
                <w:highlight w:val="none"/>
                <w:lang w:val="en-US" w:eastAsia="zh-CN" w:bidi="ar-SA"/>
              </w:rPr>
              <w:t>0.60</w:t>
            </w:r>
          </w:p>
        </w:tc>
        <w:tc>
          <w:tcPr>
            <w:tcW w:w="1314" w:type="dxa"/>
            <w:vAlign w:val="center"/>
          </w:tcPr>
          <w:p>
            <w:pPr>
              <w:widowControl/>
              <w:jc w:val="right"/>
              <w:outlineLvl w:val="1"/>
              <w:rPr>
                <w:rFonts w:hint="default" w:ascii="仿宋_GB2312" w:hAnsi="宋体" w:eastAsia="仿宋_GB2312" w:cs="Times New Roman"/>
                <w:b w:val="0"/>
                <w:bCs/>
                <w:kern w:val="0"/>
                <w:sz w:val="24"/>
                <w:szCs w:val="24"/>
                <w:highlight w:val="none"/>
                <w:lang w:val="en-US" w:eastAsia="zh-CN" w:bidi="ar-SA"/>
              </w:rPr>
            </w:pPr>
            <w:r>
              <w:rPr>
                <w:rFonts w:hint="eastAsia" w:ascii="仿宋_GB2312" w:hAnsi="宋体" w:eastAsia="仿宋_GB2312" w:cs="Times New Roman"/>
                <w:b w:val="0"/>
                <w:bCs/>
                <w:kern w:val="0"/>
                <w:sz w:val="24"/>
                <w:szCs w:val="24"/>
                <w:highlight w:val="none"/>
                <w:lang w:val="en-US" w:eastAsia="zh-CN" w:bidi="ar-SA"/>
              </w:rPr>
              <w:t>0.60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center"/>
          </w:tcPr>
          <w:p>
            <w:pPr>
              <w:widowControl/>
              <w:jc w:val="right"/>
              <w:outlineLvl w:val="1"/>
              <w:rPr>
                <w:rFonts w:hint="default" w:ascii="仿宋_GB2312" w:hAnsi="宋体" w:eastAsia="仿宋_GB2312" w:cs="Times New Roman"/>
                <w:b/>
                <w:kern w:val="0"/>
                <w:sz w:val="24"/>
                <w:szCs w:val="24"/>
                <w:highlight w:val="none"/>
                <w:lang w:val="en-US" w:eastAsia="zh-CN" w:bidi="ar-SA"/>
              </w:rPr>
            </w:pPr>
            <w:r>
              <w:rPr>
                <w:rFonts w:hint="eastAsia" w:ascii="仿宋_GB2312" w:hAnsi="宋体" w:eastAsia="仿宋_GB2312"/>
                <w:b/>
                <w:kern w:val="0"/>
                <w:sz w:val="24"/>
                <w:highlight w:val="none"/>
                <w:lang w:val="en-US" w:eastAsia="zh-CN"/>
              </w:rPr>
              <w:t>1.60</w:t>
            </w:r>
          </w:p>
        </w:tc>
        <w:tc>
          <w:tcPr>
            <w:tcW w:w="1314" w:type="dxa"/>
            <w:vAlign w:val="center"/>
          </w:tcPr>
          <w:p>
            <w:pPr>
              <w:widowControl/>
              <w:jc w:val="right"/>
              <w:outlineLvl w:val="1"/>
              <w:rPr>
                <w:rFonts w:hint="default" w:ascii="仿宋_GB2312" w:hAnsi="宋体" w:eastAsia="仿宋_GB2312" w:cs="Times New Roman"/>
                <w:b/>
                <w:kern w:val="0"/>
                <w:sz w:val="24"/>
                <w:szCs w:val="24"/>
                <w:highlight w:val="none"/>
                <w:lang w:val="en-US" w:eastAsia="zh-CN" w:bidi="ar-SA"/>
              </w:rPr>
            </w:pPr>
            <w:r>
              <w:rPr>
                <w:rFonts w:hint="eastAsia" w:ascii="仿宋_GB2312" w:hAnsi="宋体" w:eastAsia="仿宋_GB2312"/>
                <w:b/>
                <w:kern w:val="0"/>
                <w:sz w:val="24"/>
                <w:highlight w:val="none"/>
                <w:lang w:val="en-US" w:eastAsia="zh-CN"/>
              </w:rPr>
              <w:t>1.60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Align w:val="top"/>
          </w:tcPr>
          <w:p>
            <w:pPr>
              <w:widowControl/>
              <w:ind w:firstLine="280" w:firstLineChars="100"/>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其中：公务用车购置费</w:t>
            </w:r>
          </w:p>
        </w:tc>
        <w:tc>
          <w:tcPr>
            <w:tcW w:w="1215" w:type="dxa"/>
            <w:vAlign w:val="center"/>
          </w:tcPr>
          <w:p>
            <w:pPr>
              <w:widowControl/>
              <w:jc w:val="right"/>
              <w:outlineLvl w:val="1"/>
              <w:rPr>
                <w:rFonts w:hint="default" w:ascii="仿宋_GB2312" w:hAnsi="宋体" w:eastAsia="仿宋_GB2312" w:cs="Times New Roman"/>
                <w:b w:val="0"/>
                <w:bCs/>
                <w:kern w:val="0"/>
                <w:sz w:val="24"/>
                <w:szCs w:val="24"/>
                <w:highlight w:val="none"/>
                <w:lang w:val="en-US" w:eastAsia="zh-CN" w:bidi="ar-SA"/>
              </w:rPr>
            </w:pPr>
          </w:p>
        </w:tc>
        <w:tc>
          <w:tcPr>
            <w:tcW w:w="1314" w:type="dxa"/>
            <w:vAlign w:val="center"/>
          </w:tcPr>
          <w:p>
            <w:pPr>
              <w:widowControl/>
              <w:jc w:val="right"/>
              <w:outlineLvl w:val="1"/>
              <w:rPr>
                <w:rFonts w:hint="default" w:ascii="仿宋_GB2312" w:hAnsi="宋体" w:eastAsia="仿宋_GB2312" w:cs="Times New Roman"/>
                <w:b w:val="0"/>
                <w:bCs/>
                <w:kern w:val="0"/>
                <w:sz w:val="24"/>
                <w:szCs w:val="24"/>
                <w:highlight w:val="none"/>
                <w:lang w:val="en-US" w:eastAsia="zh-CN" w:bidi="ar-SA"/>
              </w:rPr>
            </w:pPr>
          </w:p>
        </w:tc>
        <w:tc>
          <w:tcPr>
            <w:tcW w:w="1595" w:type="dxa"/>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Align w:val="top"/>
          </w:tcPr>
          <w:p>
            <w:pPr>
              <w:widowControl/>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 xml:space="preserve">     </w:t>
            </w:r>
            <w:r>
              <w:rPr>
                <w:rFonts w:hint="default" w:ascii="仿宋_GB2312" w:hAnsi="宋体" w:eastAsia="仿宋_GB2312"/>
                <w:b w:val="0"/>
                <w:bCs/>
                <w:color w:val="auto"/>
                <w:kern w:val="0"/>
                <w:sz w:val="28"/>
                <w:szCs w:val="32"/>
                <w:highlight w:val="none"/>
                <w:vertAlign w:val="baseline"/>
              </w:rPr>
              <w:t xml:space="preserve">  </w:t>
            </w:r>
            <w:r>
              <w:rPr>
                <w:rFonts w:hint="eastAsia" w:ascii="仿宋_GB2312" w:hAnsi="宋体" w:eastAsia="仿宋_GB2312"/>
                <w:b w:val="0"/>
                <w:bCs/>
                <w:color w:val="auto"/>
                <w:kern w:val="0"/>
                <w:sz w:val="28"/>
                <w:szCs w:val="32"/>
                <w:highlight w:val="none"/>
                <w:vertAlign w:val="baseline"/>
              </w:rPr>
              <w:t xml:space="preserve"> 公务用车运行费</w:t>
            </w:r>
          </w:p>
        </w:tc>
        <w:tc>
          <w:tcPr>
            <w:tcW w:w="1215" w:type="dxa"/>
            <w:vAlign w:val="center"/>
          </w:tcPr>
          <w:p>
            <w:pPr>
              <w:widowControl/>
              <w:jc w:val="right"/>
              <w:outlineLvl w:val="1"/>
              <w:rPr>
                <w:rFonts w:hint="default" w:ascii="仿宋_GB2312" w:hAnsi="宋体" w:eastAsia="仿宋_GB2312" w:cs="Times New Roman"/>
                <w:b w:val="0"/>
                <w:bCs/>
                <w:kern w:val="0"/>
                <w:sz w:val="24"/>
                <w:szCs w:val="24"/>
                <w:highlight w:val="none"/>
                <w:lang w:val="en-US" w:eastAsia="zh-CN" w:bidi="ar-SA"/>
              </w:rPr>
            </w:pPr>
            <w:r>
              <w:rPr>
                <w:rFonts w:hint="eastAsia" w:ascii="仿宋_GB2312" w:hAnsi="宋体" w:eastAsia="仿宋_GB2312"/>
                <w:b w:val="0"/>
                <w:bCs/>
                <w:kern w:val="0"/>
                <w:sz w:val="24"/>
                <w:highlight w:val="none"/>
                <w:lang w:val="en-US" w:eastAsia="zh-CN"/>
              </w:rPr>
              <w:t>1.60</w:t>
            </w:r>
          </w:p>
        </w:tc>
        <w:tc>
          <w:tcPr>
            <w:tcW w:w="1314" w:type="dxa"/>
            <w:vAlign w:val="center"/>
          </w:tcPr>
          <w:p>
            <w:pPr>
              <w:widowControl/>
              <w:jc w:val="right"/>
              <w:outlineLvl w:val="1"/>
              <w:rPr>
                <w:rFonts w:hint="default" w:ascii="仿宋_GB2312" w:hAnsi="宋体" w:eastAsia="仿宋_GB2312" w:cs="Times New Roman"/>
                <w:b w:val="0"/>
                <w:bCs/>
                <w:kern w:val="0"/>
                <w:sz w:val="24"/>
                <w:szCs w:val="24"/>
                <w:highlight w:val="none"/>
                <w:lang w:val="en-US" w:eastAsia="zh-CN" w:bidi="ar-SA"/>
              </w:rPr>
            </w:pPr>
            <w:r>
              <w:rPr>
                <w:rFonts w:hint="eastAsia" w:ascii="仿宋_GB2312" w:hAnsi="宋体" w:eastAsia="仿宋_GB2312"/>
                <w:b w:val="0"/>
                <w:bCs/>
                <w:kern w:val="0"/>
                <w:sz w:val="24"/>
                <w:highlight w:val="none"/>
                <w:lang w:val="en-US" w:eastAsia="zh-CN"/>
              </w:rPr>
              <w:t>1.60</w:t>
            </w:r>
          </w:p>
        </w:tc>
        <w:tc>
          <w:tcPr>
            <w:tcW w:w="1595" w:type="dxa"/>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仿宋" w:hAnsi="仿宋" w:eastAsia="仿宋" w:cs="仿宋_GB2312"/>
          <w:b/>
          <w:bCs w:val="0"/>
          <w:color w:val="auto"/>
          <w:kern w:val="0"/>
          <w:sz w:val="32"/>
          <w:szCs w:val="32"/>
          <w:highlight w:val="none"/>
        </w:rPr>
      </w:pPr>
      <w:r>
        <w:rPr>
          <w:rFonts w:hint="eastAsia" w:ascii="仿宋" w:hAnsi="仿宋" w:eastAsia="仿宋" w:cs="仿宋_GB2312"/>
          <w:b/>
          <w:bCs w:val="0"/>
          <w:color w:val="auto"/>
          <w:kern w:val="0"/>
          <w:sz w:val="32"/>
          <w:szCs w:val="32"/>
          <w:highlight w:val="none"/>
        </w:rPr>
        <w:t>上年结转</w:t>
      </w:r>
      <w:r>
        <w:rPr>
          <w:rFonts w:hint="eastAsia" w:ascii="仿宋" w:hAnsi="仿宋" w:eastAsia="仿宋" w:cs="仿宋_GB2312"/>
          <w:b/>
          <w:bCs w:val="0"/>
          <w:color w:val="auto"/>
          <w:kern w:val="0"/>
          <w:sz w:val="32"/>
          <w:szCs w:val="32"/>
          <w:highlight w:val="none"/>
          <w:lang w:val="en-US" w:eastAsia="zh-CN"/>
        </w:rPr>
        <w:t>结余</w:t>
      </w:r>
      <w:r>
        <w:rPr>
          <w:rFonts w:hint="eastAsia" w:ascii="仿宋" w:hAnsi="仿宋" w:eastAsia="仿宋" w:cs="仿宋_GB2312"/>
          <w:b/>
          <w:bCs w:val="0"/>
          <w:color w:val="auto"/>
          <w:kern w:val="0"/>
          <w:sz w:val="32"/>
          <w:szCs w:val="32"/>
          <w:highlight w:val="none"/>
        </w:rPr>
        <w:t>情况明细表</w:t>
      </w:r>
    </w:p>
    <w:p>
      <w:pPr>
        <w:keepNext w:val="0"/>
        <w:keepLines w:val="0"/>
        <w:pageBreakBefore w:val="0"/>
        <w:widowControl/>
        <w:kinsoku/>
        <w:wordWrap/>
        <w:overflowPunct/>
        <w:topLinePunct w:val="0"/>
        <w:autoSpaceDE/>
        <w:autoSpaceDN/>
        <w:bidi w:val="0"/>
        <w:adjustRightInd/>
        <w:snapToGrid/>
        <w:spacing w:before="313" w:beforeLines="100"/>
        <w:jc w:val="center"/>
        <w:textAlignment w:val="auto"/>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s="宋体"/>
          <w:color w:val="auto"/>
          <w:kern w:val="0"/>
          <w:sz w:val="24"/>
          <w:highlight w:val="none"/>
          <w:lang w:val="en-US" w:eastAsia="zh-CN"/>
        </w:rPr>
        <w:t>呼图壁县乡村振兴综合保障中心</w:t>
      </w:r>
      <w:r>
        <w:rPr>
          <w:rFonts w:hint="eastAsia" w:ascii="仿宋_GB2312" w:hAnsi="宋体" w:eastAsia="仿宋_GB2312" w:cs="宋体"/>
          <w:color w:val="auto"/>
          <w:kern w:val="0"/>
          <w:sz w:val="24"/>
          <w:highlight w:val="none"/>
        </w:rPr>
        <w:t xml:space="preserve">  </w:t>
      </w: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2"/>
        <w:tblpPr w:leftFromText="180" w:rightFromText="180" w:vertAnchor="text" w:horzAnchor="page" w:tblpX="1299" w:tblpY="183"/>
        <w:tblOverlap w:val="never"/>
        <w:tblW w:w="96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小</w:t>
            </w:r>
            <w:r>
              <w:rPr>
                <w:rFonts w:hint="eastAsia" w:ascii="仿宋_GB2312" w:hAnsi="宋体" w:eastAsia="仿宋_GB2312" w:cs="宋体"/>
                <w:b/>
                <w:bCs/>
                <w:color w:val="auto"/>
                <w:kern w:val="0"/>
                <w:sz w:val="20"/>
                <w:szCs w:val="20"/>
                <w:highlight w:val="none"/>
              </w:rPr>
              <w:t>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 w:hAnsi="仿宋" w:eastAsia="仿宋" w:cs="仿宋_GB2312"/>
                <w:b/>
                <w:bCs w:val="0"/>
                <w:color w:val="auto"/>
                <w:kern w:val="0"/>
                <w:sz w:val="28"/>
                <w:szCs w:val="28"/>
                <w:highlight w:val="none"/>
                <w:lang w:val="en-US" w:eastAsia="zh-CN"/>
              </w:rPr>
              <w:t>总计</w:t>
            </w: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320" w:lineRule="exact"/>
        <w:ind w:firstLine="280" w:firstLineChars="100"/>
        <w:textAlignment w:val="auto"/>
        <w:outlineLvl w:val="1"/>
        <w:rPr>
          <w:rFonts w:hint="eastAsia" w:ascii="仿宋" w:hAnsi="仿宋" w:eastAsia="仿宋" w:cs="仿宋"/>
          <w:color w:val="auto"/>
          <w:kern w:val="0"/>
          <w:sz w:val="28"/>
          <w:szCs w:val="28"/>
          <w:highlight w:val="none"/>
          <w:lang w:eastAsia="zh-CN"/>
        </w:rPr>
        <w:sectPr>
          <w:pgSz w:w="11906" w:h="16838"/>
          <w:pgMar w:top="1440" w:right="1080" w:bottom="1440" w:left="1080" w:header="851" w:footer="992" w:gutter="0"/>
          <w:pgBorders>
            <w:top w:val="none" w:sz="0" w:space="0"/>
            <w:left w:val="none" w:sz="0" w:space="0"/>
            <w:bottom w:val="none" w:sz="0" w:space="0"/>
            <w:right w:val="none" w:sz="0" w:space="0"/>
          </w:pgBorders>
          <w:pgNumType w:fmt="numberInDash"/>
          <w:cols w:space="720" w:num="1"/>
          <w:docGrid w:linePitch="312" w:charSpace="0"/>
        </w:sectPr>
      </w:pPr>
      <w:r>
        <w:rPr>
          <w:rFonts w:hint="eastAsia" w:ascii="仿宋" w:hAnsi="仿宋" w:eastAsia="仿宋" w:cs="仿宋"/>
          <w:color w:val="auto"/>
          <w:kern w:val="0"/>
          <w:sz w:val="28"/>
          <w:szCs w:val="28"/>
          <w:highlight w:val="none"/>
          <w:lang w:eastAsia="zh-CN"/>
        </w:rPr>
        <w:t>备注：</w:t>
      </w:r>
      <w:r>
        <w:rPr>
          <w:rFonts w:hint="eastAsia" w:ascii="仿宋" w:hAnsi="仿宋" w:eastAsia="仿宋" w:cs="仿宋"/>
          <w:b/>
          <w:bCs/>
          <w:color w:val="000000"/>
          <w:sz w:val="28"/>
          <w:szCs w:val="28"/>
          <w:lang w:eastAsia="zh-CN"/>
        </w:rPr>
        <w:t>呼图壁县乡村振兴综合保障中心</w:t>
      </w:r>
      <w:r>
        <w:rPr>
          <w:rFonts w:hint="eastAsia" w:ascii="仿宋" w:hAnsi="仿宋" w:eastAsia="仿宋" w:cs="仿宋"/>
          <w:b/>
          <w:bCs/>
          <w:color w:val="000000"/>
          <w:sz w:val="28"/>
          <w:szCs w:val="28"/>
        </w:rPr>
        <w:t xml:space="preserve"> 2025 年没有上年结转结余预算安排的支出，上年结转结余情细表为空表。</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2025年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一、关于呼图壁县乡村振兴综合保障中心</w:t>
      </w:r>
      <w:r>
        <w:rPr>
          <w:rFonts w:hint="eastAsia" w:ascii="楷体_GB2312" w:hAnsi="楷体_GB2312" w:eastAsia="楷体_GB2312" w:cs="楷体_GB2312"/>
          <w:b/>
          <w:bCs w:val="0"/>
          <w:color w:val="auto"/>
          <w:kern w:val="0"/>
          <w:sz w:val="32"/>
          <w:szCs w:val="32"/>
          <w:highlight w:val="none"/>
          <w:lang w:eastAsia="zh-CN"/>
        </w:rPr>
        <w:t>2025年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按照全口径预算的原则，呼图壁县乡村振兴综合保障中心</w:t>
      </w:r>
      <w:r>
        <w:rPr>
          <w:rFonts w:hint="eastAsia" w:ascii="仿宋_GB2312" w:hAnsi="宋体" w:eastAsia="仿宋_GB2312" w:cs="宋体"/>
          <w:color w:val="auto"/>
          <w:kern w:val="0"/>
          <w:sz w:val="32"/>
          <w:szCs w:val="32"/>
          <w:highlight w:val="none"/>
          <w:lang w:eastAsia="zh-CN"/>
        </w:rPr>
        <w:t>2025年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单位</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398.80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支出预算包括：社会保障和就业支出、卫生健康支出、农林水支出、住房保障支出。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二、关于呼图壁县乡村振兴综合保障中心</w:t>
      </w:r>
      <w:r>
        <w:rPr>
          <w:rFonts w:hint="eastAsia" w:ascii="楷体_GB2312" w:hAnsi="楷体_GB2312" w:eastAsia="楷体_GB2312" w:cs="楷体_GB2312"/>
          <w:b/>
          <w:bCs/>
          <w:color w:val="auto"/>
          <w:kern w:val="0"/>
          <w:sz w:val="32"/>
          <w:szCs w:val="32"/>
          <w:highlight w:val="none"/>
          <w:lang w:eastAsia="zh-CN"/>
        </w:rPr>
        <w:t>2025年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呼图壁县乡村振兴综合保障中心收入预算</w:t>
      </w:r>
      <w:r>
        <w:rPr>
          <w:rFonts w:hint="eastAsia" w:ascii="仿宋_GB2312" w:hAnsi="宋体" w:eastAsia="仿宋_GB2312" w:cs="宋体"/>
          <w:color w:val="auto"/>
          <w:kern w:val="0"/>
          <w:sz w:val="32"/>
          <w:szCs w:val="32"/>
          <w:highlight w:val="none"/>
          <w:lang w:val="en-US" w:eastAsia="zh-CN"/>
        </w:rPr>
        <w:t>398.80</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305.80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76.68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23.80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8.44%，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2025年增</w:t>
      </w:r>
      <w:r>
        <w:rPr>
          <w:rFonts w:hint="eastAsia" w:ascii="仿宋_GB2312" w:hAnsi="宋体" w:eastAsia="仿宋_GB2312" w:cs="宋体"/>
          <w:kern w:val="0"/>
          <w:sz w:val="32"/>
          <w:szCs w:val="32"/>
          <w:highlight w:val="none"/>
          <w:lang w:val="en-US" w:eastAsia="zh-CN"/>
        </w:rPr>
        <w:t>加1人，社会保障和就业支出等预算均有所增加</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93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23.32</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减少9.6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下降9.36%，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在职人员趋于稳定，退回工资、社保等预算均有所减少。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三、关于呼图壁县乡村振兴综合保障中心</w:t>
      </w:r>
      <w:r>
        <w:rPr>
          <w:rFonts w:hint="eastAsia" w:ascii="楷体_GB2312" w:hAnsi="楷体_GB2312" w:eastAsia="楷体_GB2312" w:cs="楷体_GB2312"/>
          <w:b/>
          <w:bCs/>
          <w:color w:val="auto"/>
          <w:kern w:val="0"/>
          <w:sz w:val="32"/>
          <w:szCs w:val="32"/>
          <w:highlight w:val="none"/>
          <w:lang w:eastAsia="zh-CN"/>
        </w:rPr>
        <w:t>2025年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呼图壁县乡村振兴综合保障中心</w:t>
      </w:r>
      <w:r>
        <w:rPr>
          <w:rFonts w:hint="eastAsia" w:ascii="仿宋_GB2312" w:hAnsi="宋体" w:eastAsia="仿宋_GB2312" w:cs="宋体"/>
          <w:color w:val="auto"/>
          <w:kern w:val="0"/>
          <w:sz w:val="32"/>
          <w:szCs w:val="32"/>
          <w:highlight w:val="none"/>
          <w:lang w:eastAsia="zh-CN"/>
        </w:rPr>
        <w:t>2025年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398.80</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398.80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14.20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3.69%，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2025年增加1人，人员工资、社会保障和就业支出、住房公积金等预算均有所增加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占0%，比上年预算增加0万元，增长0%，主要原因是2024和2025年乡村振兴综合保障中心均未安排项目支出。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四、关于呼图壁县乡村振兴综合保障中心</w:t>
      </w:r>
      <w:r>
        <w:rPr>
          <w:rFonts w:hint="eastAsia" w:ascii="楷体_GB2312" w:hAnsi="楷体_GB2312" w:eastAsia="楷体_GB2312" w:cs="楷体_GB2312"/>
          <w:b/>
          <w:bCs/>
          <w:color w:val="auto"/>
          <w:kern w:val="0"/>
          <w:sz w:val="32"/>
          <w:szCs w:val="32"/>
          <w:highlight w:val="none"/>
          <w:lang w:eastAsia="zh-CN"/>
        </w:rPr>
        <w:t>2025年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2025年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305.80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305.80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kern w:val="0"/>
          <w:sz w:val="32"/>
          <w:szCs w:val="32"/>
          <w:highlight w:val="none"/>
        </w:rPr>
        <w:t>社会保障和就业支出</w:t>
      </w:r>
      <w:r>
        <w:rPr>
          <w:rFonts w:hint="eastAsia" w:ascii="仿宋_GB2312" w:hAnsi="宋体" w:eastAsia="仿宋_GB2312" w:cs="宋体"/>
          <w:kern w:val="0"/>
          <w:sz w:val="32"/>
          <w:szCs w:val="32"/>
          <w:highlight w:val="none"/>
          <w:lang w:val="en-US" w:eastAsia="zh-CN"/>
        </w:rPr>
        <w:t>30.48万元，</w:t>
      </w:r>
      <w:r>
        <w:rPr>
          <w:rFonts w:hint="eastAsia" w:ascii="仿宋_GB2312" w:hAnsi="宋体" w:eastAsia="仿宋_GB2312" w:cs="宋体"/>
          <w:kern w:val="0"/>
          <w:sz w:val="32"/>
          <w:szCs w:val="32"/>
          <w:highlight w:val="none"/>
        </w:rPr>
        <w:t>主要用于</w:t>
      </w:r>
      <w:r>
        <w:rPr>
          <w:rFonts w:hint="eastAsia" w:ascii="仿宋_GB2312" w:hAnsi="宋体" w:eastAsia="仿宋_GB2312" w:cs="宋体"/>
          <w:kern w:val="0"/>
          <w:sz w:val="32"/>
          <w:szCs w:val="32"/>
          <w:highlight w:val="none"/>
          <w:lang w:val="en-US" w:eastAsia="zh-CN"/>
        </w:rPr>
        <w:t>缴纳基本养老保险</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卫生健康支出</w:t>
      </w:r>
      <w:r>
        <w:rPr>
          <w:rFonts w:hint="eastAsia" w:ascii="仿宋_GB2312" w:hAnsi="宋体" w:eastAsia="仿宋_GB2312" w:cs="宋体"/>
          <w:kern w:val="0"/>
          <w:sz w:val="32"/>
          <w:szCs w:val="32"/>
          <w:highlight w:val="none"/>
          <w:lang w:val="en-US" w:eastAsia="zh-CN"/>
        </w:rPr>
        <w:t>23.05万元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主要用于缴纳医疗、公务员医疗补助等；</w:t>
      </w:r>
      <w:r>
        <w:rPr>
          <w:rFonts w:hint="eastAsia" w:ascii="仿宋_GB2312" w:hAnsi="宋体" w:eastAsia="仿宋_GB2312" w:cs="宋体"/>
          <w:kern w:val="0"/>
          <w:sz w:val="32"/>
          <w:szCs w:val="32"/>
          <w:highlight w:val="none"/>
        </w:rPr>
        <w:t>农林水支出</w:t>
      </w:r>
      <w:r>
        <w:rPr>
          <w:rFonts w:hint="eastAsia" w:ascii="仿宋_GB2312" w:hAnsi="宋体" w:eastAsia="仿宋_GB2312" w:cs="宋体"/>
          <w:kern w:val="0"/>
          <w:sz w:val="32"/>
          <w:szCs w:val="32"/>
          <w:highlight w:val="none"/>
          <w:lang w:val="en-US" w:eastAsia="zh-CN"/>
        </w:rPr>
        <w:t>226.79万元，主要用于发放人员工资和运行费；</w:t>
      </w:r>
      <w:r>
        <w:rPr>
          <w:rFonts w:hint="eastAsia" w:ascii="仿宋_GB2312" w:hAnsi="宋体" w:eastAsia="仿宋_GB2312" w:cs="宋体"/>
          <w:kern w:val="0"/>
          <w:sz w:val="32"/>
          <w:szCs w:val="32"/>
          <w:highlight w:val="none"/>
        </w:rPr>
        <w:t>住房保障支出</w:t>
      </w:r>
      <w:r>
        <w:rPr>
          <w:rFonts w:hint="eastAsia" w:ascii="仿宋_GB2312" w:hAnsi="宋体" w:eastAsia="仿宋_GB2312" w:cs="宋体"/>
          <w:kern w:val="0"/>
          <w:sz w:val="32"/>
          <w:szCs w:val="32"/>
          <w:highlight w:val="none"/>
          <w:lang w:val="en-US" w:eastAsia="zh-CN"/>
        </w:rPr>
        <w:t>25.48万元，主要用于缴纳住房公积金</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关于呼图壁县乡村振兴综合保障中心</w:t>
      </w:r>
      <w:r>
        <w:rPr>
          <w:rFonts w:hint="eastAsia" w:ascii="楷体_GB2312" w:hAnsi="楷体_GB2312" w:eastAsia="楷体_GB2312" w:cs="楷体_GB2312"/>
          <w:b/>
          <w:bCs/>
          <w:color w:val="auto"/>
          <w:spacing w:val="-6"/>
          <w:kern w:val="0"/>
          <w:sz w:val="32"/>
          <w:szCs w:val="32"/>
          <w:highlight w:val="none"/>
          <w:lang w:eastAsia="zh-CN"/>
        </w:rPr>
        <w:t>2025年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305.80</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305.80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23.80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8.44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2025年</w:t>
      </w:r>
      <w:r>
        <w:rPr>
          <w:rFonts w:hint="eastAsia" w:ascii="仿宋_GB2312" w:hAnsi="宋体" w:eastAsia="仿宋_GB2312" w:cs="宋体"/>
          <w:kern w:val="0"/>
          <w:sz w:val="32"/>
          <w:szCs w:val="32"/>
          <w:highlight w:val="none"/>
          <w:lang w:val="en-US" w:eastAsia="zh-CN"/>
        </w:rPr>
        <w:t>增加1人，人员工资、社会保障和就业支出、住房公积金等预算均有所增加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，增长0%，主要原因是</w:t>
      </w:r>
      <w:r>
        <w:rPr>
          <w:rFonts w:hint="eastAsia" w:ascii="仿宋_GB2312" w:hAnsi="宋体" w:eastAsia="仿宋_GB2312" w:cs="宋体"/>
          <w:color w:val="auto"/>
          <w:kern w:val="0"/>
          <w:sz w:val="32"/>
          <w:szCs w:val="32"/>
          <w:highlight w:val="none"/>
          <w:lang w:val="en-US" w:eastAsia="zh-CN"/>
        </w:rPr>
        <w:t>2025年乡村振兴综合保障中心未安排项目支出。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rPr>
        <w:t>1.</w:t>
      </w:r>
      <w:r>
        <w:rPr>
          <w:rFonts w:hint="eastAsia" w:ascii="仿宋_GB2312" w:eastAsia="仿宋_GB2312"/>
          <w:sz w:val="32"/>
          <w:szCs w:val="32"/>
          <w:highlight w:val="none"/>
        </w:rPr>
        <w:t>社会保障和就业支出（类）</w:t>
      </w:r>
      <w:r>
        <w:rPr>
          <w:rFonts w:hint="eastAsia" w:ascii="仿宋_GB2312" w:eastAsia="仿宋_GB2312"/>
          <w:sz w:val="32"/>
          <w:szCs w:val="32"/>
          <w:highlight w:val="none"/>
          <w:lang w:val="en-US" w:eastAsia="zh-CN"/>
        </w:rPr>
        <w:t>30.48</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9.97</w:t>
      </w:r>
      <w:r>
        <w:rPr>
          <w:rFonts w:hint="eastAsia" w:ascii="仿宋_GB2312" w:eastAsia="仿宋_GB2312"/>
          <w:sz w:val="32"/>
          <w:szCs w:val="32"/>
          <w:highlight w:val="none"/>
        </w:rPr>
        <w:t>%</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 w:hAnsi="仿宋" w:eastAsia="仿宋" w:cs="仿宋"/>
          <w:kern w:val="0"/>
          <w:sz w:val="32"/>
          <w:szCs w:val="32"/>
          <w:highlight w:val="none"/>
          <w:lang w:eastAsia="zh-CN"/>
        </w:rPr>
      </w:pPr>
      <w:r>
        <w:rPr>
          <w:rFonts w:hint="eastAsia" w:ascii="仿宋_GB2312" w:hAnsi="仿宋_GB2312" w:eastAsia="仿宋_GB2312" w:cs="仿宋_GB2312"/>
          <w:kern w:val="0"/>
          <w:sz w:val="32"/>
          <w:szCs w:val="32"/>
          <w:highlight w:val="none"/>
        </w:rPr>
        <w:t>2.</w:t>
      </w:r>
      <w:r>
        <w:rPr>
          <w:rFonts w:hint="eastAsia" w:ascii="仿宋_GB2312" w:eastAsia="仿宋_GB2312"/>
          <w:sz w:val="32"/>
          <w:szCs w:val="32"/>
          <w:highlight w:val="none"/>
        </w:rPr>
        <w:t>卫生健康支出（类）</w:t>
      </w:r>
      <w:r>
        <w:rPr>
          <w:rFonts w:hint="eastAsia" w:ascii="仿宋" w:hAnsi="仿宋" w:eastAsia="仿宋" w:cs="仿宋"/>
          <w:b w:val="0"/>
          <w:bCs/>
          <w:color w:val="000000"/>
          <w:kern w:val="0"/>
          <w:sz w:val="32"/>
          <w:szCs w:val="32"/>
          <w:highlight w:val="none"/>
          <w:lang w:val="en-US" w:eastAsia="zh-CN"/>
        </w:rPr>
        <w:t>23.05万元，</w:t>
      </w:r>
      <w:r>
        <w:rPr>
          <w:rFonts w:hint="eastAsia" w:ascii="仿宋" w:hAnsi="仿宋" w:eastAsia="仿宋" w:cs="仿宋"/>
          <w:kern w:val="0"/>
          <w:sz w:val="32"/>
          <w:szCs w:val="32"/>
          <w:highlight w:val="none"/>
        </w:rPr>
        <w:t>占</w:t>
      </w:r>
      <w:r>
        <w:rPr>
          <w:rFonts w:hint="eastAsia" w:ascii="仿宋" w:hAnsi="仿宋" w:eastAsia="仿宋" w:cs="仿宋"/>
          <w:kern w:val="0"/>
          <w:sz w:val="32"/>
          <w:szCs w:val="32"/>
          <w:highlight w:val="none"/>
          <w:lang w:val="en-US" w:eastAsia="zh-CN"/>
        </w:rPr>
        <w:t>7.54</w:t>
      </w:r>
      <w:r>
        <w:rPr>
          <w:rFonts w:hint="eastAsia" w:ascii="仿宋" w:hAnsi="仿宋" w:eastAsia="仿宋" w:cs="仿宋"/>
          <w:kern w:val="0"/>
          <w:sz w:val="32"/>
          <w:szCs w:val="32"/>
          <w:highlight w:val="none"/>
        </w:rPr>
        <w:t>%</w:t>
      </w:r>
      <w:r>
        <w:rPr>
          <w:rFonts w:hint="eastAsia" w:ascii="仿宋" w:hAnsi="仿宋" w:eastAsia="仿宋" w:cs="仿宋"/>
          <w:kern w:val="0"/>
          <w:sz w:val="32"/>
          <w:szCs w:val="32"/>
          <w:highlight w:val="none"/>
          <w:lang w:eastAsia="zh-CN"/>
        </w:rPr>
        <w:t>。</w:t>
      </w:r>
    </w:p>
    <w:p>
      <w:pPr>
        <w:spacing w:line="560" w:lineRule="exact"/>
        <w:ind w:firstLine="640" w:firstLineChars="200"/>
        <w:rPr>
          <w:rFonts w:hint="eastAsia" w:ascii="仿宋" w:hAnsi="仿宋" w:eastAsia="仿宋" w:cs="仿宋"/>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3.</w:t>
      </w:r>
      <w:r>
        <w:rPr>
          <w:rFonts w:hint="eastAsia" w:ascii="仿宋" w:hAnsi="仿宋" w:eastAsia="仿宋" w:cs="仿宋"/>
          <w:b w:val="0"/>
          <w:bCs/>
          <w:color w:val="000000"/>
          <w:kern w:val="0"/>
          <w:sz w:val="32"/>
          <w:szCs w:val="32"/>
          <w:highlight w:val="none"/>
          <w:lang w:val="en-US" w:eastAsia="zh-CN"/>
        </w:rPr>
        <w:t>农林水支出（类）226.79万元，</w:t>
      </w:r>
      <w:r>
        <w:rPr>
          <w:rFonts w:hint="eastAsia" w:ascii="仿宋" w:hAnsi="仿宋" w:eastAsia="仿宋" w:cs="仿宋"/>
          <w:kern w:val="0"/>
          <w:sz w:val="32"/>
          <w:szCs w:val="32"/>
          <w:highlight w:val="none"/>
        </w:rPr>
        <w:t>占</w:t>
      </w:r>
      <w:r>
        <w:rPr>
          <w:rFonts w:hint="eastAsia" w:ascii="仿宋" w:hAnsi="仿宋" w:eastAsia="仿宋" w:cs="仿宋"/>
          <w:kern w:val="0"/>
          <w:sz w:val="32"/>
          <w:szCs w:val="32"/>
          <w:highlight w:val="none"/>
          <w:lang w:val="en-US" w:eastAsia="zh-CN"/>
        </w:rPr>
        <w:t>74.16</w:t>
      </w:r>
      <w:r>
        <w:rPr>
          <w:rFonts w:hint="eastAsia" w:ascii="仿宋" w:hAnsi="仿宋" w:eastAsia="仿宋" w:cs="仿宋"/>
          <w:kern w:val="0"/>
          <w:sz w:val="32"/>
          <w:szCs w:val="32"/>
          <w:highlight w:val="none"/>
        </w:rPr>
        <w:t>%</w:t>
      </w:r>
      <w:r>
        <w:rPr>
          <w:rFonts w:hint="eastAsia" w:ascii="仿宋" w:hAnsi="仿宋" w:eastAsia="仿宋" w:cs="仿宋"/>
          <w:kern w:val="0"/>
          <w:sz w:val="32"/>
          <w:szCs w:val="32"/>
          <w:highlight w:val="none"/>
          <w:lang w:eastAsia="zh-CN"/>
        </w:rPr>
        <w:t>。</w:t>
      </w:r>
    </w:p>
    <w:p>
      <w:pPr>
        <w:spacing w:line="560" w:lineRule="exact"/>
        <w:ind w:firstLine="640" w:firstLineChars="200"/>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4.</w:t>
      </w:r>
      <w:r>
        <w:rPr>
          <w:rFonts w:hint="eastAsia" w:ascii="仿宋" w:hAnsi="仿宋" w:eastAsia="仿宋" w:cs="仿宋"/>
          <w:b w:val="0"/>
          <w:bCs/>
          <w:color w:val="000000"/>
          <w:kern w:val="0"/>
          <w:sz w:val="32"/>
          <w:szCs w:val="32"/>
          <w:highlight w:val="none"/>
          <w:lang w:val="en-US" w:eastAsia="zh-CN"/>
        </w:rPr>
        <w:t>住房保障支出（类）25.48万元，占8.33%。</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1.</w:t>
      </w:r>
      <w:r>
        <w:rPr>
          <w:rFonts w:hint="eastAsia" w:ascii="仿宋_GB2312" w:hAnsi="宋体" w:eastAsia="仿宋_GB2312" w:cs="宋体"/>
          <w:kern w:val="0"/>
          <w:sz w:val="32"/>
          <w:szCs w:val="32"/>
          <w:highlight w:val="none"/>
        </w:rPr>
        <w:t>社会保障和就业支出</w:t>
      </w:r>
      <w:r>
        <w:rPr>
          <w:rFonts w:hint="eastAsia" w:ascii="仿宋_GB2312" w:hAnsi="宋体" w:eastAsia="仿宋_GB2312" w:cs="宋体"/>
          <w:kern w:val="0"/>
          <w:sz w:val="32"/>
          <w:szCs w:val="32"/>
          <w:highlight w:val="none"/>
          <w:lang w:eastAsia="zh-CN"/>
        </w:rPr>
        <w:t>（类）行政事业单位养老支出（款）</w:t>
      </w:r>
      <w:r>
        <w:rPr>
          <w:rFonts w:hint="eastAsia" w:ascii="仿宋_GB2312" w:hAnsi="宋体" w:eastAsia="仿宋_GB2312" w:cs="宋体"/>
          <w:kern w:val="0"/>
          <w:sz w:val="32"/>
          <w:szCs w:val="32"/>
          <w:highlight w:val="none"/>
        </w:rPr>
        <w:t>机关事业单位基本养老保险缴费支出</w:t>
      </w:r>
      <w:r>
        <w:rPr>
          <w:rFonts w:hint="eastAsia" w:ascii="仿宋_GB2312" w:hAnsi="宋体" w:eastAsia="仿宋_GB2312" w:cs="宋体"/>
          <w:kern w:val="0"/>
          <w:sz w:val="32"/>
          <w:szCs w:val="32"/>
          <w:highlight w:val="none"/>
          <w:lang w:eastAsia="zh-CN"/>
        </w:rPr>
        <w:t>（项）</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lang w:eastAsia="zh-CN"/>
        </w:rPr>
        <w:t>2025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30.48</w:t>
      </w:r>
      <w:r>
        <w:rPr>
          <w:rFonts w:hint="eastAsia" w:ascii="仿宋_GB2312" w:hAnsi="宋体" w:eastAsia="仿宋_GB2312" w:cs="宋体"/>
          <w:kern w:val="0"/>
          <w:sz w:val="32"/>
          <w:szCs w:val="32"/>
          <w:highlight w:val="none"/>
        </w:rPr>
        <w:t>万元</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比上年</w:t>
      </w:r>
      <w:r>
        <w:rPr>
          <w:rFonts w:hint="eastAsia" w:ascii="仿宋_GB2312" w:hAnsi="宋体" w:eastAsia="仿宋_GB2312" w:cs="宋体"/>
          <w:kern w:val="0"/>
          <w:sz w:val="32"/>
          <w:szCs w:val="32"/>
          <w:highlight w:val="none"/>
          <w:lang w:val="en-US" w:eastAsia="zh-CN"/>
        </w:rPr>
        <w:t>预算增加1.73万元，增长6.02%，主要原因是：</w:t>
      </w:r>
      <w:r>
        <w:rPr>
          <w:rFonts w:hint="eastAsia" w:ascii="仿宋_GB2312" w:hAnsi="仿宋_GB2312" w:eastAsia="仿宋_GB2312" w:cs="仿宋_GB2312"/>
          <w:kern w:val="0"/>
          <w:sz w:val="32"/>
          <w:szCs w:val="32"/>
          <w:highlight w:val="none"/>
          <w:lang w:val="en-US" w:eastAsia="zh-CN"/>
        </w:rPr>
        <w:t>2025年</w:t>
      </w:r>
      <w:r>
        <w:rPr>
          <w:rFonts w:hint="eastAsia" w:ascii="仿宋_GB2312" w:hAnsi="宋体" w:eastAsia="仿宋_GB2312" w:cs="宋体"/>
          <w:kern w:val="0"/>
          <w:sz w:val="32"/>
          <w:szCs w:val="32"/>
          <w:highlight w:val="none"/>
          <w:lang w:val="en-US" w:eastAsia="zh-CN"/>
        </w:rPr>
        <w:t>增加1人，</w:t>
      </w:r>
      <w:r>
        <w:rPr>
          <w:rFonts w:hint="eastAsia" w:ascii="仿宋_GB2312" w:hAnsi="宋体" w:eastAsia="仿宋_GB2312" w:cs="宋体"/>
          <w:kern w:val="0"/>
          <w:sz w:val="32"/>
          <w:szCs w:val="32"/>
          <w:highlight w:val="none"/>
        </w:rPr>
        <w:t>机关事业单位基本养老保险缴费</w:t>
      </w:r>
      <w:r>
        <w:rPr>
          <w:rFonts w:hint="eastAsia" w:ascii="仿宋_GB2312" w:hAnsi="宋体" w:eastAsia="仿宋_GB2312" w:cs="宋体"/>
          <w:kern w:val="0"/>
          <w:sz w:val="32"/>
          <w:szCs w:val="32"/>
          <w:highlight w:val="none"/>
          <w:lang w:val="en-US" w:eastAsia="zh-CN"/>
        </w:rPr>
        <w:t>支出预算有所增加。</w:t>
      </w:r>
    </w:p>
    <w:p>
      <w:pPr>
        <w:spacing w:line="560" w:lineRule="exact"/>
        <w:ind w:firstLine="640" w:firstLineChars="200"/>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2.</w:t>
      </w:r>
      <w:r>
        <w:rPr>
          <w:rFonts w:hint="eastAsia" w:ascii="仿宋_GB2312" w:hAnsi="宋体" w:eastAsia="仿宋_GB2312" w:cs="宋体"/>
          <w:kern w:val="0"/>
          <w:sz w:val="32"/>
          <w:szCs w:val="32"/>
          <w:highlight w:val="none"/>
          <w:lang w:val="en-US" w:eastAsia="zh-CN"/>
        </w:rPr>
        <w:t>卫生健康支出（类）行政事业单位医疗（款）事业单位医疗（项）</w:t>
      </w:r>
      <w:r>
        <w:rPr>
          <w:rFonts w:hint="eastAsia" w:ascii="仿宋_GB2312" w:hAnsi="宋体" w:eastAsia="仿宋_GB2312" w:cs="宋体"/>
          <w:kern w:val="0"/>
          <w:sz w:val="32"/>
          <w:szCs w:val="32"/>
          <w:highlight w:val="none"/>
          <w:lang w:eastAsia="zh-CN"/>
        </w:rPr>
        <w:t>2025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15.24万元，</w:t>
      </w:r>
      <w:r>
        <w:rPr>
          <w:rFonts w:hint="eastAsia" w:ascii="仿宋_GB2312" w:hAnsi="宋体" w:eastAsia="仿宋_GB2312" w:cs="宋体"/>
          <w:kern w:val="0"/>
          <w:sz w:val="32"/>
          <w:szCs w:val="32"/>
          <w:highlight w:val="none"/>
        </w:rPr>
        <w:t>比上年</w:t>
      </w:r>
      <w:r>
        <w:rPr>
          <w:rFonts w:hint="eastAsia" w:ascii="仿宋_GB2312" w:hAnsi="宋体" w:eastAsia="仿宋_GB2312" w:cs="宋体"/>
          <w:kern w:val="0"/>
          <w:sz w:val="32"/>
          <w:szCs w:val="32"/>
          <w:highlight w:val="none"/>
          <w:lang w:val="en-US" w:eastAsia="zh-CN"/>
        </w:rPr>
        <w:t>预算增加0.87万元，增长6.05%，主要原因是：</w:t>
      </w:r>
      <w:r>
        <w:rPr>
          <w:rFonts w:hint="eastAsia" w:ascii="仿宋_GB2312" w:hAnsi="仿宋_GB2312" w:eastAsia="仿宋_GB2312" w:cs="仿宋_GB2312"/>
          <w:kern w:val="0"/>
          <w:sz w:val="32"/>
          <w:szCs w:val="32"/>
          <w:highlight w:val="none"/>
          <w:lang w:val="en-US" w:eastAsia="zh-CN"/>
        </w:rPr>
        <w:t>2025年</w:t>
      </w:r>
      <w:r>
        <w:rPr>
          <w:rFonts w:hint="eastAsia" w:ascii="仿宋_GB2312" w:hAnsi="宋体" w:eastAsia="仿宋_GB2312" w:cs="宋体"/>
          <w:kern w:val="0"/>
          <w:sz w:val="32"/>
          <w:szCs w:val="32"/>
          <w:highlight w:val="none"/>
          <w:lang w:val="en-US" w:eastAsia="zh-CN"/>
        </w:rPr>
        <w:t>增加1人，行政单位医疗支出预算有所增加。</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3.</w:t>
      </w:r>
      <w:r>
        <w:rPr>
          <w:rFonts w:hint="eastAsia" w:ascii="仿宋_GB2312" w:hAnsi="宋体" w:eastAsia="仿宋_GB2312" w:cs="宋体"/>
          <w:kern w:val="0"/>
          <w:sz w:val="32"/>
          <w:szCs w:val="32"/>
          <w:highlight w:val="none"/>
          <w:lang w:val="en-US" w:eastAsia="zh-CN"/>
        </w:rPr>
        <w:t>卫生健康支出（类）行政事业单位医疗（款）公务员医疗补助（项）</w:t>
      </w:r>
      <w:r>
        <w:rPr>
          <w:rFonts w:hint="eastAsia" w:ascii="仿宋_GB2312" w:hAnsi="宋体" w:eastAsia="仿宋_GB2312" w:cs="宋体"/>
          <w:kern w:val="0"/>
          <w:sz w:val="32"/>
          <w:szCs w:val="32"/>
          <w:highlight w:val="none"/>
          <w:lang w:eastAsia="zh-CN"/>
        </w:rPr>
        <w:t>2025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7.62万元，</w:t>
      </w:r>
      <w:r>
        <w:rPr>
          <w:rFonts w:hint="eastAsia" w:ascii="仿宋_GB2312" w:hAnsi="宋体" w:eastAsia="仿宋_GB2312" w:cs="宋体"/>
          <w:kern w:val="0"/>
          <w:sz w:val="32"/>
          <w:szCs w:val="32"/>
          <w:highlight w:val="none"/>
        </w:rPr>
        <w:t>比上年</w:t>
      </w:r>
      <w:r>
        <w:rPr>
          <w:rFonts w:hint="eastAsia" w:ascii="仿宋_GB2312" w:hAnsi="宋体" w:eastAsia="仿宋_GB2312" w:cs="宋体"/>
          <w:kern w:val="0"/>
          <w:sz w:val="32"/>
          <w:szCs w:val="32"/>
          <w:highlight w:val="none"/>
          <w:lang w:val="en-US" w:eastAsia="zh-CN"/>
        </w:rPr>
        <w:t>预算增加3.67万元，增长92.91%，主要原因是：</w:t>
      </w:r>
      <w:r>
        <w:rPr>
          <w:rFonts w:hint="eastAsia" w:ascii="仿宋_GB2312" w:hAnsi="仿宋_GB2312" w:eastAsia="仿宋_GB2312" w:cs="仿宋_GB2312"/>
          <w:kern w:val="0"/>
          <w:sz w:val="32"/>
          <w:szCs w:val="32"/>
          <w:highlight w:val="none"/>
          <w:lang w:val="en-US" w:eastAsia="zh-CN"/>
        </w:rPr>
        <w:t>2025年</w:t>
      </w:r>
      <w:r>
        <w:rPr>
          <w:rFonts w:hint="eastAsia" w:ascii="仿宋_GB2312" w:hAnsi="宋体" w:eastAsia="仿宋_GB2312" w:cs="宋体"/>
          <w:kern w:val="0"/>
          <w:sz w:val="32"/>
          <w:szCs w:val="32"/>
          <w:highlight w:val="none"/>
          <w:lang w:val="en-US" w:eastAsia="zh-CN"/>
        </w:rPr>
        <w:t>增加1人，且公务员医疗补助缴费比例增加，支出预算有所增加。</w:t>
      </w:r>
    </w:p>
    <w:p>
      <w:pPr>
        <w:spacing w:line="56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4.</w:t>
      </w:r>
      <w:r>
        <w:rPr>
          <w:rFonts w:hint="eastAsia" w:ascii="仿宋_GB2312" w:hAnsi="宋体" w:eastAsia="仿宋_GB2312" w:cs="宋体"/>
          <w:kern w:val="0"/>
          <w:sz w:val="32"/>
          <w:szCs w:val="32"/>
          <w:highlight w:val="none"/>
          <w:lang w:val="en-US" w:eastAsia="zh-CN"/>
        </w:rPr>
        <w:t>卫生健康支出（类）行政事业单位医疗（款）其他行政事业单位医疗支出（项）</w:t>
      </w:r>
      <w:r>
        <w:rPr>
          <w:rFonts w:hint="eastAsia" w:ascii="仿宋_GB2312" w:hAnsi="宋体" w:eastAsia="仿宋_GB2312" w:cs="宋体"/>
          <w:kern w:val="0"/>
          <w:sz w:val="32"/>
          <w:szCs w:val="32"/>
          <w:highlight w:val="none"/>
          <w:lang w:eastAsia="zh-CN"/>
        </w:rPr>
        <w:t>2025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0.19万元，</w:t>
      </w:r>
      <w:r>
        <w:rPr>
          <w:rFonts w:hint="eastAsia" w:ascii="仿宋_GB2312" w:hAnsi="宋体" w:eastAsia="仿宋_GB2312" w:cs="宋体"/>
          <w:kern w:val="0"/>
          <w:sz w:val="32"/>
          <w:szCs w:val="32"/>
          <w:highlight w:val="none"/>
        </w:rPr>
        <w:t>比上年</w:t>
      </w:r>
      <w:r>
        <w:rPr>
          <w:rFonts w:hint="eastAsia" w:ascii="仿宋_GB2312" w:hAnsi="宋体" w:eastAsia="仿宋_GB2312" w:cs="宋体"/>
          <w:kern w:val="0"/>
          <w:sz w:val="32"/>
          <w:szCs w:val="32"/>
          <w:highlight w:val="none"/>
          <w:lang w:val="en-US" w:eastAsia="zh-CN"/>
        </w:rPr>
        <w:t>预算增加0.08万元，增长72.73%，主要原因是：</w:t>
      </w:r>
      <w:r>
        <w:rPr>
          <w:rFonts w:hint="eastAsia" w:ascii="仿宋_GB2312" w:hAnsi="仿宋_GB2312" w:eastAsia="仿宋_GB2312" w:cs="仿宋_GB2312"/>
          <w:kern w:val="0"/>
          <w:sz w:val="32"/>
          <w:szCs w:val="32"/>
          <w:highlight w:val="none"/>
          <w:lang w:val="en-US" w:eastAsia="zh-CN"/>
        </w:rPr>
        <w:t>2025年</w:t>
      </w:r>
      <w:r>
        <w:rPr>
          <w:rFonts w:hint="eastAsia" w:ascii="仿宋_GB2312" w:hAnsi="宋体" w:eastAsia="仿宋_GB2312" w:cs="宋体"/>
          <w:kern w:val="0"/>
          <w:sz w:val="32"/>
          <w:szCs w:val="32"/>
          <w:highlight w:val="none"/>
          <w:lang w:val="en-US" w:eastAsia="zh-CN"/>
        </w:rPr>
        <w:t>增加1人，且大病医疗缴费比例增加，其他行政事业单位医疗支出预算有所增加。</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5.</w:t>
      </w:r>
      <w:r>
        <w:rPr>
          <w:rFonts w:hint="eastAsia" w:ascii="仿宋" w:hAnsi="仿宋" w:eastAsia="仿宋" w:cs="仿宋"/>
          <w:b w:val="0"/>
          <w:bCs/>
          <w:color w:val="000000"/>
          <w:kern w:val="0"/>
          <w:sz w:val="32"/>
          <w:szCs w:val="32"/>
          <w:highlight w:val="none"/>
          <w:lang w:val="en-US" w:eastAsia="zh-CN"/>
        </w:rPr>
        <w:t>农林水支出（类）农业农村（款）事业运行（项）</w:t>
      </w:r>
      <w:r>
        <w:rPr>
          <w:rFonts w:hint="eastAsia" w:ascii="仿宋_GB2312" w:hAnsi="宋体" w:eastAsia="仿宋_GB2312" w:cs="宋体"/>
          <w:kern w:val="0"/>
          <w:sz w:val="32"/>
          <w:szCs w:val="32"/>
          <w:highlight w:val="none"/>
          <w:lang w:eastAsia="zh-CN"/>
        </w:rPr>
        <w:t>2025</w:t>
      </w:r>
      <w:r>
        <w:rPr>
          <w:rFonts w:ascii="仿宋_GB2312" w:hAnsi="宋体" w:eastAsia="仿宋_GB2312" w:cs="宋体"/>
          <w:kern w:val="0"/>
          <w:sz w:val="32"/>
          <w:szCs w:val="32"/>
          <w:highlight w:val="none"/>
        </w:rPr>
        <w:t>年预算数为</w:t>
      </w:r>
      <w:r>
        <w:rPr>
          <w:rFonts w:hint="eastAsia" w:ascii="仿宋" w:hAnsi="仿宋" w:eastAsia="仿宋" w:cs="仿宋"/>
          <w:b w:val="0"/>
          <w:bCs/>
          <w:color w:val="000000"/>
          <w:kern w:val="0"/>
          <w:sz w:val="32"/>
          <w:szCs w:val="32"/>
          <w:highlight w:val="none"/>
          <w:lang w:val="en-US" w:eastAsia="zh-CN"/>
        </w:rPr>
        <w:t>226.79万元，</w:t>
      </w:r>
      <w:r>
        <w:rPr>
          <w:rFonts w:hint="eastAsia" w:ascii="仿宋_GB2312" w:hAnsi="宋体" w:eastAsia="仿宋_GB2312" w:cs="宋体"/>
          <w:kern w:val="0"/>
          <w:sz w:val="32"/>
          <w:szCs w:val="32"/>
          <w:highlight w:val="none"/>
        </w:rPr>
        <w:t>比上年</w:t>
      </w:r>
      <w:r>
        <w:rPr>
          <w:rFonts w:hint="eastAsia" w:ascii="仿宋_GB2312" w:hAnsi="宋体" w:eastAsia="仿宋_GB2312" w:cs="宋体"/>
          <w:kern w:val="0"/>
          <w:sz w:val="32"/>
          <w:szCs w:val="32"/>
          <w:highlight w:val="none"/>
          <w:lang w:val="en-US" w:eastAsia="zh-CN"/>
        </w:rPr>
        <w:t>预算增加16.03万元，增长7.61%，主要原因是：</w:t>
      </w:r>
      <w:r>
        <w:rPr>
          <w:rFonts w:hint="eastAsia" w:ascii="仿宋_GB2312" w:hAnsi="仿宋_GB2312" w:eastAsia="仿宋_GB2312" w:cs="仿宋_GB2312"/>
          <w:kern w:val="0"/>
          <w:sz w:val="32"/>
          <w:szCs w:val="32"/>
          <w:highlight w:val="none"/>
          <w:lang w:val="en-US" w:eastAsia="zh-CN"/>
        </w:rPr>
        <w:t>2025年部门</w:t>
      </w:r>
      <w:r>
        <w:rPr>
          <w:rFonts w:hint="eastAsia" w:ascii="仿宋_GB2312" w:hAnsi="宋体" w:eastAsia="仿宋_GB2312" w:cs="宋体"/>
          <w:kern w:val="0"/>
          <w:sz w:val="32"/>
          <w:szCs w:val="32"/>
          <w:highlight w:val="none"/>
          <w:lang w:val="en-US" w:eastAsia="zh-CN"/>
        </w:rPr>
        <w:t>1人，</w:t>
      </w:r>
      <w:r>
        <w:rPr>
          <w:rFonts w:hint="eastAsia" w:ascii="仿宋" w:hAnsi="仿宋" w:eastAsia="仿宋" w:cs="仿宋"/>
          <w:b w:val="0"/>
          <w:bCs/>
          <w:color w:val="000000"/>
          <w:kern w:val="0"/>
          <w:sz w:val="32"/>
          <w:szCs w:val="32"/>
          <w:highlight w:val="none"/>
          <w:lang w:val="en-US" w:eastAsia="zh-CN"/>
        </w:rPr>
        <w:t>事业运行</w:t>
      </w:r>
      <w:r>
        <w:rPr>
          <w:rFonts w:hint="eastAsia" w:ascii="仿宋_GB2312" w:hAnsi="宋体" w:eastAsia="仿宋_GB2312" w:cs="宋体"/>
          <w:kern w:val="0"/>
          <w:sz w:val="32"/>
          <w:szCs w:val="32"/>
          <w:highlight w:val="none"/>
          <w:lang w:val="en-US" w:eastAsia="zh-CN"/>
        </w:rPr>
        <w:t>支出预算有所增加。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kern w:val="0"/>
          <w:sz w:val="32"/>
          <w:szCs w:val="32"/>
          <w:highlight w:val="none"/>
          <w:lang w:val="en-US" w:eastAsia="zh-CN"/>
        </w:rPr>
        <w:t>6.</w:t>
      </w:r>
      <w:r>
        <w:rPr>
          <w:rFonts w:hint="eastAsia" w:ascii="仿宋_GB2312" w:hAnsi="宋体" w:eastAsia="仿宋_GB2312" w:cs="宋体"/>
          <w:kern w:val="0"/>
          <w:sz w:val="32"/>
          <w:szCs w:val="32"/>
          <w:highlight w:val="none"/>
          <w:lang w:val="en-US" w:eastAsia="zh-CN"/>
        </w:rPr>
        <w:t>住房保障支出（类）住房改革支出（款）住房公积金（项）</w:t>
      </w:r>
      <w:r>
        <w:rPr>
          <w:rFonts w:hint="eastAsia" w:ascii="仿宋_GB2312" w:hAnsi="宋体" w:eastAsia="仿宋_GB2312" w:cs="宋体"/>
          <w:kern w:val="0"/>
          <w:sz w:val="32"/>
          <w:szCs w:val="32"/>
          <w:highlight w:val="none"/>
          <w:lang w:eastAsia="zh-CN"/>
        </w:rPr>
        <w:t>2025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25.48万元，</w:t>
      </w:r>
      <w:r>
        <w:rPr>
          <w:rFonts w:hint="eastAsia" w:ascii="仿宋_GB2312" w:hAnsi="宋体" w:eastAsia="仿宋_GB2312" w:cs="宋体"/>
          <w:kern w:val="0"/>
          <w:sz w:val="32"/>
          <w:szCs w:val="32"/>
          <w:highlight w:val="none"/>
        </w:rPr>
        <w:t>比上年</w:t>
      </w:r>
      <w:r>
        <w:rPr>
          <w:rFonts w:hint="eastAsia" w:ascii="仿宋_GB2312" w:hAnsi="宋体" w:eastAsia="仿宋_GB2312" w:cs="宋体"/>
          <w:kern w:val="0"/>
          <w:sz w:val="32"/>
          <w:szCs w:val="32"/>
          <w:highlight w:val="none"/>
          <w:lang w:val="en-US" w:eastAsia="zh-CN"/>
        </w:rPr>
        <w:t>预算增加1.43万元，增长5.95%，主要原因是：</w:t>
      </w:r>
      <w:r>
        <w:rPr>
          <w:rFonts w:hint="eastAsia" w:ascii="仿宋_GB2312" w:hAnsi="仿宋_GB2312" w:eastAsia="仿宋_GB2312" w:cs="仿宋_GB2312"/>
          <w:kern w:val="0"/>
          <w:sz w:val="32"/>
          <w:szCs w:val="32"/>
          <w:highlight w:val="none"/>
          <w:lang w:val="en-US" w:eastAsia="zh-CN"/>
        </w:rPr>
        <w:t>2025年</w:t>
      </w:r>
      <w:r>
        <w:rPr>
          <w:rFonts w:hint="eastAsia" w:ascii="仿宋_GB2312" w:hAnsi="宋体" w:eastAsia="仿宋_GB2312" w:cs="宋体"/>
          <w:kern w:val="0"/>
          <w:sz w:val="32"/>
          <w:szCs w:val="32"/>
          <w:highlight w:val="none"/>
          <w:lang w:val="en-US" w:eastAsia="zh-CN"/>
        </w:rPr>
        <w:t>增加1人，住房公积金支出预算有所增加。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关于呼图壁县乡村振兴综合保障中心</w:t>
      </w:r>
      <w:r>
        <w:rPr>
          <w:rFonts w:hint="eastAsia" w:ascii="楷体_GB2312" w:hAnsi="楷体_GB2312" w:eastAsia="楷体_GB2312" w:cs="楷体_GB2312"/>
          <w:b/>
          <w:bCs/>
          <w:color w:val="auto"/>
          <w:spacing w:val="-6"/>
          <w:kern w:val="0"/>
          <w:sz w:val="32"/>
          <w:szCs w:val="32"/>
          <w:highlight w:val="none"/>
          <w:lang w:eastAsia="zh-CN"/>
        </w:rPr>
        <w:t>2025年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rPr>
        <w:t>呼图壁县乡村振兴综合保障中心</w:t>
      </w:r>
      <w:r>
        <w:rPr>
          <w:rFonts w:hint="eastAsia" w:ascii="仿宋_GB2312" w:hAnsi="宋体" w:eastAsia="仿宋_GB2312" w:cs="宋体"/>
          <w:color w:val="auto"/>
          <w:spacing w:val="-6"/>
          <w:kern w:val="0"/>
          <w:sz w:val="32"/>
          <w:szCs w:val="32"/>
          <w:highlight w:val="none"/>
          <w:lang w:eastAsia="zh-CN"/>
        </w:rPr>
        <w:t>2025年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305.80</w:t>
      </w:r>
      <w:r>
        <w:rPr>
          <w:rFonts w:hint="eastAsia" w:ascii="仿宋_GB2312" w:hAnsi="宋体" w:eastAsia="仿宋_GB2312" w:cs="宋体"/>
          <w:color w:val="auto"/>
          <w:spacing w:val="-6"/>
          <w:kern w:val="0"/>
          <w:sz w:val="32"/>
          <w:szCs w:val="32"/>
          <w:highlight w:val="none"/>
        </w:rPr>
        <w:t>万元，其中：</w:t>
      </w:r>
    </w:p>
    <w:p>
      <w:pPr>
        <w:pStyle w:val="9"/>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296.71</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其他对个人和家庭的补助。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9.09</w:t>
      </w:r>
      <w:r>
        <w:rPr>
          <w:rFonts w:hint="eastAsia" w:ascii="仿宋_GB2312" w:hAnsi="宋体" w:eastAsia="仿宋_GB2312" w:cs="宋体"/>
          <w:color w:val="auto"/>
          <w:kern w:val="0"/>
          <w:sz w:val="32"/>
          <w:szCs w:val="32"/>
          <w:highlight w:val="none"/>
        </w:rPr>
        <w:t>万元，主要包括：办公费、印刷费、水费、电费、邮电费、差旅费、公务接待费、工会经费、公务用车运行维护费。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关于呼图壁县乡村振兴综合保障中心</w:t>
      </w:r>
      <w:r>
        <w:rPr>
          <w:rFonts w:hint="eastAsia" w:ascii="楷体_GB2312" w:hAnsi="楷体_GB2312" w:eastAsia="楷体_GB2312" w:cs="楷体_GB2312"/>
          <w:b/>
          <w:bCs/>
          <w:color w:val="auto"/>
          <w:spacing w:val="-6"/>
          <w:kern w:val="0"/>
          <w:sz w:val="32"/>
          <w:szCs w:val="32"/>
          <w:highlight w:val="none"/>
          <w:lang w:eastAsia="zh-CN"/>
        </w:rPr>
        <w:t>2025年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、关于呼图壁县乡村振兴综合保障中心</w:t>
      </w:r>
      <w:r>
        <w:rPr>
          <w:rFonts w:hint="eastAsia" w:ascii="楷体_GB2312" w:hAnsi="楷体_GB2312" w:eastAsia="楷体_GB2312" w:cs="楷体_GB2312"/>
          <w:b/>
          <w:bCs/>
          <w:color w:val="auto"/>
          <w:kern w:val="0"/>
          <w:sz w:val="32"/>
          <w:szCs w:val="32"/>
          <w:highlight w:val="none"/>
          <w:lang w:eastAsia="zh-CN"/>
        </w:rPr>
        <w:t>2025年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关于呼图壁县乡村振兴综合保障中心</w:t>
      </w:r>
      <w:r>
        <w:rPr>
          <w:rFonts w:hint="eastAsia" w:ascii="楷体_GB2312" w:hAnsi="楷体_GB2312" w:eastAsia="楷体_GB2312" w:cs="楷体_GB2312"/>
          <w:b/>
          <w:bCs/>
          <w:color w:val="auto"/>
          <w:kern w:val="0"/>
          <w:sz w:val="32"/>
          <w:szCs w:val="32"/>
          <w:highlight w:val="none"/>
          <w:lang w:eastAsia="zh-CN"/>
        </w:rPr>
        <w:t>2025年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、关于呼图壁县乡村振兴综合保障中心</w:t>
      </w:r>
      <w:r>
        <w:rPr>
          <w:rFonts w:hint="eastAsia" w:ascii="楷体_GB2312" w:hAnsi="楷体_GB2312" w:eastAsia="楷体_GB2312" w:cs="楷体_GB2312"/>
          <w:b/>
          <w:bCs/>
          <w:color w:val="auto"/>
          <w:kern w:val="0"/>
          <w:sz w:val="32"/>
          <w:szCs w:val="32"/>
          <w:highlight w:val="none"/>
          <w:lang w:eastAsia="zh-CN"/>
        </w:rPr>
        <w:t>2025年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呼图壁县乡村振兴综合保障中心</w:t>
      </w:r>
      <w:r>
        <w:rPr>
          <w:rFonts w:hint="eastAsia" w:ascii="仿宋_GB2312" w:hAnsi="宋体" w:eastAsia="仿宋_GB2312" w:cs="宋体"/>
          <w:color w:val="auto"/>
          <w:kern w:val="0"/>
          <w:sz w:val="32"/>
          <w:szCs w:val="32"/>
          <w:highlight w:val="none"/>
          <w:lang w:eastAsia="zh-CN"/>
        </w:rPr>
        <w:t>2025年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2.20</w:t>
      </w:r>
      <w:r>
        <w:rPr>
          <w:rFonts w:hint="eastAsia" w:ascii="仿宋_GB2312" w:hAnsi="宋体" w:eastAsia="仿宋_GB2312" w:cs="宋体"/>
          <w:color w:val="auto"/>
          <w:kern w:val="0"/>
          <w:sz w:val="32"/>
          <w:szCs w:val="32"/>
          <w:highlight w:val="none"/>
        </w:rPr>
        <w:t>万元，其中：</w:t>
      </w:r>
      <w:r>
        <w:rPr>
          <w:rFonts w:hint="eastAsia" w:ascii="仿宋_GB2312" w:hAnsi="宋体" w:eastAsia="仿宋_GB2312" w:cs="宋体"/>
          <w:kern w:val="0"/>
          <w:sz w:val="32"/>
          <w:szCs w:val="32"/>
          <w:highlight w:val="none"/>
        </w:rPr>
        <w:t>因公出国（境）费</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万元，公务</w:t>
      </w:r>
      <w:r>
        <w:rPr>
          <w:rFonts w:hint="eastAsia" w:ascii="仿宋_GB2312" w:hAnsi="宋体" w:eastAsia="仿宋_GB2312" w:cs="宋体"/>
          <w:color w:val="000000"/>
          <w:kern w:val="0"/>
          <w:sz w:val="32"/>
          <w:szCs w:val="32"/>
          <w:highlight w:val="none"/>
        </w:rPr>
        <w:t>用车购置费</w:t>
      </w:r>
      <w:r>
        <w:rPr>
          <w:rFonts w:hint="eastAsia" w:ascii="仿宋_GB2312" w:hAnsi="宋体" w:eastAsia="仿宋_GB2312" w:cs="宋体"/>
          <w:color w:val="000000"/>
          <w:kern w:val="0"/>
          <w:sz w:val="32"/>
          <w:szCs w:val="32"/>
          <w:highlight w:val="none"/>
          <w:lang w:val="en-US" w:eastAsia="zh-CN"/>
        </w:rPr>
        <w:t>0</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37.50%，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2024年、2025年均未安排此项预算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公务用车运行费</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0%，主要原因是我单位公车数量未发生变化，预算费用较2024年无增长；</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2025年预算公务接待费因业务需要增加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、关于呼图壁县乡村振兴综合保障中心</w:t>
      </w:r>
      <w:r>
        <w:rPr>
          <w:rFonts w:hint="eastAsia" w:ascii="楷体_GB2312" w:hAnsi="楷体_GB2312" w:eastAsia="楷体_GB2312" w:cs="楷体_GB2312"/>
          <w:b/>
          <w:bCs/>
          <w:color w:val="auto"/>
          <w:kern w:val="0"/>
          <w:sz w:val="32"/>
          <w:szCs w:val="32"/>
          <w:highlight w:val="none"/>
          <w:lang w:eastAsia="zh-CN"/>
        </w:rPr>
        <w:t>2025年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9.09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4.60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2025年</w:t>
      </w:r>
      <w:bookmarkStart w:id="0" w:name="_GoBack"/>
      <w:bookmarkEnd w:id="0"/>
      <w:r>
        <w:rPr>
          <w:rFonts w:hint="eastAsia" w:ascii="仿宋_GB2312" w:hAnsi="宋体" w:eastAsia="仿宋_GB2312" w:cs="宋体"/>
          <w:kern w:val="0"/>
          <w:sz w:val="32"/>
          <w:szCs w:val="32"/>
          <w:highlight w:val="none"/>
          <w:lang w:val="en-US" w:eastAsia="zh-CN"/>
        </w:rPr>
        <w:t>增加1人，办公费、工会经费等预算均有所增加。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2025</w:t>
      </w:r>
      <w:r>
        <w:rPr>
          <w:rFonts w:hint="eastAsia" w:ascii="仿宋_GB2312" w:hAnsi="仿宋_GB2312" w:eastAsia="仿宋_GB2312" w:cs="仿宋_GB2312"/>
          <w:color w:val="auto"/>
          <w:kern w:val="0"/>
          <w:sz w:val="32"/>
          <w:szCs w:val="32"/>
          <w:highlight w:val="none"/>
        </w:rPr>
        <w:t>年，呼图壁县乡村振兴综合保障中心政府采购预算</w:t>
      </w:r>
      <w:r>
        <w:rPr>
          <w:rFonts w:hint="eastAsia" w:ascii="仿宋_GB2312" w:hAnsi="仿宋_GB2312" w:eastAsia="仿宋_GB2312" w:cs="仿宋_GB2312"/>
          <w:color w:val="auto"/>
          <w:kern w:val="0"/>
          <w:sz w:val="32"/>
          <w:szCs w:val="32"/>
          <w:highlight w:val="none"/>
          <w:lang w:val="en-US" w:eastAsia="zh-CN"/>
        </w:rPr>
        <w:t>2.90</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1.10</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1.80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2025</w:t>
      </w:r>
      <w:r>
        <w:rPr>
          <w:rFonts w:hint="eastAsia" w:ascii="仿宋_GB2312" w:hAnsi="仿宋_GB2312" w:eastAsia="仿宋_GB2312" w:cs="仿宋_GB2312"/>
          <w:color w:val="auto"/>
          <w:kern w:val="0"/>
          <w:sz w:val="32"/>
          <w:szCs w:val="32"/>
          <w:highlight w:val="none"/>
        </w:rPr>
        <w:t>年，呼图壁县乡村振兴综合保障中心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2.90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2.90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年底，呼图壁县乡村振兴综合保障中心占用使用国有资产总体情况为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3.80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3.80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3.8858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18.4258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2025年部门</w:t>
      </w:r>
      <w:r>
        <w:rPr>
          <w:rFonts w:hint="eastAsia" w:ascii="仿宋_GB2312" w:hAnsi="仿宋_GB2312" w:eastAsia="仿宋_GB2312" w:cs="仿宋_GB2312"/>
          <w:color w:val="auto"/>
          <w:kern w:val="0"/>
          <w:sz w:val="32"/>
          <w:szCs w:val="32"/>
          <w:highlight w:val="none"/>
        </w:rPr>
        <w:t>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color w:val="auto"/>
          <w:kern w:val="0"/>
          <w:sz w:val="32"/>
          <w:szCs w:val="32"/>
          <w:highlight w:val="none"/>
          <w:lang w:eastAsia="zh-CN"/>
        </w:rPr>
        <w:t>）部门价</w:t>
      </w:r>
      <w:r>
        <w:rPr>
          <w:rFonts w:hint="eastAsia" w:ascii="仿宋_GB2312" w:hAnsi="仿宋_GB2312" w:eastAsia="仿宋_GB2312" w:cs="仿宋_GB2312"/>
          <w:color w:val="auto"/>
          <w:kern w:val="0"/>
          <w:sz w:val="32"/>
          <w:szCs w:val="32"/>
          <w:highlight w:val="none"/>
        </w:rPr>
        <w:t>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FF0000"/>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整体预算绩效目标1个，涉及金额398.8万元；当年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11"/>
        <w:tblpPr w:leftFromText="180" w:rightFromText="180" w:vertAnchor="text" w:horzAnchor="page" w:tblpX="1129" w:tblpY="-11111"/>
        <w:tblOverlap w:val="never"/>
        <w:tblW w:w="96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0"/>
        <w:gridCol w:w="930"/>
        <w:gridCol w:w="2430"/>
        <w:gridCol w:w="1320"/>
        <w:gridCol w:w="3344"/>
        <w:gridCol w:w="7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63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63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w:t>
            </w:r>
            <w:r>
              <w:rPr>
                <w:rFonts w:hint="eastAsia" w:ascii="宋体" w:hAnsi="宋体" w:cs="宋体"/>
                <w:i w:val="0"/>
                <w:iCs w:val="0"/>
                <w:color w:val="000000"/>
                <w:sz w:val="24"/>
                <w:szCs w:val="24"/>
                <w:highlight w:val="none"/>
                <w:u w:val="none"/>
                <w:lang w:val="en-US" w:eastAsia="zh-CN"/>
              </w:rPr>
              <w:t>2025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jc w:val="center"/>
        </w:trPr>
        <w:tc>
          <w:tcPr>
            <w:tcW w:w="183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cs="宋体"/>
                <w:b/>
                <w:bCs/>
                <w:i w:val="0"/>
                <w:iCs w:val="0"/>
                <w:color w:val="000000"/>
                <w:kern w:val="0"/>
                <w:sz w:val="20"/>
                <w:szCs w:val="20"/>
                <w:highlight w:val="none"/>
                <w:u w:val="none"/>
                <w:lang w:val="en-US" w:eastAsia="zh-CN" w:bidi="ar"/>
              </w:rPr>
              <w:t>部门</w:t>
            </w:r>
            <w:r>
              <w:rPr>
                <w:rFonts w:hint="eastAsia" w:ascii="宋体" w:hAnsi="宋体" w:eastAsia="宋体" w:cs="宋体"/>
                <w:b/>
                <w:bCs/>
                <w:i w:val="0"/>
                <w:iCs w:val="0"/>
                <w:color w:val="000000"/>
                <w:kern w:val="0"/>
                <w:sz w:val="20"/>
                <w:szCs w:val="20"/>
                <w:highlight w:val="none"/>
                <w:u w:val="none"/>
                <w:lang w:val="en-US" w:eastAsia="zh-CN" w:bidi="ar"/>
              </w:rPr>
              <w:t>名称（盖章）</w:t>
            </w:r>
          </w:p>
        </w:tc>
        <w:tc>
          <w:tcPr>
            <w:tcW w:w="7800"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呼图壁县乡村振兴综合保障中心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6" w:hRule="atLeast"/>
          <w:jc w:val="center"/>
        </w:trPr>
        <w:tc>
          <w:tcPr>
            <w:tcW w:w="183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cs="宋体"/>
                <w:b/>
                <w:bCs/>
                <w:i w:val="0"/>
                <w:iCs w:val="0"/>
                <w:color w:val="000000"/>
                <w:kern w:val="0"/>
                <w:sz w:val="20"/>
                <w:szCs w:val="20"/>
                <w:highlight w:val="none"/>
                <w:u w:val="none"/>
                <w:lang w:val="en-US" w:eastAsia="zh-CN" w:bidi="ar"/>
              </w:rPr>
              <w:t>部门</w:t>
            </w:r>
            <w:r>
              <w:rPr>
                <w:rFonts w:hint="eastAsia" w:ascii="宋体" w:hAnsi="宋体" w:eastAsia="宋体" w:cs="宋体"/>
                <w:b/>
                <w:bCs/>
                <w:i w:val="0"/>
                <w:iCs w:val="0"/>
                <w:color w:val="000000"/>
                <w:kern w:val="0"/>
                <w:sz w:val="20"/>
                <w:szCs w:val="20"/>
                <w:highlight w:val="none"/>
                <w:u w:val="none"/>
                <w:lang w:val="en-US" w:eastAsia="zh-CN" w:bidi="ar"/>
              </w:rPr>
              <w:t>联系人</w:t>
            </w:r>
          </w:p>
        </w:tc>
        <w:tc>
          <w:tcPr>
            <w:tcW w:w="375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马克巴力·麻木拜克</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联系电话</w:t>
            </w:r>
          </w:p>
        </w:tc>
        <w:tc>
          <w:tcPr>
            <w:tcW w:w="70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16690040022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183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top"/>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年度绩效目标</w:t>
            </w:r>
          </w:p>
        </w:tc>
        <w:tc>
          <w:tcPr>
            <w:tcW w:w="7800"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持续巩固拓展脱贫攻坚成果,全面落实重点人群月风险摸排、农户季风险摸排机制;持续拓展监测渠道,对存在返贫致贫风险的农户做到应纳尽纳;全面推进精准帮扶;落实“雨露计划”补助、小额信贷、“一次性务工交通补助”、“产业到户”政策补助;扎实开展区内协作、定点帮扶。实施乡村建设行动,健全乡村建设推进机制,全覆盖开展农村人居环境整治提升行动,统筹推进农村生活垃圾、生活污水治理和厕所革命工作。扎实有效开展乡村治理,常态化调度各乡镇、村每月积分公示、红黑榜评比、季度兑换相关工作。稳步推进乡村振兴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1830" w:type="dxa"/>
            <w:gridSpan w:val="2"/>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年度预算（万元）</w:t>
            </w:r>
          </w:p>
        </w:tc>
        <w:tc>
          <w:tcPr>
            <w:tcW w:w="37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40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jc w:val="center"/>
        </w:trPr>
        <w:tc>
          <w:tcPr>
            <w:tcW w:w="1830" w:type="dxa"/>
            <w:gridSpan w:val="2"/>
            <w:vMerge w:val="continue"/>
            <w:tcBorders>
              <w:left w:val="single" w:color="000000" w:sz="4" w:space="0"/>
              <w:right w:val="single" w:color="000000" w:sz="4" w:space="0"/>
            </w:tcBorders>
            <w:vAlign w:val="center"/>
          </w:tcPr>
          <w:p>
            <w:pPr>
              <w:jc w:val="center"/>
              <w:rPr>
                <w:rFonts w:hint="eastAsia" w:ascii="宋体" w:hAnsi="宋体" w:eastAsia="宋体" w:cs="宋体"/>
                <w:b/>
                <w:bCs/>
                <w:i w:val="0"/>
                <w:iCs w:val="0"/>
                <w:color w:val="000000"/>
                <w:sz w:val="20"/>
                <w:szCs w:val="20"/>
                <w:highlight w:val="none"/>
                <w:u w:val="none"/>
              </w:rPr>
            </w:pPr>
          </w:p>
        </w:tc>
        <w:tc>
          <w:tcPr>
            <w:tcW w:w="243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405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jc w:val="center"/>
        </w:trPr>
        <w:tc>
          <w:tcPr>
            <w:tcW w:w="1830" w:type="dxa"/>
            <w:gridSpan w:val="2"/>
            <w:vMerge w:val="continue"/>
            <w:tcBorders>
              <w:left w:val="single" w:color="000000" w:sz="4" w:space="0"/>
              <w:right w:val="single" w:color="000000" w:sz="4" w:space="0"/>
            </w:tcBorders>
            <w:vAlign w:val="center"/>
          </w:tcPr>
          <w:p>
            <w:pPr>
              <w:jc w:val="center"/>
              <w:rPr>
                <w:rFonts w:hint="eastAsia" w:ascii="宋体" w:hAnsi="宋体" w:eastAsia="宋体" w:cs="宋体"/>
                <w:b/>
                <w:bCs/>
                <w:i w:val="0"/>
                <w:iCs w:val="0"/>
                <w:color w:val="000000"/>
                <w:sz w:val="20"/>
                <w:szCs w:val="20"/>
                <w:highlight w:val="none"/>
                <w:u w:val="none"/>
              </w:rPr>
            </w:pPr>
          </w:p>
        </w:tc>
        <w:tc>
          <w:tcPr>
            <w:tcW w:w="243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405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305.80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1830" w:type="dxa"/>
            <w:gridSpan w:val="2"/>
            <w:vMerge w:val="continue"/>
            <w:tcBorders>
              <w:left w:val="single" w:color="000000" w:sz="4" w:space="0"/>
              <w:right w:val="single" w:color="000000" w:sz="4" w:space="0"/>
            </w:tcBorders>
            <w:vAlign w:val="center"/>
          </w:tcPr>
          <w:p>
            <w:pPr>
              <w:jc w:val="center"/>
              <w:rPr>
                <w:rFonts w:hint="eastAsia" w:ascii="宋体" w:hAnsi="宋体" w:eastAsia="宋体" w:cs="宋体"/>
                <w:b/>
                <w:bCs/>
                <w:i w:val="0"/>
                <w:iCs w:val="0"/>
                <w:color w:val="000000"/>
                <w:sz w:val="20"/>
                <w:szCs w:val="20"/>
                <w:highlight w:val="none"/>
                <w:u w:val="none"/>
              </w:rPr>
            </w:pP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405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highlight w:val="none"/>
                <w:lang w:val="en-US" w:eastAsia="zh-CN"/>
              </w:rPr>
            </w:pPr>
            <w:r>
              <w:rPr>
                <w:rFonts w:hint="eastAsia" w:ascii="宋体" w:hAnsi="宋体" w:cs="宋体"/>
                <w:i w:val="0"/>
                <w:iCs w:val="0"/>
                <w:color w:val="000000"/>
                <w:sz w:val="20"/>
                <w:szCs w:val="20"/>
                <w:highlight w:val="none"/>
                <w:u w:val="none"/>
                <w:lang w:val="en-US" w:eastAsia="zh-CN"/>
              </w:rPr>
              <w:t>93.00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1830" w:type="dxa"/>
            <w:gridSpan w:val="2"/>
            <w:vMerge w:val="continue"/>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000000"/>
                <w:sz w:val="20"/>
                <w:szCs w:val="20"/>
                <w:highlight w:val="none"/>
                <w:u w:val="none"/>
              </w:rPr>
            </w:pPr>
          </w:p>
        </w:tc>
        <w:tc>
          <w:tcPr>
            <w:tcW w:w="37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合计</w:t>
            </w:r>
          </w:p>
        </w:tc>
        <w:tc>
          <w:tcPr>
            <w:tcW w:w="405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398.80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9" w:hRule="atLeast"/>
          <w:jc w:val="center"/>
        </w:trPr>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一级指标</w:t>
            </w: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二级指标</w:t>
            </w: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三级指标</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指标值</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指标设定依据</w:t>
            </w:r>
          </w:p>
        </w:tc>
        <w:tc>
          <w:tcPr>
            <w:tcW w:w="7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jc w:val="center"/>
        </w:trPr>
        <w:tc>
          <w:tcPr>
            <w:tcW w:w="9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履职效能</w:t>
            </w:r>
          </w:p>
        </w:tc>
        <w:tc>
          <w:tcPr>
            <w:tcW w:w="93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监测对象摸排覆盖率</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呼图壁县乡村振兴综合保障中心2024年工作总结暨2025年工作计划</w:t>
            </w:r>
          </w:p>
        </w:tc>
        <w:tc>
          <w:tcPr>
            <w:tcW w:w="7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jc w:val="center"/>
        </w:trPr>
        <w:tc>
          <w:tcPr>
            <w:tcW w:w="900" w:type="dxa"/>
            <w:vMerge w:val="continue"/>
            <w:tcBorders>
              <w:left w:val="single" w:color="000000" w:sz="4" w:space="0"/>
              <w:right w:val="single" w:color="000000" w:sz="4" w:space="0"/>
            </w:tcBorders>
            <w:vAlign w:val="center"/>
          </w:tcPr>
          <w:p>
            <w:pPr>
              <w:jc w:val="center"/>
              <w:rPr>
                <w:sz w:val="18"/>
                <w:szCs w:val="18"/>
                <w:highlight w:val="none"/>
              </w:rPr>
            </w:pPr>
          </w:p>
        </w:tc>
        <w:tc>
          <w:tcPr>
            <w:tcW w:w="930"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惠民政策补助发放普及率</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呼图壁县乡村振兴综合保障中心2024年工作总结暨2025年工作计划</w:t>
            </w:r>
          </w:p>
        </w:tc>
        <w:tc>
          <w:tcPr>
            <w:tcW w:w="7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jc w:val="center"/>
        </w:trPr>
        <w:tc>
          <w:tcPr>
            <w:tcW w:w="900"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93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农村生活垃圾治理率</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&gt;=95%</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呼图壁县乡村振兴综合保障中心2024年工作总结暨2025年工作计划</w:t>
            </w:r>
          </w:p>
        </w:tc>
        <w:tc>
          <w:tcPr>
            <w:tcW w:w="7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jc w:val="center"/>
        </w:trPr>
        <w:tc>
          <w:tcPr>
            <w:tcW w:w="900"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93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卫生厕所普及率</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&gt;=58%</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呼图壁县乡村振兴综合保障中心2024年工作总结暨2025年工作计划</w:t>
            </w:r>
          </w:p>
        </w:tc>
        <w:tc>
          <w:tcPr>
            <w:tcW w:w="7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jc w:val="center"/>
        </w:trPr>
        <w:tc>
          <w:tcPr>
            <w:tcW w:w="900"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存在防返贫风险农户纳入监测的比例</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呼图壁县乡村振兴综合保障中心2024年工作总结暨2025年工作计划</w:t>
            </w:r>
          </w:p>
        </w:tc>
        <w:tc>
          <w:tcPr>
            <w:tcW w:w="7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jc w:val="center"/>
        </w:trPr>
        <w:tc>
          <w:tcPr>
            <w:tcW w:w="900"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惠民政策宣传及时率</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&gt;=90%</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呼图壁县乡村振兴综合保障中心2024年工作总结 暨2025年工作计划</w:t>
            </w:r>
          </w:p>
        </w:tc>
        <w:tc>
          <w:tcPr>
            <w:tcW w:w="7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w:t>
            </w:r>
          </w:p>
        </w:tc>
      </w:tr>
    </w:tbl>
    <w:p>
      <w:pPr>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val="en-US" w:eastAsia="zh-CN"/>
        </w:rPr>
        <w:t>本部门无其他需说明的事项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呼图壁县乡村振兴综合保障中心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- 2 -</w:t>
                    </w:r>
                    <w: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p>
  <w:p>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- 56 -</w:t>
                    </w:r>
                    <w:r>
                      <w:fldChar w:fldCharType="end"/>
                    </w:r>
                  </w:p>
                </w:txbxContent>
              </v:textbox>
            </v:shape>
          </w:pict>
        </mc:Fallback>
      </mc:AlternateContent>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mY2RhZDdmMzNjYWUwMTQyNTk4NTdlZjYyMjVlOTQifQ=="/>
  </w:docVars>
  <w:rsids>
    <w:rsidRoot w:val="10587512"/>
    <w:rsid w:val="004B6E40"/>
    <w:rsid w:val="00C6185E"/>
    <w:rsid w:val="00EE2224"/>
    <w:rsid w:val="01396E1E"/>
    <w:rsid w:val="0191079E"/>
    <w:rsid w:val="01B04C82"/>
    <w:rsid w:val="02511F45"/>
    <w:rsid w:val="0264611C"/>
    <w:rsid w:val="038A7E04"/>
    <w:rsid w:val="039B216F"/>
    <w:rsid w:val="04267B2D"/>
    <w:rsid w:val="05397FD9"/>
    <w:rsid w:val="05557F9E"/>
    <w:rsid w:val="055C054F"/>
    <w:rsid w:val="05B5305B"/>
    <w:rsid w:val="06A2002E"/>
    <w:rsid w:val="06F7130D"/>
    <w:rsid w:val="070E6657"/>
    <w:rsid w:val="07B06394"/>
    <w:rsid w:val="08450B28"/>
    <w:rsid w:val="088C1F29"/>
    <w:rsid w:val="09063A89"/>
    <w:rsid w:val="0AFA13CC"/>
    <w:rsid w:val="0B247F12"/>
    <w:rsid w:val="0BC75EAA"/>
    <w:rsid w:val="0BCB0FBA"/>
    <w:rsid w:val="0D437EC5"/>
    <w:rsid w:val="0D6E5FD0"/>
    <w:rsid w:val="0DE3083D"/>
    <w:rsid w:val="0E9208E7"/>
    <w:rsid w:val="0F5117D6"/>
    <w:rsid w:val="0FA924B8"/>
    <w:rsid w:val="10014FAA"/>
    <w:rsid w:val="10587512"/>
    <w:rsid w:val="10916BDA"/>
    <w:rsid w:val="11535CDA"/>
    <w:rsid w:val="11F969CD"/>
    <w:rsid w:val="12AC2429"/>
    <w:rsid w:val="12EC4F80"/>
    <w:rsid w:val="131353A4"/>
    <w:rsid w:val="134A4EBA"/>
    <w:rsid w:val="153A0924"/>
    <w:rsid w:val="158100AB"/>
    <w:rsid w:val="161F43DC"/>
    <w:rsid w:val="1697741D"/>
    <w:rsid w:val="170F61FF"/>
    <w:rsid w:val="1732414C"/>
    <w:rsid w:val="185C36C6"/>
    <w:rsid w:val="1A025937"/>
    <w:rsid w:val="1A3F504D"/>
    <w:rsid w:val="1B2E6E70"/>
    <w:rsid w:val="1BEB54C3"/>
    <w:rsid w:val="1C393D1E"/>
    <w:rsid w:val="1C3C6084"/>
    <w:rsid w:val="1CEB6DC6"/>
    <w:rsid w:val="1D3E1AFE"/>
    <w:rsid w:val="1EAC2F42"/>
    <w:rsid w:val="1EB40DE9"/>
    <w:rsid w:val="1EB61656"/>
    <w:rsid w:val="200A3A07"/>
    <w:rsid w:val="20340A84"/>
    <w:rsid w:val="206D5E77"/>
    <w:rsid w:val="20712C87"/>
    <w:rsid w:val="20DD55C0"/>
    <w:rsid w:val="20F038B6"/>
    <w:rsid w:val="22235254"/>
    <w:rsid w:val="22DB78DD"/>
    <w:rsid w:val="2322550C"/>
    <w:rsid w:val="244D65B8"/>
    <w:rsid w:val="2492221D"/>
    <w:rsid w:val="2573204F"/>
    <w:rsid w:val="263564F8"/>
    <w:rsid w:val="26B4291F"/>
    <w:rsid w:val="26E769FA"/>
    <w:rsid w:val="293B2E83"/>
    <w:rsid w:val="2A012DF7"/>
    <w:rsid w:val="2AFC4894"/>
    <w:rsid w:val="2B5C79EE"/>
    <w:rsid w:val="2C2E4F21"/>
    <w:rsid w:val="2CEB526F"/>
    <w:rsid w:val="2D480265"/>
    <w:rsid w:val="2D977453"/>
    <w:rsid w:val="2DA21723"/>
    <w:rsid w:val="2E4119B7"/>
    <w:rsid w:val="2EF22236"/>
    <w:rsid w:val="332B5D17"/>
    <w:rsid w:val="33A464BF"/>
    <w:rsid w:val="34CB78A0"/>
    <w:rsid w:val="34FF56AD"/>
    <w:rsid w:val="35121FA5"/>
    <w:rsid w:val="35741906"/>
    <w:rsid w:val="35BE10C4"/>
    <w:rsid w:val="36062A6B"/>
    <w:rsid w:val="379E59C8"/>
    <w:rsid w:val="37A3702F"/>
    <w:rsid w:val="37CC6816"/>
    <w:rsid w:val="38471BCC"/>
    <w:rsid w:val="389C6DB2"/>
    <w:rsid w:val="38C43424"/>
    <w:rsid w:val="395A7356"/>
    <w:rsid w:val="3C095063"/>
    <w:rsid w:val="3F851F02"/>
    <w:rsid w:val="3F99270D"/>
    <w:rsid w:val="3FDF4D23"/>
    <w:rsid w:val="3FFD2EB8"/>
    <w:rsid w:val="404B79F8"/>
    <w:rsid w:val="41C73BAC"/>
    <w:rsid w:val="42955162"/>
    <w:rsid w:val="43A55671"/>
    <w:rsid w:val="43C26223"/>
    <w:rsid w:val="43D8307E"/>
    <w:rsid w:val="43DF5027"/>
    <w:rsid w:val="45CF69D6"/>
    <w:rsid w:val="46407634"/>
    <w:rsid w:val="46CE3131"/>
    <w:rsid w:val="47F46BC7"/>
    <w:rsid w:val="494F7907"/>
    <w:rsid w:val="49627B61"/>
    <w:rsid w:val="4AB508CE"/>
    <w:rsid w:val="4B6D2F19"/>
    <w:rsid w:val="4C0055E5"/>
    <w:rsid w:val="4C3677AE"/>
    <w:rsid w:val="4C455C43"/>
    <w:rsid w:val="4C5419FC"/>
    <w:rsid w:val="4C706B3A"/>
    <w:rsid w:val="4D1E2254"/>
    <w:rsid w:val="4D8673DA"/>
    <w:rsid w:val="51C15CED"/>
    <w:rsid w:val="52285DEB"/>
    <w:rsid w:val="52AD62F0"/>
    <w:rsid w:val="546308FE"/>
    <w:rsid w:val="55401D6C"/>
    <w:rsid w:val="56890E23"/>
    <w:rsid w:val="56F262B4"/>
    <w:rsid w:val="5C207B33"/>
    <w:rsid w:val="5DBB5A53"/>
    <w:rsid w:val="5DDC52DD"/>
    <w:rsid w:val="5E4F4700"/>
    <w:rsid w:val="5F1871E8"/>
    <w:rsid w:val="5F2346ED"/>
    <w:rsid w:val="60AA769A"/>
    <w:rsid w:val="60F0728F"/>
    <w:rsid w:val="61086613"/>
    <w:rsid w:val="63320B25"/>
    <w:rsid w:val="63AD1FEB"/>
    <w:rsid w:val="6408782B"/>
    <w:rsid w:val="64AA11A7"/>
    <w:rsid w:val="65322CBF"/>
    <w:rsid w:val="68CC52CB"/>
    <w:rsid w:val="68DE4FFE"/>
    <w:rsid w:val="694B58D7"/>
    <w:rsid w:val="69CE4E15"/>
    <w:rsid w:val="6B113469"/>
    <w:rsid w:val="6B7F3246"/>
    <w:rsid w:val="6CD209D6"/>
    <w:rsid w:val="6E7F79BF"/>
    <w:rsid w:val="6EF07839"/>
    <w:rsid w:val="6F63000B"/>
    <w:rsid w:val="6F6974FE"/>
    <w:rsid w:val="6FBC44A0"/>
    <w:rsid w:val="70F829D5"/>
    <w:rsid w:val="71B33BCF"/>
    <w:rsid w:val="72613AC6"/>
    <w:rsid w:val="72B56DCF"/>
    <w:rsid w:val="73CE3D70"/>
    <w:rsid w:val="740D49E9"/>
    <w:rsid w:val="758C6C69"/>
    <w:rsid w:val="75B570E6"/>
    <w:rsid w:val="777A4144"/>
    <w:rsid w:val="77D93560"/>
    <w:rsid w:val="780A1873"/>
    <w:rsid w:val="78411F23"/>
    <w:rsid w:val="787D11B8"/>
    <w:rsid w:val="78F61204"/>
    <w:rsid w:val="78F7348E"/>
    <w:rsid w:val="79187B3A"/>
    <w:rsid w:val="792C5912"/>
    <w:rsid w:val="7A41719B"/>
    <w:rsid w:val="7A601D17"/>
    <w:rsid w:val="7ABE0558"/>
    <w:rsid w:val="7B0242C6"/>
    <w:rsid w:val="7D79528C"/>
    <w:rsid w:val="7E8B30DA"/>
    <w:rsid w:val="7F845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ody Text"/>
    <w:basedOn w:val="1"/>
    <w:next w:val="4"/>
    <w:qFormat/>
    <w:uiPriority w:val="0"/>
    <w:pPr>
      <w:widowControl/>
      <w:spacing w:before="100" w:beforeAutospacing="1" w:after="100" w:afterAutospacing="1"/>
      <w:jc w:val="left"/>
    </w:pPr>
    <w:rPr>
      <w:rFonts w:ascii="宋体" w:hAnsi="宋体" w:cs="宋体"/>
      <w:kern w:val="0"/>
      <w:sz w:val="24"/>
    </w:rPr>
  </w:style>
  <w:style w:type="paragraph" w:customStyle="1" w:styleId="4">
    <w:name w:val="Quote1"/>
    <w:next w:val="1"/>
    <w:qFormat/>
    <w:uiPriority w:val="0"/>
    <w:pPr>
      <w:wordWrap w:val="0"/>
      <w:spacing w:before="200" w:after="160"/>
      <w:ind w:left="864" w:right="864"/>
      <w:jc w:val="center"/>
    </w:pPr>
    <w:rPr>
      <w:rFonts w:ascii="Times New Roman" w:hAnsi="Times New Roman" w:eastAsia="宋体" w:cs="Times New Roman"/>
      <w:i/>
      <w:sz w:val="21"/>
      <w:szCs w:val="22"/>
      <w:lang w:val="en-US" w:eastAsia="zh-CN" w:bidi="ar-SA"/>
    </w:rPr>
  </w:style>
  <w:style w:type="paragraph" w:styleId="5">
    <w:name w:val="Body Text Indent"/>
    <w:basedOn w:val="1"/>
    <w:qFormat/>
    <w:uiPriority w:val="0"/>
    <w:pPr>
      <w:spacing w:after="120"/>
      <w:ind w:left="420" w:leftChars="200"/>
    </w:p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2"/>
    <w:basedOn w:val="5"/>
    <w:qFormat/>
    <w:uiPriority w:val="0"/>
    <w:pPr>
      <w:ind w:firstLine="420" w:firstLineChars="200"/>
    </w:pPr>
    <w:rPr>
      <w:rFonts w:ascii="Calibri" w:hAnsi="Calibri"/>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font11"/>
    <w:basedOn w:val="13"/>
    <w:qFormat/>
    <w:uiPriority w:val="0"/>
    <w:rPr>
      <w:rFonts w:hint="eastAsia" w:ascii="宋体" w:hAnsi="宋体" w:eastAsia="宋体" w:cs="宋体"/>
      <w:color w:val="000000"/>
      <w:sz w:val="24"/>
      <w:szCs w:val="24"/>
      <w:u w:val="none"/>
    </w:rPr>
  </w:style>
  <w:style w:type="character" w:customStyle="1" w:styleId="15">
    <w:name w:val="font51"/>
    <w:basedOn w:val="13"/>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1346</Words>
  <Characters>1407</Characters>
  <Lines>0</Lines>
  <Paragraphs>0</Paragraphs>
  <TotalTime>14</TotalTime>
  <ScaleCrop>false</ScaleCrop>
  <LinksUpToDate>false</LinksUpToDate>
  <CharactersWithSpaces>1462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cp:lastPrinted>2024-07-16T09:49:00Z</cp:lastPrinted>
  <dcterms:modified xsi:type="dcterms:W3CDTF">2025-07-15T05:25:24Z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8584B4C813174B918E8BEAA4B2FB09BC_13</vt:lpwstr>
  </property>
  <property fmtid="{D5CDD505-2E9C-101B-9397-08002B2CF9AE}" pid="4" name="KSOTemplateDocerSaveRecord">
    <vt:lpwstr>eyJoZGlkIjoiYjc4NTRiZDIzYTM5ZmIzMzlmY2I2YjdmZTgwMTE5MTAifQ==</vt:lpwstr>
  </property>
</Properties>
</file>