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pStyle w:val="2"/>
        <w:rPr>
          <w:rFonts w:hint="default"/>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eastAsia" w:ascii="方正小标宋_GBK" w:hAnsi="宋体" w:eastAsia="方正小标宋_GBK"/>
          <w:color w:val="auto"/>
          <w:kern w:val="0"/>
          <w:sz w:val="44"/>
          <w:szCs w:val="44"/>
          <w:highlight w:val="none"/>
          <w:lang w:val="en-US" w:eastAsia="zh-CN"/>
        </w:rPr>
      </w:pPr>
      <w:r>
        <w:rPr>
          <w:rFonts w:hint="eastAsia" w:ascii="方正小标宋_GBK" w:hAnsi="宋体" w:eastAsia="方正小标宋_GBK"/>
          <w:color w:val="auto"/>
          <w:kern w:val="0"/>
          <w:sz w:val="44"/>
          <w:szCs w:val="44"/>
          <w:highlight w:val="none"/>
          <w:lang w:eastAsia="zh-CN"/>
        </w:rPr>
        <w:t>呼图壁县人工影响天气办公室</w:t>
      </w:r>
      <w:r>
        <w:rPr>
          <w:rFonts w:hint="eastAsia" w:ascii="方正小标宋_GBK" w:hAnsi="宋体" w:eastAsia="方正小标宋_GBK"/>
          <w:color w:val="auto"/>
          <w:kern w:val="0"/>
          <w:sz w:val="44"/>
          <w:szCs w:val="44"/>
          <w:highlight w:val="none"/>
          <w:lang w:val="en-US" w:eastAsia="zh-CN"/>
        </w:rPr>
        <w:t>2025年</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eastAsia="zh-CN"/>
        </w:rPr>
        <w:t>部门</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年呼图壁县人工影响天气办公室</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lang w:eastAsia="zh-CN"/>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年呼图壁县人工影响天气办公室预算公开表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eastAsia="zh-CN"/>
        </w:rPr>
        <w:t>部门</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w:t>
      </w:r>
      <w:r>
        <w:rPr>
          <w:rFonts w:hint="eastAsia" w:ascii="仿宋_GB2312" w:hAnsi="仿宋_GB2312" w:eastAsia="仿宋_GB2312" w:cs="仿宋_GB2312"/>
          <w:b/>
          <w:color w:val="auto"/>
          <w:kern w:val="0"/>
          <w:sz w:val="32"/>
          <w:szCs w:val="32"/>
          <w:highlight w:val="none"/>
          <w:lang w:val="en-US" w:eastAsia="zh-CN"/>
        </w:rPr>
        <w:t>5</w:t>
      </w:r>
      <w:r>
        <w:rPr>
          <w:rFonts w:hint="eastAsia" w:ascii="仿宋_GB2312" w:hAnsi="仿宋_GB2312" w:eastAsia="仿宋_GB2312" w:cs="仿宋_GB2312"/>
          <w:b/>
          <w:color w:val="auto"/>
          <w:kern w:val="0"/>
          <w:sz w:val="32"/>
          <w:szCs w:val="32"/>
          <w:highlight w:val="none"/>
          <w:lang w:eastAsia="zh-CN"/>
        </w:rPr>
        <w:t>年部门</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bCs/>
          <w:color w:val="auto"/>
          <w:kern w:val="0"/>
          <w:sz w:val="32"/>
          <w:szCs w:val="32"/>
          <w:highlight w:val="none"/>
          <w:lang w:eastAsia="zh-CN"/>
        </w:rPr>
        <w:t>202</w:t>
      </w:r>
      <w:r>
        <w:rPr>
          <w:rFonts w:hint="eastAsia" w:ascii="仿宋_GB2312" w:hAnsi="仿宋_GB2312" w:eastAsia="仿宋_GB2312" w:cs="仿宋_GB2312"/>
          <w:bCs/>
          <w:color w:val="auto"/>
          <w:kern w:val="0"/>
          <w:sz w:val="32"/>
          <w:szCs w:val="32"/>
          <w:highlight w:val="none"/>
          <w:lang w:val="en-US" w:eastAsia="zh-CN"/>
        </w:rPr>
        <w:t>5</w:t>
      </w:r>
      <w:r>
        <w:rPr>
          <w:rFonts w:hint="eastAsia" w:ascii="仿宋_GB2312" w:hAnsi="仿宋_GB2312" w:eastAsia="仿宋_GB2312" w:cs="仿宋_GB2312"/>
          <w:bCs/>
          <w:color w:val="auto"/>
          <w:kern w:val="0"/>
          <w:sz w:val="32"/>
          <w:szCs w:val="32"/>
          <w:highlight w:val="none"/>
          <w:lang w:eastAsia="zh-CN"/>
        </w:rPr>
        <w:t>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w:t>
      </w:r>
      <w:r>
        <w:rPr>
          <w:rFonts w:hint="eastAsia" w:ascii="仿宋_GB2312" w:hAnsi="仿宋_GB2312" w:eastAsia="仿宋_GB2312" w:cs="仿宋_GB2312"/>
          <w:color w:val="auto"/>
          <w:spacing w:val="-6"/>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spacing w:val="-6"/>
          <w:kern w:val="0"/>
          <w:sz w:val="32"/>
          <w:szCs w:val="32"/>
          <w:highlight w:val="none"/>
          <w:lang w:eastAsia="zh-CN"/>
        </w:rPr>
        <w:t>202</w:t>
      </w:r>
      <w:r>
        <w:rPr>
          <w:rFonts w:hint="eastAsia" w:ascii="仿宋_GB2312" w:hAnsi="仿宋_GB2312" w:eastAsia="仿宋_GB2312" w:cs="仿宋_GB2312"/>
          <w:color w:val="auto"/>
          <w:spacing w:val="-6"/>
          <w:kern w:val="0"/>
          <w:sz w:val="32"/>
          <w:szCs w:val="32"/>
          <w:highlight w:val="none"/>
          <w:lang w:val="en-US" w:eastAsia="zh-CN"/>
        </w:rPr>
        <w:t>5</w:t>
      </w:r>
      <w:r>
        <w:rPr>
          <w:rFonts w:hint="eastAsia" w:ascii="仿宋_GB2312" w:hAnsi="仿宋_GB2312" w:eastAsia="仿宋_GB2312" w:cs="仿宋_GB2312"/>
          <w:color w:val="auto"/>
          <w:spacing w:val="-6"/>
          <w:kern w:val="0"/>
          <w:sz w:val="32"/>
          <w:szCs w:val="32"/>
          <w:highlight w:val="none"/>
          <w:lang w:eastAsia="zh-CN"/>
        </w:rPr>
        <w:t>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hint="eastAsia" w:ascii="仿宋_GB2312" w:hAnsi="仿宋_GB2312" w:eastAsia="仿宋_GB2312" w:cs="仿宋_GB2312"/>
          <w:b/>
          <w:color w:val="auto"/>
          <w:kern w:val="0"/>
          <w:sz w:val="32"/>
          <w:szCs w:val="32"/>
          <w:highlight w:val="none"/>
        </w:rPr>
      </w:pPr>
    </w:p>
    <w:p>
      <w:pPr>
        <w:pStyle w:val="2"/>
        <w:rPr>
          <w:rFonts w:hint="eastAsia" w:ascii="仿宋_GB2312" w:hAnsi="仿宋_GB2312" w:eastAsia="仿宋_GB2312" w:cs="仿宋_GB2312"/>
          <w:b/>
          <w:color w:val="auto"/>
          <w:kern w:val="0"/>
          <w:sz w:val="32"/>
          <w:szCs w:val="32"/>
          <w:highlight w:val="none"/>
        </w:rPr>
      </w:pPr>
    </w:p>
    <w:p>
      <w:pPr>
        <w:pStyle w:val="2"/>
        <w:rPr>
          <w:rFonts w:hint="eastAsia" w:ascii="仿宋_GB2312" w:hAnsi="仿宋_GB2312" w:eastAsia="仿宋_GB2312" w:cs="仿宋_GB2312"/>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val="en-US" w:eastAsia="zh-CN"/>
        </w:rPr>
        <w:t>2025年</w:t>
      </w:r>
      <w:r>
        <w:rPr>
          <w:rFonts w:hint="eastAsia" w:ascii="黑体" w:hAnsi="黑体" w:eastAsia="黑体"/>
          <w:color w:val="auto"/>
          <w:kern w:val="0"/>
          <w:sz w:val="32"/>
          <w:szCs w:val="32"/>
          <w:highlight w:val="none"/>
          <w:lang w:eastAsia="zh-CN"/>
        </w:rPr>
        <w:t>呼图壁县人工影响天气办公室</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hint="eastAsia" w:ascii="仿宋_GB2312" w:hAnsi="黑体" w:eastAsia="仿宋_GB2312" w:cs="宋体"/>
          <w:bCs/>
          <w:color w:val="auto"/>
          <w:kern w:val="0"/>
          <w:sz w:val="32"/>
          <w:szCs w:val="32"/>
          <w:highlight w:val="none"/>
          <w:lang w:eastAsia="zh-CN"/>
        </w:rPr>
      </w:pPr>
      <w:r>
        <w:rPr>
          <w:rFonts w:hint="eastAsia" w:ascii="仿宋_GB2312" w:hAnsi="黑体" w:eastAsia="仿宋_GB2312" w:cs="宋体"/>
          <w:bCs/>
          <w:color w:val="auto"/>
          <w:kern w:val="0"/>
          <w:sz w:val="32"/>
          <w:szCs w:val="32"/>
          <w:highlight w:val="none"/>
          <w:lang w:eastAsia="zh-CN"/>
        </w:rPr>
        <w:t>呼图壁县人工影响天气办公室隶属于呼图壁县人民政府办公室，属于地方政府机构，办公地点设在气象局，由呼图壁县气象局指导具体业务工作。</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lang w:eastAsia="zh-CN"/>
        </w:rPr>
        <w:t>呼图壁县人工影响天气办公室主要负责呼图壁县人工影响天气作业计划的制定和实施工作，为呼图壁县建设和呼图壁县居民提供人工影响天气服务。</w:t>
      </w:r>
    </w:p>
    <w:p>
      <w:pPr>
        <w:keepNext w:val="0"/>
        <w:keepLines w:val="0"/>
        <w:pageBreakBefore w:val="0"/>
        <w:widowControl/>
        <w:kinsoku/>
        <w:wordWrap/>
        <w:overflowPunct/>
        <w:topLinePunct w:val="0"/>
        <w:autoSpaceDE/>
        <w:autoSpaceDN/>
        <w:bidi w:val="0"/>
        <w:adjustRightInd/>
        <w:snapToGrid/>
        <w:spacing w:beforeLines="0" w:line="540" w:lineRule="exact"/>
        <w:ind w:firstLine="643" w:firstLineChars="2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黑体" w:eastAsia="仿宋_GB2312" w:cs="宋体"/>
          <w:bCs/>
          <w:color w:val="auto"/>
          <w:kern w:val="0"/>
          <w:sz w:val="32"/>
          <w:szCs w:val="32"/>
          <w:highlight w:val="none"/>
        </w:rPr>
        <w:t>无下属预算单位，下设</w:t>
      </w:r>
      <w:r>
        <w:rPr>
          <w:rFonts w:hint="eastAsia" w:ascii="仿宋_GB2312" w:hAnsi="黑体" w:eastAsia="仿宋_GB2312" w:cs="宋体"/>
          <w:bCs/>
          <w:color w:val="auto"/>
          <w:kern w:val="0"/>
          <w:sz w:val="32"/>
          <w:szCs w:val="32"/>
          <w:highlight w:val="none"/>
          <w:lang w:val="en-US" w:eastAsia="zh-CN"/>
        </w:rPr>
        <w:t>0</w:t>
      </w:r>
      <w:r>
        <w:rPr>
          <w:rFonts w:hint="eastAsia" w:ascii="仿宋_GB2312" w:hAnsi="黑体" w:eastAsia="仿宋_GB2312" w:cs="宋体"/>
          <w:bCs/>
          <w:color w:val="auto"/>
          <w:kern w:val="0"/>
          <w:sz w:val="32"/>
          <w:szCs w:val="32"/>
          <w:highlight w:val="none"/>
        </w:rPr>
        <w:t>个处室</w:t>
      </w:r>
      <w:r>
        <w:rPr>
          <w:rFonts w:hint="eastAsia" w:ascii="仿宋_GB2312" w:hAnsi="宋体" w:eastAsia="仿宋_GB2312" w:cs="宋体"/>
          <w:color w:val="auto"/>
          <w:kern w:val="0"/>
          <w:sz w:val="32"/>
          <w:szCs w:val="32"/>
          <w:highlight w:val="none"/>
        </w:rPr>
        <w:t>。</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编制数</w:t>
      </w:r>
      <w:r>
        <w:rPr>
          <w:rFonts w:hint="eastAsia" w:ascii="仿宋_GB2312" w:hAnsi="宋体" w:eastAsia="仿宋_GB2312" w:cs="宋体"/>
          <w:color w:val="auto"/>
          <w:kern w:val="0"/>
          <w:sz w:val="32"/>
          <w:szCs w:val="32"/>
          <w:highlight w:val="none"/>
          <w:lang w:val="en-US" w:eastAsia="zh-CN"/>
        </w:rPr>
        <w:t>1</w:t>
      </w:r>
      <w:r>
        <w:rPr>
          <w:rFonts w:hint="eastAsia" w:ascii="仿宋_GB2312" w:hAnsi="宋体" w:eastAsia="仿宋_GB2312" w:cs="宋体"/>
          <w:color w:val="auto"/>
          <w:kern w:val="0"/>
          <w:sz w:val="32"/>
          <w:szCs w:val="32"/>
          <w:highlight w:val="none"/>
        </w:rPr>
        <w:t>，实有人数</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人，其中：在职</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人；退休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人；离休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人。</w:t>
      </w:r>
    </w:p>
    <w:p>
      <w:pPr>
        <w:keepNext w:val="0"/>
        <w:keepLines w:val="0"/>
        <w:pageBreakBefore w:val="0"/>
        <w:widowControl/>
        <w:kinsoku/>
        <w:wordWrap/>
        <w:overflowPunct/>
        <w:topLinePunct w:val="0"/>
        <w:autoSpaceDE/>
        <w:autoSpaceDN/>
        <w:bidi w:val="0"/>
        <w:adjustRightInd/>
        <w:snapToGrid/>
        <w:spacing w:beforeLines="0" w:line="540" w:lineRule="exact"/>
        <w:ind w:firstLine="640"/>
        <w:jc w:val="left"/>
        <w:textAlignment w:val="auto"/>
        <w:rPr>
          <w:rFonts w:ascii="仿宋_GB2312" w:hAnsi="宋体" w:eastAsia="仿宋_GB2312" w:cs="宋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0" w:beforeLines="0" w:line="440" w:lineRule="exact"/>
        <w:jc w:val="center"/>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val="en-US" w:eastAsia="zh-CN"/>
        </w:rPr>
        <w:t>2025</w:t>
      </w:r>
      <w:r>
        <w:rPr>
          <w:rFonts w:hint="eastAsia" w:ascii="黑体" w:hAnsi="黑体" w:eastAsia="黑体"/>
          <w:color w:val="auto"/>
          <w:kern w:val="0"/>
          <w:sz w:val="32"/>
          <w:szCs w:val="32"/>
          <w:highlight w:val="none"/>
        </w:rPr>
        <w:t>年</w:t>
      </w:r>
      <w:r>
        <w:rPr>
          <w:rFonts w:hint="eastAsia" w:ascii="黑体" w:hAnsi="黑体" w:eastAsia="黑体"/>
          <w:color w:val="auto"/>
          <w:kern w:val="0"/>
          <w:sz w:val="32"/>
          <w:szCs w:val="32"/>
          <w:highlight w:val="none"/>
          <w:lang w:eastAsia="zh-CN"/>
        </w:rPr>
        <w:t>部门</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收支总体情况表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8662" w:type="dxa"/>
        <w:tblInd w:w="93" w:type="dxa"/>
        <w:tblLayout w:type="fixed"/>
        <w:tblCellMar>
          <w:top w:w="0" w:type="dxa"/>
          <w:left w:w="108" w:type="dxa"/>
          <w:bottom w:w="0" w:type="dxa"/>
          <w:right w:w="108" w:type="dxa"/>
        </w:tblCellMar>
      </w:tblPr>
      <w:tblGrid>
        <w:gridCol w:w="3165"/>
        <w:gridCol w:w="1103"/>
        <w:gridCol w:w="2693"/>
        <w:gridCol w:w="1701"/>
      </w:tblGrid>
      <w:tr>
        <w:tblPrEx>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94"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9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一、本年收入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47.11</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201 一般公共服务支出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1.一般公共预算拨款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44.72</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202 外交支出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其中：一般财力</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44.72</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203 国防支出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7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上级一般公共预算安排转移支付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204 公共安全支出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lang w:eastAsia="zh-CN"/>
              </w:rPr>
            </w:pPr>
            <w:r>
              <w:rPr>
                <w:rFonts w:hint="eastAsia" w:ascii="仿宋_GB2312" w:hAnsi="宋体" w:eastAsia="仿宋_GB2312" w:cs="宋体"/>
                <w:color w:val="auto"/>
                <w:kern w:val="0"/>
                <w:sz w:val="20"/>
                <w:szCs w:val="20"/>
                <w:highlight w:val="none"/>
                <w:shd w:val="clear" w:color="auto" w:fill="auto"/>
              </w:rPr>
              <w:t>2.</w:t>
            </w:r>
            <w:r>
              <w:rPr>
                <w:rFonts w:hint="eastAsia" w:ascii="仿宋_GB2312" w:hAnsi="宋体" w:eastAsia="仿宋_GB2312" w:cs="宋体"/>
                <w:color w:val="auto"/>
                <w:kern w:val="0"/>
                <w:sz w:val="20"/>
                <w:szCs w:val="20"/>
                <w:highlight w:val="none"/>
                <w:shd w:val="clear" w:color="auto" w:fill="auto"/>
                <w:lang w:val="en-US" w:eastAsia="zh-CN"/>
              </w:rPr>
              <w:t>政府性</w:t>
            </w:r>
            <w:r>
              <w:rPr>
                <w:rFonts w:hint="eastAsia" w:ascii="仿宋_GB2312" w:hAnsi="宋体" w:eastAsia="仿宋_GB2312" w:cs="宋体"/>
                <w:color w:val="auto"/>
                <w:kern w:val="0"/>
                <w:sz w:val="20"/>
                <w:szCs w:val="20"/>
                <w:highlight w:val="none"/>
                <w:shd w:val="clear" w:color="auto" w:fill="auto"/>
              </w:rPr>
              <w:t>基金预算拨款</w:t>
            </w:r>
            <w:r>
              <w:rPr>
                <w:rFonts w:hint="eastAsia" w:ascii="仿宋_GB2312" w:hAnsi="宋体" w:eastAsia="仿宋_GB2312" w:cs="宋体"/>
                <w:color w:val="auto"/>
                <w:kern w:val="0"/>
                <w:sz w:val="20"/>
                <w:szCs w:val="20"/>
                <w:highlight w:val="none"/>
                <w:shd w:val="clear" w:color="auto" w:fill="auto"/>
                <w:lang w:eastAsia="zh-CN"/>
              </w:rPr>
              <w:tab/>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205 教育支出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其中：政府性基金收入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206 科学技术支出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上级政府性基金安排转移支付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207 文化旅游体育与传媒支出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3.国有资本经营预算拨款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208 社会保障和就业支出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2.31</w:t>
            </w:r>
          </w:p>
        </w:tc>
      </w:tr>
      <w:tr>
        <w:tblPrEx>
          <w:tblCellMar>
            <w:top w:w="0" w:type="dxa"/>
            <w:left w:w="108" w:type="dxa"/>
            <w:bottom w:w="0" w:type="dxa"/>
            <w:right w:w="108" w:type="dxa"/>
          </w:tblCellMar>
        </w:tblPrEx>
        <w:trPr>
          <w:trHeight w:val="315"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其中：国有资本经营收入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209 社会保险基金支出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上级国有资本经营预算安排转移支付</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卫生健康支出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1.16</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4.财政专户核拨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211 节能环保支出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5.单位资金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2.39</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212 城乡社区支出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其中：事业收入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213 农林水支出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上级补助收入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214 交通运输支出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附属单位上缴收入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215 资源勘探</w:t>
            </w:r>
            <w:r>
              <w:rPr>
                <w:rFonts w:hint="eastAsia" w:ascii="仿宋_GB2312" w:hAnsi="宋体" w:eastAsia="仿宋_GB2312" w:cs="宋体"/>
                <w:color w:val="auto"/>
                <w:kern w:val="0"/>
                <w:sz w:val="20"/>
                <w:szCs w:val="20"/>
                <w:highlight w:val="none"/>
                <w:lang w:val="en-US" w:eastAsia="zh-Hans"/>
              </w:rPr>
              <w:t>工业</w:t>
            </w:r>
            <w:r>
              <w:rPr>
                <w:rFonts w:hint="eastAsia" w:ascii="仿宋_GB2312" w:hAnsi="宋体" w:eastAsia="仿宋_GB2312" w:cs="宋体"/>
                <w:color w:val="auto"/>
                <w:kern w:val="0"/>
                <w:sz w:val="20"/>
                <w:szCs w:val="20"/>
                <w:highlight w:val="none"/>
              </w:rPr>
              <w:t>信息等支出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80"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事业单位经营收入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216 商业服务业等支出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其他收入</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rPr>
              <w:t>　</w:t>
            </w:r>
            <w:r>
              <w:rPr>
                <w:rFonts w:hint="eastAsia" w:ascii="仿宋_GB2312" w:hAnsi="宋体" w:eastAsia="仿宋_GB2312" w:cs="宋体"/>
                <w:color w:val="auto"/>
                <w:kern w:val="0"/>
                <w:sz w:val="20"/>
                <w:szCs w:val="20"/>
                <w:highlight w:val="none"/>
                <w:lang w:val="en-US" w:eastAsia="zh-CN"/>
              </w:rPr>
              <w:t>2.39</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217 金融支出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二、上年结转结余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219 援助其他地区支出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1.财政拨款结转</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220 自然资源海洋气象等支出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41.40</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其中：一般公共预算拨款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221 住房保障支出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rPr>
            </w:pPr>
            <w:r>
              <w:rPr>
                <w:rFonts w:hint="eastAsia" w:ascii="仿宋_GB2312" w:hAnsi="宋体" w:eastAsia="仿宋_GB2312" w:cs="宋体"/>
                <w:color w:val="auto"/>
                <w:kern w:val="0"/>
                <w:sz w:val="20"/>
                <w:szCs w:val="20"/>
                <w:highlight w:val="none"/>
                <w:lang w:val="en-US" w:eastAsia="zh-CN"/>
              </w:rPr>
              <w:t>2.24</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lang w:val="en-US" w:eastAsia="zh-CN"/>
              </w:rPr>
              <w:t>政府性</w:t>
            </w:r>
            <w:r>
              <w:rPr>
                <w:rFonts w:hint="eastAsia" w:ascii="仿宋_GB2312" w:hAnsi="宋体" w:eastAsia="仿宋_GB2312" w:cs="宋体"/>
                <w:color w:val="auto"/>
                <w:kern w:val="0"/>
                <w:sz w:val="20"/>
                <w:szCs w:val="20"/>
                <w:highlight w:val="none"/>
                <w:shd w:val="clear" w:color="auto" w:fill="auto"/>
              </w:rPr>
              <w:t>基金预算拨款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222 粮油物资储备支出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国有资本经营预算拨款</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223 国有资本经营预算支出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2.非财政拨款结余</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224</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灾害防治及应急管理支出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其中：财政专户核拨</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227 预备费</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单位资金</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229 其他支出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296"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230</w:t>
            </w:r>
            <w:r>
              <w:rPr>
                <w:rFonts w:hint="eastAsia" w:ascii="仿宋_GB2312" w:hAnsi="宋体" w:eastAsia="仿宋_GB2312" w:cs="宋体"/>
                <w:color w:val="auto"/>
                <w:kern w:val="0"/>
                <w:sz w:val="20"/>
                <w:szCs w:val="20"/>
                <w:highlight w:val="none"/>
                <w:lang w:val="en-US" w:eastAsia="zh-CN"/>
              </w:rPr>
              <w:t xml:space="preserve"> </w:t>
            </w:r>
            <w:r>
              <w:rPr>
                <w:rFonts w:hint="eastAsia" w:ascii="仿宋_GB2312" w:hAnsi="宋体" w:eastAsia="仿宋_GB2312" w:cs="宋体"/>
                <w:color w:val="auto"/>
                <w:kern w:val="0"/>
                <w:sz w:val="20"/>
                <w:szCs w:val="20"/>
                <w:highlight w:val="none"/>
              </w:rPr>
              <w:t>转移性支出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shd w:val="clear" w:color="auto" w:fill="auto"/>
              </w:rPr>
            </w:pPr>
            <w:r>
              <w:rPr>
                <w:rFonts w:hint="eastAsia" w:ascii="仿宋_GB2312" w:hAnsi="宋体" w:eastAsia="仿宋_GB2312" w:cs="宋体"/>
                <w:color w:val="auto"/>
                <w:kern w:val="0"/>
                <w:sz w:val="20"/>
                <w:szCs w:val="20"/>
                <w:highlight w:val="none"/>
                <w:shd w:val="clear" w:color="auto" w:fill="auto"/>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231 债务还本支出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232 债务付息支出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1103"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693" w:type="dxa"/>
            <w:tcBorders>
              <w:top w:val="nil"/>
              <w:left w:val="nil"/>
              <w:bottom w:val="single" w:color="auto" w:sz="4" w:space="0"/>
              <w:right w:val="nil"/>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3165" w:type="dxa"/>
            <w:tcBorders>
              <w:top w:val="nil"/>
              <w:left w:val="single" w:color="auto" w:sz="4" w:space="0"/>
              <w:bottom w:val="single" w:color="auto" w:sz="4" w:space="0"/>
              <w:right w:val="nil"/>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p>
        </w:tc>
        <w:tc>
          <w:tcPr>
            <w:tcW w:w="2693"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 xml:space="preserve">                    </w:t>
            </w:r>
          </w:p>
        </w:tc>
        <w:tc>
          <w:tcPr>
            <w:tcW w:w="1701"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r>
      <w:tr>
        <w:tblPrEx>
          <w:tblCellMar>
            <w:top w:w="0" w:type="dxa"/>
            <w:left w:w="108" w:type="dxa"/>
            <w:bottom w:w="0" w:type="dxa"/>
            <w:right w:w="108" w:type="dxa"/>
          </w:tblCellMar>
        </w:tblPrEx>
        <w:trPr>
          <w:trHeight w:val="365" w:hRule="atLeast"/>
        </w:trPr>
        <w:tc>
          <w:tcPr>
            <w:tcW w:w="3165" w:type="dxa"/>
            <w:tcBorders>
              <w:top w:val="nil"/>
              <w:left w:val="single" w:color="auto" w:sz="4" w:space="0"/>
              <w:bottom w:val="single" w:color="auto" w:sz="4" w:space="0"/>
              <w:right w:val="nil"/>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103"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47.11</w:t>
            </w:r>
          </w:p>
        </w:tc>
        <w:tc>
          <w:tcPr>
            <w:tcW w:w="2693" w:type="dxa"/>
            <w:tcBorders>
              <w:top w:val="nil"/>
              <w:left w:val="nil"/>
              <w:bottom w:val="single" w:color="auto" w:sz="4" w:space="0"/>
              <w:right w:val="nil"/>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701"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b/>
                <w:bCs/>
                <w:color w:val="auto"/>
                <w:kern w:val="0"/>
                <w:sz w:val="20"/>
                <w:szCs w:val="20"/>
                <w:highlight w:val="none"/>
                <w:lang w:val="en-US"/>
              </w:rPr>
            </w:pPr>
            <w:r>
              <w:rPr>
                <w:rFonts w:hint="eastAsia" w:ascii="仿宋_GB2312" w:hAnsi="宋体" w:eastAsia="仿宋_GB2312" w:cs="宋体"/>
                <w:b/>
                <w:bCs/>
                <w:color w:val="auto"/>
                <w:kern w:val="0"/>
                <w:sz w:val="20"/>
                <w:szCs w:val="20"/>
                <w:highlight w:val="none"/>
                <w:lang w:val="en-US" w:eastAsia="zh-CN"/>
              </w:rPr>
              <w:t>47.11</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eastAsia="zh-CN"/>
        </w:rPr>
        <w:t>部门</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10260" w:type="dxa"/>
        <w:tblInd w:w="-712" w:type="dxa"/>
        <w:tblLayout w:type="fixed"/>
        <w:tblCellMar>
          <w:top w:w="0" w:type="dxa"/>
          <w:left w:w="108" w:type="dxa"/>
          <w:bottom w:w="0" w:type="dxa"/>
          <w:right w:w="108" w:type="dxa"/>
        </w:tblCellMar>
      </w:tblPr>
      <w:tblGrid>
        <w:gridCol w:w="525"/>
        <w:gridCol w:w="450"/>
        <w:gridCol w:w="450"/>
        <w:gridCol w:w="1095"/>
        <w:gridCol w:w="735"/>
        <w:gridCol w:w="750"/>
        <w:gridCol w:w="765"/>
        <w:gridCol w:w="630"/>
        <w:gridCol w:w="345"/>
        <w:gridCol w:w="675"/>
        <w:gridCol w:w="630"/>
        <w:gridCol w:w="705"/>
        <w:gridCol w:w="630"/>
        <w:gridCol w:w="660"/>
        <w:gridCol w:w="510"/>
        <w:gridCol w:w="705"/>
      </w:tblGrid>
      <w:tr>
        <w:tblPrEx>
          <w:tblCellMar>
            <w:top w:w="0" w:type="dxa"/>
            <w:left w:w="108" w:type="dxa"/>
            <w:bottom w:w="0" w:type="dxa"/>
            <w:right w:w="108" w:type="dxa"/>
          </w:tblCellMar>
        </w:tblPrEx>
        <w:trPr>
          <w:trHeight w:val="697" w:hRule="atLeast"/>
        </w:trPr>
        <w:tc>
          <w:tcPr>
            <w:tcW w:w="1425"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109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73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0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63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66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5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7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CellMar>
            <w:top w:w="0" w:type="dxa"/>
            <w:left w:w="108" w:type="dxa"/>
            <w:bottom w:w="0" w:type="dxa"/>
            <w:right w:w="108" w:type="dxa"/>
          </w:tblCellMar>
        </w:tblPrEx>
        <w:trPr>
          <w:trHeight w:val="2394" w:hRule="atLeast"/>
        </w:trPr>
        <w:tc>
          <w:tcPr>
            <w:tcW w:w="525"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109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3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3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7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63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0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63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66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shd w:val="clear" w:color="auto" w:fill="auto"/>
            <w:noWrap w:val="0"/>
            <w:vAlign w:val="center"/>
          </w:tcPr>
          <w:p>
            <w:pPr>
              <w:jc w:val="center"/>
              <w:rPr>
                <w:rFonts w:ascii="仿宋_GB2312" w:hAnsi="宋体" w:eastAsia="仿宋_GB2312" w:cs="宋体"/>
                <w:color w:val="auto"/>
                <w:sz w:val="20"/>
                <w:szCs w:val="20"/>
                <w:highlight w:val="none"/>
              </w:rPr>
            </w:pPr>
            <w:r>
              <w:rPr>
                <w:rFonts w:hint="eastAsia" w:ascii="仿宋_GB2312" w:hAnsi="宋体" w:eastAsia="仿宋_GB2312" w:cs="宋体"/>
                <w:color w:val="auto"/>
                <w:sz w:val="20"/>
                <w:szCs w:val="20"/>
                <w:highlight w:val="none"/>
              </w:rPr>
              <w:t>社会保障和就业支出</w:t>
            </w:r>
          </w:p>
        </w:tc>
        <w:tc>
          <w:tcPr>
            <w:tcW w:w="73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2.31</w:t>
            </w:r>
          </w:p>
        </w:tc>
        <w:tc>
          <w:tcPr>
            <w:tcW w:w="75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shd w:val="clear" w:color="000000" w:fill="FFFFFF"/>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0.99</w:t>
            </w:r>
          </w:p>
        </w:tc>
        <w:tc>
          <w:tcPr>
            <w:tcW w:w="510"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shd w:val="clear" w:color="000000" w:fill="FFFFFF"/>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行政事业单位养老支出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2.31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0.99</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机关事业单位基本养老保险缴费支出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1.98</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1.32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rPr>
              <w:t>0.</w:t>
            </w:r>
            <w:r>
              <w:rPr>
                <w:rFonts w:hint="eastAsia" w:ascii="仿宋_GB2312" w:eastAsia="仿宋_GB2312"/>
                <w:color w:val="auto"/>
                <w:sz w:val="20"/>
                <w:szCs w:val="20"/>
                <w:highlight w:val="none"/>
                <w:lang w:val="en-US" w:eastAsia="zh-CN"/>
              </w:rPr>
              <w:t>66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208</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机关事业单位职业年金缴费支出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0.33</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0.33</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卫生健康支出</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hAnsi="宋体" w:eastAsia="仿宋_GB2312" w:cs="宋体"/>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1.16</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1.00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lang w:val="en-US" w:eastAsia="zh-CN"/>
              </w:rPr>
            </w:pP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行政事业单位医疗</w:t>
            </w:r>
          </w:p>
        </w:tc>
        <w:tc>
          <w:tcPr>
            <w:tcW w:w="735"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hAnsi="宋体" w:eastAsia="仿宋_GB2312" w:cs="宋体"/>
                <w:color w:val="auto"/>
                <w:sz w:val="20"/>
                <w:szCs w:val="20"/>
                <w:highlight w:val="none"/>
                <w:lang w:val="en-US" w:eastAsia="zh-CN"/>
              </w:rPr>
              <w:t>1.16</w:t>
            </w: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1.00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事业单位医疗</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0.82</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0.66</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0.66</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0.16</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公务员医疗补助</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0.33</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210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99</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其他行政事业单位医疗支出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0.01</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自然资源海洋气象等支出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41.40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41.40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41.29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04</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气象事业机构</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20.90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20.79</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20.79</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0.12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220</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09</w:t>
            </w: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气象服务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20.50</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住房保障支出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rPr>
              <w:t>住房改革支出</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tabs>
                <w:tab w:val="left" w:pos="207"/>
              </w:tabs>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221</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center"/>
              <w:rPr>
                <w:rFonts w:hint="default" w:ascii="仿宋_GB2312" w:eastAsia="仿宋_GB2312"/>
                <w:color w:val="auto"/>
                <w:sz w:val="20"/>
                <w:szCs w:val="20"/>
                <w:highlight w:val="none"/>
                <w:lang w:val="en-US" w:eastAsia="zh-CN"/>
              </w:rPr>
            </w:pPr>
            <w:r>
              <w:rPr>
                <w:rFonts w:hint="eastAsia" w:ascii="仿宋_GB2312" w:eastAsia="仿宋_GB2312"/>
                <w:color w:val="auto"/>
                <w:sz w:val="20"/>
                <w:szCs w:val="20"/>
                <w:highlight w:val="none"/>
                <w:lang w:val="en-US" w:eastAsia="zh-CN"/>
              </w:rPr>
              <w:t>01</w:t>
            </w:r>
          </w:p>
        </w:tc>
        <w:tc>
          <w:tcPr>
            <w:tcW w:w="109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rPr>
              <w:t>住房公积金</w:t>
            </w:r>
          </w:p>
        </w:tc>
        <w:tc>
          <w:tcPr>
            <w:tcW w:w="73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2.24</w:t>
            </w:r>
          </w:p>
        </w:tc>
        <w:tc>
          <w:tcPr>
            <w:tcW w:w="75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76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r>
              <w:rPr>
                <w:rFonts w:hint="eastAsia" w:ascii="仿宋_GB2312" w:eastAsia="仿宋_GB2312"/>
                <w:color w:val="auto"/>
                <w:sz w:val="20"/>
                <w:szCs w:val="20"/>
                <w:highlight w:val="none"/>
                <w:lang w:val="en-US" w:eastAsia="zh-CN"/>
              </w:rPr>
              <w:t>1.12</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0"/>
                <w:szCs w:val="20"/>
                <w:highlight w:val="none"/>
              </w:rPr>
            </w:pPr>
          </w:p>
        </w:tc>
      </w:tr>
      <w:tr>
        <w:tblPrEx>
          <w:tblCellMar>
            <w:top w:w="0" w:type="dxa"/>
            <w:left w:w="108" w:type="dxa"/>
            <w:bottom w:w="0" w:type="dxa"/>
            <w:right w:w="108" w:type="dxa"/>
          </w:tblCellMar>
        </w:tblPrEx>
        <w:trPr>
          <w:trHeight w:val="465" w:hRule="atLeast"/>
        </w:trPr>
        <w:tc>
          <w:tcPr>
            <w:tcW w:w="525" w:type="dxa"/>
            <w:tcBorders>
              <w:top w:val="nil"/>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p>
        </w:tc>
        <w:tc>
          <w:tcPr>
            <w:tcW w:w="109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p>
        </w:tc>
        <w:tc>
          <w:tcPr>
            <w:tcW w:w="73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47.11</w:t>
            </w:r>
          </w:p>
        </w:tc>
        <w:tc>
          <w:tcPr>
            <w:tcW w:w="75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44.72</w:t>
            </w:r>
          </w:p>
        </w:tc>
        <w:tc>
          <w:tcPr>
            <w:tcW w:w="76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eastAsia="仿宋_GB2312"/>
                <w:b/>
                <w:bCs/>
                <w:color w:val="auto"/>
                <w:sz w:val="20"/>
                <w:szCs w:val="20"/>
                <w:highlight w:val="none"/>
                <w:lang w:val="en-US" w:eastAsia="zh-CN"/>
              </w:rPr>
              <w:t>44.72</w:t>
            </w: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34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7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30"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705" w:type="dxa"/>
            <w:tcBorders>
              <w:top w:val="nil"/>
              <w:left w:val="nil"/>
              <w:bottom w:val="single" w:color="auto"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p>
        </w:tc>
        <w:tc>
          <w:tcPr>
            <w:tcW w:w="63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c>
          <w:tcPr>
            <w:tcW w:w="660" w:type="dxa"/>
            <w:tcBorders>
              <w:top w:val="nil"/>
              <w:left w:val="single" w:color="auto" w:sz="4" w:space="0"/>
              <w:bottom w:val="single" w:color="auto" w:sz="4" w:space="0"/>
              <w:right w:val="single" w:color="auto" w:sz="4" w:space="0"/>
            </w:tcBorders>
            <w:noWrap w:val="0"/>
            <w:vAlign w:val="center"/>
          </w:tcPr>
          <w:p>
            <w:pPr>
              <w:jc w:val="center"/>
              <w:rPr>
                <w:rFonts w:hint="default" w:ascii="仿宋_GB2312" w:eastAsia="仿宋_GB2312"/>
                <w:b/>
                <w:bCs/>
                <w:color w:val="auto"/>
                <w:sz w:val="20"/>
                <w:szCs w:val="20"/>
                <w:highlight w:val="none"/>
                <w:lang w:val="en-US" w:eastAsia="zh-CN"/>
              </w:rPr>
            </w:pPr>
            <w:r>
              <w:rPr>
                <w:rFonts w:hint="eastAsia" w:ascii="仿宋_GB2312" w:eastAsia="仿宋_GB2312"/>
                <w:b/>
                <w:bCs/>
                <w:color w:val="auto"/>
                <w:sz w:val="20"/>
                <w:szCs w:val="20"/>
                <w:highlight w:val="none"/>
                <w:lang w:val="en-US" w:eastAsia="zh-CN"/>
              </w:rPr>
              <w:t>2.39</w:t>
            </w:r>
          </w:p>
        </w:tc>
        <w:tc>
          <w:tcPr>
            <w:tcW w:w="510"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c>
          <w:tcPr>
            <w:tcW w:w="705" w:type="dxa"/>
            <w:tcBorders>
              <w:top w:val="nil"/>
              <w:left w:val="single" w:color="auto" w:sz="4" w:space="0"/>
              <w:bottom w:val="single" w:color="auto" w:sz="4" w:space="0"/>
              <w:right w:val="single" w:color="auto" w:sz="4" w:space="0"/>
            </w:tcBorders>
            <w:noWrap w:val="0"/>
            <w:vAlign w:val="center"/>
          </w:tcPr>
          <w:p>
            <w:pPr>
              <w:jc w:val="center"/>
              <w:rPr>
                <w:rFonts w:hint="eastAsia" w:ascii="仿宋_GB2312" w:eastAsia="仿宋_GB2312"/>
                <w:b/>
                <w:bCs/>
                <w:color w:val="auto"/>
                <w:sz w:val="20"/>
                <w:szCs w:val="20"/>
                <w:highlight w:val="none"/>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eastAsia="zh-CN"/>
        </w:rPr>
        <w:t>部门</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93"/>
        <w:gridCol w:w="465"/>
        <w:gridCol w:w="660"/>
        <w:gridCol w:w="2940"/>
        <w:gridCol w:w="1620"/>
        <w:gridCol w:w="1485"/>
        <w:gridCol w:w="1657"/>
      </w:tblGrid>
      <w:tr>
        <w:tblPrEx>
          <w:tblCellMar>
            <w:top w:w="0" w:type="dxa"/>
            <w:left w:w="108" w:type="dxa"/>
            <w:bottom w:w="0" w:type="dxa"/>
            <w:right w:w="108" w:type="dxa"/>
          </w:tblCellMar>
        </w:tblPrEx>
        <w:trPr>
          <w:trHeight w:val="328" w:hRule="atLeast"/>
        </w:trPr>
        <w:tc>
          <w:tcPr>
            <w:tcW w:w="4658"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4762"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CellMar>
            <w:top w:w="0" w:type="dxa"/>
            <w:left w:w="108" w:type="dxa"/>
            <w:bottom w:w="0" w:type="dxa"/>
            <w:right w:w="108" w:type="dxa"/>
          </w:tblCellMar>
        </w:tblPrEx>
        <w:trPr>
          <w:trHeight w:val="480" w:hRule="atLeast"/>
        </w:trPr>
        <w:tc>
          <w:tcPr>
            <w:tcW w:w="171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94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620"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48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657"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270"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94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20"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48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657"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社会保障和就业支出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行政事业单位养老支出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机关事业单位基本养老保险缴费支出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1.98</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1.98</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208</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06</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机关事业单位职业年金缴费支出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卫生健康支出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行政事业单位医疗</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1.16</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02</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事业单位医疗</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0.82</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0.82</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03</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公务员医疗补助</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210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11</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99</w:t>
            </w: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其他行政事业单位医疗支出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0.01</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自然资源海洋气象等支出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41.40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气象事务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41.40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04</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气象事业机构</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20.90</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220</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05</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09</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气象服务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1485"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住房保障支出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住房改革支出</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221</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02</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01</w:t>
            </w:r>
          </w:p>
        </w:tc>
        <w:tc>
          <w:tcPr>
            <w:tcW w:w="294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住房公积金</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2.24</w:t>
            </w: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2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485"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c>
          <w:tcPr>
            <w:tcW w:w="1657"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　</w:t>
            </w: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465"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660" w:type="dxa"/>
            <w:tcBorders>
              <w:top w:val="nil"/>
              <w:left w:val="nil"/>
              <w:bottom w:val="single" w:color="auto" w:sz="4" w:space="0"/>
              <w:right w:val="single" w:color="auto" w:sz="4" w:space="0"/>
            </w:tcBorders>
            <w:noWrap w:val="0"/>
            <w:vAlign w:val="center"/>
          </w:tcPr>
          <w:p>
            <w:pPr>
              <w:rPr>
                <w:rFonts w:hint="eastAsia" w:ascii="仿宋_GB2312" w:hAnsi="仿宋_GB2312" w:eastAsia="仿宋_GB2312" w:cs="仿宋_GB2312"/>
                <w:color w:val="auto"/>
                <w:sz w:val="20"/>
                <w:szCs w:val="20"/>
                <w:highlight w:val="none"/>
              </w:rPr>
            </w:pPr>
          </w:p>
        </w:tc>
        <w:tc>
          <w:tcPr>
            <w:tcW w:w="294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62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485"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c>
          <w:tcPr>
            <w:tcW w:w="1657"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sz w:val="20"/>
                <w:szCs w:val="20"/>
                <w:highlight w:val="none"/>
              </w:rPr>
            </w:pPr>
          </w:p>
        </w:tc>
      </w:tr>
      <w:tr>
        <w:tblPrEx>
          <w:tblCellMar>
            <w:top w:w="0" w:type="dxa"/>
            <w:left w:w="108" w:type="dxa"/>
            <w:bottom w:w="0" w:type="dxa"/>
            <w:right w:w="108" w:type="dxa"/>
          </w:tblCellMar>
        </w:tblPrEx>
        <w:trPr>
          <w:trHeight w:val="405" w:hRule="atLeast"/>
        </w:trPr>
        <w:tc>
          <w:tcPr>
            <w:tcW w:w="593"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465"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660"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940"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2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47.11</w:t>
            </w:r>
          </w:p>
        </w:tc>
        <w:tc>
          <w:tcPr>
            <w:tcW w:w="148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26.61</w:t>
            </w:r>
          </w:p>
        </w:tc>
        <w:tc>
          <w:tcPr>
            <w:tcW w:w="1657"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20.50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lang w:val="en-US" w:eastAsia="zh-CN"/>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rPr>
        <w:t>编制</w:t>
      </w:r>
      <w:r>
        <w:rPr>
          <w:rFonts w:hint="eastAsia" w:ascii="仿宋_GB2312" w:hAnsi="宋体" w:eastAsia="仿宋_GB2312"/>
          <w:color w:val="auto"/>
          <w:kern w:val="0"/>
          <w:sz w:val="24"/>
          <w:szCs w:val="24"/>
          <w:highlight w:val="none"/>
          <w:lang w:eastAsia="zh-CN"/>
        </w:rPr>
        <w:t>部门</w:t>
      </w:r>
      <w:r>
        <w:rPr>
          <w:rFonts w:hint="eastAsia" w:ascii="仿宋_GB2312" w:hAnsi="宋体" w:eastAsia="仿宋_GB2312"/>
          <w:color w:val="auto"/>
          <w:kern w:val="0"/>
          <w:sz w:val="24"/>
          <w:szCs w:val="24"/>
          <w:highlight w:val="none"/>
        </w:rPr>
        <w:t>：</w:t>
      </w:r>
      <w:r>
        <w:rPr>
          <w:rFonts w:hint="eastAsia" w:ascii="仿宋_GB2312" w:hAnsi="宋体" w:eastAsia="仿宋_GB2312"/>
          <w:color w:val="auto"/>
          <w:kern w:val="0"/>
          <w:sz w:val="24"/>
          <w:szCs w:val="24"/>
          <w:highlight w:val="none"/>
          <w:lang w:eastAsia="zh-CN"/>
        </w:rPr>
        <w:t>呼图壁县人工影响天气办公室</w:t>
      </w:r>
      <w:r>
        <w:rPr>
          <w:rFonts w:hint="eastAsia" w:ascii="仿宋_GB2312" w:hAnsi="宋体" w:eastAsia="仿宋_GB2312"/>
          <w:color w:val="auto"/>
          <w:kern w:val="0"/>
          <w:sz w:val="24"/>
          <w:szCs w:val="24"/>
          <w:highlight w:val="none"/>
        </w:rPr>
        <w:t xml:space="preserve">                            单位：万元</w:t>
      </w:r>
    </w:p>
    <w:tbl>
      <w:tblPr>
        <w:tblStyle w:val="7"/>
        <w:tblW w:w="9449" w:type="dxa"/>
        <w:tblInd w:w="-240" w:type="dxa"/>
        <w:tblLayout w:type="fixed"/>
        <w:tblCellMar>
          <w:top w:w="0" w:type="dxa"/>
          <w:left w:w="108" w:type="dxa"/>
          <w:bottom w:w="0" w:type="dxa"/>
          <w:right w:w="108" w:type="dxa"/>
        </w:tblCellMar>
      </w:tblPr>
      <w:tblGrid>
        <w:gridCol w:w="1936"/>
        <w:gridCol w:w="914"/>
        <w:gridCol w:w="2580"/>
        <w:gridCol w:w="900"/>
        <w:gridCol w:w="1014"/>
        <w:gridCol w:w="971"/>
        <w:gridCol w:w="1134"/>
      </w:tblGrid>
      <w:tr>
        <w:tblPrEx>
          <w:tblCellMar>
            <w:top w:w="0" w:type="dxa"/>
            <w:left w:w="108" w:type="dxa"/>
            <w:bottom w:w="0" w:type="dxa"/>
            <w:right w:w="108" w:type="dxa"/>
          </w:tblCellMar>
        </w:tblPrEx>
        <w:trPr>
          <w:trHeight w:val="285" w:hRule="atLeast"/>
        </w:trPr>
        <w:tc>
          <w:tcPr>
            <w:tcW w:w="2850" w:type="dxa"/>
            <w:gridSpan w:val="2"/>
            <w:tcBorders>
              <w:top w:val="single" w:color="auto" w:sz="4" w:space="0"/>
              <w:left w:val="single" w:color="auto" w:sz="4" w:space="0"/>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99" w:type="dxa"/>
            <w:gridSpan w:val="5"/>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36" w:type="dxa"/>
            <w:tcBorders>
              <w:top w:val="nil"/>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    目</w:t>
            </w:r>
          </w:p>
        </w:tc>
        <w:tc>
          <w:tcPr>
            <w:tcW w:w="9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  计</w:t>
            </w:r>
          </w:p>
        </w:tc>
        <w:tc>
          <w:tcPr>
            <w:tcW w:w="258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  能  分  类</w:t>
            </w:r>
          </w:p>
        </w:tc>
        <w:tc>
          <w:tcPr>
            <w:tcW w:w="900"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014"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一般公共预算</w:t>
            </w:r>
          </w:p>
        </w:tc>
        <w:tc>
          <w:tcPr>
            <w:tcW w:w="971" w:type="dxa"/>
            <w:tcBorders>
              <w:top w:val="nil"/>
              <w:left w:val="nil"/>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snapToGrid/>
              <w:spacing w:line="200" w:lineRule="exact"/>
              <w:jc w:val="center"/>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政府性基金预算</w:t>
            </w:r>
          </w:p>
        </w:tc>
        <w:tc>
          <w:tcPr>
            <w:tcW w:w="1134" w:type="dxa"/>
            <w:tcBorders>
              <w:top w:val="nil"/>
              <w:left w:val="nil"/>
              <w:bottom w:val="single" w:color="auto" w:sz="4" w:space="0"/>
              <w:right w:val="single" w:color="auto" w:sz="4" w:space="0"/>
            </w:tcBorders>
            <w:noWrap w:val="0"/>
            <w:vAlign w:val="center"/>
          </w:tcPr>
          <w:p>
            <w:pPr>
              <w:keepNext w:val="0"/>
              <w:keepLines w:val="0"/>
              <w:pageBreakBefore w:val="0"/>
              <w:kinsoku/>
              <w:wordWrap/>
              <w:overflowPunct/>
              <w:topLinePunct w:val="0"/>
              <w:autoSpaceDE/>
              <w:autoSpaceDN/>
              <w:bidi w:val="0"/>
              <w:adjustRightInd/>
              <w:snapToGrid/>
              <w:spacing w:line="200" w:lineRule="exact"/>
              <w:textAlignment w:val="auto"/>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Hans"/>
              </w:rPr>
              <w:t>一、</w:t>
            </w:r>
            <w:r>
              <w:rPr>
                <w:rFonts w:hint="eastAsia" w:ascii="仿宋_GB2312" w:hAnsi="宋体" w:eastAsia="仿宋_GB2312" w:cs="宋体"/>
                <w:color w:val="auto"/>
                <w:kern w:val="0"/>
                <w:sz w:val="20"/>
                <w:szCs w:val="20"/>
                <w:highlight w:val="none"/>
              </w:rPr>
              <w:t>财政拨款（补助）</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44.72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201 一般公共服务支出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ind w:firstLine="200" w:firstLineChars="100"/>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一般公共预算</w:t>
            </w:r>
          </w:p>
        </w:tc>
        <w:tc>
          <w:tcPr>
            <w:tcW w:w="9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44.72</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202 外交支出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r>
              <w:rPr>
                <w:rFonts w:hint="default" w:ascii="仿宋_GB2312" w:hAnsi="宋体" w:eastAsia="仿宋_GB2312" w:cs="宋体"/>
                <w:color w:val="auto"/>
                <w:kern w:val="0"/>
                <w:sz w:val="20"/>
                <w:szCs w:val="20"/>
                <w:highlight w:val="none"/>
              </w:rPr>
              <w:t xml:space="preserve">  </w:t>
            </w:r>
            <w:r>
              <w:rPr>
                <w:rFonts w:hint="eastAsia" w:ascii="仿宋_GB2312" w:hAnsi="宋体" w:eastAsia="仿宋_GB2312" w:cs="宋体"/>
                <w:color w:val="auto"/>
                <w:kern w:val="0"/>
                <w:sz w:val="20"/>
                <w:szCs w:val="20"/>
                <w:highlight w:val="none"/>
              </w:rPr>
              <w:t>政府性基金预算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203 国防支出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r>
              <w:rPr>
                <w:rFonts w:hint="default" w:ascii="仿宋_GB2312" w:hAnsi="宋体" w:eastAsia="仿宋_GB2312" w:cs="宋体"/>
                <w:color w:val="auto"/>
                <w:kern w:val="0"/>
                <w:sz w:val="20"/>
                <w:szCs w:val="20"/>
                <w:highlight w:val="none"/>
              </w:rPr>
              <w:t xml:space="preserve">  </w:t>
            </w:r>
            <w:r>
              <w:rPr>
                <w:rFonts w:hint="eastAsia" w:ascii="仿宋_GB2312" w:hAnsi="宋体" w:eastAsia="仿宋_GB2312" w:cs="宋体"/>
                <w:color w:val="auto"/>
                <w:kern w:val="0"/>
                <w:sz w:val="20"/>
                <w:szCs w:val="20"/>
                <w:highlight w:val="none"/>
              </w:rPr>
              <w:t>国有资本经营预算</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204 公共安全支出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297"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205 教育支出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206 科学技术支出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207 文化旅游体育与传媒支出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208 社会保障和就业支出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1.32</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1.32</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xml:space="preserve">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209 社会保险基金支出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210</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卫生健康支出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1.00</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1.00</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211 节能环保支出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212 城乡社区支出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213 农林水支出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214 交通运输支出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215 资源勘探</w:t>
            </w:r>
            <w:r>
              <w:rPr>
                <w:rFonts w:hint="eastAsia" w:ascii="仿宋_GB2312" w:hAnsi="宋体" w:eastAsia="仿宋_GB2312" w:cs="宋体"/>
                <w:b w:val="0"/>
                <w:bCs w:val="0"/>
                <w:color w:val="auto"/>
                <w:kern w:val="0"/>
                <w:sz w:val="20"/>
                <w:szCs w:val="20"/>
                <w:highlight w:val="none"/>
                <w:lang w:val="en-US" w:eastAsia="zh-Hans"/>
              </w:rPr>
              <w:t>工业</w:t>
            </w:r>
            <w:r>
              <w:rPr>
                <w:rFonts w:hint="eastAsia" w:ascii="仿宋_GB2312" w:hAnsi="宋体" w:eastAsia="仿宋_GB2312" w:cs="宋体"/>
                <w:b w:val="0"/>
                <w:bCs w:val="0"/>
                <w:color w:val="auto"/>
                <w:kern w:val="0"/>
                <w:sz w:val="20"/>
                <w:szCs w:val="20"/>
                <w:highlight w:val="none"/>
              </w:rPr>
              <w:t>信息等支出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216 商业服务业等支出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217 金融支出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219 援助其他地区支出</w:t>
            </w:r>
          </w:p>
        </w:tc>
        <w:tc>
          <w:tcPr>
            <w:tcW w:w="900"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220 自然资源海洋气象等支出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41.29</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41.29</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221 住房保障支出</w:t>
            </w:r>
          </w:p>
        </w:tc>
        <w:tc>
          <w:tcPr>
            <w:tcW w:w="9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color w:val="auto"/>
                <w:kern w:val="0"/>
                <w:sz w:val="20"/>
                <w:szCs w:val="20"/>
                <w:highlight w:val="none"/>
                <w:lang w:val="en-US"/>
              </w:rPr>
            </w:pPr>
            <w:r>
              <w:rPr>
                <w:rFonts w:hint="eastAsia" w:ascii="仿宋_GB2312" w:hAnsi="仿宋_GB2312" w:eastAsia="仿宋_GB2312" w:cs="仿宋_GB2312"/>
                <w:i w:val="0"/>
                <w:color w:val="000000"/>
                <w:kern w:val="0"/>
                <w:sz w:val="20"/>
                <w:szCs w:val="20"/>
                <w:u w:val="none"/>
                <w:lang w:val="en-US" w:eastAsia="zh-CN" w:bidi="ar"/>
              </w:rPr>
              <w:t>1.12</w:t>
            </w:r>
          </w:p>
        </w:tc>
        <w:tc>
          <w:tcPr>
            <w:tcW w:w="101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1.12</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222 粮油物资储备支出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223 国有资本经营预算支出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20"/>
                <w:szCs w:val="20"/>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224</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灾害防治及应急管理支出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227 预备费</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229 其他支出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230</w:t>
            </w:r>
            <w:r>
              <w:rPr>
                <w:rFonts w:hint="eastAsia" w:ascii="仿宋_GB2312" w:hAnsi="宋体" w:eastAsia="仿宋_GB2312" w:cs="宋体"/>
                <w:b w:val="0"/>
                <w:bCs w:val="0"/>
                <w:color w:val="auto"/>
                <w:kern w:val="0"/>
                <w:sz w:val="20"/>
                <w:szCs w:val="20"/>
                <w:highlight w:val="none"/>
                <w:lang w:val="en-US" w:eastAsia="zh-CN"/>
              </w:rPr>
              <w:t xml:space="preserve"> </w:t>
            </w:r>
            <w:r>
              <w:rPr>
                <w:rFonts w:hint="eastAsia" w:ascii="仿宋_GB2312" w:hAnsi="宋体" w:eastAsia="仿宋_GB2312" w:cs="宋体"/>
                <w:b w:val="0"/>
                <w:bCs w:val="0"/>
                <w:color w:val="auto"/>
                <w:kern w:val="0"/>
                <w:sz w:val="20"/>
                <w:szCs w:val="20"/>
                <w:highlight w:val="none"/>
              </w:rPr>
              <w:t>转移性支出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231 债务还本支出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val="0"/>
                <w:bCs w:val="0"/>
                <w:color w:val="auto"/>
                <w:kern w:val="0"/>
                <w:sz w:val="20"/>
                <w:szCs w:val="20"/>
                <w:highlight w:val="none"/>
              </w:rPr>
            </w:pPr>
            <w:r>
              <w:rPr>
                <w:rFonts w:hint="eastAsia" w:ascii="仿宋_GB2312" w:hAnsi="宋体" w:eastAsia="仿宋_GB2312" w:cs="宋体"/>
                <w:b w:val="0"/>
                <w:bCs w:val="0"/>
                <w:color w:val="auto"/>
                <w:kern w:val="0"/>
                <w:sz w:val="20"/>
                <w:szCs w:val="20"/>
                <w:highlight w:val="none"/>
              </w:rPr>
              <w:t>232 债务付息支出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rPr>
              <w:t>233 债务发行费用支出</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color w:val="auto"/>
                <w:kern w:val="0"/>
                <w:sz w:val="20"/>
                <w:szCs w:val="20"/>
                <w:highlight w:val="none"/>
              </w:rPr>
            </w:pPr>
          </w:p>
        </w:tc>
        <w:tc>
          <w:tcPr>
            <w:tcW w:w="1134" w:type="dxa"/>
            <w:tcBorders>
              <w:top w:val="nil"/>
              <w:left w:val="nil"/>
              <w:bottom w:val="single" w:color="auto" w:sz="4" w:space="0"/>
              <w:right w:val="single" w:color="auto" w:sz="4" w:space="0"/>
            </w:tcBorders>
            <w:noWrap w:val="0"/>
            <w:vAlign w:val="center"/>
          </w:tcPr>
          <w:p>
            <w:pPr>
              <w:spacing w:line="280" w:lineRule="exact"/>
              <w:jc w:val="both"/>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宋体" w:eastAsia="仿宋_GB2312" w:cs="宋体"/>
                <w:color w:val="auto"/>
                <w:kern w:val="0"/>
                <w:sz w:val="18"/>
                <w:szCs w:val="18"/>
                <w:highlight w:val="none"/>
                <w:lang w:val="en-US"/>
              </w:rPr>
            </w:pPr>
            <w:r>
              <w:rPr>
                <w:rFonts w:hint="eastAsia" w:ascii="仿宋_GB2312" w:hAnsi="宋体" w:eastAsia="仿宋_GB2312" w:cs="宋体"/>
                <w:color w:val="auto"/>
                <w:kern w:val="0"/>
                <w:sz w:val="18"/>
                <w:szCs w:val="18"/>
                <w:highlight w:val="none"/>
                <w:lang w:val="en-US" w:eastAsia="zh-CN"/>
              </w:rPr>
              <w:t xml:space="preserve">                    </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color w:val="auto"/>
                <w:kern w:val="0"/>
                <w:sz w:val="18"/>
                <w:szCs w:val="18"/>
                <w:highlight w:val="none"/>
              </w:rPr>
            </w:pP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宋体" w:eastAsia="仿宋_GB2312" w:cs="宋体"/>
                <w:b w:val="0"/>
                <w:bCs w:val="0"/>
                <w:color w:val="auto"/>
                <w:kern w:val="0"/>
                <w:sz w:val="18"/>
                <w:szCs w:val="18"/>
                <w:highlight w:val="none"/>
              </w:rPr>
            </w:pP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color w:val="auto"/>
                <w:kern w:val="0"/>
                <w:sz w:val="20"/>
                <w:szCs w:val="20"/>
                <w:highlight w:val="none"/>
              </w:rPr>
            </w:pPr>
          </w:p>
        </w:tc>
        <w:tc>
          <w:tcPr>
            <w:tcW w:w="971"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c>
          <w:tcPr>
            <w:tcW w:w="1134"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宋体" w:hAnsi="宋体" w:cs="宋体"/>
                <w:color w:val="auto"/>
                <w:kern w:val="0"/>
                <w:sz w:val="18"/>
                <w:szCs w:val="18"/>
                <w:highlight w:val="none"/>
              </w:rPr>
            </w:pPr>
          </w:p>
        </w:tc>
      </w:tr>
      <w:tr>
        <w:tblPrEx>
          <w:tblCellMar>
            <w:top w:w="0" w:type="dxa"/>
            <w:left w:w="108" w:type="dxa"/>
            <w:bottom w:w="0" w:type="dxa"/>
            <w:right w:w="108" w:type="dxa"/>
          </w:tblCellMar>
        </w:tblPrEx>
        <w:trPr>
          <w:trHeight w:val="312" w:hRule="exact"/>
        </w:trPr>
        <w:tc>
          <w:tcPr>
            <w:tcW w:w="1936" w:type="dxa"/>
            <w:tcBorders>
              <w:top w:val="nil"/>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914"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44.72</w:t>
            </w:r>
            <w:r>
              <w:rPr>
                <w:rFonts w:hint="eastAsia" w:ascii="仿宋_GB2312" w:hAnsi="宋体" w:eastAsia="仿宋_GB2312" w:cs="宋体"/>
                <w:b/>
                <w:bCs/>
                <w:color w:val="auto"/>
                <w:kern w:val="0"/>
                <w:sz w:val="20"/>
                <w:szCs w:val="20"/>
                <w:highlight w:val="none"/>
              </w:rPr>
              <w:t>　</w:t>
            </w:r>
          </w:p>
        </w:tc>
        <w:tc>
          <w:tcPr>
            <w:tcW w:w="2580" w:type="dxa"/>
            <w:tcBorders>
              <w:top w:val="nil"/>
              <w:left w:val="nil"/>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900" w:type="dxa"/>
            <w:tcBorders>
              <w:top w:val="nil"/>
              <w:left w:val="nil"/>
              <w:bottom w:val="single" w:color="auto" w:sz="4" w:space="0"/>
              <w:right w:val="single" w:color="auto" w:sz="4" w:space="0"/>
            </w:tcBorders>
            <w:noWrap w:val="0"/>
            <w:vAlign w:val="center"/>
          </w:tcPr>
          <w:p>
            <w:pPr>
              <w:widowControl/>
              <w:spacing w:line="280" w:lineRule="exact"/>
              <w:jc w:val="both"/>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lang w:val="en-US" w:eastAsia="zh-CN"/>
              </w:rPr>
              <w:t>44.72</w:t>
            </w:r>
            <w:r>
              <w:rPr>
                <w:rFonts w:hint="eastAsia" w:ascii="仿宋_GB2312" w:hAnsi="仿宋_GB2312" w:eastAsia="仿宋_GB2312" w:cs="仿宋_GB2312"/>
                <w:b/>
                <w:bCs/>
                <w:color w:val="auto"/>
                <w:kern w:val="0"/>
                <w:sz w:val="20"/>
                <w:szCs w:val="20"/>
                <w:highlight w:val="none"/>
              </w:rPr>
              <w:t>　</w:t>
            </w:r>
          </w:p>
        </w:tc>
        <w:tc>
          <w:tcPr>
            <w:tcW w:w="1014" w:type="dxa"/>
            <w:tcBorders>
              <w:top w:val="nil"/>
              <w:left w:val="nil"/>
              <w:bottom w:val="single" w:color="auto" w:sz="4" w:space="0"/>
              <w:right w:val="single" w:color="auto" w:sz="4" w:space="0"/>
            </w:tcBorders>
            <w:noWrap w:val="0"/>
            <w:vAlign w:val="center"/>
          </w:tcPr>
          <w:p>
            <w:pPr>
              <w:widowControl/>
              <w:spacing w:line="280" w:lineRule="exact"/>
              <w:jc w:val="both"/>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rPr>
              <w:t>　</w:t>
            </w:r>
            <w:r>
              <w:rPr>
                <w:rFonts w:hint="eastAsia" w:ascii="仿宋_GB2312" w:hAnsi="仿宋_GB2312" w:eastAsia="仿宋_GB2312" w:cs="仿宋_GB2312"/>
                <w:b/>
                <w:bCs/>
                <w:color w:val="auto"/>
                <w:kern w:val="0"/>
                <w:sz w:val="20"/>
                <w:szCs w:val="20"/>
                <w:highlight w:val="none"/>
                <w:lang w:val="en-US" w:eastAsia="zh-CN"/>
              </w:rPr>
              <w:t>44.72</w:t>
            </w:r>
          </w:p>
        </w:tc>
        <w:tc>
          <w:tcPr>
            <w:tcW w:w="2105" w:type="dxa"/>
            <w:gridSpan w:val="2"/>
            <w:tcBorders>
              <w:top w:val="nil"/>
              <w:left w:val="nil"/>
              <w:bottom w:val="single" w:color="auto" w:sz="4" w:space="0"/>
              <w:right w:val="single" w:color="auto" w:sz="4" w:space="0"/>
            </w:tcBorders>
            <w:noWrap w:val="0"/>
            <w:vAlign w:val="center"/>
          </w:tcPr>
          <w:p>
            <w:pPr>
              <w:widowControl/>
              <w:spacing w:line="280" w:lineRule="exact"/>
              <w:jc w:val="both"/>
              <w:rPr>
                <w:rFonts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　</w:t>
            </w:r>
          </w:p>
        </w:tc>
      </w:tr>
    </w:tbl>
    <w:p>
      <w:pPr>
        <w:keepNext w:val="0"/>
        <w:keepLines w:val="0"/>
        <w:widowControl/>
        <w:suppressLineNumbers w:val="0"/>
        <w:jc w:val="left"/>
        <w:textAlignment w:val="bottom"/>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pStyle w:val="2"/>
        <w:rPr>
          <w:rFonts w:hint="default"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67"/>
        <w:gridCol w:w="510"/>
        <w:gridCol w:w="525"/>
        <w:gridCol w:w="2385"/>
        <w:gridCol w:w="1684"/>
        <w:gridCol w:w="216"/>
        <w:gridCol w:w="1626"/>
        <w:gridCol w:w="1701"/>
      </w:tblGrid>
      <w:tr>
        <w:tblPrEx>
          <w:tblCellMar>
            <w:top w:w="0" w:type="dxa"/>
            <w:left w:w="108" w:type="dxa"/>
            <w:bottom w:w="0" w:type="dxa"/>
            <w:right w:w="108" w:type="dxa"/>
          </w:tblCellMar>
        </w:tblPrEx>
        <w:trPr>
          <w:trHeight w:val="450" w:hRule="atLeast"/>
        </w:trPr>
        <w:tc>
          <w:tcPr>
            <w:tcW w:w="9214"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CellMar>
            <w:top w:w="0" w:type="dxa"/>
            <w:left w:w="108" w:type="dxa"/>
            <w:bottom w:w="0" w:type="dxa"/>
            <w:right w:w="108" w:type="dxa"/>
          </w:tblCellMar>
        </w:tblPrEx>
        <w:trPr>
          <w:trHeight w:val="285" w:hRule="atLeast"/>
        </w:trPr>
        <w:tc>
          <w:tcPr>
            <w:tcW w:w="5887" w:type="dxa"/>
            <w:gridSpan w:val="6"/>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p>
        </w:tc>
        <w:tc>
          <w:tcPr>
            <w:tcW w:w="3327"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CellMar>
            <w:top w:w="0" w:type="dxa"/>
            <w:left w:w="108" w:type="dxa"/>
            <w:bottom w:w="0" w:type="dxa"/>
            <w:right w:w="108" w:type="dxa"/>
          </w:tblCellMar>
        </w:tblPrEx>
        <w:trPr>
          <w:trHeight w:val="405" w:hRule="atLeast"/>
        </w:trPr>
        <w:tc>
          <w:tcPr>
            <w:tcW w:w="3987"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27"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CellMar>
            <w:top w:w="0" w:type="dxa"/>
            <w:left w:w="108" w:type="dxa"/>
            <w:bottom w:w="0" w:type="dxa"/>
            <w:right w:w="108" w:type="dxa"/>
          </w:tblCellMar>
        </w:tblPrEx>
        <w:trPr>
          <w:trHeight w:val="465" w:hRule="atLeast"/>
        </w:trPr>
        <w:tc>
          <w:tcPr>
            <w:tcW w:w="1602"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85"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4"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42"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0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10"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25"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385"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4"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42"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val="0"/>
                <w:bCs/>
                <w:color w:val="auto"/>
                <w:kern w:val="0"/>
                <w:sz w:val="20"/>
                <w:szCs w:val="20"/>
                <w:highlight w:val="none"/>
                <w:lang w:val="en-US" w:eastAsia="zh-CN"/>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b/>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社会保障和就业支出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行政事业单位养老支出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val="0"/>
                <w:bCs/>
                <w:color w:val="auto"/>
                <w:kern w:val="0"/>
                <w:sz w:val="20"/>
                <w:szCs w:val="20"/>
                <w:highlight w:val="none"/>
                <w:lang w:val="en-US" w:eastAsia="zh-CN"/>
              </w:rPr>
              <w:t>208</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机关事业单位基本养老保险缴费支出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1.32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卫生健康支出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行政事业单位医疗</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1.00</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事业单位医疗</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0.66</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0.66</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公务员医疗补助</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0.33</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0.33</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210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99</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其他行政事业单位医疗支出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0.01</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0.01</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自然资源海洋气象等支出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41.29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气象事务</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41.29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04</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气象事业机构</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20.79</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09</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气象服务</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20.50</w:t>
            </w: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住房保障支出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住房改革支出</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221</w:t>
            </w:r>
          </w:p>
        </w:tc>
        <w:tc>
          <w:tcPr>
            <w:tcW w:w="510" w:type="dxa"/>
            <w:tcBorders>
              <w:top w:val="nil"/>
              <w:left w:val="nil"/>
              <w:bottom w:val="single" w:color="auto" w:sz="4" w:space="0"/>
              <w:right w:val="single" w:color="auto" w:sz="4" w:space="0"/>
            </w:tcBorders>
            <w:noWrap w:val="0"/>
            <w:vAlign w:val="center"/>
          </w:tcPr>
          <w:p>
            <w:pPr>
              <w:widowControl/>
              <w:jc w:val="both"/>
              <w:rPr>
                <w:rFonts w:hint="default"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01</w:t>
            </w: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住房公积金</w:t>
            </w: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1.12</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684"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842"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67" w:type="dxa"/>
            <w:tcBorders>
              <w:top w:val="nil"/>
              <w:left w:val="single" w:color="auto" w:sz="4" w:space="0"/>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510"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525"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p>
        </w:tc>
        <w:tc>
          <w:tcPr>
            <w:tcW w:w="2385" w:type="dxa"/>
            <w:tcBorders>
              <w:top w:val="nil"/>
              <w:left w:val="nil"/>
              <w:bottom w:val="single" w:color="auto" w:sz="4" w:space="0"/>
              <w:right w:val="single" w:color="auto" w:sz="4" w:space="0"/>
            </w:tcBorders>
            <w:noWrap w:val="0"/>
            <w:vAlign w:val="center"/>
          </w:tcPr>
          <w:p>
            <w:pPr>
              <w:widowControl/>
              <w:jc w:val="both"/>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4"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u w:val="none"/>
                <w:lang w:val="en-US" w:eastAsia="zh-CN" w:bidi="ar"/>
              </w:rPr>
              <w:t>44.72</w:t>
            </w:r>
          </w:p>
        </w:tc>
        <w:tc>
          <w:tcPr>
            <w:tcW w:w="1842"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u w:val="none"/>
                <w:lang w:val="en-US" w:eastAsia="zh-CN" w:bidi="ar"/>
              </w:rPr>
              <w:t>24.22</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b/>
                <w:bCs/>
                <w:color w:val="auto"/>
                <w:kern w:val="0"/>
                <w:sz w:val="20"/>
                <w:szCs w:val="20"/>
                <w:highlight w:val="none"/>
              </w:rPr>
            </w:pPr>
            <w:r>
              <w:rPr>
                <w:rFonts w:hint="eastAsia" w:ascii="宋体" w:hAnsi="宋体" w:eastAsia="宋体" w:cs="宋体"/>
                <w:b/>
                <w:bCs/>
                <w:i w:val="0"/>
                <w:color w:val="000000"/>
                <w:kern w:val="0"/>
                <w:sz w:val="20"/>
                <w:szCs w:val="20"/>
                <w:u w:val="none"/>
                <w:lang w:val="en-US" w:eastAsia="zh-CN" w:bidi="ar"/>
              </w:rPr>
              <w:t>20.50</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1701"/>
        <w:gridCol w:w="976"/>
        <w:gridCol w:w="725"/>
        <w:gridCol w:w="1701"/>
      </w:tblGrid>
      <w:tr>
        <w:tblPrEx>
          <w:tblCellMar>
            <w:top w:w="0" w:type="dxa"/>
            <w:left w:w="108" w:type="dxa"/>
            <w:bottom w:w="0" w:type="dxa"/>
            <w:right w:w="108" w:type="dxa"/>
          </w:tblCellMar>
        </w:tblPrEx>
        <w:trPr>
          <w:trHeight w:val="375" w:hRule="atLeast"/>
        </w:trPr>
        <w:tc>
          <w:tcPr>
            <w:tcW w:w="9328" w:type="dxa"/>
            <w:gridSpan w:val="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CellMar>
            <w:top w:w="0" w:type="dxa"/>
            <w:left w:w="108" w:type="dxa"/>
            <w:bottom w:w="0" w:type="dxa"/>
            <w:right w:w="108" w:type="dxa"/>
          </w:tblCellMar>
        </w:tblPrEx>
        <w:trPr>
          <w:trHeight w:val="405" w:hRule="atLeast"/>
        </w:trPr>
        <w:tc>
          <w:tcPr>
            <w:tcW w:w="6902"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4"/>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CellMar>
            <w:top w:w="0" w:type="dxa"/>
            <w:left w:w="108" w:type="dxa"/>
            <w:bottom w:w="0" w:type="dxa"/>
            <w:right w:w="108" w:type="dxa"/>
          </w:tblCellMar>
        </w:tblPrEx>
        <w:trPr>
          <w:trHeight w:val="27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kern w:val="2"/>
                <w:sz w:val="20"/>
                <w:szCs w:val="20"/>
                <w:lang w:val="en-US" w:eastAsia="zh-CN" w:bidi="ar-SA"/>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工资福利支出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12.84</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12.84</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基本工资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2.80</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2.80</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津贴补贴</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1.19</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1.19</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奖金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3.02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3.02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绩效工资</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2.32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08</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机关事业单位基本养老保险缴费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1.32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1.32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10</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职工基本医疗保险缴费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0.66</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0.66</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11</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公务员医疗补助缴费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0.33</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12</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其他社会保障缴费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0.08</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0.08</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sz w:val="20"/>
                <w:szCs w:val="20"/>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13</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住房公积金</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1.12</w:t>
            </w:r>
          </w:p>
        </w:tc>
        <w:tc>
          <w:tcPr>
            <w:tcW w:w="1701" w:type="dxa"/>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商品和服务支出</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11.39</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11.39</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04</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手续费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0.03</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0.03</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16</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培训费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0.04</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0.04</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26</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劳务费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11.16</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11.16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28</w:t>
            </w: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工会经费</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0.16</w:t>
            </w:r>
          </w:p>
        </w:tc>
        <w:tc>
          <w:tcPr>
            <w:tcW w:w="1701" w:type="dxa"/>
            <w:gridSpan w:val="2"/>
            <w:tcBorders>
              <w:top w:val="nil"/>
              <w:left w:val="nil"/>
              <w:bottom w:val="single" w:color="auto" w:sz="4" w:space="0"/>
              <w:right w:val="single" w:color="auto" w:sz="4" w:space="0"/>
            </w:tcBorders>
            <w:noWrap w:val="0"/>
            <w:vAlign w:val="center"/>
          </w:tcPr>
          <w:p>
            <w:pPr>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0.16</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gridSpan w:val="2"/>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170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both"/>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仿宋_GB2312" w:eastAsia="仿宋_GB2312" w:cs="仿宋_GB2312"/>
                <w:b/>
                <w:bCs/>
                <w:color w:val="auto"/>
                <w:kern w:val="0"/>
                <w:sz w:val="20"/>
                <w:szCs w:val="20"/>
                <w:highlight w:val="none"/>
                <w:lang w:val="en-US"/>
              </w:rPr>
            </w:pPr>
            <w:r>
              <w:rPr>
                <w:rFonts w:hint="eastAsia" w:ascii="仿宋_GB2312" w:hAnsi="仿宋_GB2312" w:eastAsia="仿宋_GB2312" w:cs="仿宋_GB2312"/>
                <w:b/>
                <w:bCs/>
                <w:i w:val="0"/>
                <w:color w:val="auto"/>
                <w:kern w:val="0"/>
                <w:sz w:val="20"/>
                <w:szCs w:val="20"/>
                <w:u w:val="none"/>
                <w:lang w:val="en-US" w:eastAsia="zh-CN" w:bidi="ar"/>
              </w:rPr>
              <w:t>24.22</w:t>
            </w:r>
          </w:p>
        </w:tc>
        <w:tc>
          <w:tcPr>
            <w:tcW w:w="1701"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12.84</w:t>
            </w:r>
          </w:p>
        </w:tc>
        <w:tc>
          <w:tcPr>
            <w:tcW w:w="170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i w:val="0"/>
                <w:color w:val="000000"/>
                <w:kern w:val="0"/>
                <w:sz w:val="20"/>
                <w:szCs w:val="20"/>
                <w:u w:val="none"/>
                <w:lang w:val="en-US" w:eastAsia="zh-CN" w:bidi="ar"/>
              </w:rPr>
              <w:t>11.39</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pStyle w:val="2"/>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10208" w:type="dxa"/>
        <w:tblInd w:w="-735" w:type="dxa"/>
        <w:tblLayout w:type="fixed"/>
        <w:tblCellMar>
          <w:top w:w="0" w:type="dxa"/>
          <w:left w:w="108" w:type="dxa"/>
          <w:bottom w:w="0" w:type="dxa"/>
          <w:right w:w="108" w:type="dxa"/>
        </w:tblCellMar>
      </w:tblPr>
      <w:tblGrid>
        <w:gridCol w:w="8"/>
        <w:gridCol w:w="615"/>
        <w:gridCol w:w="465"/>
        <w:gridCol w:w="465"/>
        <w:gridCol w:w="1215"/>
        <w:gridCol w:w="1575"/>
        <w:gridCol w:w="840"/>
        <w:gridCol w:w="345"/>
        <w:gridCol w:w="780"/>
        <w:gridCol w:w="360"/>
        <w:gridCol w:w="312"/>
        <w:gridCol w:w="379"/>
        <w:gridCol w:w="359"/>
        <w:gridCol w:w="405"/>
        <w:gridCol w:w="555"/>
        <w:gridCol w:w="465"/>
        <w:gridCol w:w="690"/>
        <w:gridCol w:w="375"/>
      </w:tblGrid>
      <w:tr>
        <w:tblPrEx>
          <w:tblCellMar>
            <w:top w:w="0" w:type="dxa"/>
            <w:left w:w="108" w:type="dxa"/>
            <w:bottom w:w="0" w:type="dxa"/>
            <w:right w:w="108" w:type="dxa"/>
          </w:tblCellMar>
        </w:tblPrEx>
        <w:trPr>
          <w:gridBefore w:val="1"/>
          <w:wBefore w:w="8" w:type="dxa"/>
          <w:trHeight w:val="375" w:hRule="atLeast"/>
        </w:trPr>
        <w:tc>
          <w:tcPr>
            <w:tcW w:w="10200" w:type="dxa"/>
            <w:gridSpan w:val="17"/>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CellMar>
            <w:top w:w="0" w:type="dxa"/>
            <w:left w:w="108" w:type="dxa"/>
            <w:bottom w:w="0" w:type="dxa"/>
            <w:right w:w="108" w:type="dxa"/>
          </w:tblCellMar>
        </w:tblPrEx>
        <w:trPr>
          <w:gridBefore w:val="1"/>
          <w:wBefore w:w="8" w:type="dxa"/>
          <w:trHeight w:val="405" w:hRule="atLeast"/>
        </w:trPr>
        <w:tc>
          <w:tcPr>
            <w:tcW w:w="7351" w:type="dxa"/>
            <w:gridSpan w:val="11"/>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eastAsia="zh-CN"/>
              </w:rPr>
            </w:pPr>
            <w:r>
              <w:rPr>
                <w:rFonts w:hint="eastAsia" w:ascii="仿宋_GB2312" w:hAnsi="宋体" w:eastAsia="仿宋_GB2312" w:cs="宋体"/>
                <w:color w:val="auto"/>
                <w:kern w:val="0"/>
                <w:sz w:val="24"/>
                <w:highlight w:val="none"/>
              </w:rPr>
              <w:t>编制</w:t>
            </w:r>
            <w:r>
              <w:rPr>
                <w:rFonts w:hint="eastAsia" w:ascii="仿宋_GB2312" w:hAnsi="宋体" w:eastAsia="仿宋_GB2312" w:cs="宋体"/>
                <w:color w:val="auto"/>
                <w:kern w:val="0"/>
                <w:sz w:val="24"/>
                <w:highlight w:val="none"/>
                <w:lang w:eastAsia="zh-CN"/>
              </w:rPr>
              <w:t>部门</w:t>
            </w:r>
            <w:r>
              <w:rPr>
                <w:rFonts w:hint="eastAsia" w:ascii="仿宋_GB2312" w:hAnsi="宋体" w:eastAsia="仿宋_GB2312" w:cs="宋体"/>
                <w:color w:val="auto"/>
                <w:kern w:val="0"/>
                <w:sz w:val="24"/>
                <w:highlight w:val="none"/>
              </w:rPr>
              <w:t>：</w:t>
            </w:r>
            <w:r>
              <w:rPr>
                <w:rFonts w:hint="eastAsia" w:ascii="仿宋_GB2312" w:hAnsi="宋体" w:eastAsia="仿宋_GB2312" w:cs="宋体"/>
                <w:color w:val="auto"/>
                <w:kern w:val="0"/>
                <w:sz w:val="24"/>
                <w:highlight w:val="none"/>
                <w:lang w:eastAsia="zh-CN"/>
              </w:rPr>
              <w:t>呼图壁县人工影响天气办公室</w:t>
            </w:r>
          </w:p>
        </w:tc>
        <w:tc>
          <w:tcPr>
            <w:tcW w:w="2849"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553" w:type="dxa"/>
            <w:gridSpan w:val="4"/>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575"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8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4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78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36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312"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738"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40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55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6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69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375"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7" w:hRule="atLeast"/>
        </w:trPr>
        <w:tc>
          <w:tcPr>
            <w:tcW w:w="623" w:type="dxa"/>
            <w:gridSpan w:val="2"/>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6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65"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215"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5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8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4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8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6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12"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38"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0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5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6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5"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lang w:eastAsia="zh-Hans"/>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自然资源海洋气象等支出</w:t>
            </w:r>
          </w:p>
        </w:tc>
        <w:tc>
          <w:tcPr>
            <w:tcW w:w="157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05</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气象事务</w:t>
            </w:r>
          </w:p>
        </w:tc>
        <w:tc>
          <w:tcPr>
            <w:tcW w:w="157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220</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lang w:val="en-US" w:eastAsia="zh-CN"/>
              </w:rPr>
            </w:pPr>
            <w:r>
              <w:rPr>
                <w:rFonts w:hint="eastAsia" w:ascii="仿宋_GB2312" w:hAnsi="仿宋_GB2312" w:eastAsia="仿宋_GB2312" w:cs="仿宋_GB2312"/>
                <w:color w:val="auto"/>
                <w:kern w:val="0"/>
                <w:sz w:val="20"/>
                <w:szCs w:val="20"/>
                <w:highlight w:val="none"/>
                <w:lang w:val="en-US" w:eastAsia="zh-CN"/>
              </w:rPr>
              <w:t>05</w:t>
            </w: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lang w:val="en-US" w:eastAsia="zh-CN"/>
              </w:rPr>
              <w:t>09</w:t>
            </w:r>
          </w:p>
        </w:tc>
        <w:tc>
          <w:tcPr>
            <w:tcW w:w="121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气象服务</w:t>
            </w:r>
          </w:p>
        </w:tc>
        <w:tc>
          <w:tcPr>
            <w:tcW w:w="1575"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人工影响天气火箭弹及相关作业费用（非定额）</w:t>
            </w:r>
          </w:p>
        </w:tc>
        <w:tc>
          <w:tcPr>
            <w:tcW w:w="84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45" w:type="dxa"/>
            <w:noWrap w:val="0"/>
            <w:vAlign w:val="center"/>
          </w:tcPr>
          <w:p>
            <w:pPr>
              <w:spacing w:line="240" w:lineRule="auto"/>
              <w:jc w:val="both"/>
              <w:rPr>
                <w:rFonts w:hint="eastAsia" w:ascii="仿宋_GB2312" w:hAnsi="仿宋_GB2312" w:eastAsia="仿宋_GB2312" w:cs="仿宋_GB2312"/>
                <w:color w:val="auto"/>
                <w:kern w:val="0"/>
                <w:sz w:val="20"/>
                <w:szCs w:val="20"/>
                <w:highlight w:val="none"/>
              </w:rPr>
            </w:pPr>
          </w:p>
        </w:tc>
        <w:tc>
          <w:tcPr>
            <w:tcW w:w="780" w:type="dxa"/>
            <w:noWrap w:val="0"/>
            <w:vAlign w:val="center"/>
          </w:tcPr>
          <w:p>
            <w:pPr>
              <w:keepNext w:val="0"/>
              <w:keepLines w:val="0"/>
              <w:widowControl/>
              <w:suppressLineNumbers w:val="0"/>
              <w:spacing w:line="240" w:lineRule="auto"/>
              <w:jc w:val="both"/>
              <w:textAlignment w:val="top"/>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i w:val="0"/>
                <w:color w:val="000000"/>
                <w:kern w:val="0"/>
                <w:sz w:val="20"/>
                <w:szCs w:val="20"/>
                <w:u w:val="none"/>
                <w:lang w:val="en-US" w:eastAsia="zh-CN" w:bidi="ar"/>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84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4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780"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623" w:type="dxa"/>
            <w:gridSpan w:val="2"/>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46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21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p>
        </w:tc>
        <w:tc>
          <w:tcPr>
            <w:tcW w:w="1575" w:type="dxa"/>
            <w:noWrap w:val="0"/>
            <w:vAlign w:val="center"/>
          </w:tcPr>
          <w:p>
            <w:pPr>
              <w:widowControl/>
              <w:spacing w:line="240" w:lineRule="auto"/>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840" w:type="dxa"/>
            <w:noWrap w:val="0"/>
            <w:vAlign w:val="center"/>
          </w:tcPr>
          <w:p>
            <w:pPr>
              <w:widowControl/>
              <w:spacing w:line="240" w:lineRule="auto"/>
              <w:jc w:val="both"/>
              <w:outlineLvl w:val="1"/>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20.50</w:t>
            </w:r>
          </w:p>
        </w:tc>
        <w:tc>
          <w:tcPr>
            <w:tcW w:w="345" w:type="dxa"/>
            <w:noWrap w:val="0"/>
            <w:vAlign w:val="center"/>
          </w:tcPr>
          <w:p>
            <w:pPr>
              <w:widowControl/>
              <w:spacing w:line="240" w:lineRule="auto"/>
              <w:jc w:val="both"/>
              <w:outlineLvl w:val="1"/>
              <w:rPr>
                <w:rFonts w:hint="eastAsia" w:ascii="仿宋_GB2312" w:hAnsi="仿宋_GB2312" w:eastAsia="仿宋_GB2312" w:cs="仿宋_GB2312"/>
                <w:b/>
                <w:bCs/>
                <w:color w:val="auto"/>
                <w:kern w:val="0"/>
                <w:sz w:val="20"/>
                <w:szCs w:val="20"/>
                <w:highlight w:val="none"/>
              </w:rPr>
            </w:pPr>
          </w:p>
        </w:tc>
        <w:tc>
          <w:tcPr>
            <w:tcW w:w="780" w:type="dxa"/>
            <w:noWrap w:val="0"/>
            <w:vAlign w:val="center"/>
          </w:tcPr>
          <w:p>
            <w:pPr>
              <w:widowControl/>
              <w:spacing w:line="240" w:lineRule="auto"/>
              <w:jc w:val="both"/>
              <w:outlineLvl w:val="1"/>
              <w:rPr>
                <w:rFonts w:hint="default" w:ascii="仿宋_GB2312" w:hAnsi="仿宋_GB2312" w:eastAsia="仿宋_GB2312" w:cs="仿宋_GB2312"/>
                <w:b/>
                <w:bCs/>
                <w:color w:val="auto"/>
                <w:kern w:val="0"/>
                <w:sz w:val="20"/>
                <w:szCs w:val="20"/>
                <w:highlight w:val="none"/>
                <w:lang w:val="en-US" w:eastAsia="zh-CN"/>
              </w:rPr>
            </w:pPr>
            <w:r>
              <w:rPr>
                <w:rFonts w:hint="eastAsia" w:ascii="仿宋_GB2312" w:hAnsi="仿宋_GB2312" w:eastAsia="仿宋_GB2312" w:cs="仿宋_GB2312"/>
                <w:b/>
                <w:bCs/>
                <w:color w:val="auto"/>
                <w:kern w:val="0"/>
                <w:sz w:val="20"/>
                <w:szCs w:val="20"/>
                <w:highlight w:val="none"/>
                <w:lang w:val="en-US" w:eastAsia="zh-CN"/>
              </w:rPr>
              <w:t>20.50</w:t>
            </w:r>
          </w:p>
        </w:tc>
        <w:tc>
          <w:tcPr>
            <w:tcW w:w="36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312"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738" w:type="dxa"/>
            <w:gridSpan w:val="2"/>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p>
        </w:tc>
        <w:tc>
          <w:tcPr>
            <w:tcW w:w="40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55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46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690"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c>
          <w:tcPr>
            <w:tcW w:w="375" w:type="dxa"/>
            <w:noWrap w:val="0"/>
            <w:vAlign w:val="center"/>
          </w:tcPr>
          <w:p>
            <w:pPr>
              <w:widowControl/>
              <w:jc w:val="both"/>
              <w:outlineLvl w:val="1"/>
              <w:rPr>
                <w:rFonts w:hint="eastAsia" w:ascii="仿宋_GB2312" w:hAnsi="仿宋_GB2312" w:eastAsia="仿宋_GB2312" w:cs="仿宋_GB2312"/>
                <w:color w:val="auto"/>
                <w:kern w:val="0"/>
                <w:sz w:val="20"/>
                <w:szCs w:val="20"/>
                <w:highlight w:val="none"/>
              </w:rPr>
            </w:pPr>
            <w:r>
              <w:rPr>
                <w:rFonts w:hint="eastAsia" w:ascii="仿宋_GB2312" w:hAnsi="仿宋_GB2312" w:eastAsia="仿宋_GB2312" w:cs="仿宋_GB2312"/>
                <w:color w:val="auto"/>
                <w:kern w:val="0"/>
                <w:sz w:val="20"/>
                <w:szCs w:val="20"/>
                <w:highlight w:val="none"/>
              </w:rPr>
              <w:t>　</w:t>
            </w:r>
          </w:p>
        </w:tc>
      </w:tr>
    </w:tbl>
    <w:p>
      <w:pPr>
        <w:keepNext w:val="0"/>
        <w:keepLines w:val="0"/>
        <w:widowControl/>
        <w:suppressLineNumbers w:val="0"/>
        <w:jc w:val="left"/>
        <w:textAlignment w:val="bottom"/>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pStyle w:val="2"/>
        <w:rPr>
          <w:rFonts w:hint="eastAsia" w:ascii="宋体" w:hAnsi="宋体" w:eastAsia="宋体" w:cs="宋体"/>
          <w:i w:val="0"/>
          <w:color w:val="FF0000"/>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br w:type="page"/>
      </w: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47"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备注：呼图壁县人工影响天气办公室2025年没有使用政府性基金预算拨款安排的支出，政府性基金预算支出情况表为空表。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spacing w:line="280" w:lineRule="exac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备注：呼图壁县人工影响天气办公室2025年没有使用国有资本经营预算拨款安排的支出，国有资本经营预算支出情况表为空表。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center"/>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公务用车购置及运行费</w:t>
            </w:r>
          </w:p>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（小计）</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其中：公务用车购置费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 xml:space="preserve">     </w:t>
            </w:r>
            <w:r>
              <w:rPr>
                <w:rFonts w:hint="default" w:ascii="仿宋_GB2312" w:hAnsi="宋体" w:eastAsia="仿宋_GB2312"/>
                <w:b/>
                <w:color w:val="auto"/>
                <w:kern w:val="0"/>
                <w:sz w:val="28"/>
                <w:szCs w:val="32"/>
                <w:highlight w:val="none"/>
                <w:vertAlign w:val="baseline"/>
              </w:rPr>
              <w:t xml:space="preserve">  </w:t>
            </w:r>
            <w:r>
              <w:rPr>
                <w:rFonts w:hint="eastAsia" w:ascii="仿宋_GB2312" w:hAnsi="宋体" w:eastAsia="仿宋_GB2312"/>
                <w:b/>
                <w:color w:val="auto"/>
                <w:kern w:val="0"/>
                <w:sz w:val="28"/>
                <w:szCs w:val="32"/>
                <w:highlight w:val="none"/>
                <w:vertAlign w:val="baseline"/>
              </w:rPr>
              <w:t xml:space="preserve"> 公务用车运行费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备注：呼图壁县人工影响天气办公室2025年没有使用</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“三公”经费预算拨款安排的支出，</w:t>
      </w:r>
      <w:r>
        <w:rPr>
          <w:rFonts w:hint="eastAsia" w:ascii="仿宋_GB2312" w:hAnsi="宋体" w:eastAsia="仿宋_GB2312"/>
          <w:b/>
          <w:color w:val="auto"/>
          <w:kern w:val="0"/>
          <w:sz w:val="28"/>
          <w:szCs w:val="32"/>
          <w:highlight w:val="none"/>
          <w:lang w:val="en-US" w:eastAsia="zh-Hans"/>
        </w:rPr>
        <w:t>财政拨款</w:t>
      </w:r>
      <w:r>
        <w:rPr>
          <w:rFonts w:hint="eastAsia" w:ascii="仿宋_GB2312" w:hAnsi="宋体" w:eastAsia="仿宋_GB2312"/>
          <w:b/>
          <w:color w:val="auto"/>
          <w:kern w:val="0"/>
          <w:sz w:val="28"/>
          <w:szCs w:val="32"/>
          <w:highlight w:val="none"/>
          <w:lang w:val="en-US" w:eastAsia="zh-CN"/>
        </w:rPr>
        <w:t>“三公”经费支出情况表为空表。</w:t>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891" w:firstLineChars="900"/>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b/>
          <w:color w:val="auto"/>
          <w:kern w:val="0"/>
          <w:sz w:val="32"/>
          <w:szCs w:val="32"/>
          <w:highlight w:val="none"/>
          <w:lang w:val="en-US" w:eastAsia="zh-Hans"/>
        </w:rPr>
        <w:t>上年结转</w:t>
      </w:r>
      <w:r>
        <w:rPr>
          <w:rFonts w:hint="eastAsia" w:ascii="仿宋_GB2312" w:hAnsi="宋体" w:eastAsia="仿宋_GB2312"/>
          <w:b/>
          <w:color w:val="auto"/>
          <w:kern w:val="0"/>
          <w:sz w:val="32"/>
          <w:szCs w:val="32"/>
          <w:highlight w:val="none"/>
          <w:lang w:val="en-US" w:eastAsia="zh-CN"/>
        </w:rPr>
        <w:t>结余</w:t>
      </w:r>
      <w:r>
        <w:rPr>
          <w:rFonts w:hint="eastAsia" w:ascii="仿宋_GB2312" w:hAnsi="宋体" w:eastAsia="仿宋_GB2312"/>
          <w:b/>
          <w:color w:val="auto"/>
          <w:kern w:val="0"/>
          <w:sz w:val="32"/>
          <w:szCs w:val="32"/>
          <w:highlight w:val="none"/>
          <w:lang w:val="en-US" w:eastAsia="zh-Hans"/>
        </w:rPr>
        <w:t>情况明细表</w:t>
      </w:r>
    </w:p>
    <w:p>
      <w:pPr>
        <w:widowControl/>
        <w:jc w:val="both"/>
        <w:rPr>
          <w:rFonts w:hint="eastAsia" w:ascii="仿宋_GB2312" w:hAnsi="宋体" w:eastAsia="仿宋_GB2312"/>
          <w:b/>
          <w:color w:val="auto"/>
          <w:kern w:val="0"/>
          <w:sz w:val="32"/>
          <w:szCs w:val="32"/>
          <w:highlight w:val="none"/>
          <w:lang w:val="en-US" w:eastAsia="zh-Hans"/>
        </w:rPr>
      </w:pPr>
      <w:r>
        <w:rPr>
          <w:rFonts w:hint="eastAsia" w:ascii="仿宋_GB2312" w:hAnsi="宋体" w:eastAsia="仿宋_GB2312"/>
          <w:color w:val="auto"/>
          <w:kern w:val="0"/>
          <w:sz w:val="24"/>
          <w:highlight w:val="none"/>
        </w:rPr>
        <w:t>编制</w:t>
      </w:r>
      <w:r>
        <w:rPr>
          <w:rFonts w:hint="eastAsia" w:ascii="仿宋_GB2312" w:hAnsi="宋体" w:eastAsia="仿宋_GB2312"/>
          <w:color w:val="auto"/>
          <w:kern w:val="0"/>
          <w:sz w:val="24"/>
          <w:highlight w:val="none"/>
          <w:lang w:eastAsia="zh-CN"/>
        </w:rPr>
        <w:t>部门</w:t>
      </w:r>
      <w:r>
        <w:rPr>
          <w:rFonts w:hint="eastAsia" w:ascii="仿宋_GB2312" w:hAnsi="宋体" w:eastAsia="仿宋_GB2312"/>
          <w:color w:val="auto"/>
          <w:kern w:val="0"/>
          <w:sz w:val="24"/>
          <w:highlight w:val="none"/>
        </w:rPr>
        <w:t>：</w:t>
      </w:r>
      <w:r>
        <w:rPr>
          <w:rFonts w:hint="eastAsia" w:ascii="仿宋_GB2312" w:hAnsi="宋体" w:eastAsia="仿宋_GB2312"/>
          <w:color w:val="auto"/>
          <w:kern w:val="0"/>
          <w:sz w:val="24"/>
          <w:highlight w:val="none"/>
          <w:lang w:eastAsia="zh-CN"/>
        </w:rPr>
        <w:t>呼图壁县人工影响天气办公室</w:t>
      </w:r>
      <w:r>
        <w:rPr>
          <w:rFonts w:hint="eastAsia" w:ascii="仿宋_GB2312" w:hAnsi="宋体" w:eastAsia="仿宋_GB2312"/>
          <w:color w:val="auto"/>
          <w:kern w:val="0"/>
          <w:sz w:val="24"/>
          <w:highlight w:val="none"/>
        </w:rPr>
        <w:t xml:space="preserve">                           单位：万元</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小计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trPr>
        <w:tc>
          <w:tcPr>
            <w:tcW w:w="128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noWrap w:val="0"/>
            <w:vAlign w:val="center"/>
          </w:tcPr>
          <w:p>
            <w:pPr>
              <w:spacing w:line="600" w:lineRule="exact"/>
              <w:jc w:val="center"/>
              <w:rPr>
                <w:rFonts w:hint="eastAsia" w:ascii="仿宋" w:hAnsi="仿宋" w:eastAsia="仿宋" w:cs="仿宋_GB2312"/>
                <w:bCs/>
                <w:color w:val="auto"/>
                <w:kern w:val="0"/>
                <w:sz w:val="28"/>
                <w:szCs w:val="28"/>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1054"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81" w:type="dxa"/>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211" w:type="dxa"/>
            <w:noWrap w:val="0"/>
            <w:vAlign w:val="center"/>
          </w:tcPr>
          <w:p>
            <w:pPr>
              <w:spacing w:line="600" w:lineRule="exact"/>
              <w:jc w:val="center"/>
              <w:rPr>
                <w:rFonts w:ascii="仿宋" w:hAnsi="仿宋" w:eastAsia="仿宋" w:cs="仿宋_GB2312"/>
                <w:bCs/>
                <w:color w:val="auto"/>
                <w:kern w:val="0"/>
                <w:sz w:val="28"/>
                <w:szCs w:val="28"/>
                <w:highlight w:val="none"/>
              </w:rPr>
            </w:pPr>
          </w:p>
        </w:tc>
      </w:tr>
    </w:tbl>
    <w:p>
      <w:pPr>
        <w:widowControl/>
        <w:spacing w:line="280" w:lineRule="exact"/>
        <w:outlineLvl w:val="1"/>
        <w:rPr>
          <w:rFonts w:hint="eastAsia" w:ascii="仿宋_GB2312" w:hAnsi="宋体" w:eastAsia="仿宋_GB2312"/>
          <w:b/>
          <w:color w:val="auto"/>
          <w:kern w:val="0"/>
          <w:sz w:val="28"/>
          <w:szCs w:val="32"/>
          <w:highlight w:val="none"/>
          <w:lang w:val="en-US" w:eastAsia="zh-CN"/>
        </w:rPr>
      </w:pPr>
    </w:p>
    <w:p>
      <w:pPr>
        <w:widowControl/>
        <w:spacing w:line="280" w:lineRule="exact"/>
        <w:outlineLvl w:val="1"/>
        <w:rPr>
          <w:rFonts w:hint="eastAsia" w:ascii="仿宋_GB2312" w:hAnsi="宋体" w:eastAsia="仿宋_GB2312"/>
          <w:b/>
          <w:color w:val="auto"/>
          <w:kern w:val="0"/>
          <w:sz w:val="28"/>
          <w:szCs w:val="32"/>
          <w:highlight w:val="none"/>
          <w:lang w:val="en-US" w:eastAsia="zh-CN"/>
        </w:rPr>
      </w:pPr>
      <w:r>
        <w:rPr>
          <w:rFonts w:hint="eastAsia" w:ascii="仿宋_GB2312" w:hAnsi="宋体" w:eastAsia="仿宋_GB2312"/>
          <w:b/>
          <w:color w:val="auto"/>
          <w:kern w:val="0"/>
          <w:sz w:val="28"/>
          <w:szCs w:val="32"/>
          <w:highlight w:val="none"/>
          <w:lang w:val="en-US" w:eastAsia="zh-CN"/>
        </w:rPr>
        <w:t>备注：呼图壁县人工影响天气办公室2025年无上年结转结余预算的支出，结转结余预算支出情况表为空表。</w:t>
      </w:r>
    </w:p>
    <w:p>
      <w:pPr>
        <w:widowControl/>
        <w:spacing w:line="280" w:lineRule="exact"/>
        <w:jc w:val="left"/>
        <w:outlineLvl w:val="1"/>
        <w:rPr>
          <w:rFonts w:ascii="仿宋_GB2312" w:hAnsi="宋体" w:eastAsia="仿宋_GB2312"/>
          <w:color w:val="FF0000"/>
          <w:kern w:val="0"/>
          <w:sz w:val="32"/>
          <w:szCs w:val="32"/>
          <w:highlight w:val="none"/>
        </w:rPr>
      </w:pPr>
    </w:p>
    <w:p>
      <w:pPr>
        <w:widowControl/>
        <w:spacing w:line="280" w:lineRule="exact"/>
        <w:jc w:val="left"/>
        <w:outlineLvl w:val="1"/>
        <w:rPr>
          <w:rFonts w:ascii="仿宋_GB2312" w:hAnsi="宋体" w:eastAsia="仿宋_GB2312"/>
          <w:color w:val="FF0000"/>
          <w:kern w:val="0"/>
          <w:sz w:val="32"/>
          <w:szCs w:val="32"/>
          <w:highlight w:val="none"/>
        </w:rPr>
        <w:sectPr>
          <w:footerReference r:id="rId4"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w:t>
      </w:r>
      <w:r>
        <w:rPr>
          <w:rFonts w:hint="eastAsia" w:ascii="黑体" w:hAnsi="黑体" w:eastAsia="黑体"/>
          <w:color w:val="auto"/>
          <w:kern w:val="0"/>
          <w:sz w:val="32"/>
          <w:szCs w:val="32"/>
          <w:highlight w:val="none"/>
          <w:lang w:val="en-US" w:eastAsia="zh-CN"/>
        </w:rPr>
        <w:t>5</w:t>
      </w:r>
      <w:r>
        <w:rPr>
          <w:rFonts w:hint="eastAsia" w:ascii="黑体" w:hAnsi="黑体" w:eastAsia="黑体"/>
          <w:color w:val="auto"/>
          <w:kern w:val="0"/>
          <w:sz w:val="32"/>
          <w:szCs w:val="32"/>
          <w:highlight w:val="none"/>
          <w:lang w:eastAsia="zh-CN"/>
        </w:rPr>
        <w:t>年部门</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eastAsia="zh-CN"/>
        </w:rPr>
        <w:t>呼图壁县人工影响天气办公室202</w:t>
      </w:r>
      <w:r>
        <w:rPr>
          <w:rFonts w:hint="eastAsia" w:ascii="楷体_GB2312" w:hAnsi="楷体_GB2312" w:eastAsia="楷体_GB2312" w:cs="楷体_GB2312"/>
          <w:b/>
          <w:bCs w:val="0"/>
          <w:color w:val="auto"/>
          <w:kern w:val="0"/>
          <w:sz w:val="32"/>
          <w:szCs w:val="32"/>
          <w:highlight w:val="none"/>
          <w:lang w:val="en-US" w:eastAsia="zh-CN"/>
        </w:rPr>
        <w:t>5</w:t>
      </w:r>
      <w:r>
        <w:rPr>
          <w:rFonts w:hint="eastAsia" w:ascii="楷体_GB2312" w:hAnsi="楷体_GB2312" w:eastAsia="楷体_GB2312" w:cs="楷体_GB2312"/>
          <w:b/>
          <w:bCs w:val="0"/>
          <w:color w:val="auto"/>
          <w:kern w:val="0"/>
          <w:sz w:val="32"/>
          <w:szCs w:val="32"/>
          <w:highlight w:val="none"/>
          <w:lang w:eastAsia="zh-CN"/>
        </w:rPr>
        <w:t>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所有收入和支出均纳入单位预算管理。收支总预算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支出预算包括：社会保障和就业支出、卫生健康支出、自然资源海洋气象等支出、住房保障支出等。</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val="0"/>
          <w:color w:val="auto"/>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kern w:val="0"/>
          <w:sz w:val="32"/>
          <w:szCs w:val="32"/>
          <w:highlight w:val="none"/>
        </w:rPr>
        <w:t>收入预算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一般公共预算44.72万元，占</w:t>
      </w:r>
      <w:r>
        <w:rPr>
          <w:rFonts w:hint="eastAsia" w:ascii="仿宋_GB2312" w:hAnsi="宋体" w:eastAsia="仿宋_GB2312" w:cs="宋体"/>
          <w:color w:val="auto"/>
          <w:kern w:val="0"/>
          <w:sz w:val="32"/>
          <w:szCs w:val="32"/>
          <w:highlight w:val="none"/>
          <w:lang w:val="en-US" w:eastAsia="zh-CN"/>
        </w:rPr>
        <w:t>94.93</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21.06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89.01%，主要原因是本年度新增人工影响天气火箭弹及相关作业费用（非定额）项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政府性基金预算未安排。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5.07</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0.06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2.58%，</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社保基数调整。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支出预算</w:t>
      </w:r>
      <w:r>
        <w:rPr>
          <w:rFonts w:hint="eastAsia" w:ascii="仿宋_GB2312" w:hAnsi="宋体" w:eastAsia="仿宋_GB2312" w:cs="宋体"/>
          <w:color w:val="auto"/>
          <w:kern w:val="0"/>
          <w:sz w:val="32"/>
          <w:szCs w:val="32"/>
          <w:highlight w:val="none"/>
          <w:lang w:val="en-US" w:eastAsia="zh-CN"/>
        </w:rPr>
        <w:t>47.11</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基本</w:t>
      </w:r>
      <w:r>
        <w:rPr>
          <w:rFonts w:hint="eastAsia" w:ascii="仿宋_GB2312" w:hAnsi="宋体" w:eastAsia="仿宋_GB2312" w:cs="宋体"/>
          <w:color w:val="auto"/>
          <w:kern w:val="0"/>
          <w:sz w:val="32"/>
          <w:szCs w:val="32"/>
          <w:highlight w:val="none"/>
          <w:lang w:eastAsia="zh-CN"/>
        </w:rPr>
        <w:t>支出</w:t>
      </w:r>
      <w:r>
        <w:rPr>
          <w:rFonts w:hint="eastAsia" w:ascii="仿宋_GB2312" w:hAnsi="宋体" w:eastAsia="仿宋_GB2312" w:cs="宋体"/>
          <w:color w:val="auto"/>
          <w:kern w:val="0"/>
          <w:sz w:val="32"/>
          <w:szCs w:val="32"/>
          <w:highlight w:val="none"/>
          <w:lang w:val="en-US" w:eastAsia="zh-CN"/>
        </w:rPr>
        <w:t>26.61</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56.48</w:t>
      </w:r>
      <w:r>
        <w:rPr>
          <w:rFonts w:hint="eastAsia" w:ascii="仿宋_GB2312" w:hAnsi="宋体" w:eastAsia="仿宋_GB2312" w:cs="宋体"/>
          <w:color w:val="auto"/>
          <w:kern w:val="0"/>
          <w:sz w:val="32"/>
          <w:szCs w:val="32"/>
          <w:highlight w:val="none"/>
          <w:lang w:eastAsia="zh-CN"/>
        </w:rPr>
        <w:t>%，比上年预算增加</w:t>
      </w:r>
      <w:r>
        <w:rPr>
          <w:rFonts w:hint="eastAsia" w:ascii="仿宋_GB2312" w:hAnsi="宋体" w:eastAsia="仿宋_GB2312" w:cs="宋体"/>
          <w:color w:val="auto"/>
          <w:kern w:val="0"/>
          <w:sz w:val="32"/>
          <w:szCs w:val="32"/>
          <w:highlight w:val="none"/>
          <w:lang w:val="en-US" w:eastAsia="zh-CN"/>
        </w:rPr>
        <w:t>0.62</w:t>
      </w:r>
      <w:r>
        <w:rPr>
          <w:rFonts w:hint="eastAsia" w:ascii="仿宋_GB2312" w:hAnsi="宋体" w:eastAsia="仿宋_GB2312" w:cs="宋体"/>
          <w:color w:val="auto"/>
          <w:kern w:val="0"/>
          <w:sz w:val="32"/>
          <w:szCs w:val="32"/>
          <w:highlight w:val="none"/>
          <w:lang w:eastAsia="zh-CN"/>
        </w:rPr>
        <w:t>万元，增长</w:t>
      </w:r>
      <w:r>
        <w:rPr>
          <w:rFonts w:hint="eastAsia" w:ascii="仿宋_GB2312" w:hAnsi="宋体" w:eastAsia="仿宋_GB2312" w:cs="宋体"/>
          <w:color w:val="auto"/>
          <w:kern w:val="0"/>
          <w:sz w:val="32"/>
          <w:szCs w:val="32"/>
          <w:highlight w:val="none"/>
          <w:lang w:val="en-US" w:eastAsia="zh-CN"/>
        </w:rPr>
        <w:t>2.39%，</w:t>
      </w:r>
      <w:r>
        <w:rPr>
          <w:rFonts w:hint="eastAsia" w:ascii="仿宋_GB2312" w:hAnsi="宋体" w:eastAsia="仿宋_GB2312" w:cs="宋体"/>
          <w:color w:val="auto"/>
          <w:kern w:val="0"/>
          <w:sz w:val="32"/>
          <w:szCs w:val="32"/>
          <w:highlight w:val="none"/>
          <w:lang w:eastAsia="zh-CN"/>
        </w:rPr>
        <w:t>主要原因是社保基数调整。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项目支出</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lang w:eastAsia="zh-CN"/>
        </w:rPr>
        <w:t>万元，占</w:t>
      </w:r>
      <w:r>
        <w:rPr>
          <w:rFonts w:hint="eastAsia" w:ascii="仿宋_GB2312" w:hAnsi="宋体" w:eastAsia="仿宋_GB2312" w:cs="宋体"/>
          <w:color w:val="auto"/>
          <w:kern w:val="0"/>
          <w:sz w:val="32"/>
          <w:szCs w:val="32"/>
          <w:highlight w:val="none"/>
          <w:lang w:val="en-US" w:eastAsia="zh-CN"/>
        </w:rPr>
        <w:t>43.52</w:t>
      </w:r>
      <w:r>
        <w:rPr>
          <w:rFonts w:hint="eastAsia" w:ascii="仿宋_GB2312" w:hAnsi="宋体" w:eastAsia="仿宋_GB2312" w:cs="宋体"/>
          <w:color w:val="auto"/>
          <w:kern w:val="0"/>
          <w:sz w:val="32"/>
          <w:szCs w:val="32"/>
          <w:highlight w:val="none"/>
          <w:lang w:eastAsia="zh-CN"/>
        </w:rPr>
        <w:t>%，比上</w:t>
      </w:r>
      <w:r>
        <w:rPr>
          <w:rFonts w:hint="eastAsia" w:ascii="仿宋_GB2312" w:hAnsi="宋体" w:eastAsia="仿宋_GB2312" w:cs="宋体"/>
          <w:color w:val="auto"/>
          <w:kern w:val="0"/>
          <w:sz w:val="32"/>
          <w:szCs w:val="32"/>
          <w:highlight w:val="none"/>
        </w:rPr>
        <w:t>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w:t>
      </w:r>
      <w:r>
        <w:rPr>
          <w:rFonts w:hint="eastAsia" w:ascii="仿宋_GB2312" w:hAnsi="宋体" w:eastAsia="仿宋_GB2312"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rPr>
        <w:t>财政拨款收支总预算</w:t>
      </w:r>
      <w:r>
        <w:rPr>
          <w:rFonts w:hint="eastAsia" w:ascii="仿宋_GB2312" w:hAnsi="宋体" w:eastAsia="仿宋_GB2312" w:cs="宋体"/>
          <w:color w:val="auto"/>
          <w:kern w:val="0"/>
          <w:sz w:val="32"/>
          <w:szCs w:val="32"/>
          <w:highlight w:val="none"/>
          <w:lang w:val="en-US" w:eastAsia="zh-CN"/>
        </w:rPr>
        <w:t>44.72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16" w:firstLineChars="200"/>
        <w:jc w:val="both"/>
        <w:textAlignment w:val="auto"/>
      </w:pPr>
      <w:r>
        <w:rPr>
          <w:rFonts w:hint="eastAsia" w:ascii="仿宋_GB2312" w:hAnsi="宋体" w:eastAsia="仿宋_GB2312" w:cs="宋体"/>
          <w:color w:val="auto"/>
          <w:spacing w:val="-6"/>
          <w:kern w:val="0"/>
          <w:sz w:val="32"/>
          <w:szCs w:val="32"/>
          <w:highlight w:val="none"/>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收入预算包括：一般公共预算拨款</w:t>
      </w:r>
      <w:r>
        <w:rPr>
          <w:rFonts w:hint="eastAsia" w:ascii="仿宋_GB2312" w:hAnsi="宋体" w:eastAsia="仿宋_GB2312" w:cs="宋体"/>
          <w:color w:val="auto"/>
          <w:kern w:val="0"/>
          <w:sz w:val="32"/>
          <w:szCs w:val="32"/>
          <w:highlight w:val="none"/>
          <w:lang w:val="en-US" w:eastAsia="zh-CN"/>
        </w:rPr>
        <w:t>44.72</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一般公共预算支出包括：社会保障和就业支出</w:t>
      </w:r>
      <w:r>
        <w:rPr>
          <w:rFonts w:hint="eastAsia" w:ascii="仿宋_GB2312" w:hAnsi="宋体" w:eastAsia="仿宋_GB2312" w:cs="宋体"/>
          <w:color w:val="auto"/>
          <w:kern w:val="0"/>
          <w:sz w:val="32"/>
          <w:szCs w:val="32"/>
          <w:highlight w:val="none"/>
          <w:lang w:val="en-US" w:eastAsia="zh-CN"/>
        </w:rPr>
        <w:t>1.32</w:t>
      </w:r>
      <w:r>
        <w:rPr>
          <w:rFonts w:hint="eastAsia" w:ascii="仿宋_GB2312" w:hAnsi="宋体" w:eastAsia="仿宋_GB2312" w:cs="宋体"/>
          <w:color w:val="auto"/>
          <w:kern w:val="0"/>
          <w:sz w:val="32"/>
          <w:szCs w:val="32"/>
          <w:highlight w:val="none"/>
        </w:rPr>
        <w:t>万元，主要用于</w:t>
      </w:r>
      <w:r>
        <w:rPr>
          <w:rFonts w:hint="eastAsia" w:ascii="仿宋_GB2312" w:hAnsi="宋体" w:eastAsia="仿宋_GB2312" w:cs="宋体"/>
          <w:color w:val="auto"/>
          <w:kern w:val="0"/>
          <w:sz w:val="32"/>
          <w:szCs w:val="32"/>
          <w:highlight w:val="none"/>
          <w:lang w:eastAsia="zh-CN"/>
        </w:rPr>
        <w:t>在编人员社保</w:t>
      </w:r>
      <w:r>
        <w:rPr>
          <w:rFonts w:hint="eastAsia" w:ascii="仿宋_GB2312" w:hAnsi="宋体" w:eastAsia="仿宋_GB2312" w:cs="宋体"/>
          <w:color w:val="auto"/>
          <w:kern w:val="0"/>
          <w:sz w:val="32"/>
          <w:szCs w:val="32"/>
          <w:highlight w:val="none"/>
        </w:rPr>
        <w:t>。卫生健康支出</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在编人员医保</w:t>
      </w:r>
      <w:r>
        <w:rPr>
          <w:rFonts w:hint="eastAsia" w:ascii="仿宋_GB2312" w:hAnsi="宋体" w:eastAsia="仿宋_GB2312" w:cs="宋体"/>
          <w:color w:val="auto"/>
          <w:kern w:val="0"/>
          <w:sz w:val="32"/>
          <w:szCs w:val="32"/>
          <w:highlight w:val="none"/>
        </w:rPr>
        <w:t>。自然资源海洋气象等支出</w:t>
      </w:r>
      <w:r>
        <w:rPr>
          <w:rFonts w:hint="eastAsia" w:ascii="仿宋_GB2312" w:hAnsi="宋体" w:eastAsia="仿宋_GB2312" w:cs="宋体"/>
          <w:color w:val="auto"/>
          <w:kern w:val="0"/>
          <w:sz w:val="32"/>
          <w:szCs w:val="32"/>
          <w:highlight w:val="none"/>
          <w:lang w:val="en-US" w:eastAsia="zh-CN"/>
        </w:rPr>
        <w:t>41.29</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在编人员基本工资、公用经费和</w:t>
      </w:r>
      <w:r>
        <w:rPr>
          <w:rFonts w:hint="eastAsia" w:ascii="仿宋_GB2312" w:hAnsi="宋体" w:eastAsia="仿宋_GB2312" w:cs="宋体"/>
          <w:color w:val="auto"/>
          <w:kern w:val="0"/>
          <w:sz w:val="32"/>
          <w:szCs w:val="32"/>
          <w:highlight w:val="none"/>
          <w:lang w:val="en-US" w:eastAsia="zh-CN"/>
        </w:rPr>
        <w:t>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。住房保障支出1.1</w:t>
      </w:r>
      <w:r>
        <w:rPr>
          <w:rFonts w:hint="eastAsia" w:ascii="仿宋_GB2312" w:hAnsi="宋体" w:eastAsia="仿宋_GB2312" w:cs="宋体"/>
          <w:color w:val="auto"/>
          <w:kern w:val="0"/>
          <w:sz w:val="32"/>
          <w:szCs w:val="32"/>
          <w:highlight w:val="none"/>
          <w:lang w:val="en-US" w:eastAsia="zh-CN"/>
        </w:rPr>
        <w:t>2</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eastAsia="zh-CN"/>
        </w:rPr>
        <w:t>在编人员住房公积金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一般公共预算拨款合计</w:t>
      </w:r>
      <w:r>
        <w:rPr>
          <w:rFonts w:hint="eastAsia" w:ascii="仿宋_GB2312" w:hAnsi="仿宋_GB2312" w:eastAsia="仿宋_GB2312" w:cs="仿宋_GB2312"/>
          <w:color w:val="auto"/>
          <w:kern w:val="0"/>
          <w:sz w:val="32"/>
          <w:szCs w:val="32"/>
          <w:highlight w:val="none"/>
          <w:lang w:val="en-US" w:eastAsia="zh-CN"/>
        </w:rPr>
        <w:t>44.72</w:t>
      </w:r>
      <w:r>
        <w:rPr>
          <w:rFonts w:hint="eastAsia" w:ascii="仿宋_GB2312" w:hAnsi="仿宋_GB2312" w:eastAsia="仿宋_GB2312" w:cs="仿宋_GB2312"/>
          <w:color w:val="auto"/>
          <w:kern w:val="0"/>
          <w:sz w:val="32"/>
          <w:szCs w:val="32"/>
          <w:highlight w:val="none"/>
        </w:rPr>
        <w:t>万元，其中：</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24.22</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54.16</w:t>
      </w:r>
      <w:r>
        <w:rPr>
          <w:rFonts w:hint="eastAsia" w:ascii="仿宋_GB2312" w:hAnsi="宋体" w:eastAsia="仿宋_GB2312" w:cs="宋体"/>
          <w:color w:val="auto"/>
          <w:kern w:val="0"/>
          <w:sz w:val="32"/>
          <w:szCs w:val="32"/>
          <w:highlight w:val="none"/>
        </w:rPr>
        <w:t>%，比上年预算增加</w:t>
      </w:r>
      <w:r>
        <w:rPr>
          <w:rFonts w:hint="eastAsia" w:ascii="仿宋_GB2312" w:hAnsi="宋体" w:eastAsia="仿宋_GB2312" w:cs="宋体"/>
          <w:color w:val="auto"/>
          <w:kern w:val="0"/>
          <w:sz w:val="32"/>
          <w:szCs w:val="32"/>
          <w:highlight w:val="none"/>
          <w:lang w:val="en-US" w:eastAsia="zh-CN"/>
        </w:rPr>
        <w:t>0.56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2.37%，</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社保基数调整</w:t>
      </w:r>
      <w:r>
        <w:rPr>
          <w:rFonts w:hint="eastAsia" w:ascii="仿宋_GB2312" w:hAnsi="宋体" w:eastAsia="仿宋_GB2312" w:cs="宋体"/>
          <w:color w:val="auto"/>
          <w:kern w:val="0"/>
          <w:sz w:val="32"/>
          <w:szCs w:val="32"/>
          <w:highlight w:val="none"/>
          <w:lang w:val="en-US" w:eastAsia="zh-CN"/>
        </w:rPr>
        <w:t>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45.84</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eastAsia="zh-CN"/>
        </w:rPr>
        <w:t>增加</w:t>
      </w:r>
      <w:r>
        <w:rPr>
          <w:rFonts w:hint="eastAsia" w:ascii="仿宋_GB2312" w:hAnsi="宋体" w:eastAsia="仿宋_GB2312" w:cs="宋体"/>
          <w:color w:val="auto"/>
          <w:kern w:val="0"/>
          <w:sz w:val="32"/>
          <w:szCs w:val="32"/>
          <w:highlight w:val="none"/>
          <w:lang w:val="en-US" w:eastAsia="zh-CN"/>
        </w:rPr>
        <w:t>20.50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本年度新增人工影响天气火箭弹及相关作业费用（非定额）项</w:t>
      </w:r>
      <w:r>
        <w:rPr>
          <w:rFonts w:hint="eastAsia" w:ascii="仿宋_GB2312" w:hAnsi="宋体" w:eastAsia="仿宋_GB2312" w:cs="宋体"/>
          <w:color w:val="auto"/>
          <w:kern w:val="0"/>
          <w:sz w:val="32"/>
          <w:szCs w:val="32"/>
          <w:highlight w:val="none"/>
          <w:lang w:eastAsia="zh-CN"/>
        </w:rPr>
        <w:t>目</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1.社会保障和就业（类）1.3</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2.95</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2.卫生健康（</w:t>
      </w:r>
      <w:r>
        <w:rPr>
          <w:rFonts w:hint="eastAsia" w:ascii="仿宋_GB2312" w:hAnsi="仿宋_GB2312" w:eastAsia="仿宋_GB2312" w:cs="仿宋_GB2312"/>
          <w:color w:val="auto"/>
          <w:sz w:val="32"/>
          <w:szCs w:val="32"/>
          <w:highlight w:val="none"/>
          <w:lang w:val="en-US" w:eastAsia="zh-CN"/>
        </w:rPr>
        <w:t>类</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2.24</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3.自然资源海洋气象等</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41.29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92.33</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4.住房保障</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val="en-US" w:eastAsia="zh-CN"/>
        </w:rPr>
        <w:t>1.12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2.50</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1.社会保障和就业支出（类）行政事业单位养老支出（款）机关事业单位基本养老保险缴费支出（项）: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1.32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0.02</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1.54</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社保基数调整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2.卫生健康支出（类）行政事业单位医疗（款）事业单位医疗（项）: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0.66</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1.54</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医保基数调整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.卫生健康支出（类）行政事业单位医疗（款）公务员医疗补助（项）: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0.33</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0.15</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83.33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医保基数调整</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.卫生健康支出（类）行政事业单位医疗（款）其他行政事业单位医疗支出（项）: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预算数为0.01万元，比上年预算增加</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本部门只有一个在编人员，2024年和2025年大病医疗金额未发生变化</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.自然资源海洋气象等支出（类）气象事务（款）气象事业机构（项）: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20.79</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0.37</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1.81</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eastAsia="zh-CN"/>
        </w:rPr>
        <w:t>编外人员医保社保基数调整</w:t>
      </w:r>
      <w:r>
        <w:rPr>
          <w:rFonts w:hint="eastAsia" w:ascii="仿宋_GB2312" w:hAnsi="仿宋_GB2312" w:eastAsia="仿宋_GB2312" w:cs="仿宋_GB2312"/>
          <w:color w:val="auto"/>
          <w:kern w:val="0"/>
          <w:sz w:val="32"/>
          <w:szCs w:val="32"/>
          <w:highlight w:val="none"/>
        </w:rPr>
        <w:t>。</w:t>
      </w:r>
    </w:p>
    <w:p>
      <w:pPr>
        <w:pStyle w:val="2"/>
        <w:keepNext w:val="0"/>
        <w:keepLines w:val="0"/>
        <w:pageBreakBefore w:val="0"/>
        <w:widowControl w:val="0"/>
        <w:kinsoku/>
        <w:wordWrap/>
        <w:overflowPunct/>
        <w:topLinePunct w:val="0"/>
        <w:autoSpaceDE/>
        <w:autoSpaceDN/>
        <w:bidi w:val="0"/>
        <w:adjustRightInd/>
        <w:snapToGrid w:val="0"/>
        <w:ind w:firstLine="640" w:firstLineChars="200"/>
        <w:textAlignment w:val="auto"/>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6.自然资源海洋气象等支出（类）气象事务（款）气象服务（项）:2025年预算数为20.50万元，比上年预算增加20.5万元，增长100%，主要原因是：本年度新增人工影响天气火箭弹及相关作业费用（非定额）项目。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7</w:t>
      </w:r>
      <w:r>
        <w:rPr>
          <w:rFonts w:hint="eastAsia" w:ascii="仿宋_GB2312" w:hAnsi="仿宋_GB2312" w:eastAsia="仿宋_GB2312" w:cs="仿宋_GB2312"/>
          <w:color w:val="auto"/>
          <w:kern w:val="0"/>
          <w:sz w:val="32"/>
          <w:szCs w:val="32"/>
          <w:highlight w:val="none"/>
        </w:rPr>
        <w:t>.住房保障支出（类）住房改革支出（款）住房公积金（项）:</w:t>
      </w: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0.12</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0.01</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9.09</w:t>
      </w:r>
      <w:r>
        <w:rPr>
          <w:rFonts w:hint="eastAsia" w:ascii="仿宋_GB2312" w:hAnsi="仿宋_GB2312" w:eastAsia="仿宋_GB2312" w:cs="仿宋_GB2312"/>
          <w:color w:val="auto"/>
          <w:kern w:val="0"/>
          <w:sz w:val="32"/>
          <w:szCs w:val="32"/>
          <w:highlight w:val="none"/>
        </w:rPr>
        <w:t>%，主要原因是：</w:t>
      </w:r>
      <w:r>
        <w:rPr>
          <w:rFonts w:hint="eastAsia" w:ascii="仿宋_GB2312" w:hAnsi="宋体" w:eastAsia="仿宋_GB2312" w:cs="宋体"/>
          <w:color w:val="auto"/>
          <w:kern w:val="0"/>
          <w:sz w:val="32"/>
          <w:szCs w:val="32"/>
          <w:highlight w:val="none"/>
          <w:lang w:eastAsia="zh-CN"/>
        </w:rPr>
        <w:t>公积金基数调整。</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呼图壁县人工影响天气办公室202</w:t>
      </w:r>
      <w:r>
        <w:rPr>
          <w:rFonts w:hint="eastAsia" w:ascii="楷体_GB2312" w:hAnsi="楷体_GB2312" w:eastAsia="楷体_GB2312" w:cs="楷体_GB2312"/>
          <w:b/>
          <w:bCs/>
          <w:color w:val="auto"/>
          <w:spacing w:val="-6"/>
          <w:kern w:val="0"/>
          <w:sz w:val="32"/>
          <w:szCs w:val="32"/>
          <w:highlight w:val="none"/>
          <w:lang w:val="en-US" w:eastAsia="zh-CN"/>
        </w:rPr>
        <w:t>5</w:t>
      </w:r>
      <w:r>
        <w:rPr>
          <w:rFonts w:hint="eastAsia" w:ascii="楷体_GB2312" w:hAnsi="楷体_GB2312" w:eastAsia="楷体_GB2312" w:cs="楷体_GB2312"/>
          <w:b/>
          <w:bCs/>
          <w:color w:val="auto"/>
          <w:spacing w:val="-6"/>
          <w:kern w:val="0"/>
          <w:sz w:val="32"/>
          <w:szCs w:val="32"/>
          <w:highlight w:val="none"/>
          <w:lang w:eastAsia="zh-CN"/>
        </w:rPr>
        <w:t>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w:t>
      </w:r>
      <w:r>
        <w:rPr>
          <w:rFonts w:hint="eastAsia" w:ascii="仿宋_GB2312" w:hAnsi="宋体" w:eastAsia="仿宋_GB2312" w:cs="宋体"/>
          <w:color w:val="auto"/>
          <w:spacing w:val="-6"/>
          <w:kern w:val="0"/>
          <w:sz w:val="32"/>
          <w:szCs w:val="32"/>
          <w:highlight w:val="none"/>
          <w:lang w:eastAsia="zh-CN"/>
        </w:rPr>
        <w:t>202</w:t>
      </w:r>
      <w:r>
        <w:rPr>
          <w:rFonts w:hint="eastAsia" w:ascii="仿宋_GB2312" w:hAnsi="宋体" w:eastAsia="仿宋_GB2312" w:cs="宋体"/>
          <w:color w:val="auto"/>
          <w:spacing w:val="-6"/>
          <w:kern w:val="0"/>
          <w:sz w:val="32"/>
          <w:szCs w:val="32"/>
          <w:highlight w:val="none"/>
          <w:lang w:val="en-US" w:eastAsia="zh-CN"/>
        </w:rPr>
        <w:t>5</w:t>
      </w:r>
      <w:r>
        <w:rPr>
          <w:rFonts w:hint="eastAsia" w:ascii="仿宋_GB2312" w:hAnsi="宋体" w:eastAsia="仿宋_GB2312" w:cs="宋体"/>
          <w:color w:val="auto"/>
          <w:spacing w:val="-6"/>
          <w:kern w:val="0"/>
          <w:sz w:val="32"/>
          <w:szCs w:val="32"/>
          <w:highlight w:val="none"/>
          <w:lang w:eastAsia="zh-CN"/>
        </w:rPr>
        <w:t>年</w:t>
      </w:r>
      <w:r>
        <w:rPr>
          <w:rFonts w:hint="eastAsia" w:ascii="仿宋_GB2312" w:hAnsi="宋体" w:eastAsia="仿宋_GB2312" w:cs="宋体"/>
          <w:color w:val="auto"/>
          <w:spacing w:val="-6"/>
          <w:kern w:val="0"/>
          <w:sz w:val="32"/>
          <w:szCs w:val="32"/>
          <w:highlight w:val="none"/>
        </w:rPr>
        <w:t>一般公共预算基本支出</w:t>
      </w:r>
      <w:r>
        <w:rPr>
          <w:rFonts w:hint="eastAsia" w:ascii="仿宋_GB2312" w:hAnsi="宋体" w:eastAsia="仿宋_GB2312" w:cs="宋体"/>
          <w:color w:val="auto"/>
          <w:spacing w:val="-6"/>
          <w:kern w:val="0"/>
          <w:sz w:val="32"/>
          <w:szCs w:val="32"/>
          <w:highlight w:val="none"/>
          <w:lang w:val="en-US" w:eastAsia="zh-CN"/>
        </w:rPr>
        <w:t>24.22</w:t>
      </w:r>
      <w:r>
        <w:rPr>
          <w:rFonts w:hint="eastAsia" w:ascii="仿宋_GB2312" w:hAnsi="宋体" w:eastAsia="仿宋_GB2312" w:cs="宋体"/>
          <w:color w:val="auto"/>
          <w:spacing w:val="-6"/>
          <w:kern w:val="0"/>
          <w:sz w:val="32"/>
          <w:szCs w:val="32"/>
          <w:highlight w:val="none"/>
        </w:rPr>
        <w:t>万元，其中：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12.83</w:t>
      </w:r>
      <w:r>
        <w:rPr>
          <w:rFonts w:hint="eastAsia" w:ascii="仿宋_GB2312" w:hAnsi="宋体" w:eastAsia="仿宋_GB2312" w:cs="宋体"/>
          <w:color w:val="auto"/>
          <w:kern w:val="0"/>
          <w:sz w:val="32"/>
          <w:szCs w:val="32"/>
          <w:highlight w:val="none"/>
        </w:rPr>
        <w:t>万元，主要包括：基本工资、津贴补贴、奖金、绩效工资、机关事业单位基本养老保险缴费、职工基本医疗保险缴费、公务员医疗补助缴费、其他社会保障缴费、住房公积金</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11.39</w:t>
      </w:r>
      <w:r>
        <w:rPr>
          <w:rFonts w:hint="eastAsia" w:ascii="仿宋_GB2312" w:hAnsi="宋体" w:eastAsia="仿宋_GB2312" w:cs="宋体"/>
          <w:color w:val="auto"/>
          <w:kern w:val="0"/>
          <w:sz w:val="32"/>
          <w:szCs w:val="32"/>
          <w:highlight w:val="none"/>
        </w:rPr>
        <w:t>万元，主要包括：手续费</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培训费、劳务费、工会经费</w:t>
      </w:r>
      <w:r>
        <w:rPr>
          <w:rFonts w:hint="eastAsia" w:ascii="仿宋_GB2312" w:hAnsi="宋体" w:eastAsia="仿宋_GB2312" w:cs="宋体"/>
          <w:color w:val="auto"/>
          <w:kern w:val="0"/>
          <w:sz w:val="32"/>
          <w:szCs w:val="32"/>
          <w:highlight w:val="none"/>
          <w:lang w:eastAsia="zh-CN"/>
        </w:rPr>
        <w:t>等</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spacing w:val="-6"/>
          <w:kern w:val="0"/>
          <w:sz w:val="32"/>
          <w:szCs w:val="32"/>
          <w:highlight w:val="none"/>
          <w:lang w:val="en-US" w:eastAsia="zh-CN"/>
        </w:rPr>
        <w:t>2025</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人工影响天气火箭弹及相关作业费用（非定额）</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新政办发〔2021〕5号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《关于印发推进新疆人工影响天气工作高质量发展实施方案的通知》、国办发〔2020〕47号</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《国务院办公厅关于推进人工影响天气工作高质量发展的意见》</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 xml:space="preserve">    </w:t>
      </w: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20.5万元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eastAsia="zh-CN"/>
        </w:rPr>
        <w:t>呼图壁县人工影响天</w:t>
      </w:r>
      <w:bookmarkStart w:id="1" w:name="_GoBack"/>
      <w:bookmarkEnd w:id="1"/>
      <w:r>
        <w:rPr>
          <w:rFonts w:hint="eastAsia" w:ascii="仿宋_GB2312" w:hAnsi="宋体" w:eastAsia="仿宋_GB2312" w:cs="宋体"/>
          <w:color w:val="auto"/>
          <w:kern w:val="0"/>
          <w:sz w:val="32"/>
          <w:szCs w:val="32"/>
          <w:highlight w:val="none"/>
          <w:lang w:eastAsia="zh-CN"/>
        </w:rPr>
        <w:t>气办公室</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黑体" w:eastAsia="仿宋_GB2312"/>
          <w:color w:val="auto"/>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eastAsia="zh-CN"/>
        </w:rPr>
        <w:t>专用材料费</w:t>
      </w:r>
      <w:r>
        <w:rPr>
          <w:rFonts w:hint="eastAsia" w:ascii="仿宋_GB2312" w:hAnsi="黑体" w:eastAsia="仿宋_GB2312"/>
          <w:color w:val="auto"/>
          <w:sz w:val="32"/>
          <w:szCs w:val="32"/>
          <w:highlight w:val="none"/>
          <w:lang w:val="en-US" w:eastAsia="zh-CN"/>
        </w:rPr>
        <w:t>19.80万元、委托业务费0.30万元、培训费0.40万元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2025年1月1日-2025年12月31日</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八</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spacing w:val="-6"/>
          <w:kern w:val="0"/>
          <w:sz w:val="32"/>
          <w:szCs w:val="32"/>
          <w:highlight w:val="none"/>
          <w:lang w:eastAsia="zh-CN"/>
        </w:rPr>
        <w:t>呼图壁县人工影响天气办公室</w:t>
      </w:r>
      <w:r>
        <w:rPr>
          <w:rFonts w:hint="eastAsia" w:ascii="楷体_GB2312" w:hAnsi="楷体_GB2312" w:eastAsia="楷体_GB2312" w:cs="楷体_GB2312"/>
          <w:b/>
          <w:bCs/>
          <w:color w:val="auto"/>
          <w:kern w:val="0"/>
          <w:sz w:val="32"/>
          <w:szCs w:val="32"/>
          <w:highlight w:val="none"/>
          <w:lang w:eastAsia="zh-CN"/>
        </w:rPr>
        <w:t>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呼图壁县人工影响天气办公室202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“三公”经费数为</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万元，其中：因公出国（境）费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万元，公务用车运行费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万元，公务接待费</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w:t>
      </w:r>
      <w:r>
        <w:rPr>
          <w:rFonts w:hint="eastAsia" w:ascii="仿宋_GB2312" w:hAnsi="宋体" w:eastAsia="仿宋_GB2312" w:cs="宋体"/>
          <w:color w:val="auto"/>
          <w:kern w:val="0"/>
          <w:sz w:val="32"/>
          <w:szCs w:val="32"/>
          <w:highlight w:val="none"/>
          <w:lang w:val="en-US" w:eastAsia="zh-CN"/>
        </w:rPr>
        <w:t>5</w:t>
      </w:r>
      <w:r>
        <w:rPr>
          <w:rFonts w:hint="eastAsia" w:ascii="仿宋_GB2312" w:hAnsi="宋体" w:eastAsia="仿宋_GB2312" w:cs="宋体"/>
          <w:color w:val="auto"/>
          <w:kern w:val="0"/>
          <w:sz w:val="32"/>
          <w:szCs w:val="32"/>
          <w:highlight w:val="none"/>
          <w:lang w:eastAsia="zh-CN"/>
        </w:rPr>
        <w:t>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rPr>
        <w:t>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其中：因公出国（境）费增加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主要原因是因公出国（境）费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公务用车购置费增加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主要原因是公务用车购置费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主要原因是公务用车运行费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预算；公务接待费增加</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主要原因是公务接待费</w:t>
      </w:r>
      <w:r>
        <w:rPr>
          <w:rFonts w:hint="eastAsia" w:ascii="仿宋_GB2312" w:hAnsi="宋体" w:eastAsia="仿宋_GB2312" w:cs="宋体"/>
          <w:color w:val="auto"/>
          <w:kern w:val="0"/>
          <w:sz w:val="32"/>
          <w:szCs w:val="32"/>
          <w:highlight w:val="none"/>
          <w:lang w:val="en-US" w:eastAsia="zh-CN"/>
        </w:rPr>
        <w:t>2024年、2025</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均</w:t>
      </w:r>
      <w:r>
        <w:rPr>
          <w:rFonts w:hint="eastAsia" w:ascii="仿宋_GB2312" w:hAnsi="宋体" w:eastAsia="仿宋_GB2312" w:cs="宋体"/>
          <w:color w:val="auto"/>
          <w:kern w:val="0"/>
          <w:sz w:val="32"/>
          <w:szCs w:val="32"/>
          <w:highlight w:val="none"/>
        </w:rPr>
        <w:t>未安排</w:t>
      </w:r>
      <w:r>
        <w:rPr>
          <w:rFonts w:hint="eastAsia" w:ascii="仿宋_GB2312" w:hAnsi="宋体" w:eastAsia="仿宋_GB2312" w:cs="宋体"/>
          <w:color w:val="auto"/>
          <w:kern w:val="0"/>
          <w:sz w:val="32"/>
          <w:szCs w:val="32"/>
          <w:highlight w:val="none"/>
          <w:lang w:val="en-US" w:eastAsia="zh-CN"/>
        </w:rPr>
        <w:t>此项</w:t>
      </w:r>
      <w:r>
        <w:rPr>
          <w:rFonts w:hint="eastAsia" w:ascii="仿宋_GB2312" w:hAnsi="宋体" w:eastAsia="仿宋_GB2312" w:cs="宋体"/>
          <w:color w:val="auto"/>
          <w:kern w:val="0"/>
          <w:sz w:val="32"/>
          <w:szCs w:val="32"/>
          <w:highlight w:val="none"/>
        </w:rPr>
        <w:t>预算。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eastAsia="zh-CN"/>
        </w:rPr>
        <w:t>呼图壁县人工影响天气办公室202</w:t>
      </w:r>
      <w:r>
        <w:rPr>
          <w:rFonts w:hint="eastAsia" w:ascii="楷体_GB2312" w:hAnsi="楷体_GB2312" w:eastAsia="楷体_GB2312" w:cs="楷体_GB2312"/>
          <w:b/>
          <w:bCs/>
          <w:color w:val="auto"/>
          <w:kern w:val="0"/>
          <w:sz w:val="32"/>
          <w:szCs w:val="32"/>
          <w:highlight w:val="none"/>
          <w:lang w:val="en-US" w:eastAsia="zh-CN"/>
        </w:rPr>
        <w:t>5</w:t>
      </w:r>
      <w:r>
        <w:rPr>
          <w:rFonts w:hint="eastAsia" w:ascii="楷体_GB2312" w:hAnsi="楷体_GB2312" w:eastAsia="楷体_GB2312" w:cs="楷体_GB2312"/>
          <w:b/>
          <w:bCs/>
          <w:color w:val="auto"/>
          <w:kern w:val="0"/>
          <w:sz w:val="32"/>
          <w:szCs w:val="32"/>
          <w:highlight w:val="none"/>
          <w:lang w:eastAsia="zh-CN"/>
        </w:rPr>
        <w:t>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呼图壁县人工影响天气办公室202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lang w:val="en-US" w:eastAsia="zh-CN"/>
        </w:rPr>
        <w:t>无上年结转结余</w:t>
      </w:r>
      <w:r>
        <w:rPr>
          <w:rFonts w:hint="eastAsia" w:ascii="仿宋_GB2312" w:hAnsi="仿宋_GB2312" w:eastAsia="仿宋_GB2312" w:cs="仿宋_GB2312"/>
          <w:color w:val="auto"/>
          <w:kern w:val="0"/>
          <w:sz w:val="32"/>
          <w:szCs w:val="32"/>
          <w:highlight w:val="none"/>
        </w:rPr>
        <w:t>预算的支出，</w:t>
      </w:r>
      <w:r>
        <w:rPr>
          <w:rFonts w:hint="eastAsia" w:ascii="仿宋_GB2312" w:hAnsi="仿宋_GB2312" w:eastAsia="仿宋_GB2312" w:cs="仿宋_GB2312"/>
          <w:color w:val="auto"/>
          <w:kern w:val="0"/>
          <w:sz w:val="32"/>
          <w:szCs w:val="32"/>
          <w:highlight w:val="none"/>
          <w:lang w:val="en-US" w:eastAsia="zh-CN"/>
        </w:rPr>
        <w:t>结转结余</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lang w:val="en-US" w:eastAsia="zh-CN"/>
        </w:rPr>
        <w:t>2025</w:t>
      </w:r>
      <w:r>
        <w:rPr>
          <w:rFonts w:hint="eastAsia" w:ascii="仿宋_GB2312" w:hAnsi="仿宋_GB2312" w:eastAsia="仿宋_GB2312" w:cs="仿宋_GB2312"/>
          <w:color w:val="auto"/>
          <w:kern w:val="0"/>
          <w:sz w:val="32"/>
          <w:szCs w:val="32"/>
          <w:highlight w:val="none"/>
        </w:rPr>
        <w:t>年的</w:t>
      </w:r>
      <w:r>
        <w:rPr>
          <w:rFonts w:hint="eastAsia" w:ascii="仿宋_GB2312" w:hAnsi="仿宋_GB2312" w:eastAsia="仿宋_GB2312" w:cs="仿宋_GB2312"/>
          <w:color w:val="auto"/>
          <w:kern w:val="0"/>
          <w:sz w:val="32"/>
          <w:szCs w:val="32"/>
          <w:highlight w:val="none"/>
          <w:lang w:val="en-US" w:eastAsia="zh-CN"/>
        </w:rPr>
        <w:t>事业单位</w:t>
      </w:r>
      <w:r>
        <w:rPr>
          <w:rFonts w:hint="eastAsia" w:ascii="仿宋_GB2312" w:hAnsi="仿宋_GB2312" w:eastAsia="仿宋_GB2312" w:cs="仿宋_GB2312"/>
          <w:color w:val="auto"/>
          <w:kern w:val="0"/>
          <w:sz w:val="32"/>
          <w:szCs w:val="32"/>
          <w:highlight w:val="none"/>
        </w:rPr>
        <w:t>运行经费财政拨款</w:t>
      </w:r>
      <w:r>
        <w:rPr>
          <w:rFonts w:hint="eastAsia" w:ascii="仿宋_GB2312" w:hAnsi="仿宋_GB2312" w:eastAsia="仿宋_GB2312" w:cs="仿宋_GB2312"/>
          <w:color w:val="auto"/>
          <w:kern w:val="0"/>
          <w:sz w:val="32"/>
          <w:szCs w:val="32"/>
          <w:highlight w:val="none"/>
          <w:lang w:eastAsia="zh-CN"/>
        </w:rPr>
        <w:t>预算</w:t>
      </w:r>
      <w:r>
        <w:rPr>
          <w:rFonts w:hint="eastAsia" w:ascii="仿宋_GB2312" w:hAnsi="仿宋_GB2312" w:eastAsia="仿宋_GB2312" w:cs="仿宋_GB2312"/>
          <w:color w:val="auto"/>
          <w:kern w:val="0"/>
          <w:sz w:val="32"/>
          <w:szCs w:val="32"/>
          <w:highlight w:val="none"/>
          <w:lang w:val="en-US" w:eastAsia="zh-CN"/>
        </w:rPr>
        <w:t>11.39</w:t>
      </w:r>
      <w:r>
        <w:rPr>
          <w:rFonts w:hint="eastAsia" w:ascii="仿宋_GB2312" w:hAnsi="仿宋_GB2312" w:eastAsia="仿宋_GB2312" w:cs="仿宋_GB2312"/>
          <w:color w:val="auto"/>
          <w:kern w:val="0"/>
          <w:sz w:val="32"/>
          <w:szCs w:val="32"/>
          <w:highlight w:val="none"/>
          <w:lang w:eastAsia="zh-CN"/>
        </w:rPr>
        <w:t>万元，比上年预算增加</w:t>
      </w:r>
      <w:r>
        <w:rPr>
          <w:rFonts w:hint="eastAsia" w:ascii="仿宋_GB2312" w:hAnsi="仿宋_GB2312" w:eastAsia="仿宋_GB2312" w:cs="仿宋_GB2312"/>
          <w:color w:val="auto"/>
          <w:kern w:val="0"/>
          <w:sz w:val="32"/>
          <w:szCs w:val="32"/>
          <w:highlight w:val="none"/>
          <w:lang w:val="en-US" w:eastAsia="zh-CN"/>
        </w:rPr>
        <w:t>11.04</w:t>
      </w:r>
      <w:r>
        <w:rPr>
          <w:rFonts w:hint="eastAsia" w:ascii="仿宋_GB2312" w:hAnsi="仿宋_GB2312" w:eastAsia="仿宋_GB2312" w:cs="仿宋_GB2312"/>
          <w:color w:val="auto"/>
          <w:kern w:val="0"/>
          <w:sz w:val="32"/>
          <w:szCs w:val="32"/>
          <w:highlight w:val="none"/>
          <w:lang w:eastAsia="zh-CN"/>
        </w:rPr>
        <w:t>万元，增长</w:t>
      </w:r>
      <w:r>
        <w:rPr>
          <w:rFonts w:hint="eastAsia" w:ascii="仿宋_GB2312" w:hAnsi="仿宋_GB2312" w:eastAsia="仿宋_GB2312" w:cs="仿宋_GB2312"/>
          <w:color w:val="auto"/>
          <w:kern w:val="0"/>
          <w:sz w:val="32"/>
          <w:szCs w:val="32"/>
          <w:highlight w:val="none"/>
          <w:lang w:val="en-US" w:eastAsia="zh-CN"/>
        </w:rPr>
        <w:t>3154.29</w:t>
      </w:r>
      <w:r>
        <w:rPr>
          <w:rFonts w:hint="eastAsia" w:ascii="仿宋_GB2312" w:hAnsi="仿宋_GB2312" w:eastAsia="仿宋_GB2312" w:cs="仿宋_GB2312"/>
          <w:color w:val="auto"/>
          <w:kern w:val="0"/>
          <w:sz w:val="32"/>
          <w:szCs w:val="32"/>
          <w:highlight w:val="none"/>
          <w:lang w:eastAsia="zh-CN"/>
        </w:rPr>
        <w:t>%。主要原因是将编外人员经费由其他工资福利支出调整为劳务费</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政府采购预算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万元，其中：政府采购货物预算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万元，政府采购工程预算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万元，政府采购服务预算</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呼图壁县人工影响天气办公室面向中小企业预留政府采购项目预算金额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r>
        <w:rPr>
          <w:rFonts w:hint="eastAsia" w:ascii="仿宋_GB2312" w:hAnsi="仿宋_GB2312" w:eastAsia="仿宋_GB2312" w:cs="仿宋_GB2312"/>
          <w:color w:val="auto"/>
          <w:kern w:val="0"/>
          <w:sz w:val="32"/>
          <w:szCs w:val="32"/>
          <w:highlight w:val="none"/>
          <w:lang w:val="en-US" w:eastAsia="zh-CN"/>
        </w:rPr>
        <w:t>小微</w:t>
      </w:r>
      <w:r>
        <w:rPr>
          <w:rFonts w:hint="eastAsia" w:ascii="仿宋_GB2312" w:hAnsi="仿宋_GB2312" w:eastAsia="仿宋_GB2312" w:cs="仿宋_GB2312"/>
          <w:color w:val="auto"/>
          <w:kern w:val="0"/>
          <w:sz w:val="32"/>
          <w:szCs w:val="32"/>
          <w:highlight w:val="none"/>
          <w:lang w:eastAsia="zh-CN"/>
        </w:rPr>
        <w:t>企业预留政府采购项目预算金额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2024</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呼图壁县人工影响天气办公室</w:t>
      </w:r>
      <w:r>
        <w:rPr>
          <w:rFonts w:hint="eastAsia" w:ascii="仿宋_GB2312" w:hAnsi="仿宋_GB2312" w:eastAsia="仿宋_GB2312" w:cs="仿宋_GB2312"/>
          <w:color w:val="auto"/>
          <w:kern w:val="0"/>
          <w:sz w:val="32"/>
          <w:szCs w:val="32"/>
          <w:highlight w:val="none"/>
        </w:rPr>
        <w:t>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平方米，价值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万元；其中：一般公务用车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万元；执法执勤用车</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万元；其他车辆</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辆，价值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r>
        <w:rPr>
          <w:rFonts w:hint="eastAsia" w:ascii="仿宋_GB2312" w:hAnsi="仿宋_GB2312" w:eastAsia="仿宋_GB2312" w:cs="仿宋_GB2312"/>
          <w:color w:val="auto"/>
          <w:kern w:val="0"/>
          <w:sz w:val="32"/>
          <w:szCs w:val="32"/>
          <w:highlight w:val="none"/>
          <w:lang w:val="en-US" w:eastAsia="zh-CN"/>
        </w:rPr>
        <w:t>部门</w:t>
      </w:r>
      <w:r>
        <w:rPr>
          <w:rFonts w:hint="eastAsia" w:ascii="仿宋_GB2312" w:hAnsi="仿宋_GB2312" w:eastAsia="仿宋_GB2312" w:cs="仿宋_GB2312"/>
          <w:color w:val="auto"/>
          <w:kern w:val="0"/>
          <w:sz w:val="32"/>
          <w:szCs w:val="32"/>
          <w:highlight w:val="none"/>
        </w:rPr>
        <w:t>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lang w:eastAsia="zh-CN"/>
        </w:rPr>
        <w:t>年</w:t>
      </w:r>
      <w:r>
        <w:rPr>
          <w:rFonts w:hint="eastAsia" w:ascii="仿宋_GB2312" w:hAnsi="仿宋_GB2312" w:eastAsia="仿宋_GB2312" w:cs="仿宋_GB2312"/>
          <w:color w:val="auto"/>
          <w:kern w:val="0"/>
          <w:sz w:val="32"/>
          <w:szCs w:val="32"/>
          <w:highlight w:val="none"/>
        </w:rPr>
        <w:t>单位预算未安排购置车辆经费，安排购置50万元以上大型设备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台，单位价值100万元以上大型设备</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台。</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bookmarkStart w:id="0" w:name="OLE_LINK1"/>
      <w:r>
        <w:rPr>
          <w:rFonts w:hint="default" w:ascii="Times New Roman" w:hAnsi="Times New Roman" w:eastAsia="仿宋_GB2312" w:cs="Times New Roman"/>
          <w:color w:val="auto"/>
          <w:kern w:val="0"/>
          <w:sz w:val="32"/>
          <w:szCs w:val="32"/>
          <w:highlight w:val="none"/>
        </w:rPr>
        <w:t>202</w:t>
      </w:r>
      <w:r>
        <w:rPr>
          <w:rFonts w:hint="default" w:ascii="Times New Roman" w:hAnsi="Times New Roman" w:eastAsia="仿宋_GB2312" w:cs="Times New Roman"/>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整体预算绩效目标1个，涉及预算金额47.11万元；当年预算安排项目共1个，其中:</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涉及预算金额20.50万元；</w:t>
      </w:r>
      <w:r>
        <w:rPr>
          <w:rFonts w:hint="eastAsia" w:ascii="仿宋_GB2312" w:hAnsi="仿宋_GB2312" w:eastAsia="仿宋_GB2312" w:cs="仿宋_GB2312"/>
          <w:color w:val="auto"/>
          <w:kern w:val="0"/>
          <w:sz w:val="32"/>
          <w:szCs w:val="32"/>
          <w:highlight w:val="none"/>
          <w:lang w:val="en-US" w:eastAsia="zh-Hans"/>
        </w:rPr>
        <w:t>非财政拨款项目</w:t>
      </w:r>
      <w:r>
        <w:rPr>
          <w:rFonts w:hint="eastAsia" w:ascii="仿宋_GB2312" w:hAnsi="仿宋_GB2312" w:eastAsia="仿宋_GB2312" w:cs="仿宋_GB2312"/>
          <w:color w:val="auto"/>
          <w:kern w:val="0"/>
          <w:sz w:val="32"/>
          <w:szCs w:val="32"/>
          <w:highlight w:val="none"/>
        </w:rPr>
        <w:t>涉及预算金额</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万元。具体情况见下表：</w:t>
      </w:r>
    </w:p>
    <w:bookmarkEnd w:id="0"/>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p>
    <w:tbl>
      <w:tblPr>
        <w:tblStyle w:val="7"/>
        <w:tblpPr w:leftFromText="180" w:rightFromText="180" w:vertAnchor="text" w:horzAnchor="page" w:tblpX="1210" w:tblpY="-1043"/>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488"/>
        <w:gridCol w:w="14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9340" w:type="dxa"/>
            <w:gridSpan w:val="6"/>
            <w:tcBorders>
              <w:top w:val="nil"/>
              <w:left w:val="nil"/>
              <w:bottom w:val="nil"/>
              <w:right w:val="nil"/>
            </w:tcBorders>
            <w:noWrap w:val="0"/>
            <w:vAlign w:val="center"/>
          </w:tcPr>
          <w:p>
            <w:pPr>
              <w:pStyle w:val="2"/>
              <w:rPr>
                <w:rFonts w:hint="eastAsia" w:ascii="仿宋_GB2312" w:hAnsi="宋体" w:eastAsia="仿宋_GB2312" w:cs="仿宋_GB2312"/>
                <w:b/>
                <w:color w:val="000000"/>
                <w:kern w:val="0"/>
                <w:sz w:val="32"/>
                <w:szCs w:val="32"/>
                <w:highlight w:val="none"/>
                <w:lang w:val="en-US" w:eastAsia="zh-CN" w:bidi="ar"/>
              </w:rPr>
            </w:pPr>
          </w:p>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呼图壁县人工影响天气办公室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单位</w:t>
            </w:r>
            <w:r>
              <w:rPr>
                <w:rFonts w:hint="eastAsia" w:ascii="宋体" w:hAnsi="宋体" w:eastAsia="宋体" w:cs="宋体"/>
                <w:i w:val="0"/>
                <w:iCs w:val="0"/>
                <w:color w:val="000000"/>
                <w:kern w:val="0"/>
                <w:sz w:val="20"/>
                <w:szCs w:val="20"/>
                <w:highlight w:val="none"/>
                <w:u w:val="none"/>
                <w:lang w:val="en-US" w:eastAsia="zh-CN" w:bidi="ar"/>
              </w:rPr>
              <w:t>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lang w:eastAsia="zh-CN"/>
              </w:rPr>
            </w:pPr>
            <w:r>
              <w:rPr>
                <w:rFonts w:hint="eastAsia" w:ascii="宋体" w:hAnsi="宋体" w:cs="宋体"/>
                <w:i w:val="0"/>
                <w:iCs w:val="0"/>
                <w:color w:val="000000"/>
                <w:sz w:val="20"/>
                <w:szCs w:val="20"/>
                <w:highlight w:val="none"/>
                <w:u w:val="none"/>
                <w:lang w:eastAsia="zh-CN"/>
              </w:rPr>
              <w:t>李念铎</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13179941750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把防灾减灾放在工作首位，通过拟定2025年人工影响天气工作思路，抓住一切有利天气，组织实施人工增雨抗旱作业，增加工程蓄水，使我县旱情可以得到最大限度地缓解，并降低森林火险等级，为我县农牧业生产提供人工影响天气服务。开展员工的技能培训，增强单位员工作业能力，保证人工增水任务的正常开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44.72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人工影响天气作业合格率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&gt;=80%</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人工影响天气作业次数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&gt;=2次</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b w:val="0"/>
                <w:bCs/>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人工影响天气技能培训人次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&gt;=2人</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trPr>
        <w:tc>
          <w:tcPr>
            <w:tcW w:w="1122"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0"/>
                <w:szCs w:val="20"/>
                <w:highlight w:val="none"/>
                <w:u w:val="none"/>
                <w:lang w:val="en-US" w:eastAsia="zh-CN" w:bidi="ar"/>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人工增水及时率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&gt;=90%</w:t>
            </w:r>
          </w:p>
        </w:tc>
        <w:tc>
          <w:tcPr>
            <w:tcW w:w="248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呼图壁县2025年人工影响天气工作计划</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i w:val="0"/>
                <w:iCs w:val="0"/>
                <w:color w:val="000000"/>
                <w:sz w:val="20"/>
                <w:szCs w:val="20"/>
                <w:highlight w:val="none"/>
                <w:u w:val="none"/>
              </w:rPr>
            </w:pPr>
            <w:r>
              <w:rPr>
                <w:rFonts w:hint="eastAsia" w:ascii="宋体" w:hAnsi="宋体" w:eastAsia="宋体" w:cs="宋体"/>
                <w:b w:val="0"/>
                <w:bCs/>
                <w:i w:val="0"/>
                <w:color w:val="000000"/>
                <w:kern w:val="0"/>
                <w:sz w:val="20"/>
                <w:szCs w:val="20"/>
                <w:u w:val="none"/>
                <w:lang w:val="en-US" w:eastAsia="zh-CN" w:bidi="ar"/>
              </w:rPr>
              <w:t>20</w:t>
            </w:r>
          </w:p>
        </w:tc>
      </w:tr>
    </w:tbl>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br w:type="page"/>
      </w:r>
    </w:p>
    <w:tbl>
      <w:tblPr>
        <w:tblStyle w:val="7"/>
        <w:tblpPr w:leftFromText="180" w:rightFromText="180" w:vertAnchor="text" w:horzAnchor="page" w:tblpX="1237" w:tblpY="35"/>
        <w:tblOverlap w:val="never"/>
        <w:tblW w:w="92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11"/>
        <w:gridCol w:w="1200"/>
        <w:gridCol w:w="1307"/>
        <w:gridCol w:w="861"/>
        <w:gridCol w:w="1455"/>
        <w:gridCol w:w="878"/>
        <w:gridCol w:w="840"/>
        <w:gridCol w:w="994"/>
        <w:gridCol w:w="91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6" w:hRule="atLeast"/>
        </w:trPr>
        <w:tc>
          <w:tcPr>
            <w:tcW w:w="9260" w:type="dxa"/>
            <w:gridSpan w:val="9"/>
            <w:tcBorders>
              <w:top w:val="nil"/>
              <w:left w:val="nil"/>
              <w:bottom w:val="nil"/>
              <w:right w:val="nil"/>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9260" w:type="dxa"/>
            <w:gridSpan w:val="9"/>
            <w:tcBorders>
              <w:top w:val="nil"/>
              <w:left w:val="nil"/>
              <w:bottom w:val="nil"/>
              <w:right w:val="nil"/>
            </w:tcBorders>
            <w:noWrap w:val="0"/>
            <w:vAlign w:val="center"/>
          </w:tcPr>
          <w:p>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呼图壁县人工影响天气办公室</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人工影响天气火箭弹及相关作业费用（非定额）</w:t>
            </w:r>
          </w:p>
        </w:tc>
        <w:tc>
          <w:tcPr>
            <w:tcW w:w="171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eastAsia="zh-CN"/>
              </w:rPr>
            </w:pPr>
            <w:r>
              <w:rPr>
                <w:rFonts w:hint="eastAsia" w:ascii="宋体" w:hAnsi="宋体" w:cs="宋体"/>
                <w:i w:val="0"/>
                <w:iCs w:val="0"/>
                <w:color w:val="000000"/>
                <w:sz w:val="18"/>
                <w:szCs w:val="18"/>
                <w:highlight w:val="none"/>
                <w:u w:val="none"/>
                <w:lang w:eastAsia="zh-CN"/>
              </w:rPr>
              <w:t>张磊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4"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1455" w:type="dxa"/>
            <w:tcBorders>
              <w:top w:val="single" w:color="000000" w:sz="4" w:space="0"/>
              <w:left w:val="nil"/>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20.5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908"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本项目拟投入20.5万元用于完成2025年人工增雨火箭弹的购买和运输，补充火箭弹库存，完成人员的培训工作。通过项目的实施，增加了旱季的降水，减少越冬作物的损失。促进我县人工增水作业能力和保障农业生产的发展，助力冬小麦顺利越冬。完善了我县防灾减灾综合防御能力的能力和生态保护机制，改善了旱情，增加了水土活力，降低了森林火险等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产出指标</w:t>
            </w:r>
          </w:p>
        </w:tc>
        <w:tc>
          <w:tcPr>
            <w:tcW w:w="1200" w:type="dxa"/>
            <w:vMerge w:val="restart"/>
            <w:tcBorders>
              <w:top w:val="single" w:color="000000" w:sz="4" w:space="0"/>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人工影响天气作业次数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&gt;=2次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6</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购买弹药消耗量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&gt;=60枚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=60枚</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8</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作业装备维护次数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=5次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left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单次作业平均增加积雪厚度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&gt;=5厘米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=5厘米</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7</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作业人员培训覆盖率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=100%</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作业信息上报及时率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人工增雨火箭弹采购标准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&lt;=1980元/枚</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=1980元/枚</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6" w:hRule="atLeast"/>
        </w:trPr>
        <w:tc>
          <w:tcPr>
            <w:tcW w:w="811" w:type="dxa"/>
            <w:vMerge w:val="continue"/>
            <w:tcBorders>
              <w:top w:val="single" w:color="000000" w:sz="4" w:space="0"/>
              <w:left w:val="single" w:color="000000" w:sz="4" w:space="0"/>
              <w:bottom w:val="nil"/>
              <w:right w:val="single" w:color="000000" w:sz="4" w:space="0"/>
            </w:tcBorders>
            <w:noWrap w:val="0"/>
            <w:vAlign w:val="center"/>
          </w:tcPr>
          <w:p>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有效缓解夏季干旱和增加冬季降雪量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有效缓解</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有效缓解</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20</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81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满意度指标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群众满意度</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&gt;=95%</w:t>
            </w:r>
          </w:p>
        </w:tc>
        <w:tc>
          <w:tcPr>
            <w:tcW w:w="878"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计划标准</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=95%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10</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color w:val="000000"/>
                <w:kern w:val="0"/>
                <w:sz w:val="18"/>
                <w:szCs w:val="18"/>
                <w:u w:val="none"/>
                <w:lang w:val="en-US" w:eastAsia="zh-CN" w:bidi="ar"/>
              </w:rPr>
              <w:t>满意度赋分</w:t>
            </w:r>
          </w:p>
        </w:tc>
      </w:tr>
    </w:tbl>
    <w:p>
      <w:pPr>
        <w:keepNext w:val="0"/>
        <w:keepLines w:val="0"/>
        <w:pageBreakBefore w:val="0"/>
        <w:widowControl w:val="0"/>
        <w:numPr>
          <w:ilvl w:val="0"/>
          <w:numId w:val="2"/>
        </w:numPr>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pPr>
      <w:r>
        <w:rPr>
          <w:rFonts w:hint="eastAsia" w:ascii="仿宋_GB2312" w:hAnsi="仿宋_GB2312" w:eastAsia="仿宋_GB2312" w:cs="仿宋_GB2312"/>
          <w:b/>
          <w:color w:val="000000" w:themeColor="text1"/>
          <w:kern w:val="0"/>
          <w:sz w:val="32"/>
          <w:szCs w:val="32"/>
          <w:highlight w:val="none"/>
          <w14:textFill>
            <w14:solidFill>
              <w14:schemeClr w14:val="tx1"/>
            </w14:solidFill>
          </w14:textFill>
        </w:rPr>
        <w:t>其他需说明的事项</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面向中小企业预留政府采购项目预算金额、小微企业预留政府采购项目预算金额</w:t>
      </w:r>
      <w:r>
        <w:rPr>
          <w:rFonts w:hint="eastAsia" w:ascii="仿宋_GB2312" w:hAnsi="仿宋_GB2312" w:eastAsia="仿宋_GB2312" w:cs="仿宋_GB2312"/>
          <w:color w:val="auto"/>
          <w:kern w:val="0"/>
          <w:sz w:val="32"/>
          <w:szCs w:val="32"/>
          <w:highlight w:val="none"/>
          <w:lang w:val="en-US" w:eastAsia="zh-CN"/>
        </w:rPr>
        <w:t>为0万元，主要原因是本年度无政府采购金额。</w:t>
      </w:r>
    </w:p>
    <w:p>
      <w:pPr>
        <w:keepNext w:val="0"/>
        <w:keepLines w:val="0"/>
        <w:pageBreakBefore w:val="0"/>
        <w:widowControl w:val="0"/>
        <w:kinsoku/>
        <w:wordWrap/>
        <w:overflowPunct/>
        <w:topLinePunct w:val="0"/>
        <w:autoSpaceDE/>
        <w:autoSpaceDN/>
        <w:bidi w:val="0"/>
        <w:adjustRightInd/>
        <w:snapToGrid/>
        <w:spacing w:before="0" w:beforeLines="0" w:line="600" w:lineRule="exact"/>
        <w:jc w:val="center"/>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lang w:eastAsia="zh-CN"/>
        </w:rPr>
        <w:t>部门</w:t>
      </w:r>
      <w:r>
        <w:rPr>
          <w:rFonts w:hint="eastAsia" w:ascii="仿宋_GB2312" w:eastAsia="仿宋_GB2312"/>
          <w:sz w:val="32"/>
          <w:szCs w:val="32"/>
          <w:highlight w:val="none"/>
          <w:lang w:val="en-US" w:eastAsia="zh-CN"/>
        </w:rPr>
        <w:t>（单位）</w:t>
      </w:r>
      <w:r>
        <w:rPr>
          <w:rFonts w:hint="eastAsia" w:ascii="仿宋_GB2312" w:eastAsia="仿宋_GB2312"/>
          <w:color w:val="auto"/>
          <w:sz w:val="32"/>
          <w:szCs w:val="32"/>
          <w:highlight w:val="none"/>
        </w:rPr>
        <w:t>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部门（单位）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公务用车购置反映机关和参公事业单位公务用车购置支出（含车辆购置税、牌照费）；</w:t>
      </w:r>
      <w:r>
        <w:rPr>
          <w:rFonts w:hint="eastAsia" w:ascii="仿宋_GB2312" w:eastAsia="仿宋_GB2312"/>
          <w:sz w:val="32"/>
          <w:szCs w:val="32"/>
          <w:highlight w:val="none"/>
        </w:rPr>
        <w:t>公务用车运行维护费反映</w:t>
      </w:r>
      <w:r>
        <w:rPr>
          <w:rFonts w:hint="eastAsia" w:ascii="仿宋_GB2312" w:eastAsia="仿宋_GB2312"/>
          <w:sz w:val="32"/>
          <w:szCs w:val="32"/>
          <w:highlight w:val="none"/>
          <w:lang w:val="en-US" w:eastAsia="zh-CN"/>
        </w:rPr>
        <w:t>机关和参公事业单位按规定保留的公务用车燃料费、新能源汽车充电费、维修费、过桥过路费、保险费、安全奖励费用等支出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呼图壁县人工影响天气办公室</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2025</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lang w:val="en-US" w:eastAsia="zh-CN"/>
        </w:rPr>
        <w:t>2</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lang w:val="en-US" w:eastAsia="zh-CN"/>
        </w:rPr>
        <w:t>12</w:t>
      </w:r>
      <w:r>
        <w:rPr>
          <w:rFonts w:ascii="仿宋_GB2312" w:hAnsi="宋体" w:eastAsia="仿宋_GB2312" w:cs="宋体"/>
          <w:kern w:val="0"/>
          <w:sz w:val="32"/>
          <w:szCs w:val="32"/>
          <w:highlight w:val="none"/>
        </w:rPr>
        <w:t>日</w:t>
      </w:r>
    </w:p>
    <w:p>
      <w:pPr>
        <w:rPr>
          <w:highlight w:val="none"/>
        </w:rPr>
      </w:pPr>
    </w:p>
    <w:p>
      <w:pPr>
        <w:rPr>
          <w:highlight w:val="none"/>
        </w:rPr>
      </w:pPr>
    </w:p>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p>
                        <w:p>
                          <w:pPr>
                            <w:pStyle w:val="4"/>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4"/>
                    </w:pPr>
                  </w:p>
                  <w:p>
                    <w:pPr>
                      <w:pStyle w:val="4"/>
                    </w:pPr>
                    <w:r>
                      <w:fldChar w:fldCharType="begin"/>
                    </w:r>
                    <w:r>
                      <w:instrText xml:space="preserve"> PAGE  \* MERGEFORMAT </w:instrText>
                    </w:r>
                    <w:r>
                      <w:fldChar w:fldCharType="separate"/>
                    </w:r>
                    <w:r>
                      <w:t>4</w:t>
                    </w:r>
                    <w:r>
                      <w:fldChar w:fldCharType="end"/>
                    </w:r>
                  </w:p>
                </w:txbxContent>
              </v:textbox>
            </v:shape>
          </w:pict>
        </mc:Fallback>
      </mc:AlternateContent>
    </w:r>
  </w:p>
  <w:p>
    <w:pPr>
      <w:pStyle w:val="4"/>
      <w:jc w:val="right"/>
      <w:rPr>
        <w:rFonts w:ascii="宋体" w:hAnsi="宋体" w:eastAsia="宋体"/>
        <w:sz w:val="28"/>
        <w:szCs w:val="28"/>
      </w:rPr>
    </w:pP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A1A3DB"/>
    <w:multiLevelType w:val="singleLevel"/>
    <w:tmpl w:val="CFA1A3DB"/>
    <w:lvl w:ilvl="0" w:tentative="0">
      <w:start w:val="5"/>
      <w:numFmt w:val="chineseCounting"/>
      <w:suff w:val="nothing"/>
      <w:lvlText w:val="（%1）"/>
      <w:lvlJc w:val="left"/>
      <w:rPr>
        <w:rFonts w:hint="eastAsia"/>
      </w:rPr>
    </w:lvl>
  </w:abstractNum>
  <w:abstractNum w:abstractNumId="1">
    <w:nsid w:val="44029B34"/>
    <w:multiLevelType w:val="singleLevel"/>
    <w:tmpl w:val="44029B34"/>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3YWZmNmEwZDkxMGNiYjJmNmQzY2NjYWE2ZGZhYWUifQ=="/>
  </w:docVars>
  <w:rsids>
    <w:rsidRoot w:val="10587512"/>
    <w:rsid w:val="00E41A1F"/>
    <w:rsid w:val="017B2F92"/>
    <w:rsid w:val="020E507E"/>
    <w:rsid w:val="02323BAA"/>
    <w:rsid w:val="02732F8E"/>
    <w:rsid w:val="02A547B0"/>
    <w:rsid w:val="02CB7F49"/>
    <w:rsid w:val="037800D1"/>
    <w:rsid w:val="04267087"/>
    <w:rsid w:val="04267B2D"/>
    <w:rsid w:val="044C330C"/>
    <w:rsid w:val="048D33F9"/>
    <w:rsid w:val="05397FD9"/>
    <w:rsid w:val="057A5F58"/>
    <w:rsid w:val="05CA273A"/>
    <w:rsid w:val="070E6657"/>
    <w:rsid w:val="080E3E4F"/>
    <w:rsid w:val="084451C2"/>
    <w:rsid w:val="08450B28"/>
    <w:rsid w:val="08762705"/>
    <w:rsid w:val="08830D45"/>
    <w:rsid w:val="088F5575"/>
    <w:rsid w:val="08E81855"/>
    <w:rsid w:val="0A4168EC"/>
    <w:rsid w:val="0AD672A7"/>
    <w:rsid w:val="0B247F12"/>
    <w:rsid w:val="0B7C3034"/>
    <w:rsid w:val="0B841FFD"/>
    <w:rsid w:val="0BD56A2F"/>
    <w:rsid w:val="0C0A3890"/>
    <w:rsid w:val="0CC82626"/>
    <w:rsid w:val="0CD20198"/>
    <w:rsid w:val="0CEC568C"/>
    <w:rsid w:val="0D6E5FD0"/>
    <w:rsid w:val="0E320E7D"/>
    <w:rsid w:val="0E9208E7"/>
    <w:rsid w:val="0FD71269"/>
    <w:rsid w:val="0FDA3F2D"/>
    <w:rsid w:val="10587512"/>
    <w:rsid w:val="105D0E37"/>
    <w:rsid w:val="10916BDA"/>
    <w:rsid w:val="11036B00"/>
    <w:rsid w:val="11301FEB"/>
    <w:rsid w:val="11B6451D"/>
    <w:rsid w:val="121E62E8"/>
    <w:rsid w:val="1697741D"/>
    <w:rsid w:val="177665FA"/>
    <w:rsid w:val="19A215AC"/>
    <w:rsid w:val="1A132B78"/>
    <w:rsid w:val="1AC437A4"/>
    <w:rsid w:val="1B153D26"/>
    <w:rsid w:val="1BEB54C3"/>
    <w:rsid w:val="1C3C6084"/>
    <w:rsid w:val="1C8C02F2"/>
    <w:rsid w:val="1D3E1AFE"/>
    <w:rsid w:val="1E011704"/>
    <w:rsid w:val="1E6432D4"/>
    <w:rsid w:val="1E89232D"/>
    <w:rsid w:val="1EB55B06"/>
    <w:rsid w:val="1EB61656"/>
    <w:rsid w:val="20407429"/>
    <w:rsid w:val="20CF3CE4"/>
    <w:rsid w:val="20DD55C0"/>
    <w:rsid w:val="22922CB8"/>
    <w:rsid w:val="22DB78DD"/>
    <w:rsid w:val="232542EF"/>
    <w:rsid w:val="244D65B8"/>
    <w:rsid w:val="2492221D"/>
    <w:rsid w:val="24B42D8E"/>
    <w:rsid w:val="250855AF"/>
    <w:rsid w:val="258B383C"/>
    <w:rsid w:val="263B7010"/>
    <w:rsid w:val="26B4291F"/>
    <w:rsid w:val="26BD282A"/>
    <w:rsid w:val="26E769FA"/>
    <w:rsid w:val="2781228F"/>
    <w:rsid w:val="281C777E"/>
    <w:rsid w:val="286D65BC"/>
    <w:rsid w:val="28D9041B"/>
    <w:rsid w:val="293B2E83"/>
    <w:rsid w:val="2AFC4894"/>
    <w:rsid w:val="2B3A05DE"/>
    <w:rsid w:val="2B452C72"/>
    <w:rsid w:val="2B6901C6"/>
    <w:rsid w:val="2C396135"/>
    <w:rsid w:val="2D480265"/>
    <w:rsid w:val="2D977453"/>
    <w:rsid w:val="2E2943BA"/>
    <w:rsid w:val="2EAE0CD0"/>
    <w:rsid w:val="2EC97183"/>
    <w:rsid w:val="2EF22236"/>
    <w:rsid w:val="2F242CC8"/>
    <w:rsid w:val="2FED29FE"/>
    <w:rsid w:val="300E1D4A"/>
    <w:rsid w:val="30B05F05"/>
    <w:rsid w:val="310F3573"/>
    <w:rsid w:val="32D560F7"/>
    <w:rsid w:val="33A76F60"/>
    <w:rsid w:val="341E7629"/>
    <w:rsid w:val="35F117C8"/>
    <w:rsid w:val="369D2051"/>
    <w:rsid w:val="37C01999"/>
    <w:rsid w:val="37F50983"/>
    <w:rsid w:val="38284F1B"/>
    <w:rsid w:val="387A5EEE"/>
    <w:rsid w:val="39B0409D"/>
    <w:rsid w:val="3A9611AB"/>
    <w:rsid w:val="3A9740AB"/>
    <w:rsid w:val="3BE45FB7"/>
    <w:rsid w:val="3BF21AC7"/>
    <w:rsid w:val="3C013037"/>
    <w:rsid w:val="3CE67E01"/>
    <w:rsid w:val="3F3570C3"/>
    <w:rsid w:val="3FDF4D23"/>
    <w:rsid w:val="41083B3B"/>
    <w:rsid w:val="41270465"/>
    <w:rsid w:val="41DB2FFE"/>
    <w:rsid w:val="42BD0D86"/>
    <w:rsid w:val="42F779C3"/>
    <w:rsid w:val="4311394F"/>
    <w:rsid w:val="43502DA9"/>
    <w:rsid w:val="43C26223"/>
    <w:rsid w:val="43D8307E"/>
    <w:rsid w:val="44507CD3"/>
    <w:rsid w:val="44AF5181"/>
    <w:rsid w:val="455A018C"/>
    <w:rsid w:val="45B5383C"/>
    <w:rsid w:val="465A52A5"/>
    <w:rsid w:val="46B02CAB"/>
    <w:rsid w:val="46CE3131"/>
    <w:rsid w:val="47461F7B"/>
    <w:rsid w:val="481F6B78"/>
    <w:rsid w:val="48DC0A69"/>
    <w:rsid w:val="48E25B08"/>
    <w:rsid w:val="493059DD"/>
    <w:rsid w:val="494F7907"/>
    <w:rsid w:val="4ADF73DC"/>
    <w:rsid w:val="4B1B26BD"/>
    <w:rsid w:val="4B315A3D"/>
    <w:rsid w:val="4C0055E5"/>
    <w:rsid w:val="4C3677AE"/>
    <w:rsid w:val="4C706B3A"/>
    <w:rsid w:val="4EB41DFF"/>
    <w:rsid w:val="4EF65FBA"/>
    <w:rsid w:val="4F3B332E"/>
    <w:rsid w:val="4FBA1399"/>
    <w:rsid w:val="51C15CED"/>
    <w:rsid w:val="51DA09C9"/>
    <w:rsid w:val="52285DEB"/>
    <w:rsid w:val="52AD62F0"/>
    <w:rsid w:val="534D13A9"/>
    <w:rsid w:val="53A94D0A"/>
    <w:rsid w:val="546308FE"/>
    <w:rsid w:val="56FE59C9"/>
    <w:rsid w:val="570D735E"/>
    <w:rsid w:val="571B2674"/>
    <w:rsid w:val="589917F1"/>
    <w:rsid w:val="59B241EC"/>
    <w:rsid w:val="5A20105F"/>
    <w:rsid w:val="5A5E27F6"/>
    <w:rsid w:val="5A704801"/>
    <w:rsid w:val="5A8C5E4D"/>
    <w:rsid w:val="5AED2A9A"/>
    <w:rsid w:val="5BB93C0A"/>
    <w:rsid w:val="5D9E1657"/>
    <w:rsid w:val="5E225DE5"/>
    <w:rsid w:val="5E257683"/>
    <w:rsid w:val="5E7802BC"/>
    <w:rsid w:val="5EE078B0"/>
    <w:rsid w:val="5F0D5523"/>
    <w:rsid w:val="5F2346ED"/>
    <w:rsid w:val="61086613"/>
    <w:rsid w:val="61686204"/>
    <w:rsid w:val="62917095"/>
    <w:rsid w:val="62972262"/>
    <w:rsid w:val="630E06E5"/>
    <w:rsid w:val="6408782B"/>
    <w:rsid w:val="65322CBF"/>
    <w:rsid w:val="65996EA3"/>
    <w:rsid w:val="65B35574"/>
    <w:rsid w:val="65C658ED"/>
    <w:rsid w:val="66E93CBA"/>
    <w:rsid w:val="675D114C"/>
    <w:rsid w:val="68CC52CB"/>
    <w:rsid w:val="68DE4FFE"/>
    <w:rsid w:val="691B0000"/>
    <w:rsid w:val="694B58D7"/>
    <w:rsid w:val="69CE4E15"/>
    <w:rsid w:val="6B3E7E06"/>
    <w:rsid w:val="6B7F3246"/>
    <w:rsid w:val="6BF904A6"/>
    <w:rsid w:val="6CB5251A"/>
    <w:rsid w:val="6CD429A0"/>
    <w:rsid w:val="6DB44E77"/>
    <w:rsid w:val="6EF07839"/>
    <w:rsid w:val="6F63000B"/>
    <w:rsid w:val="6FCF0C72"/>
    <w:rsid w:val="71500A63"/>
    <w:rsid w:val="717C1858"/>
    <w:rsid w:val="72B56DCF"/>
    <w:rsid w:val="72E964BC"/>
    <w:rsid w:val="735C7C42"/>
    <w:rsid w:val="746D1B69"/>
    <w:rsid w:val="74D07EF1"/>
    <w:rsid w:val="75B570E6"/>
    <w:rsid w:val="75BF3AC1"/>
    <w:rsid w:val="75E31C2E"/>
    <w:rsid w:val="7706409E"/>
    <w:rsid w:val="7797777E"/>
    <w:rsid w:val="780A1873"/>
    <w:rsid w:val="787D11B8"/>
    <w:rsid w:val="78A771BA"/>
    <w:rsid w:val="78AC6820"/>
    <w:rsid w:val="792C5912"/>
    <w:rsid w:val="79CB6702"/>
    <w:rsid w:val="7CBA4FE2"/>
    <w:rsid w:val="7D06612B"/>
    <w:rsid w:val="7E880152"/>
    <w:rsid w:val="7E8B30DA"/>
    <w:rsid w:val="7EE94FE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3">
    <w:name w:val="annotation text"/>
    <w:basedOn w:val="1"/>
    <w:qFormat/>
    <w:uiPriority w:val="0"/>
    <w:pPr>
      <w:jc w:val="left"/>
    </w:p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29</Pages>
  <Words>2029</Words>
  <Characters>2552</Characters>
  <Lines>0</Lines>
  <Paragraphs>0</Paragraphs>
  <TotalTime>3</TotalTime>
  <ScaleCrop>false</ScaleCrop>
  <LinksUpToDate>false</LinksUpToDate>
  <CharactersWithSpaces>2813</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2024-01-09T13:20:00Z</dcterms:created>
  <dc:creator>审核人</dc:creator>
  <cp:lastModifiedBy>Administrator</cp:lastModifiedBy>
  <cp:lastPrinted>2025-02-11T08:16:00Z</cp:lastPrinted>
  <dcterms:modified xsi:type="dcterms:W3CDTF">2025-07-15T10:23:58Z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6CA0FF2B32BB4F0683288E4840055C97_13</vt:lpwstr>
  </property>
  <property fmtid="{D5CDD505-2E9C-101B-9397-08002B2CF9AE}" pid="4" name="KSOTemplateDocerSaveRecord">
    <vt:lpwstr>eyJoZGlkIjoiN2EyMTIxNTJlMjY2NjM5NjdjYmYwZjVhYjA4ZGEwODEiLCJ1c2VySWQiOiI0MjYzNjAxNTMifQ==</vt:lpwstr>
  </property>
</Properties>
</file>