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default"/>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eastAsia="zh-CN"/>
        </w:rPr>
      </w:pPr>
      <w:r>
        <w:rPr>
          <w:rFonts w:hint="eastAsia" w:ascii="方正小标宋_GBK" w:hAnsi="宋体" w:eastAsia="方正小标宋_GBK"/>
          <w:color w:val="auto"/>
          <w:kern w:val="0"/>
          <w:sz w:val="44"/>
          <w:szCs w:val="44"/>
          <w:highlight w:val="none"/>
          <w:lang w:eastAsia="zh-CN"/>
        </w:rPr>
        <w:t>呼图壁县农村合作经济发展指导中心</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2025年部门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2025年</w:t>
      </w:r>
      <w:r>
        <w:rPr>
          <w:rFonts w:hint="eastAsia" w:ascii="仿宋_GB2312" w:hAnsi="仿宋_GB2312" w:eastAsia="仿宋_GB2312" w:cs="仿宋_GB2312"/>
          <w:b/>
          <w:color w:val="auto"/>
          <w:kern w:val="0"/>
          <w:sz w:val="32"/>
          <w:szCs w:val="32"/>
          <w:highlight w:val="none"/>
        </w:rPr>
        <w:t>呼图壁县农村合作经济发展指导中心</w:t>
      </w:r>
      <w:r>
        <w:rPr>
          <w:rFonts w:hint="eastAsia" w:ascii="仿宋_GB2312" w:hAnsi="仿宋_GB2312" w:eastAsia="仿宋_GB2312" w:cs="仿宋_GB2312"/>
          <w:b/>
          <w:color w:val="auto"/>
          <w:kern w:val="0"/>
          <w:sz w:val="32"/>
          <w:szCs w:val="32"/>
          <w:highlight w:val="none"/>
          <w:lang w:eastAsia="zh-CN"/>
        </w:rPr>
        <w:t>部门</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2025年部门</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2025年部门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呼图壁县农村合作经济发展指导中心2025年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呼图壁县农村合作经济发展指导中心2025年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呼图壁县农村合作经济发展指导中心2025年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bCs/>
          <w:color w:val="auto"/>
          <w:kern w:val="0"/>
          <w:sz w:val="32"/>
          <w:szCs w:val="32"/>
          <w:highlight w:val="none"/>
          <w:lang w:eastAsia="zh-CN"/>
        </w:rPr>
        <w:t>呼图壁县农村合作经济发展指导中心2025年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呼图壁县农村合作经济发展指导中心2025年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呼图壁县农村合作经济发展指导中心2025年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spacing w:val="-6"/>
          <w:kern w:val="0"/>
          <w:sz w:val="32"/>
          <w:szCs w:val="32"/>
          <w:highlight w:val="none"/>
          <w:lang w:eastAsia="zh-CN"/>
        </w:rPr>
        <w:t>呼图壁县农村合作经济发展指导中心2025年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呼图壁县农村合作经济发展指导中心2025年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呼图壁县农村合作经济发展指导中心2025年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呼图壁县农村合作经济发展指导中心2025年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呼图壁县农村合作经济发展指导中心2025年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numPr>
          <w:ilvl w:val="0"/>
          <w:numId w:val="1"/>
        </w:numPr>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 </w:t>
      </w:r>
      <w:r>
        <w:rPr>
          <w:rFonts w:hint="eastAsia" w:ascii="黑体" w:hAnsi="黑体" w:eastAsia="黑体"/>
          <w:color w:val="auto"/>
          <w:kern w:val="0"/>
          <w:sz w:val="32"/>
          <w:szCs w:val="32"/>
          <w:highlight w:val="none"/>
          <w:lang w:eastAsia="zh-CN"/>
        </w:rPr>
        <w:t>2025年呼图壁县农村合作经济发展指导中心</w:t>
      </w:r>
    </w:p>
    <w:p>
      <w:pPr>
        <w:keepNext w:val="0"/>
        <w:keepLines w:val="0"/>
        <w:pageBreakBefore w:val="0"/>
        <w:widowControl/>
        <w:numPr>
          <w:ilvl w:val="0"/>
          <w:numId w:val="0"/>
        </w:numPr>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（一）负责做好农村经济集体经济组织调查、统计，掌握全县农村经济发展现状，为各级各部门制定农业农村经济发展计划提供依据。</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（二）负责做好农产品成本核算、效益分析以及农村几基点调查。</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三）强化农村土地承包合同管理，稳定和完善农村土地承包关系；指导农民依法、合理、有序流转农村土地，合理开发利用资源；会同有关部门做好农村土地承包纠纷的调查、调处、仲裁，维护农民的合法权益。</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（四）强化农村集体资产财务管理。清理核实村组债权债务，摸清农村集体家底，采取有效措施，防止集体资产流失和增加新的债务。同时寻求化解债务有效途径，帮助村组逐年化解债务。</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（五）加强农民负担监督管理。认真贯彻执行中央、区、州一系列支农惠农政策，开展农民负担监督，严禁抬高收费标准和乱收费，加重农民负担。</w:t>
      </w:r>
    </w:p>
    <w:p>
      <w:pPr>
        <w:keepNext w:val="0"/>
        <w:keepLines w:val="0"/>
        <w:pageBreakBefore w:val="0"/>
        <w:kinsoku/>
        <w:wordWrap/>
        <w:overflowPunct/>
        <w:topLinePunct w:val="0"/>
        <w:autoSpaceDE/>
        <w:autoSpaceDN/>
        <w:bidi w:val="0"/>
        <w:adjustRightInd w:val="0"/>
        <w:snapToGrid w:val="0"/>
        <w:spacing w:line="560" w:lineRule="exact"/>
        <w:ind w:firstLine="640" w:firstLineChars="200"/>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（六）协助金融机构和农业保险部门做好农民以土地抵押贷款及投保申报与灾后理赔工作。</w:t>
      </w:r>
    </w:p>
    <w:p>
      <w:pPr>
        <w:keepNext w:val="0"/>
        <w:keepLines w:val="0"/>
        <w:pageBreakBefore w:val="0"/>
        <w:widowControl/>
        <w:kinsoku/>
        <w:wordWrap/>
        <w:overflowPunct/>
        <w:topLinePunct w:val="0"/>
        <w:autoSpaceDE/>
        <w:autoSpaceDN/>
        <w:bidi w:val="0"/>
        <w:adjustRightInd w:val="0"/>
        <w:snapToGrid w:val="0"/>
        <w:spacing w:beforeLines="0" w:line="560" w:lineRule="exact"/>
        <w:ind w:firstLine="640" w:firstLineChars="200"/>
        <w:jc w:val="left"/>
        <w:textAlignment w:val="auto"/>
        <w:rPr>
          <w:rFonts w:ascii="仿宋_GB2312" w:hAnsi="宋体" w:eastAsia="仿宋_GB2312" w:cs="宋体"/>
          <w:bCs/>
          <w:color w:val="auto"/>
          <w:kern w:val="0"/>
          <w:sz w:val="32"/>
          <w:szCs w:val="32"/>
          <w:highlight w:val="none"/>
        </w:rPr>
      </w:pPr>
      <w:r>
        <w:rPr>
          <w:rFonts w:hint="eastAsia" w:ascii="仿宋_GB2312" w:hAnsi="仿宋" w:eastAsia="仿宋_GB2312"/>
          <w:sz w:val="32"/>
          <w:szCs w:val="32"/>
          <w:lang w:val="en-US" w:eastAsia="zh-CN"/>
        </w:rPr>
        <w:t>（七）完成领导安排的其他工作。</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呼图壁县农村合作经济发展指导中心</w:t>
      </w:r>
      <w:r>
        <w:rPr>
          <w:rFonts w:hint="eastAsia" w:ascii="仿宋_GB2312" w:hAnsi="黑体" w:eastAsia="仿宋_GB2312" w:cs="宋体"/>
          <w:bCs/>
          <w:color w:val="auto"/>
          <w:kern w:val="0"/>
          <w:sz w:val="32"/>
          <w:szCs w:val="32"/>
          <w:highlight w:val="none"/>
        </w:rPr>
        <w:t xml:space="preserve">无下属预算单位，下设   </w:t>
      </w:r>
      <w:r>
        <w:rPr>
          <w:rFonts w:hint="eastAsia" w:ascii="仿宋_GB2312" w:hAnsi="黑体" w:eastAsia="仿宋_GB2312" w:cs="宋体"/>
          <w:bCs/>
          <w:color w:val="auto"/>
          <w:kern w:val="0"/>
          <w:sz w:val="32"/>
          <w:szCs w:val="32"/>
          <w:highlight w:val="none"/>
          <w:lang w:val="en-US" w:eastAsia="zh-CN"/>
        </w:rPr>
        <w:t>2</w:t>
      </w:r>
      <w:r>
        <w:rPr>
          <w:rFonts w:hint="eastAsia" w:ascii="仿宋_GB2312" w:hAnsi="黑体" w:eastAsia="仿宋_GB2312" w:cs="宋体"/>
          <w:bCs/>
          <w:color w:val="auto"/>
          <w:kern w:val="0"/>
          <w:sz w:val="32"/>
          <w:szCs w:val="32"/>
          <w:highlight w:val="none"/>
        </w:rPr>
        <w:t>个处室，分别是：</w:t>
      </w:r>
      <w:r>
        <w:rPr>
          <w:rFonts w:hint="eastAsia" w:ascii="仿宋_GB2312" w:hAnsi="宋体" w:eastAsia="仿宋_GB2312" w:cs="宋体"/>
          <w:color w:val="auto"/>
          <w:kern w:val="0"/>
          <w:sz w:val="32"/>
          <w:szCs w:val="32"/>
          <w:highlight w:val="none"/>
          <w:lang w:val="en-US" w:eastAsia="zh-CN"/>
        </w:rPr>
        <w:t>业务科和综合科</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呼图壁县农村合作经济发展指导中心</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8</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14</w:t>
      </w:r>
      <w:r>
        <w:rPr>
          <w:rFonts w:hint="eastAsia" w:ascii="仿宋_GB2312" w:hAnsi="宋体" w:eastAsia="仿宋_GB2312" w:cs="宋体"/>
          <w:color w:val="auto"/>
          <w:kern w:val="0"/>
          <w:sz w:val="32"/>
          <w:szCs w:val="32"/>
          <w:highlight w:val="none"/>
        </w:rPr>
        <w:t xml:space="preserve">    人，其中：在职</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人，减少</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br w:type="page"/>
      </w: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黑体" w:hAnsi="黑体" w:eastAsia="黑体"/>
          <w:color w:val="auto"/>
          <w:kern w:val="0"/>
          <w:sz w:val="32"/>
          <w:szCs w:val="32"/>
          <w:highlight w:val="none"/>
          <w:lang w:eastAsia="zh-CN"/>
        </w:rPr>
        <w:t>2025年部门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p>
    <w:tbl>
      <w:tblPr>
        <w:tblStyle w:val="9"/>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186.99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117.</w:t>
            </w:r>
            <w:r>
              <w:rPr>
                <w:rFonts w:hint="eastAsia" w:ascii="仿宋_GB2312" w:hAnsi="宋体" w:eastAsia="仿宋_GB2312" w:cs="宋体"/>
                <w:color w:val="auto"/>
                <w:kern w:val="0"/>
                <w:sz w:val="18"/>
                <w:szCs w:val="18"/>
                <w:highlight w:val="none"/>
                <w:lang w:val="en-US" w:eastAsia="zh-CN"/>
              </w:rPr>
              <w:t>69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117.69</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103"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45.49</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vAlign w:val="bottom"/>
          </w:tcPr>
          <w:p>
            <w:pPr>
              <w:widowControl/>
              <w:spacing w:line="280" w:lineRule="exact"/>
              <w:jc w:val="center"/>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卫生健康支出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24.49</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69.3</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8</w:t>
            </w:r>
            <w:r>
              <w:rPr>
                <w:rFonts w:hint="eastAsia" w:ascii="仿宋_GB2312" w:hAnsi="宋体" w:eastAsia="仿宋_GB2312" w:cs="宋体"/>
                <w:color w:val="auto"/>
                <w:kern w:val="0"/>
                <w:sz w:val="18"/>
                <w:szCs w:val="18"/>
                <w:highlight w:val="none"/>
                <w:lang w:val="en-US" w:eastAsia="zh-CN"/>
              </w:rPr>
              <w:t>5</w:t>
            </w:r>
            <w:r>
              <w:rPr>
                <w:rFonts w:hint="eastAsia" w:ascii="仿宋_GB2312" w:hAnsi="宋体" w:eastAsia="仿宋_GB2312" w:cs="宋体"/>
                <w:color w:val="auto"/>
                <w:kern w:val="0"/>
                <w:sz w:val="18"/>
                <w:szCs w:val="18"/>
                <w:highlight w:val="none"/>
              </w:rPr>
              <w:t>.27</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rPr>
              <w:t>　</w:t>
            </w:r>
            <w:r>
              <w:rPr>
                <w:rFonts w:hint="eastAsia" w:ascii="仿宋_GB2312" w:hAnsi="宋体" w:eastAsia="仿宋_GB2312" w:cs="宋体"/>
                <w:color w:val="auto"/>
                <w:kern w:val="0"/>
                <w:sz w:val="18"/>
                <w:szCs w:val="18"/>
                <w:highlight w:val="none"/>
                <w:lang w:val="en-US" w:eastAsia="zh-CN"/>
              </w:rPr>
              <w:t>69.3</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30.74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灾害防治及应急管理支出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w:t>
            </w:r>
            <w:r>
              <w:rPr>
                <w:rFonts w:hint="eastAsia" w:ascii="仿宋_GB2312" w:hAnsi="宋体" w:eastAsia="仿宋_GB2312" w:cs="宋体"/>
                <w:color w:val="auto"/>
                <w:kern w:val="0"/>
                <w:sz w:val="18"/>
                <w:szCs w:val="18"/>
                <w:highlight w:val="none"/>
                <w:lang w:val="en-US" w:eastAsia="zh-CN"/>
              </w:rPr>
              <w:t xml:space="preserve"> </w:t>
            </w:r>
            <w:r>
              <w:rPr>
                <w:rFonts w:hint="eastAsia" w:ascii="仿宋_GB2312" w:hAnsi="宋体" w:eastAsia="仿宋_GB2312" w:cs="宋体"/>
                <w:color w:val="auto"/>
                <w:kern w:val="0"/>
                <w:sz w:val="18"/>
                <w:szCs w:val="18"/>
                <w:highlight w:val="none"/>
              </w:rPr>
              <w:t>转移性支出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103"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93" w:type="dxa"/>
            <w:tcBorders>
              <w:top w:val="nil"/>
              <w:left w:val="nil"/>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 xml:space="preserve">                    </w:t>
            </w: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93" w:type="dxa"/>
            <w:tcBorders>
              <w:top w:val="nil"/>
              <w:left w:val="nil"/>
              <w:bottom w:val="single" w:color="auto" w:sz="4" w:space="0"/>
              <w:right w:val="single" w:color="auto" w:sz="4" w:space="0"/>
            </w:tcBorders>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701"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vAlign w:val="center"/>
          </w:tcPr>
          <w:p>
            <w:pPr>
              <w:widowControl/>
              <w:spacing w:line="280" w:lineRule="exact"/>
              <w:jc w:val="both"/>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187.00</w:t>
            </w:r>
          </w:p>
        </w:tc>
        <w:tc>
          <w:tcPr>
            <w:tcW w:w="2693" w:type="dxa"/>
            <w:tcBorders>
              <w:top w:val="nil"/>
              <w:left w:val="nil"/>
              <w:bottom w:val="single" w:color="auto" w:sz="4" w:space="0"/>
              <w:right w:val="nil"/>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b/>
                <w:bCs/>
                <w:color w:val="auto"/>
                <w:kern w:val="0"/>
                <w:sz w:val="18"/>
                <w:szCs w:val="18"/>
                <w:highlight w:val="none"/>
                <w:lang w:val="en-US" w:eastAsia="zh-CN"/>
              </w:rPr>
              <w:t>187.00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    </w:t>
      </w:r>
      <w:r>
        <w:rPr>
          <w:rFonts w:hint="eastAsia" w:ascii="仿宋_GB2312" w:hAnsi="宋体" w:eastAsia="仿宋_GB2312"/>
          <w:color w:val="auto"/>
          <w:kern w:val="0"/>
          <w:sz w:val="24"/>
          <w:highlight w:val="none"/>
        </w:rPr>
        <w:t xml:space="preserve">                                             </w:t>
      </w:r>
    </w:p>
    <w:tbl>
      <w:tblPr>
        <w:tblStyle w:val="9"/>
        <w:tblW w:w="12967" w:type="dxa"/>
        <w:tblInd w:w="0" w:type="dxa"/>
        <w:tblLayout w:type="fixed"/>
        <w:tblCellMar>
          <w:top w:w="0" w:type="dxa"/>
          <w:left w:w="108" w:type="dxa"/>
          <w:bottom w:w="0" w:type="dxa"/>
          <w:right w:w="108" w:type="dxa"/>
        </w:tblCellMar>
      </w:tblPr>
      <w:tblGrid>
        <w:gridCol w:w="553"/>
        <w:gridCol w:w="553"/>
        <w:gridCol w:w="558"/>
        <w:gridCol w:w="1445"/>
        <w:gridCol w:w="1069"/>
        <w:gridCol w:w="1015"/>
        <w:gridCol w:w="1015"/>
        <w:gridCol w:w="825"/>
        <w:gridCol w:w="771"/>
        <w:gridCol w:w="867"/>
        <w:gridCol w:w="610"/>
        <w:gridCol w:w="881"/>
        <w:gridCol w:w="619"/>
        <w:gridCol w:w="961"/>
        <w:gridCol w:w="549"/>
        <w:gridCol w:w="676"/>
      </w:tblGrid>
      <w:tr>
        <w:tblPrEx>
          <w:tblCellMar>
            <w:top w:w="0" w:type="dxa"/>
            <w:left w:w="108" w:type="dxa"/>
            <w:bottom w:w="0" w:type="dxa"/>
            <w:right w:w="108" w:type="dxa"/>
          </w:tblCellMar>
        </w:tblPrEx>
        <w:trPr>
          <w:trHeight w:val="697" w:hRule="atLeast"/>
          <w:tblHeader/>
        </w:trPr>
        <w:tc>
          <w:tcPr>
            <w:tcW w:w="166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445"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06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5984"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1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961"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49"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76" w:type="dxa"/>
            <w:vMerge w:val="restart"/>
            <w:tcBorders>
              <w:top w:val="single" w:color="auto" w:sz="4" w:space="0"/>
              <w:left w:val="single" w:color="auto" w:sz="4" w:space="0"/>
              <w:bottom w:val="single" w:color="000000" w:sz="4" w:space="0"/>
              <w:right w:val="single" w:color="auto" w:sz="4" w:space="0"/>
            </w:tcBorders>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3530" w:hRule="atLeast"/>
          <w:tblHeader/>
        </w:trPr>
        <w:tc>
          <w:tcPr>
            <w:tcW w:w="553" w:type="dxa"/>
            <w:tcBorders>
              <w:left w:val="single" w:color="auto" w:sz="4" w:space="0"/>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553"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558" w:type="dxa"/>
            <w:tcBorders>
              <w:left w:val="nil"/>
              <w:bottom w:val="single" w:color="auto" w:sz="4" w:space="0"/>
              <w:right w:val="single" w:color="auto" w:sz="4" w:space="0"/>
            </w:tcBorders>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445"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106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101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01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825"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77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867"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10"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81" w:type="dxa"/>
            <w:tcBorders>
              <w:top w:val="single" w:color="auto" w:sz="4" w:space="0"/>
              <w:left w:val="single" w:color="auto" w:sz="4" w:space="0"/>
              <w:bottom w:val="single" w:color="000000" w:sz="4" w:space="0"/>
              <w:right w:val="single" w:color="auto" w:sz="4" w:space="0"/>
            </w:tcBorders>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1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961"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549"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c>
          <w:tcPr>
            <w:tcW w:w="676"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208</w:t>
            </w:r>
          </w:p>
        </w:tc>
        <w:tc>
          <w:tcPr>
            <w:tcW w:w="553"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kern w:val="2"/>
                <w:sz w:val="13"/>
                <w:szCs w:val="13"/>
                <w:lang w:val="en-US" w:eastAsia="zh-CN" w:bidi="ar-SA"/>
              </w:rPr>
            </w:pPr>
          </w:p>
        </w:tc>
        <w:tc>
          <w:tcPr>
            <w:tcW w:w="558" w:type="dxa"/>
            <w:tcBorders>
              <w:top w:val="nil"/>
              <w:left w:val="nil"/>
              <w:bottom w:val="single" w:color="auto" w:sz="4" w:space="0"/>
              <w:right w:val="single" w:color="auto" w:sz="4" w:space="0"/>
            </w:tcBorders>
            <w:shd w:val="clear" w:color="auto" w:fill="auto"/>
            <w:vAlign w:val="center"/>
          </w:tcPr>
          <w:p>
            <w:pPr>
              <w:jc w:val="center"/>
              <w:rPr>
                <w:rFonts w:ascii="仿宋_GB2312" w:hAnsi="宋体" w:eastAsia="仿宋_GB2312" w:cs="宋体"/>
                <w:color w:val="000000"/>
                <w:kern w:val="2"/>
                <w:sz w:val="13"/>
                <w:szCs w:val="13"/>
                <w:lang w:val="en-US" w:eastAsia="zh-CN" w:bidi="ar-SA"/>
              </w:rPr>
            </w:pPr>
          </w:p>
        </w:tc>
        <w:tc>
          <w:tcPr>
            <w:tcW w:w="1445" w:type="dxa"/>
            <w:tcBorders>
              <w:top w:val="nil"/>
              <w:left w:val="nil"/>
              <w:bottom w:val="single" w:color="auto" w:sz="4" w:space="0"/>
              <w:right w:val="single" w:color="auto" w:sz="4" w:space="0"/>
            </w:tcBorders>
            <w:shd w:val="clear" w:color="auto" w:fill="auto"/>
            <w:vAlign w:val="center"/>
          </w:tcPr>
          <w:p>
            <w:pPr>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社会保障和就业支出</w:t>
            </w:r>
          </w:p>
        </w:tc>
        <w:tc>
          <w:tcPr>
            <w:tcW w:w="1069"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45.49</w:t>
            </w:r>
          </w:p>
        </w:tc>
        <w:tc>
          <w:tcPr>
            <w:tcW w:w="101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15.19</w:t>
            </w:r>
          </w:p>
        </w:tc>
        <w:tc>
          <w:tcPr>
            <w:tcW w:w="101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15.19</w:t>
            </w:r>
          </w:p>
        </w:tc>
        <w:tc>
          <w:tcPr>
            <w:tcW w:w="825"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shd w:val="clear" w:color="000000" w:fill="FFFFFF"/>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30.30</w:t>
            </w:r>
          </w:p>
        </w:tc>
        <w:tc>
          <w:tcPr>
            <w:tcW w:w="549"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shd w:val="clear" w:color="000000" w:fill="FFFFFF"/>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5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05</w:t>
            </w:r>
          </w:p>
        </w:tc>
        <w:tc>
          <w:tcPr>
            <w:tcW w:w="55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14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行政事业单位养老支出</w:t>
            </w:r>
          </w:p>
        </w:tc>
        <w:tc>
          <w:tcPr>
            <w:tcW w:w="106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45.49</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15.19</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15.19</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30.30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553"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55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14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行政单位离退休</w:t>
            </w:r>
          </w:p>
        </w:tc>
        <w:tc>
          <w:tcPr>
            <w:tcW w:w="106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4.35</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4.35</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4.35</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55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558"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05</w:t>
            </w:r>
          </w:p>
        </w:tc>
        <w:tc>
          <w:tcPr>
            <w:tcW w:w="14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机关事业单位基本养老保险缴费支</w:t>
            </w:r>
            <w:r>
              <w:rPr>
                <w:rFonts w:hint="eastAsia" w:ascii="仿宋_GB2312" w:hAnsi="宋体" w:eastAsia="仿宋_GB2312" w:cs="宋体"/>
                <w:color w:val="000000"/>
                <w:sz w:val="16"/>
                <w:szCs w:val="16"/>
              </w:rPr>
              <w:t>出</w:t>
            </w:r>
          </w:p>
        </w:tc>
        <w:tc>
          <w:tcPr>
            <w:tcW w:w="1069"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36.83</w:t>
            </w:r>
          </w:p>
        </w:tc>
        <w:tc>
          <w:tcPr>
            <w:tcW w:w="101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10.83</w:t>
            </w:r>
          </w:p>
        </w:tc>
        <w:tc>
          <w:tcPr>
            <w:tcW w:w="101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10.83</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26.00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55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558"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06</w:t>
            </w:r>
          </w:p>
        </w:tc>
        <w:tc>
          <w:tcPr>
            <w:tcW w:w="14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机关事业单位职业年金缴费支出</w:t>
            </w:r>
          </w:p>
        </w:tc>
        <w:tc>
          <w:tcPr>
            <w:tcW w:w="1069"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4.30</w:t>
            </w:r>
          </w:p>
        </w:tc>
        <w:tc>
          <w:tcPr>
            <w:tcW w:w="101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0</w:t>
            </w:r>
          </w:p>
        </w:tc>
        <w:tc>
          <w:tcPr>
            <w:tcW w:w="101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0</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4.30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210</w:t>
            </w:r>
          </w:p>
        </w:tc>
        <w:tc>
          <w:tcPr>
            <w:tcW w:w="5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55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14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卫生健康支出</w:t>
            </w:r>
          </w:p>
        </w:tc>
        <w:tc>
          <w:tcPr>
            <w:tcW w:w="1069"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24.49</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8.19</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8.19</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16.30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5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11</w:t>
            </w:r>
          </w:p>
        </w:tc>
        <w:tc>
          <w:tcPr>
            <w:tcW w:w="55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14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行政事业单位医疗</w:t>
            </w:r>
          </w:p>
        </w:tc>
        <w:tc>
          <w:tcPr>
            <w:tcW w:w="1069"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24.49</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8.19</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8.19</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16.30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553"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55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14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行政单位医疗</w:t>
            </w:r>
          </w:p>
        </w:tc>
        <w:tc>
          <w:tcPr>
            <w:tcW w:w="106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18.42</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5.42</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5.42</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13.00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553"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55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03</w:t>
            </w:r>
          </w:p>
        </w:tc>
        <w:tc>
          <w:tcPr>
            <w:tcW w:w="14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公务员医疗补助</w:t>
            </w:r>
          </w:p>
        </w:tc>
        <w:tc>
          <w:tcPr>
            <w:tcW w:w="106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6.01</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2.71</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2.71</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3.30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553"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558"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000000"/>
                <w:kern w:val="2"/>
                <w:sz w:val="13"/>
                <w:szCs w:val="13"/>
                <w:lang w:val="en-US" w:eastAsia="zh-CN" w:bidi="ar-SA"/>
              </w:rPr>
            </w:pPr>
            <w:r>
              <w:rPr>
                <w:rFonts w:hint="eastAsia" w:ascii="仿宋_GB2312" w:eastAsia="仿宋_GB2312"/>
                <w:color w:val="000000"/>
                <w:sz w:val="13"/>
                <w:szCs w:val="13"/>
                <w:lang w:val="en-US" w:eastAsia="zh-CN"/>
              </w:rPr>
              <w:t>99</w:t>
            </w:r>
          </w:p>
        </w:tc>
        <w:tc>
          <w:tcPr>
            <w:tcW w:w="1445"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rPr>
              <w:t>其他行政事业单位医疗支出</w:t>
            </w:r>
          </w:p>
        </w:tc>
        <w:tc>
          <w:tcPr>
            <w:tcW w:w="1069"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0.07</w:t>
            </w:r>
          </w:p>
        </w:tc>
        <w:tc>
          <w:tcPr>
            <w:tcW w:w="101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0.07</w:t>
            </w:r>
          </w:p>
        </w:tc>
        <w:tc>
          <w:tcPr>
            <w:tcW w:w="101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0.07</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213</w:t>
            </w:r>
          </w:p>
        </w:tc>
        <w:tc>
          <w:tcPr>
            <w:tcW w:w="5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55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14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仿宋_GB2312" w:eastAsia="仿宋_GB2312" w:cs="仿宋_GB2312"/>
                <w:b w:val="0"/>
                <w:bCs w:val="0"/>
                <w:sz w:val="18"/>
                <w:szCs w:val="18"/>
                <w:highlight w:val="none"/>
                <w:lang w:eastAsia="zh-CN"/>
              </w:rPr>
              <w:t>农林水支出</w:t>
            </w:r>
          </w:p>
        </w:tc>
        <w:tc>
          <w:tcPr>
            <w:tcW w:w="106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86.27</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85.27</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85.27</w:t>
            </w:r>
          </w:p>
        </w:tc>
        <w:tc>
          <w:tcPr>
            <w:tcW w:w="825"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213</w:t>
            </w:r>
          </w:p>
        </w:tc>
        <w:tc>
          <w:tcPr>
            <w:tcW w:w="5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55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1445"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农业农村</w:t>
            </w:r>
          </w:p>
        </w:tc>
        <w:tc>
          <w:tcPr>
            <w:tcW w:w="106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86.27</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85.27</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85.27</w:t>
            </w:r>
          </w:p>
        </w:tc>
        <w:tc>
          <w:tcPr>
            <w:tcW w:w="825"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213</w:t>
            </w:r>
          </w:p>
        </w:tc>
        <w:tc>
          <w:tcPr>
            <w:tcW w:w="553"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01</w:t>
            </w:r>
          </w:p>
        </w:tc>
        <w:tc>
          <w:tcPr>
            <w:tcW w:w="55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144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行政运行</w:t>
            </w:r>
          </w:p>
        </w:tc>
        <w:tc>
          <w:tcPr>
            <w:tcW w:w="106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81.27</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80.27</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80.27</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1.00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213</w:t>
            </w:r>
          </w:p>
        </w:tc>
        <w:tc>
          <w:tcPr>
            <w:tcW w:w="553"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01</w:t>
            </w:r>
          </w:p>
        </w:tc>
        <w:tc>
          <w:tcPr>
            <w:tcW w:w="558"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000000"/>
                <w:kern w:val="2"/>
                <w:sz w:val="13"/>
                <w:szCs w:val="13"/>
                <w:lang w:val="en-US" w:eastAsia="zh-CN" w:bidi="ar-SA"/>
              </w:rPr>
            </w:pPr>
            <w:r>
              <w:rPr>
                <w:rFonts w:hint="eastAsia" w:ascii="仿宋_GB2312" w:eastAsia="仿宋_GB2312"/>
                <w:color w:val="000000"/>
                <w:sz w:val="13"/>
                <w:szCs w:val="13"/>
                <w:lang w:val="en-US" w:eastAsia="zh-CN"/>
              </w:rPr>
              <w:t>24</w:t>
            </w:r>
          </w:p>
        </w:tc>
        <w:tc>
          <w:tcPr>
            <w:tcW w:w="1445"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农村合作经济</w:t>
            </w:r>
          </w:p>
        </w:tc>
        <w:tc>
          <w:tcPr>
            <w:tcW w:w="1069"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5.00</w:t>
            </w:r>
          </w:p>
        </w:tc>
        <w:tc>
          <w:tcPr>
            <w:tcW w:w="101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5.00</w:t>
            </w:r>
          </w:p>
        </w:tc>
        <w:tc>
          <w:tcPr>
            <w:tcW w:w="101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5.00</w:t>
            </w:r>
          </w:p>
        </w:tc>
        <w:tc>
          <w:tcPr>
            <w:tcW w:w="825"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221</w:t>
            </w:r>
          </w:p>
        </w:tc>
        <w:tc>
          <w:tcPr>
            <w:tcW w:w="55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55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14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住房保障支出</w:t>
            </w:r>
          </w:p>
        </w:tc>
        <w:tc>
          <w:tcPr>
            <w:tcW w:w="106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30.74</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9.04</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9.04</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21.70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221</w:t>
            </w:r>
          </w:p>
        </w:tc>
        <w:tc>
          <w:tcPr>
            <w:tcW w:w="553"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02</w:t>
            </w:r>
          </w:p>
        </w:tc>
        <w:tc>
          <w:tcPr>
            <w:tcW w:w="55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14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住房改革支出</w:t>
            </w:r>
          </w:p>
        </w:tc>
        <w:tc>
          <w:tcPr>
            <w:tcW w:w="106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30.74</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9.04</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9.04</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21.70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221</w:t>
            </w:r>
          </w:p>
        </w:tc>
        <w:tc>
          <w:tcPr>
            <w:tcW w:w="553"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02</w:t>
            </w:r>
          </w:p>
        </w:tc>
        <w:tc>
          <w:tcPr>
            <w:tcW w:w="558"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14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住房</w:t>
            </w:r>
            <w:r>
              <w:rPr>
                <w:rFonts w:hint="eastAsia" w:ascii="仿宋_GB2312" w:eastAsia="仿宋_GB2312"/>
                <w:color w:val="000000"/>
                <w:sz w:val="18"/>
                <w:szCs w:val="18"/>
                <w:lang w:val="en-US" w:eastAsia="zh-CN"/>
              </w:rPr>
              <w:t>公积金</w:t>
            </w:r>
          </w:p>
        </w:tc>
        <w:tc>
          <w:tcPr>
            <w:tcW w:w="1069"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30.74</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9.04</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9.04</w:t>
            </w:r>
          </w:p>
        </w:tc>
        <w:tc>
          <w:tcPr>
            <w:tcW w:w="82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21.70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color w:val="auto"/>
                <w:kern w:val="2"/>
                <w:sz w:val="16"/>
                <w:szCs w:val="16"/>
                <w:highlight w:val="none"/>
                <w:lang w:val="en-US" w:eastAsia="zh-CN" w:bidi="ar-SA"/>
              </w:rPr>
            </w:pPr>
          </w:p>
        </w:tc>
      </w:tr>
      <w:tr>
        <w:tblPrEx>
          <w:tblCellMar>
            <w:top w:w="0" w:type="dxa"/>
            <w:left w:w="108" w:type="dxa"/>
            <w:bottom w:w="0" w:type="dxa"/>
            <w:right w:w="108" w:type="dxa"/>
          </w:tblCellMar>
        </w:tblPrEx>
        <w:trPr>
          <w:trHeight w:val="465" w:hRule="atLeast"/>
          <w:tblHeader/>
        </w:trPr>
        <w:tc>
          <w:tcPr>
            <w:tcW w:w="553" w:type="dxa"/>
            <w:tcBorders>
              <w:top w:val="nil"/>
              <w:left w:val="single" w:color="auto" w:sz="4" w:space="0"/>
              <w:bottom w:val="single" w:color="auto" w:sz="4" w:space="0"/>
              <w:right w:val="single" w:color="auto" w:sz="4" w:space="0"/>
            </w:tcBorders>
            <w:vAlign w:val="center"/>
          </w:tcPr>
          <w:p>
            <w:pPr>
              <w:jc w:val="right"/>
              <w:rPr>
                <w:rFonts w:hint="eastAsia" w:ascii="仿宋_GB2312" w:hAnsi="宋体" w:eastAsia="仿宋_GB2312" w:cs="宋体"/>
                <w:color w:val="auto"/>
                <w:kern w:val="2"/>
                <w:sz w:val="13"/>
                <w:szCs w:val="13"/>
                <w:highlight w:val="none"/>
                <w:lang w:val="en-US" w:eastAsia="zh-CN" w:bidi="ar-SA"/>
              </w:rPr>
            </w:pPr>
            <w:r>
              <w:rPr>
                <w:rFonts w:hint="eastAsia" w:ascii="仿宋_GB2312" w:eastAsia="仿宋_GB2312"/>
                <w:color w:val="auto"/>
                <w:sz w:val="13"/>
                <w:szCs w:val="13"/>
                <w:highlight w:val="none"/>
              </w:rPr>
              <w:t>　</w:t>
            </w:r>
          </w:p>
        </w:tc>
        <w:tc>
          <w:tcPr>
            <w:tcW w:w="553"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3"/>
                <w:szCs w:val="13"/>
                <w:highlight w:val="none"/>
                <w:lang w:val="en-US" w:eastAsia="zh-CN" w:bidi="ar-SA"/>
              </w:rPr>
            </w:pPr>
            <w:r>
              <w:rPr>
                <w:rFonts w:hint="eastAsia" w:ascii="仿宋_GB2312" w:eastAsia="仿宋_GB2312"/>
                <w:color w:val="auto"/>
                <w:sz w:val="13"/>
                <w:szCs w:val="13"/>
                <w:highlight w:val="none"/>
              </w:rPr>
              <w:t>　</w:t>
            </w:r>
          </w:p>
        </w:tc>
        <w:tc>
          <w:tcPr>
            <w:tcW w:w="558" w:type="dxa"/>
            <w:tcBorders>
              <w:top w:val="nil"/>
              <w:left w:val="nil"/>
              <w:bottom w:val="single" w:color="auto" w:sz="4" w:space="0"/>
              <w:right w:val="single" w:color="auto" w:sz="4" w:space="0"/>
            </w:tcBorders>
            <w:vAlign w:val="center"/>
          </w:tcPr>
          <w:p>
            <w:pPr>
              <w:jc w:val="right"/>
              <w:rPr>
                <w:rFonts w:ascii="仿宋_GB2312" w:hAnsi="宋体" w:eastAsia="仿宋_GB2312" w:cs="宋体"/>
                <w:color w:val="auto"/>
                <w:kern w:val="2"/>
                <w:sz w:val="13"/>
                <w:szCs w:val="13"/>
                <w:highlight w:val="none"/>
                <w:lang w:val="en-US" w:eastAsia="zh-CN" w:bidi="ar-SA"/>
              </w:rPr>
            </w:pPr>
            <w:r>
              <w:rPr>
                <w:rFonts w:hint="eastAsia" w:ascii="仿宋_GB2312" w:eastAsia="仿宋_GB2312"/>
                <w:color w:val="auto"/>
                <w:sz w:val="13"/>
                <w:szCs w:val="13"/>
                <w:highlight w:val="none"/>
              </w:rPr>
              <w:t>　</w:t>
            </w:r>
          </w:p>
        </w:tc>
        <w:tc>
          <w:tcPr>
            <w:tcW w:w="1445"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auto"/>
                <w:kern w:val="2"/>
                <w:sz w:val="20"/>
                <w:szCs w:val="20"/>
                <w:highlight w:val="none"/>
                <w:lang w:val="en-US" w:eastAsia="zh-CN" w:bidi="ar-SA"/>
              </w:rPr>
            </w:pPr>
            <w:r>
              <w:rPr>
                <w:rFonts w:hint="eastAsia" w:ascii="仿宋_GB2312" w:eastAsia="仿宋_GB2312"/>
                <w:b/>
                <w:bCs/>
                <w:color w:val="auto"/>
                <w:sz w:val="20"/>
                <w:szCs w:val="20"/>
                <w:highlight w:val="none"/>
              </w:rPr>
              <w:t>合  计</w:t>
            </w:r>
            <w:r>
              <w:rPr>
                <w:rFonts w:hint="eastAsia" w:ascii="仿宋_GB2312" w:eastAsia="仿宋_GB2312"/>
                <w:color w:val="auto"/>
                <w:sz w:val="20"/>
                <w:szCs w:val="20"/>
                <w:highlight w:val="none"/>
              </w:rPr>
              <w:t>　</w:t>
            </w:r>
          </w:p>
        </w:tc>
        <w:tc>
          <w:tcPr>
            <w:tcW w:w="1069"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b/>
                <w:bCs/>
                <w:color w:val="auto"/>
                <w:kern w:val="2"/>
                <w:sz w:val="16"/>
                <w:szCs w:val="16"/>
                <w:highlight w:val="none"/>
                <w:lang w:val="en-US" w:eastAsia="zh-CN" w:bidi="ar-SA"/>
              </w:rPr>
            </w:pPr>
            <w:r>
              <w:rPr>
                <w:rFonts w:hint="eastAsia" w:ascii="仿宋_GB2312" w:hAnsi="宋体" w:eastAsia="仿宋_GB2312" w:cs="宋体"/>
                <w:b/>
                <w:bCs/>
                <w:color w:val="auto"/>
                <w:kern w:val="2"/>
                <w:sz w:val="16"/>
                <w:szCs w:val="16"/>
                <w:highlight w:val="none"/>
                <w:lang w:val="en-US" w:eastAsia="zh-CN" w:bidi="ar-SA"/>
              </w:rPr>
              <w:t>187</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kern w:val="2"/>
                <w:sz w:val="16"/>
                <w:szCs w:val="16"/>
                <w:highlight w:val="none"/>
                <w:lang w:val="en-US" w:eastAsia="zh-CN" w:bidi="ar-SA"/>
              </w:rPr>
            </w:pPr>
            <w:r>
              <w:rPr>
                <w:rFonts w:hint="eastAsia" w:ascii="仿宋_GB2312" w:hAnsi="宋体" w:eastAsia="仿宋_GB2312" w:cs="宋体"/>
                <w:b/>
                <w:bCs/>
                <w:color w:val="auto"/>
                <w:kern w:val="2"/>
                <w:sz w:val="16"/>
                <w:szCs w:val="16"/>
                <w:highlight w:val="none"/>
                <w:lang w:val="en-US" w:eastAsia="zh-CN" w:bidi="ar-SA"/>
              </w:rPr>
              <w:t>117.69</w:t>
            </w:r>
          </w:p>
        </w:tc>
        <w:tc>
          <w:tcPr>
            <w:tcW w:w="1015"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kern w:val="2"/>
                <w:sz w:val="16"/>
                <w:szCs w:val="16"/>
                <w:highlight w:val="none"/>
                <w:lang w:val="en-US" w:eastAsia="zh-CN" w:bidi="ar-SA"/>
              </w:rPr>
            </w:pPr>
            <w:r>
              <w:rPr>
                <w:rFonts w:hint="eastAsia" w:ascii="仿宋_GB2312" w:hAnsi="宋体" w:eastAsia="仿宋_GB2312" w:cs="宋体"/>
                <w:b/>
                <w:bCs/>
                <w:color w:val="auto"/>
                <w:kern w:val="2"/>
                <w:sz w:val="16"/>
                <w:szCs w:val="16"/>
                <w:highlight w:val="none"/>
                <w:lang w:val="en-US" w:eastAsia="zh-CN" w:bidi="ar-SA"/>
              </w:rPr>
              <w:t>117.69</w:t>
            </w:r>
          </w:p>
        </w:tc>
        <w:tc>
          <w:tcPr>
            <w:tcW w:w="825"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b/>
                <w:bCs/>
                <w:color w:val="auto"/>
                <w:kern w:val="2"/>
                <w:sz w:val="16"/>
                <w:szCs w:val="16"/>
                <w:highlight w:val="none"/>
                <w:lang w:val="en-US" w:eastAsia="zh-CN" w:bidi="ar-SA"/>
              </w:rPr>
            </w:pPr>
          </w:p>
        </w:tc>
        <w:tc>
          <w:tcPr>
            <w:tcW w:w="77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kern w:val="2"/>
                <w:sz w:val="16"/>
                <w:szCs w:val="16"/>
                <w:highlight w:val="none"/>
                <w:lang w:val="en-US" w:eastAsia="zh-CN" w:bidi="ar-SA"/>
              </w:rPr>
            </w:pPr>
          </w:p>
        </w:tc>
        <w:tc>
          <w:tcPr>
            <w:tcW w:w="867"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kern w:val="2"/>
                <w:sz w:val="16"/>
                <w:szCs w:val="16"/>
                <w:highlight w:val="none"/>
                <w:lang w:val="en-US" w:eastAsia="zh-CN" w:bidi="ar-SA"/>
              </w:rPr>
            </w:pPr>
          </w:p>
        </w:tc>
        <w:tc>
          <w:tcPr>
            <w:tcW w:w="610"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kern w:val="2"/>
                <w:sz w:val="16"/>
                <w:szCs w:val="16"/>
                <w:highlight w:val="none"/>
                <w:lang w:val="en-US" w:eastAsia="zh-CN" w:bidi="ar-SA"/>
              </w:rPr>
            </w:pPr>
          </w:p>
        </w:tc>
        <w:tc>
          <w:tcPr>
            <w:tcW w:w="881" w:type="dxa"/>
            <w:tcBorders>
              <w:top w:val="nil"/>
              <w:left w:val="nil"/>
              <w:bottom w:val="single" w:color="auto" w:sz="4" w:space="0"/>
              <w:right w:val="single" w:color="auto" w:sz="4" w:space="0"/>
            </w:tcBorders>
            <w:vAlign w:val="center"/>
          </w:tcPr>
          <w:p>
            <w:pPr>
              <w:jc w:val="center"/>
              <w:rPr>
                <w:rFonts w:ascii="仿宋_GB2312" w:hAnsi="宋体" w:eastAsia="仿宋_GB2312" w:cs="宋体"/>
                <w:b/>
                <w:bCs/>
                <w:color w:val="auto"/>
                <w:kern w:val="2"/>
                <w:sz w:val="16"/>
                <w:szCs w:val="16"/>
                <w:highlight w:val="none"/>
                <w:lang w:val="en-US" w:eastAsia="zh-CN" w:bidi="ar-SA"/>
              </w:rPr>
            </w:pPr>
          </w:p>
        </w:tc>
        <w:tc>
          <w:tcPr>
            <w:tcW w:w="61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b/>
                <w:bCs/>
                <w:color w:val="auto"/>
                <w:kern w:val="2"/>
                <w:sz w:val="16"/>
                <w:szCs w:val="16"/>
                <w:highlight w:val="none"/>
                <w:lang w:val="en-US" w:eastAsia="zh-CN" w:bidi="ar-SA"/>
              </w:rPr>
            </w:pPr>
          </w:p>
        </w:tc>
        <w:tc>
          <w:tcPr>
            <w:tcW w:w="961"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b/>
                <w:bCs/>
                <w:color w:val="auto"/>
                <w:kern w:val="2"/>
                <w:sz w:val="16"/>
                <w:szCs w:val="16"/>
                <w:highlight w:val="none"/>
                <w:lang w:val="en-US" w:eastAsia="zh-CN" w:bidi="ar-SA"/>
              </w:rPr>
            </w:pPr>
            <w:r>
              <w:rPr>
                <w:rFonts w:hint="eastAsia" w:ascii="仿宋_GB2312" w:hAnsi="Times New Roman" w:eastAsia="仿宋_GB2312" w:cs="Times New Roman"/>
                <w:b/>
                <w:bCs/>
                <w:color w:val="auto"/>
                <w:kern w:val="2"/>
                <w:sz w:val="16"/>
                <w:szCs w:val="16"/>
                <w:highlight w:val="none"/>
                <w:lang w:val="en-US" w:eastAsia="zh-CN" w:bidi="ar-SA"/>
              </w:rPr>
              <w:t>69.30</w:t>
            </w:r>
          </w:p>
        </w:tc>
        <w:tc>
          <w:tcPr>
            <w:tcW w:w="549" w:type="dxa"/>
            <w:tcBorders>
              <w:top w:val="nil"/>
              <w:left w:val="single" w:color="auto" w:sz="4" w:space="0"/>
              <w:bottom w:val="single" w:color="auto" w:sz="4" w:space="0"/>
              <w:right w:val="single" w:color="auto" w:sz="4" w:space="0"/>
            </w:tcBorders>
            <w:vAlign w:val="center"/>
          </w:tcPr>
          <w:p>
            <w:pPr>
              <w:jc w:val="center"/>
              <w:rPr>
                <w:rFonts w:hint="eastAsia" w:ascii="仿宋_GB2312" w:hAnsi="Times New Roman" w:eastAsia="仿宋_GB2312" w:cs="Times New Roman"/>
                <w:b/>
                <w:bCs/>
                <w:color w:val="auto"/>
                <w:kern w:val="2"/>
                <w:sz w:val="16"/>
                <w:szCs w:val="16"/>
                <w:highlight w:val="none"/>
                <w:lang w:val="en-US" w:eastAsia="zh-CN" w:bidi="ar-SA"/>
              </w:rPr>
            </w:pPr>
          </w:p>
        </w:tc>
        <w:tc>
          <w:tcPr>
            <w:tcW w:w="676" w:type="dxa"/>
            <w:tcBorders>
              <w:top w:val="nil"/>
              <w:left w:val="single" w:color="auto" w:sz="4" w:space="0"/>
              <w:bottom w:val="single" w:color="auto" w:sz="4" w:space="0"/>
              <w:right w:val="single" w:color="auto" w:sz="4" w:space="0"/>
            </w:tcBorders>
            <w:vAlign w:val="center"/>
          </w:tcPr>
          <w:p>
            <w:pPr>
              <w:jc w:val="right"/>
              <w:rPr>
                <w:rFonts w:hint="eastAsia" w:ascii="仿宋_GB2312" w:hAnsi="Times New Roman" w:eastAsia="仿宋_GB2312" w:cs="Times New Roman"/>
                <w:b/>
                <w:bCs/>
                <w:color w:val="auto"/>
                <w:kern w:val="2"/>
                <w:sz w:val="16"/>
                <w:szCs w:val="16"/>
                <w:highlight w:val="none"/>
                <w:lang w:val="en-US" w:eastAsia="zh-CN" w:bidi="ar-SA"/>
              </w:rPr>
            </w:pPr>
          </w:p>
        </w:tc>
      </w:tr>
    </w:tbl>
    <w:p>
      <w:pPr>
        <w:widowControl/>
        <w:spacing w:line="280" w:lineRule="exact"/>
        <w:outlineLvl w:val="1"/>
        <w:rPr>
          <w:rFonts w:hint="eastAsia" w:ascii="仿宋_GB2312" w:hAnsi="宋体" w:eastAsia="仿宋_GB2312"/>
          <w:b/>
          <w:color w:val="FF0000"/>
          <w:kern w:val="0"/>
          <w:sz w:val="28"/>
          <w:szCs w:val="32"/>
          <w:highlight w:val="none"/>
        </w:rPr>
        <w:sectPr>
          <w:pgSz w:w="16838" w:h="11906" w:orient="landscape"/>
          <w:pgMar w:top="1531" w:right="2098" w:bottom="1531" w:left="1984"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    </w:t>
      </w:r>
      <w:r>
        <w:rPr>
          <w:rFonts w:hint="eastAsia" w:ascii="仿宋_GB2312" w:hAnsi="宋体" w:eastAsia="仿宋_GB2312"/>
          <w:color w:val="auto"/>
          <w:kern w:val="0"/>
          <w:sz w:val="24"/>
          <w:highlight w:val="none"/>
        </w:rPr>
        <w:t xml:space="preserve">                                             </w:t>
      </w:r>
    </w:p>
    <w:tbl>
      <w:tblPr>
        <w:tblStyle w:val="9"/>
        <w:tblW w:w="9420" w:type="dxa"/>
        <w:tblInd w:w="-240" w:type="dxa"/>
        <w:tblLayout w:type="fixed"/>
        <w:tblCellMar>
          <w:top w:w="0" w:type="dxa"/>
          <w:left w:w="108" w:type="dxa"/>
          <w:bottom w:w="0" w:type="dxa"/>
          <w:right w:w="108" w:type="dxa"/>
        </w:tblCellMar>
      </w:tblPr>
      <w:tblGrid>
        <w:gridCol w:w="417"/>
        <w:gridCol w:w="417"/>
        <w:gridCol w:w="417"/>
        <w:gridCol w:w="2587"/>
        <w:gridCol w:w="1844"/>
        <w:gridCol w:w="1845"/>
        <w:gridCol w:w="1893"/>
      </w:tblGrid>
      <w:tr>
        <w:tblPrEx>
          <w:tblCellMar>
            <w:top w:w="0" w:type="dxa"/>
            <w:left w:w="108" w:type="dxa"/>
            <w:bottom w:w="0" w:type="dxa"/>
            <w:right w:w="108" w:type="dxa"/>
          </w:tblCellMar>
        </w:tblPrEx>
        <w:trPr>
          <w:trHeight w:val="328" w:hRule="atLeast"/>
        </w:trPr>
        <w:tc>
          <w:tcPr>
            <w:tcW w:w="3838"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82" w:type="dxa"/>
            <w:gridSpan w:val="3"/>
            <w:tcBorders>
              <w:top w:val="single" w:color="auto" w:sz="4" w:space="0"/>
              <w:left w:val="nil"/>
              <w:bottom w:val="single" w:color="auto" w:sz="4" w:space="0"/>
              <w:right w:val="single" w:color="000000" w:sz="4" w:space="0"/>
            </w:tcBorders>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251"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87"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44"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4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93"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87"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4"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4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93"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8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社会保障和就业支出</w:t>
            </w:r>
          </w:p>
        </w:tc>
        <w:tc>
          <w:tcPr>
            <w:tcW w:w="18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45.49</w:t>
            </w:r>
          </w:p>
        </w:tc>
        <w:tc>
          <w:tcPr>
            <w:tcW w:w="18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45.49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8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行政事业单位养老支出</w:t>
            </w:r>
          </w:p>
        </w:tc>
        <w:tc>
          <w:tcPr>
            <w:tcW w:w="18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45.49</w:t>
            </w:r>
          </w:p>
        </w:tc>
        <w:tc>
          <w:tcPr>
            <w:tcW w:w="18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45.49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258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行政单位离退休</w:t>
            </w:r>
          </w:p>
        </w:tc>
        <w:tc>
          <w:tcPr>
            <w:tcW w:w="18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4.35</w:t>
            </w:r>
          </w:p>
        </w:tc>
        <w:tc>
          <w:tcPr>
            <w:tcW w:w="18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4.35</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05</w:t>
            </w:r>
          </w:p>
        </w:tc>
        <w:tc>
          <w:tcPr>
            <w:tcW w:w="258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机关事业单位基本养老保险缴费支</w:t>
            </w:r>
            <w:r>
              <w:rPr>
                <w:rFonts w:hint="eastAsia" w:ascii="仿宋_GB2312" w:hAnsi="宋体" w:eastAsia="仿宋_GB2312" w:cs="宋体"/>
                <w:color w:val="000000"/>
                <w:sz w:val="16"/>
                <w:szCs w:val="16"/>
              </w:rPr>
              <w:t>出</w:t>
            </w:r>
          </w:p>
        </w:tc>
        <w:tc>
          <w:tcPr>
            <w:tcW w:w="1844"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36.83</w:t>
            </w:r>
          </w:p>
        </w:tc>
        <w:tc>
          <w:tcPr>
            <w:tcW w:w="184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36.83</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41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06</w:t>
            </w:r>
          </w:p>
        </w:tc>
        <w:tc>
          <w:tcPr>
            <w:tcW w:w="258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机关事业单位职业年金缴费支出</w:t>
            </w:r>
          </w:p>
        </w:tc>
        <w:tc>
          <w:tcPr>
            <w:tcW w:w="1844"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4.30</w:t>
            </w:r>
          </w:p>
        </w:tc>
        <w:tc>
          <w:tcPr>
            <w:tcW w:w="184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4.30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210</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8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卫生健康支出</w:t>
            </w:r>
          </w:p>
        </w:tc>
        <w:tc>
          <w:tcPr>
            <w:tcW w:w="1844"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24.49</w:t>
            </w:r>
          </w:p>
        </w:tc>
        <w:tc>
          <w:tcPr>
            <w:tcW w:w="1845"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24.49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8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行政事业单位医疗</w:t>
            </w:r>
          </w:p>
        </w:tc>
        <w:tc>
          <w:tcPr>
            <w:tcW w:w="1844"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24.49</w:t>
            </w:r>
          </w:p>
        </w:tc>
        <w:tc>
          <w:tcPr>
            <w:tcW w:w="1845"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auto"/>
                <w:kern w:val="2"/>
                <w:sz w:val="16"/>
                <w:szCs w:val="16"/>
                <w:highlight w:val="none"/>
                <w:lang w:val="en-US" w:eastAsia="zh-CN" w:bidi="ar-SA"/>
              </w:rPr>
            </w:pPr>
            <w:r>
              <w:rPr>
                <w:rFonts w:hint="eastAsia" w:ascii="仿宋_GB2312" w:hAnsi="Times New Roman" w:eastAsia="仿宋_GB2312" w:cs="Times New Roman"/>
                <w:color w:val="auto"/>
                <w:kern w:val="2"/>
                <w:sz w:val="16"/>
                <w:szCs w:val="16"/>
                <w:highlight w:val="none"/>
                <w:lang w:val="en-US" w:eastAsia="zh-CN" w:bidi="ar-SA"/>
              </w:rPr>
              <w:t>24.49</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258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行政单位医疗</w:t>
            </w:r>
          </w:p>
        </w:tc>
        <w:tc>
          <w:tcPr>
            <w:tcW w:w="18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18.42</w:t>
            </w:r>
          </w:p>
        </w:tc>
        <w:tc>
          <w:tcPr>
            <w:tcW w:w="18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18.42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03</w:t>
            </w:r>
          </w:p>
        </w:tc>
        <w:tc>
          <w:tcPr>
            <w:tcW w:w="258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公务员医疗补助</w:t>
            </w:r>
          </w:p>
        </w:tc>
        <w:tc>
          <w:tcPr>
            <w:tcW w:w="18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6.01</w:t>
            </w:r>
          </w:p>
        </w:tc>
        <w:tc>
          <w:tcPr>
            <w:tcW w:w="18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6.01</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417"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000000"/>
                <w:kern w:val="2"/>
                <w:sz w:val="13"/>
                <w:szCs w:val="13"/>
                <w:lang w:val="en-US" w:eastAsia="zh-CN" w:bidi="ar-SA"/>
              </w:rPr>
            </w:pPr>
            <w:r>
              <w:rPr>
                <w:rFonts w:hint="eastAsia" w:ascii="仿宋_GB2312" w:eastAsia="仿宋_GB2312"/>
                <w:color w:val="000000"/>
                <w:sz w:val="13"/>
                <w:szCs w:val="13"/>
                <w:lang w:val="en-US" w:eastAsia="zh-CN"/>
              </w:rPr>
              <w:t>99</w:t>
            </w:r>
          </w:p>
        </w:tc>
        <w:tc>
          <w:tcPr>
            <w:tcW w:w="258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rPr>
              <w:t>其他行政事业单位医疗支出</w:t>
            </w:r>
          </w:p>
        </w:tc>
        <w:tc>
          <w:tcPr>
            <w:tcW w:w="1844"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0.07</w:t>
            </w:r>
          </w:p>
        </w:tc>
        <w:tc>
          <w:tcPr>
            <w:tcW w:w="184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0.07</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213</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8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仿宋_GB2312" w:eastAsia="仿宋_GB2312" w:cs="仿宋_GB2312"/>
                <w:b w:val="0"/>
                <w:bCs w:val="0"/>
                <w:sz w:val="18"/>
                <w:szCs w:val="18"/>
                <w:highlight w:val="none"/>
                <w:lang w:eastAsia="zh-CN"/>
              </w:rPr>
              <w:t>农林水支出</w:t>
            </w:r>
          </w:p>
        </w:tc>
        <w:tc>
          <w:tcPr>
            <w:tcW w:w="18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86.27</w:t>
            </w:r>
          </w:p>
        </w:tc>
        <w:tc>
          <w:tcPr>
            <w:tcW w:w="18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86.27</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213</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8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农业农村</w:t>
            </w:r>
          </w:p>
        </w:tc>
        <w:tc>
          <w:tcPr>
            <w:tcW w:w="18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86.27</w:t>
            </w:r>
          </w:p>
        </w:tc>
        <w:tc>
          <w:tcPr>
            <w:tcW w:w="18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86.27</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213</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2587"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行政运行</w:t>
            </w:r>
          </w:p>
        </w:tc>
        <w:tc>
          <w:tcPr>
            <w:tcW w:w="18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81.27</w:t>
            </w:r>
          </w:p>
        </w:tc>
        <w:tc>
          <w:tcPr>
            <w:tcW w:w="18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81.27</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213</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01</w:t>
            </w:r>
          </w:p>
        </w:tc>
        <w:tc>
          <w:tcPr>
            <w:tcW w:w="417"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000000"/>
                <w:kern w:val="2"/>
                <w:sz w:val="13"/>
                <w:szCs w:val="13"/>
                <w:lang w:val="en-US" w:eastAsia="zh-CN" w:bidi="ar-SA"/>
              </w:rPr>
            </w:pPr>
            <w:r>
              <w:rPr>
                <w:rFonts w:hint="eastAsia" w:ascii="仿宋_GB2312" w:eastAsia="仿宋_GB2312"/>
                <w:color w:val="000000"/>
                <w:sz w:val="13"/>
                <w:szCs w:val="13"/>
                <w:lang w:val="en-US" w:eastAsia="zh-CN"/>
              </w:rPr>
              <w:t>24</w:t>
            </w:r>
          </w:p>
        </w:tc>
        <w:tc>
          <w:tcPr>
            <w:tcW w:w="2587"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农村合作经济</w:t>
            </w:r>
          </w:p>
        </w:tc>
        <w:tc>
          <w:tcPr>
            <w:tcW w:w="1844"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5.00</w:t>
            </w:r>
          </w:p>
        </w:tc>
        <w:tc>
          <w:tcPr>
            <w:tcW w:w="1845"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0</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default" w:ascii="仿宋_GB2312" w:hAnsi="Times New Roman" w:eastAsia="仿宋_GB2312" w:cs="Times New Roman"/>
                <w:color w:val="auto"/>
                <w:kern w:val="2"/>
                <w:sz w:val="16"/>
                <w:szCs w:val="16"/>
                <w:highlight w:val="none"/>
                <w:lang w:val="en-US" w:eastAsia="zh-CN" w:bidi="ar-SA"/>
              </w:rPr>
              <w:t>5.00</w:t>
            </w: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221</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8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住房保障支出</w:t>
            </w:r>
          </w:p>
        </w:tc>
        <w:tc>
          <w:tcPr>
            <w:tcW w:w="18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30.74</w:t>
            </w:r>
          </w:p>
        </w:tc>
        <w:tc>
          <w:tcPr>
            <w:tcW w:w="18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30.74</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221</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02</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8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住房改革支出</w:t>
            </w:r>
          </w:p>
        </w:tc>
        <w:tc>
          <w:tcPr>
            <w:tcW w:w="18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30.74</w:t>
            </w:r>
          </w:p>
        </w:tc>
        <w:tc>
          <w:tcPr>
            <w:tcW w:w="18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30.74</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221</w:t>
            </w:r>
          </w:p>
        </w:tc>
        <w:tc>
          <w:tcPr>
            <w:tcW w:w="417"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02</w:t>
            </w:r>
          </w:p>
        </w:tc>
        <w:tc>
          <w:tcPr>
            <w:tcW w:w="417"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2587"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住房</w:t>
            </w:r>
            <w:r>
              <w:rPr>
                <w:rFonts w:hint="eastAsia" w:ascii="仿宋_GB2312" w:eastAsia="仿宋_GB2312"/>
                <w:color w:val="000000"/>
                <w:sz w:val="18"/>
                <w:szCs w:val="18"/>
                <w:lang w:val="en-US" w:eastAsia="zh-CN"/>
              </w:rPr>
              <w:t>公积金</w:t>
            </w:r>
          </w:p>
        </w:tc>
        <w:tc>
          <w:tcPr>
            <w:tcW w:w="184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30.74</w:t>
            </w:r>
          </w:p>
        </w:tc>
        <w:tc>
          <w:tcPr>
            <w:tcW w:w="1845"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30.74</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p>
        </w:tc>
      </w:tr>
      <w:tr>
        <w:tblPrEx>
          <w:tblCellMar>
            <w:top w:w="0" w:type="dxa"/>
            <w:left w:w="108" w:type="dxa"/>
            <w:bottom w:w="0" w:type="dxa"/>
            <w:right w:w="108" w:type="dxa"/>
          </w:tblCellMar>
        </w:tblPrEx>
        <w:trPr>
          <w:trHeight w:val="405" w:hRule="atLeast"/>
        </w:trPr>
        <w:tc>
          <w:tcPr>
            <w:tcW w:w="417"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16"/>
                <w:szCs w:val="16"/>
                <w:highlight w:val="none"/>
              </w:rPr>
            </w:pPr>
          </w:p>
        </w:tc>
        <w:tc>
          <w:tcPr>
            <w:tcW w:w="2587"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44"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b/>
                <w:bCs/>
                <w:color w:val="auto"/>
                <w:kern w:val="2"/>
                <w:sz w:val="16"/>
                <w:szCs w:val="16"/>
                <w:highlight w:val="none"/>
                <w:lang w:val="en-US" w:eastAsia="zh-CN" w:bidi="ar-SA"/>
              </w:rPr>
            </w:pPr>
            <w:r>
              <w:rPr>
                <w:rFonts w:hint="eastAsia" w:ascii="仿宋_GB2312" w:hAnsi="宋体" w:eastAsia="仿宋_GB2312" w:cs="宋体"/>
                <w:b/>
                <w:bCs/>
                <w:color w:val="auto"/>
                <w:kern w:val="2"/>
                <w:sz w:val="16"/>
                <w:szCs w:val="16"/>
                <w:highlight w:val="none"/>
                <w:lang w:val="en-US" w:eastAsia="zh-CN" w:bidi="ar-SA"/>
              </w:rPr>
              <w:t>187</w:t>
            </w:r>
          </w:p>
        </w:tc>
        <w:tc>
          <w:tcPr>
            <w:tcW w:w="1845"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b/>
                <w:bCs/>
                <w:color w:val="auto"/>
                <w:kern w:val="2"/>
                <w:sz w:val="16"/>
                <w:szCs w:val="16"/>
                <w:highlight w:val="none"/>
                <w:lang w:val="en-US" w:eastAsia="zh-CN" w:bidi="ar-SA"/>
              </w:rPr>
            </w:pPr>
            <w:r>
              <w:rPr>
                <w:rFonts w:hint="eastAsia" w:ascii="仿宋_GB2312" w:hAnsi="宋体" w:eastAsia="仿宋_GB2312" w:cs="宋体"/>
                <w:b/>
                <w:bCs/>
                <w:color w:val="auto"/>
                <w:kern w:val="2"/>
                <w:sz w:val="16"/>
                <w:szCs w:val="16"/>
                <w:highlight w:val="none"/>
                <w:lang w:val="en-US" w:eastAsia="zh-CN" w:bidi="ar-SA"/>
              </w:rPr>
              <w:t>182</w:t>
            </w:r>
          </w:p>
        </w:tc>
        <w:tc>
          <w:tcPr>
            <w:tcW w:w="1893" w:type="dxa"/>
            <w:tcBorders>
              <w:top w:val="nil"/>
              <w:left w:val="nil"/>
              <w:bottom w:val="single" w:color="auto" w:sz="4" w:space="0"/>
              <w:right w:val="single" w:color="auto" w:sz="4" w:space="0"/>
            </w:tcBorders>
            <w:vAlign w:val="center"/>
          </w:tcPr>
          <w:p>
            <w:pPr>
              <w:widowControl/>
              <w:spacing w:line="280" w:lineRule="exact"/>
              <w:jc w:val="center"/>
              <w:rPr>
                <w:rFonts w:ascii="宋体" w:hAnsi="宋体" w:cs="宋体"/>
                <w:b/>
                <w:bCs/>
                <w:color w:val="auto"/>
                <w:kern w:val="0"/>
                <w:sz w:val="22"/>
                <w:szCs w:val="22"/>
                <w:highlight w:val="none"/>
              </w:rPr>
            </w:pPr>
            <w:r>
              <w:rPr>
                <w:rFonts w:hint="eastAsia" w:ascii="仿宋_GB2312" w:hAnsi="宋体" w:eastAsia="仿宋_GB2312" w:cs="宋体"/>
                <w:b/>
                <w:bCs/>
                <w:color w:val="auto"/>
                <w:kern w:val="2"/>
                <w:sz w:val="16"/>
                <w:szCs w:val="16"/>
                <w:highlight w:val="none"/>
                <w:lang w:val="en-US" w:eastAsia="zh-CN" w:bidi="ar-SA"/>
              </w:rPr>
              <w:t>5</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                               </w:t>
      </w:r>
    </w:p>
    <w:tbl>
      <w:tblPr>
        <w:tblStyle w:val="9"/>
        <w:tblW w:w="9449" w:type="dxa"/>
        <w:tblInd w:w="-240" w:type="dxa"/>
        <w:tblLayout w:type="fixed"/>
        <w:tblCellMar>
          <w:top w:w="0" w:type="dxa"/>
          <w:left w:w="108" w:type="dxa"/>
          <w:bottom w:w="0" w:type="dxa"/>
          <w:right w:w="108" w:type="dxa"/>
        </w:tblCellMar>
      </w:tblPr>
      <w:tblGrid>
        <w:gridCol w:w="1936"/>
        <w:gridCol w:w="914"/>
        <w:gridCol w:w="2580"/>
        <w:gridCol w:w="900"/>
        <w:gridCol w:w="851"/>
        <w:gridCol w:w="1134"/>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851"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113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Hans"/>
              </w:rPr>
              <w:t>一、</w:t>
            </w:r>
            <w:r>
              <w:rPr>
                <w:rFonts w:hint="eastAsia" w:ascii="仿宋_GB2312" w:hAnsi="宋体" w:eastAsia="仿宋_GB2312" w:cs="宋体"/>
                <w:color w:val="auto"/>
                <w:kern w:val="0"/>
                <w:sz w:val="18"/>
                <w:szCs w:val="18"/>
                <w:highlight w:val="none"/>
              </w:rPr>
              <w:t>财政拨款（补助）</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117.69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201 一般公共服务支出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ind w:firstLine="180" w:firstLineChars="100"/>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一般公共预算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117.69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202 外交支出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政府性基金预算</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203 国防支出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r>
              <w:rPr>
                <w:rFonts w:hint="default" w:ascii="仿宋_GB2312" w:hAnsi="宋体" w:eastAsia="仿宋_GB2312" w:cs="宋体"/>
                <w:color w:val="auto"/>
                <w:kern w:val="0"/>
                <w:sz w:val="18"/>
                <w:szCs w:val="18"/>
                <w:highlight w:val="none"/>
              </w:rPr>
              <w:t xml:space="preserve">  </w:t>
            </w:r>
            <w:r>
              <w:rPr>
                <w:rFonts w:hint="eastAsia" w:ascii="仿宋_GB2312" w:hAnsi="宋体" w:eastAsia="仿宋_GB2312" w:cs="宋体"/>
                <w:color w:val="auto"/>
                <w:kern w:val="0"/>
                <w:sz w:val="18"/>
                <w:szCs w:val="18"/>
                <w:highlight w:val="none"/>
              </w:rPr>
              <w:t>国有资本经营预算</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204 公共安全支出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205 教育支出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206 科学技术支出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207 文化旅游体育与传媒支出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208 社会保障和就业支出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15.19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15.19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xml:space="preserve">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209 社会保险基金支出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卫生健康支出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8.19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8.19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211 节能环保支出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212 城乡社区支出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213 农林水支出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85.27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85.27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214 交通运输支出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215 资源勘探</w:t>
            </w:r>
            <w:r>
              <w:rPr>
                <w:rFonts w:hint="eastAsia" w:ascii="仿宋_GB2312" w:hAnsi="宋体" w:eastAsia="仿宋_GB2312" w:cs="宋体"/>
                <w:b w:val="0"/>
                <w:bCs w:val="0"/>
                <w:color w:val="auto"/>
                <w:kern w:val="0"/>
                <w:sz w:val="18"/>
                <w:szCs w:val="18"/>
                <w:highlight w:val="none"/>
                <w:lang w:val="en-US" w:eastAsia="zh-Hans"/>
              </w:rPr>
              <w:t>工业</w:t>
            </w:r>
            <w:r>
              <w:rPr>
                <w:rFonts w:hint="eastAsia" w:ascii="仿宋_GB2312" w:hAnsi="宋体" w:eastAsia="仿宋_GB2312" w:cs="宋体"/>
                <w:b w:val="0"/>
                <w:bCs w:val="0"/>
                <w:color w:val="auto"/>
                <w:kern w:val="0"/>
                <w:sz w:val="18"/>
                <w:szCs w:val="18"/>
                <w:highlight w:val="none"/>
              </w:rPr>
              <w:t>信息等支出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216 商业服务业等支出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217 金融支出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219 援助其他地区支出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220 自然资源海洋气象等支出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221 住房保障支出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9.04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9.04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222 粮油物资储备支出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223 国有资本经营预算支出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224</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灾害防治及应急管理支出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227 预备费</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229 其他支出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230</w:t>
            </w:r>
            <w:r>
              <w:rPr>
                <w:rFonts w:hint="eastAsia" w:ascii="仿宋_GB2312" w:hAnsi="宋体" w:eastAsia="仿宋_GB2312" w:cs="宋体"/>
                <w:b w:val="0"/>
                <w:bCs w:val="0"/>
                <w:color w:val="auto"/>
                <w:kern w:val="0"/>
                <w:sz w:val="18"/>
                <w:szCs w:val="18"/>
                <w:highlight w:val="none"/>
                <w:lang w:val="en-US" w:eastAsia="zh-CN"/>
              </w:rPr>
              <w:t xml:space="preserve"> </w:t>
            </w:r>
            <w:r>
              <w:rPr>
                <w:rFonts w:hint="eastAsia" w:ascii="仿宋_GB2312" w:hAnsi="宋体" w:eastAsia="仿宋_GB2312" w:cs="宋体"/>
                <w:b w:val="0"/>
                <w:bCs w:val="0"/>
                <w:color w:val="auto"/>
                <w:kern w:val="0"/>
                <w:sz w:val="18"/>
                <w:szCs w:val="18"/>
                <w:highlight w:val="none"/>
              </w:rPr>
              <w:t>转移性支出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231 债务还本支出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val="0"/>
                <w:bCs w:val="0"/>
                <w:color w:val="auto"/>
                <w:kern w:val="0"/>
                <w:sz w:val="18"/>
                <w:szCs w:val="18"/>
                <w:highlight w:val="none"/>
              </w:rPr>
            </w:pPr>
            <w:r>
              <w:rPr>
                <w:rFonts w:hint="eastAsia" w:ascii="仿宋_GB2312" w:hAnsi="宋体" w:eastAsia="仿宋_GB2312" w:cs="宋体"/>
                <w:b w:val="0"/>
                <w:bCs w:val="0"/>
                <w:color w:val="auto"/>
                <w:kern w:val="0"/>
                <w:sz w:val="18"/>
                <w:szCs w:val="18"/>
                <w:highlight w:val="none"/>
              </w:rPr>
              <w:t>232 债务付息支出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914" w:type="dxa"/>
            <w:tcBorders>
              <w:top w:val="nil"/>
              <w:left w:val="nil"/>
              <w:bottom w:val="single" w:color="auto" w:sz="4" w:space="0"/>
              <w:right w:val="single" w:color="auto" w:sz="4" w:space="0"/>
            </w:tcBorders>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134"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vAlign w:val="center"/>
          </w:tcPr>
          <w:p>
            <w:pPr>
              <w:spacing w:line="280" w:lineRule="exact"/>
              <w:jc w:val="right"/>
              <w:rPr>
                <w:rFonts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18"/>
                <w:szCs w:val="18"/>
                <w:highlight w:val="none"/>
              </w:rPr>
              <w:t>117.69</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117.69</w:t>
            </w:r>
            <w:r>
              <w:rPr>
                <w:rFonts w:hint="eastAsia" w:ascii="宋体" w:hAnsi="宋体" w:cs="宋体"/>
                <w:b/>
                <w:bCs/>
                <w:color w:val="auto"/>
                <w:kern w:val="0"/>
                <w:sz w:val="22"/>
                <w:szCs w:val="22"/>
                <w:highlight w:val="none"/>
              </w:rPr>
              <w:t>　</w:t>
            </w:r>
          </w:p>
        </w:tc>
        <w:tc>
          <w:tcPr>
            <w:tcW w:w="851" w:type="dxa"/>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18"/>
                <w:szCs w:val="18"/>
                <w:highlight w:val="none"/>
              </w:rPr>
            </w:pPr>
            <w:r>
              <w:rPr>
                <w:rFonts w:hint="eastAsia" w:ascii="仿宋_GB2312" w:hAnsi="宋体" w:eastAsia="仿宋_GB2312" w:cs="宋体"/>
                <w:b/>
                <w:bCs/>
                <w:color w:val="auto"/>
                <w:kern w:val="0"/>
                <w:sz w:val="18"/>
                <w:szCs w:val="18"/>
                <w:highlight w:val="none"/>
              </w:rPr>
              <w:t>117.69</w:t>
            </w:r>
            <w:r>
              <w:rPr>
                <w:rFonts w:hint="eastAsia" w:ascii="宋体" w:hAnsi="宋体" w:cs="宋体"/>
                <w:b/>
                <w:bCs/>
                <w:color w:val="auto"/>
                <w:kern w:val="0"/>
                <w:sz w:val="22"/>
                <w:szCs w:val="22"/>
                <w:highlight w:val="none"/>
              </w:rPr>
              <w:t>　</w:t>
            </w:r>
          </w:p>
        </w:tc>
        <w:tc>
          <w:tcPr>
            <w:tcW w:w="2268" w:type="dxa"/>
            <w:gridSpan w:val="2"/>
            <w:tcBorders>
              <w:top w:val="nil"/>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9"/>
        <w:tblW w:w="9214" w:type="dxa"/>
        <w:tblInd w:w="-34" w:type="dxa"/>
        <w:tblLayout w:type="fixed"/>
        <w:tblCellMar>
          <w:top w:w="0" w:type="dxa"/>
          <w:left w:w="108" w:type="dxa"/>
          <w:bottom w:w="0" w:type="dxa"/>
          <w:right w:w="108" w:type="dxa"/>
        </w:tblCellMar>
      </w:tblPr>
      <w:tblGrid>
        <w:gridCol w:w="474"/>
        <w:gridCol w:w="500"/>
        <w:gridCol w:w="503"/>
        <w:gridCol w:w="2510"/>
        <w:gridCol w:w="1684"/>
        <w:gridCol w:w="216"/>
        <w:gridCol w:w="1626"/>
        <w:gridCol w:w="1701"/>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5887"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s="宋体"/>
                <w:color w:val="auto"/>
                <w:kern w:val="0"/>
                <w:sz w:val="24"/>
                <w:highlight w:val="none"/>
              </w:rPr>
              <w:t xml:space="preserve">  </w:t>
            </w:r>
          </w:p>
        </w:tc>
        <w:tc>
          <w:tcPr>
            <w:tcW w:w="3327"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477"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5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474"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00"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3"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208</w:t>
            </w:r>
          </w:p>
        </w:tc>
        <w:tc>
          <w:tcPr>
            <w:tcW w:w="5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1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社会保障和就业支出</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15.19</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15.19</w:t>
            </w:r>
          </w:p>
        </w:tc>
        <w:tc>
          <w:tcPr>
            <w:tcW w:w="1701" w:type="dxa"/>
            <w:tcBorders>
              <w:top w:val="nil"/>
              <w:left w:val="nil"/>
              <w:bottom w:val="single" w:color="auto" w:sz="4" w:space="0"/>
              <w:right w:val="single" w:color="auto" w:sz="4" w:space="0"/>
            </w:tcBorders>
            <w:vAlign w:val="center"/>
          </w:tcPr>
          <w:p>
            <w:pPr>
              <w:widowControl/>
              <w:jc w:val="lef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5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05</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行政事业单位养老支出</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15.19</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15.19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50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行政单位离退休</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4.35</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4.35</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208</w:t>
            </w:r>
          </w:p>
        </w:tc>
        <w:tc>
          <w:tcPr>
            <w:tcW w:w="50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05</w:t>
            </w:r>
          </w:p>
        </w:tc>
        <w:tc>
          <w:tcPr>
            <w:tcW w:w="503"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05</w:t>
            </w:r>
          </w:p>
        </w:tc>
        <w:tc>
          <w:tcPr>
            <w:tcW w:w="251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rPr>
              <w:t>机关事业单位基本养老保险缴费支</w:t>
            </w:r>
            <w:r>
              <w:rPr>
                <w:rFonts w:hint="eastAsia" w:ascii="仿宋_GB2312" w:hAnsi="宋体" w:eastAsia="仿宋_GB2312" w:cs="宋体"/>
                <w:color w:val="000000"/>
                <w:sz w:val="16"/>
                <w:szCs w:val="16"/>
              </w:rPr>
              <w:t>出</w:t>
            </w:r>
          </w:p>
        </w:tc>
        <w:tc>
          <w:tcPr>
            <w:tcW w:w="1684"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10.83</w:t>
            </w:r>
          </w:p>
        </w:tc>
        <w:tc>
          <w:tcPr>
            <w:tcW w:w="1842" w:type="dxa"/>
            <w:gridSpan w:val="2"/>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10.83</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210</w:t>
            </w:r>
          </w:p>
        </w:tc>
        <w:tc>
          <w:tcPr>
            <w:tcW w:w="5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hAnsi="宋体" w:eastAsia="仿宋_GB2312" w:cs="宋体"/>
                <w:color w:val="000000"/>
                <w:sz w:val="18"/>
                <w:szCs w:val="18"/>
                <w:lang w:val="en-US" w:eastAsia="zh-CN"/>
              </w:rPr>
              <w:t>卫生健康支出</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8.19</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8.19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5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行政事业单位医疗</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8.19</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8.19</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50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行政单位医疗</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5.42</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5.42</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50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03</w:t>
            </w: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公务员医疗补助</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2.71</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2.71</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201</w:t>
            </w:r>
          </w:p>
        </w:tc>
        <w:tc>
          <w:tcPr>
            <w:tcW w:w="50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11</w:t>
            </w:r>
          </w:p>
        </w:tc>
        <w:tc>
          <w:tcPr>
            <w:tcW w:w="50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000000"/>
                <w:kern w:val="2"/>
                <w:sz w:val="13"/>
                <w:szCs w:val="13"/>
                <w:lang w:val="en-US" w:eastAsia="zh-CN" w:bidi="ar-SA"/>
              </w:rPr>
            </w:pPr>
            <w:r>
              <w:rPr>
                <w:rFonts w:hint="eastAsia" w:ascii="仿宋_GB2312" w:eastAsia="仿宋_GB2312"/>
                <w:color w:val="000000"/>
                <w:sz w:val="13"/>
                <w:szCs w:val="13"/>
                <w:lang w:val="en-US" w:eastAsia="zh-CN"/>
              </w:rPr>
              <w:t>99</w:t>
            </w:r>
          </w:p>
        </w:tc>
        <w:tc>
          <w:tcPr>
            <w:tcW w:w="2510"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000000"/>
                <w:kern w:val="2"/>
                <w:sz w:val="18"/>
                <w:szCs w:val="18"/>
                <w:lang w:val="en-US" w:eastAsia="zh-CN" w:bidi="ar-SA"/>
              </w:rPr>
            </w:pPr>
            <w:r>
              <w:rPr>
                <w:rFonts w:hint="eastAsia" w:ascii="仿宋_GB2312" w:eastAsia="仿宋_GB2312"/>
                <w:color w:val="000000"/>
                <w:sz w:val="18"/>
                <w:szCs w:val="18"/>
              </w:rPr>
              <w:t>其他行政事业单位医疗支出</w:t>
            </w:r>
          </w:p>
        </w:tc>
        <w:tc>
          <w:tcPr>
            <w:tcW w:w="1684"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0.07</w:t>
            </w:r>
          </w:p>
        </w:tc>
        <w:tc>
          <w:tcPr>
            <w:tcW w:w="1842" w:type="dxa"/>
            <w:gridSpan w:val="2"/>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0.07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213</w:t>
            </w:r>
          </w:p>
        </w:tc>
        <w:tc>
          <w:tcPr>
            <w:tcW w:w="5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1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20"/>
                <w:szCs w:val="20"/>
                <w:lang w:val="en-US" w:eastAsia="zh-CN" w:bidi="ar-SA"/>
              </w:rPr>
            </w:pPr>
            <w:r>
              <w:rPr>
                <w:rFonts w:hint="eastAsia" w:ascii="仿宋_GB2312" w:hAnsi="仿宋_GB2312" w:eastAsia="仿宋_GB2312" w:cs="仿宋_GB2312"/>
                <w:b w:val="0"/>
                <w:bCs w:val="0"/>
                <w:sz w:val="18"/>
                <w:szCs w:val="18"/>
                <w:highlight w:val="none"/>
                <w:lang w:eastAsia="zh-CN"/>
              </w:rPr>
              <w:t>农林水支出</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85.27</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85.27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213</w:t>
            </w:r>
          </w:p>
        </w:tc>
        <w:tc>
          <w:tcPr>
            <w:tcW w:w="5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10"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农业农村</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85.27</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85.27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213</w:t>
            </w:r>
          </w:p>
        </w:tc>
        <w:tc>
          <w:tcPr>
            <w:tcW w:w="50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01</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2510"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行政运行</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80.27</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80.27</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213</w:t>
            </w:r>
          </w:p>
        </w:tc>
        <w:tc>
          <w:tcPr>
            <w:tcW w:w="50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01</w:t>
            </w:r>
          </w:p>
        </w:tc>
        <w:tc>
          <w:tcPr>
            <w:tcW w:w="503"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000000"/>
                <w:kern w:val="2"/>
                <w:sz w:val="13"/>
                <w:szCs w:val="13"/>
                <w:lang w:val="en-US" w:eastAsia="zh-CN" w:bidi="ar-SA"/>
              </w:rPr>
            </w:pPr>
            <w:r>
              <w:rPr>
                <w:rFonts w:hint="eastAsia" w:ascii="仿宋_GB2312" w:eastAsia="仿宋_GB2312"/>
                <w:color w:val="000000"/>
                <w:sz w:val="13"/>
                <w:szCs w:val="13"/>
                <w:lang w:val="en-US" w:eastAsia="zh-CN"/>
              </w:rPr>
              <w:t>24</w:t>
            </w:r>
          </w:p>
        </w:tc>
        <w:tc>
          <w:tcPr>
            <w:tcW w:w="2510" w:type="dxa"/>
            <w:tcBorders>
              <w:top w:val="nil"/>
              <w:left w:val="nil"/>
              <w:bottom w:val="single" w:color="auto" w:sz="4" w:space="0"/>
              <w:right w:val="single" w:color="auto" w:sz="4" w:space="0"/>
            </w:tcBorders>
            <w:vAlign w:val="center"/>
          </w:tcPr>
          <w:p>
            <w:pPr>
              <w:jc w:val="center"/>
              <w:rPr>
                <w:rFonts w:hint="eastAsia" w:ascii="仿宋_GB2312" w:hAnsi="Times New Roman" w:eastAsia="仿宋_GB2312" w:cs="Times New Roman"/>
                <w:color w:val="000000"/>
                <w:kern w:val="2"/>
                <w:sz w:val="20"/>
                <w:szCs w:val="20"/>
                <w:lang w:val="en-US" w:eastAsia="zh-CN" w:bidi="ar-SA"/>
              </w:rPr>
            </w:pPr>
            <w:r>
              <w:rPr>
                <w:rFonts w:hint="eastAsia" w:ascii="仿宋_GB2312" w:eastAsia="仿宋_GB2312"/>
                <w:color w:val="000000"/>
                <w:sz w:val="20"/>
                <w:szCs w:val="20"/>
                <w:lang w:val="en-US" w:eastAsia="zh-CN"/>
              </w:rPr>
              <w:t>农村合作经济</w:t>
            </w:r>
          </w:p>
        </w:tc>
        <w:tc>
          <w:tcPr>
            <w:tcW w:w="1684" w:type="dxa"/>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default" w:ascii="仿宋_GB2312" w:hAnsi="Times New Roman" w:eastAsia="仿宋_GB2312" w:cs="Times New Roman"/>
                <w:color w:val="auto"/>
                <w:kern w:val="2"/>
                <w:sz w:val="16"/>
                <w:szCs w:val="16"/>
                <w:highlight w:val="none"/>
                <w:lang w:val="en-US" w:eastAsia="zh-CN" w:bidi="ar-SA"/>
              </w:rPr>
              <w:t>5.00</w:t>
            </w:r>
          </w:p>
        </w:tc>
        <w:tc>
          <w:tcPr>
            <w:tcW w:w="1842" w:type="dxa"/>
            <w:gridSpan w:val="2"/>
            <w:tcBorders>
              <w:top w:val="nil"/>
              <w:left w:val="nil"/>
              <w:bottom w:val="single" w:color="auto" w:sz="4" w:space="0"/>
              <w:right w:val="single" w:color="auto" w:sz="4" w:space="0"/>
            </w:tcBorders>
            <w:vAlign w:val="center"/>
          </w:tcPr>
          <w:p>
            <w:pPr>
              <w:jc w:val="center"/>
              <w:rPr>
                <w:rFonts w:hint="default" w:ascii="仿宋_GB2312" w:hAnsi="Times New Roman" w:eastAsia="仿宋_GB2312" w:cs="Times New Roman"/>
                <w:color w:val="auto"/>
                <w:kern w:val="2"/>
                <w:sz w:val="16"/>
                <w:szCs w:val="16"/>
                <w:highlight w:val="none"/>
                <w:lang w:val="en-US" w:eastAsia="zh-CN" w:bidi="ar-SA"/>
              </w:rPr>
            </w:pPr>
            <w:r>
              <w:rPr>
                <w:rFonts w:hint="eastAsia" w:ascii="仿宋_GB2312" w:eastAsia="仿宋_GB2312" w:cs="Times New Roman"/>
                <w:color w:val="auto"/>
                <w:kern w:val="2"/>
                <w:sz w:val="16"/>
                <w:szCs w:val="16"/>
                <w:highlight w:val="none"/>
                <w:lang w:val="en-US" w:eastAsia="zh-CN" w:bidi="ar-SA"/>
              </w:rPr>
              <w:t>0</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default" w:ascii="仿宋_GB2312" w:hAnsi="Times New Roman" w:eastAsia="仿宋_GB2312" w:cs="Times New Roman"/>
                <w:color w:val="auto"/>
                <w:kern w:val="2"/>
                <w:sz w:val="16"/>
                <w:szCs w:val="16"/>
                <w:highlight w:val="none"/>
                <w:lang w:val="en-US" w:eastAsia="zh-CN" w:bidi="ar-SA"/>
              </w:rPr>
              <w:t>5.00</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221</w:t>
            </w:r>
          </w:p>
        </w:tc>
        <w:tc>
          <w:tcPr>
            <w:tcW w:w="500"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1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住房保障支出</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9.04</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9.04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221</w:t>
            </w:r>
          </w:p>
        </w:tc>
        <w:tc>
          <w:tcPr>
            <w:tcW w:w="50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02</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p>
        </w:tc>
        <w:tc>
          <w:tcPr>
            <w:tcW w:w="251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lang w:val="en-US" w:eastAsia="zh-CN"/>
              </w:rPr>
              <w:t>住房改革支出</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9.04</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9.04</w:t>
            </w:r>
          </w:p>
        </w:tc>
        <w:tc>
          <w:tcPr>
            <w:tcW w:w="1701"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jc w:val="center"/>
              <w:rPr>
                <w:rFonts w:hint="eastAsia"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221</w:t>
            </w:r>
          </w:p>
        </w:tc>
        <w:tc>
          <w:tcPr>
            <w:tcW w:w="500" w:type="dxa"/>
            <w:tcBorders>
              <w:top w:val="nil"/>
              <w:left w:val="nil"/>
              <w:bottom w:val="single" w:color="auto" w:sz="4" w:space="0"/>
              <w:right w:val="single" w:color="auto" w:sz="4" w:space="0"/>
            </w:tcBorders>
            <w:vAlign w:val="center"/>
          </w:tcPr>
          <w:p>
            <w:pPr>
              <w:jc w:val="center"/>
              <w:rPr>
                <w:rFonts w:hint="default" w:ascii="仿宋_GB2312" w:hAnsi="宋体" w:eastAsia="仿宋_GB2312" w:cs="宋体"/>
                <w:color w:val="000000"/>
                <w:kern w:val="2"/>
                <w:sz w:val="13"/>
                <w:szCs w:val="13"/>
                <w:lang w:val="en-US" w:eastAsia="zh-CN" w:bidi="ar-SA"/>
              </w:rPr>
            </w:pPr>
            <w:r>
              <w:rPr>
                <w:rFonts w:hint="eastAsia" w:ascii="仿宋_GB2312" w:hAnsi="宋体" w:eastAsia="仿宋_GB2312" w:cs="宋体"/>
                <w:color w:val="000000"/>
                <w:sz w:val="13"/>
                <w:szCs w:val="13"/>
                <w:lang w:val="en-US" w:eastAsia="zh-CN"/>
              </w:rPr>
              <w:t>02</w:t>
            </w:r>
          </w:p>
        </w:tc>
        <w:tc>
          <w:tcPr>
            <w:tcW w:w="503"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000000"/>
                <w:kern w:val="2"/>
                <w:sz w:val="13"/>
                <w:szCs w:val="13"/>
                <w:lang w:val="en-US" w:eastAsia="zh-CN" w:bidi="ar-SA"/>
              </w:rPr>
            </w:pPr>
            <w:r>
              <w:rPr>
                <w:rFonts w:hint="eastAsia" w:ascii="仿宋_GB2312" w:eastAsia="仿宋_GB2312"/>
                <w:color w:val="000000"/>
                <w:sz w:val="13"/>
                <w:szCs w:val="13"/>
                <w:lang w:val="en-US" w:eastAsia="zh-CN"/>
              </w:rPr>
              <w:t>01</w:t>
            </w:r>
          </w:p>
        </w:tc>
        <w:tc>
          <w:tcPr>
            <w:tcW w:w="2510" w:type="dxa"/>
            <w:tcBorders>
              <w:top w:val="nil"/>
              <w:left w:val="nil"/>
              <w:bottom w:val="single" w:color="auto" w:sz="4" w:space="0"/>
              <w:right w:val="single" w:color="auto" w:sz="4" w:space="0"/>
            </w:tcBorders>
            <w:vAlign w:val="center"/>
          </w:tcPr>
          <w:p>
            <w:pPr>
              <w:jc w:val="center"/>
              <w:rPr>
                <w:rFonts w:hint="eastAsia" w:ascii="仿宋_GB2312" w:hAnsi="宋体" w:eastAsia="仿宋_GB2312" w:cs="宋体"/>
                <w:color w:val="000000"/>
                <w:kern w:val="2"/>
                <w:sz w:val="18"/>
                <w:szCs w:val="18"/>
                <w:lang w:val="en-US" w:eastAsia="zh-CN" w:bidi="ar-SA"/>
              </w:rPr>
            </w:pPr>
            <w:r>
              <w:rPr>
                <w:rFonts w:hint="eastAsia" w:ascii="仿宋_GB2312" w:eastAsia="仿宋_GB2312"/>
                <w:color w:val="000000"/>
                <w:sz w:val="18"/>
                <w:szCs w:val="18"/>
              </w:rPr>
              <w:t>住房</w:t>
            </w:r>
            <w:r>
              <w:rPr>
                <w:rFonts w:hint="eastAsia" w:ascii="仿宋_GB2312" w:eastAsia="仿宋_GB2312"/>
                <w:color w:val="000000"/>
                <w:sz w:val="18"/>
                <w:szCs w:val="18"/>
                <w:lang w:val="en-US" w:eastAsia="zh-CN"/>
              </w:rPr>
              <w:t>公积金</w:t>
            </w:r>
          </w:p>
        </w:tc>
        <w:tc>
          <w:tcPr>
            <w:tcW w:w="1684" w:type="dxa"/>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9.04</w:t>
            </w:r>
          </w:p>
        </w:tc>
        <w:tc>
          <w:tcPr>
            <w:tcW w:w="1842" w:type="dxa"/>
            <w:gridSpan w:val="2"/>
            <w:tcBorders>
              <w:top w:val="nil"/>
              <w:left w:val="nil"/>
              <w:bottom w:val="single" w:color="auto" w:sz="4" w:space="0"/>
              <w:right w:val="single" w:color="auto" w:sz="4" w:space="0"/>
            </w:tcBorders>
            <w:vAlign w:val="center"/>
          </w:tcPr>
          <w:p>
            <w:pPr>
              <w:jc w:val="center"/>
              <w:rPr>
                <w:rFonts w:ascii="仿宋_GB2312" w:hAnsi="宋体" w:eastAsia="仿宋_GB2312" w:cs="宋体"/>
                <w:color w:val="auto"/>
                <w:kern w:val="2"/>
                <w:sz w:val="16"/>
                <w:szCs w:val="16"/>
                <w:highlight w:val="none"/>
                <w:lang w:val="en-US" w:eastAsia="zh-CN" w:bidi="ar-SA"/>
              </w:rPr>
            </w:pPr>
            <w:r>
              <w:rPr>
                <w:rFonts w:hint="eastAsia" w:ascii="仿宋_GB2312" w:hAnsi="宋体" w:eastAsia="仿宋_GB2312" w:cs="宋体"/>
                <w:color w:val="auto"/>
                <w:kern w:val="2"/>
                <w:sz w:val="16"/>
                <w:szCs w:val="16"/>
                <w:highlight w:val="none"/>
                <w:lang w:val="en-US" w:eastAsia="zh-CN" w:bidi="ar-SA"/>
              </w:rPr>
              <w:t>9.04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474"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0"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503"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p>
        </w:tc>
        <w:tc>
          <w:tcPr>
            <w:tcW w:w="2510"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18"/>
                <w:szCs w:val="18"/>
                <w:highlight w:val="none"/>
              </w:rPr>
              <w:t>117.69</w:t>
            </w:r>
          </w:p>
        </w:tc>
        <w:tc>
          <w:tcPr>
            <w:tcW w:w="1842" w:type="dxa"/>
            <w:gridSpan w:val="2"/>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highlight w:val="none"/>
              </w:rPr>
            </w:pPr>
            <w:r>
              <w:rPr>
                <w:rFonts w:hint="eastAsia" w:ascii="仿宋_GB2312" w:hAnsi="宋体" w:eastAsia="仿宋_GB2312" w:cs="宋体"/>
                <w:b/>
                <w:bCs/>
                <w:color w:val="auto"/>
                <w:kern w:val="0"/>
                <w:sz w:val="18"/>
                <w:szCs w:val="18"/>
                <w:highlight w:val="none"/>
              </w:rPr>
              <w:t>11</w:t>
            </w:r>
            <w:r>
              <w:rPr>
                <w:rFonts w:hint="eastAsia" w:ascii="仿宋_GB2312" w:hAnsi="宋体" w:eastAsia="仿宋_GB2312" w:cs="宋体"/>
                <w:b/>
                <w:bCs/>
                <w:color w:val="auto"/>
                <w:kern w:val="0"/>
                <w:sz w:val="18"/>
                <w:szCs w:val="18"/>
                <w:highlight w:val="none"/>
                <w:lang w:val="en-US" w:eastAsia="zh-CN"/>
              </w:rPr>
              <w:t>2</w:t>
            </w:r>
            <w:r>
              <w:rPr>
                <w:rFonts w:hint="eastAsia" w:ascii="仿宋_GB2312" w:hAnsi="宋体" w:eastAsia="仿宋_GB2312" w:cs="宋体"/>
                <w:b/>
                <w:bCs/>
                <w:color w:val="auto"/>
                <w:kern w:val="0"/>
                <w:sz w:val="18"/>
                <w:szCs w:val="18"/>
                <w:highlight w:val="none"/>
              </w:rPr>
              <w:t>.69</w:t>
            </w:r>
          </w:p>
        </w:tc>
        <w:tc>
          <w:tcPr>
            <w:tcW w:w="1701"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
                <w:bCs/>
                <w:color w:val="auto"/>
                <w:kern w:val="0"/>
                <w:sz w:val="20"/>
                <w:szCs w:val="20"/>
                <w:highlight w:val="none"/>
                <w:lang w:val="en-US" w:eastAsia="zh-CN"/>
              </w:rPr>
            </w:pPr>
            <w:r>
              <w:rPr>
                <w:rFonts w:hint="eastAsia" w:ascii="宋体" w:hAnsi="宋体" w:cs="宋体"/>
                <w:b/>
                <w:bCs/>
                <w:color w:val="auto"/>
                <w:kern w:val="0"/>
                <w:sz w:val="20"/>
                <w:szCs w:val="20"/>
                <w:highlight w:val="none"/>
                <w:lang w:val="en-US" w:eastAsia="zh-CN"/>
              </w:rPr>
              <w:t>5.00</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eastAsia" w:ascii="仿宋_GB2312" w:hAnsi="宋体" w:eastAsia="仿宋_GB2312"/>
          <w:b/>
          <w:color w:val="FF0000"/>
          <w:kern w:val="0"/>
          <w:sz w:val="28"/>
          <w:szCs w:val="32"/>
          <w:highlight w:val="none"/>
          <w:lang w:val="en-US" w:eastAsia="zh-CN"/>
        </w:rPr>
      </w:pPr>
    </w:p>
    <w:p>
      <w:pPr>
        <w:pStyle w:val="2"/>
        <w:rPr>
          <w:rFonts w:hint="eastAsia" w:ascii="仿宋_GB2312" w:hAnsi="宋体" w:eastAsia="仿宋_GB2312"/>
          <w:b/>
          <w:color w:val="FF0000"/>
          <w:kern w:val="0"/>
          <w:sz w:val="28"/>
          <w:szCs w:val="32"/>
          <w:highlight w:val="none"/>
          <w:lang w:val="en-US" w:eastAsia="zh-CN"/>
        </w:rPr>
      </w:pPr>
    </w:p>
    <w:p>
      <w:pPr>
        <w:rPr>
          <w:rFonts w:hint="eastAsia" w:ascii="仿宋_GB2312" w:hAnsi="宋体" w:eastAsia="仿宋_GB2312"/>
          <w:b/>
          <w:color w:val="FF0000"/>
          <w:kern w:val="0"/>
          <w:sz w:val="28"/>
          <w:szCs w:val="32"/>
          <w:highlight w:val="none"/>
          <w:lang w:val="en-US" w:eastAsia="zh-CN"/>
        </w:rPr>
      </w:pPr>
    </w:p>
    <w:p>
      <w:pPr>
        <w:pStyle w:val="2"/>
        <w:rPr>
          <w:rFonts w:hint="eastAsia" w:ascii="仿宋_GB2312" w:hAnsi="宋体" w:eastAsia="仿宋_GB2312"/>
          <w:b/>
          <w:color w:val="FF0000"/>
          <w:kern w:val="0"/>
          <w:sz w:val="28"/>
          <w:szCs w:val="32"/>
          <w:highlight w:val="none"/>
          <w:lang w:val="en-US" w:eastAsia="zh-CN"/>
        </w:rPr>
      </w:pPr>
    </w:p>
    <w:p>
      <w:pPr>
        <w:rPr>
          <w:rFonts w:hint="eastAsia" w:ascii="仿宋_GB2312" w:hAnsi="宋体" w:eastAsia="仿宋_GB2312"/>
          <w:b/>
          <w:color w:val="FF0000"/>
          <w:kern w:val="0"/>
          <w:sz w:val="28"/>
          <w:szCs w:val="32"/>
          <w:highlight w:val="none"/>
          <w:lang w:val="en-US" w:eastAsia="zh-CN"/>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9"/>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372" w:hRule="atLeast"/>
        </w:trPr>
        <w:tc>
          <w:tcPr>
            <w:tcW w:w="6902" w:type="dxa"/>
            <w:gridSpan w:val="5"/>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bidi="ar-SA"/>
              </w:rPr>
            </w:pP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hAnsi="宋体" w:eastAsia="仿宋_GB2312"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工资福利支出</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103.69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103.69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仿宋_GB2312" w:hAnsi="宋体" w:eastAsia="仿宋_GB2312"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仿宋_GB2312" w:hAnsi="宋体" w:eastAsia="仿宋_GB2312"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基本工资</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26.30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26.30</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津贴补贴</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26.84</w:t>
            </w:r>
          </w:p>
        </w:tc>
        <w:tc>
          <w:tcPr>
            <w:tcW w:w="1701" w:type="dxa"/>
            <w:gridSpan w:val="2"/>
            <w:tcBorders>
              <w:top w:val="nil"/>
              <w:left w:val="nil"/>
              <w:bottom w:val="single" w:color="auto" w:sz="4" w:space="0"/>
              <w:right w:val="single" w:color="auto" w:sz="4" w:space="0"/>
            </w:tcBorders>
            <w:vAlign w:val="center"/>
          </w:tcPr>
          <w:p>
            <w:pPr>
              <w:widowControl/>
              <w:ind w:right="147" w:rightChars="70"/>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26.84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奖金</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22.21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22.21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机关事业单位基本养老保险缴费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10.83</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10.83</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职工基本医疗保险缴费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5.42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5.42</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公务员医疗补助缴费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2.71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2.71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其他社会保障缴费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0.34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0.34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住房公积金</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9.04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9.04</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商品和服务支出</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4.31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4.31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办公费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0.38</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0.38</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水费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0.04</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0.04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电费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0.16</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0.16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邮电费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0.42</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0.42</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差旅费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0.20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公务接待费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0.20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0.20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工会经费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1.31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1.31</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20"/>
                <w:szCs w:val="20"/>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公务用车运行维护费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1.60</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1.60</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16"/>
                <w:szCs w:val="16"/>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对个人和家庭的补助</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4.69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4.69</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16"/>
                <w:szCs w:val="16"/>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退休费</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4.35</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4.35</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ascii="宋体" w:hAnsi="宋体" w:eastAsia="宋体" w:cs="宋体"/>
                <w:color w:val="auto"/>
                <w:kern w:val="0"/>
                <w:sz w:val="16"/>
                <w:szCs w:val="16"/>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奖励金</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0.01</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0.01</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vAlign w:val="top"/>
          </w:tcPr>
          <w:p>
            <w:pPr>
              <w:keepNext w:val="0"/>
              <w:keepLines w:val="0"/>
              <w:widowControl/>
              <w:suppressLineNumbers w:val="0"/>
              <w:jc w:val="left"/>
              <w:textAlignment w:val="top"/>
              <w:rPr>
                <w:rFonts w:hint="eastAsia" w:ascii="宋体" w:hAnsi="宋体" w:eastAsia="宋体" w:cs="宋体"/>
                <w:color w:val="auto"/>
                <w:kern w:val="0"/>
                <w:sz w:val="16"/>
                <w:szCs w:val="16"/>
                <w:highlight w:val="none"/>
                <w:lang w:val="en-US" w:eastAsia="zh-CN" w:bidi="ar-SA"/>
              </w:rPr>
            </w:pPr>
            <w:r>
              <w:rPr>
                <w:rFonts w:hint="default" w:ascii="Calibri" w:hAnsi="Calibri" w:eastAsia="宋体" w:cs="Calibri"/>
                <w:i w:val="0"/>
                <w:iCs w:val="0"/>
                <w:color w:val="000000"/>
                <w:kern w:val="0"/>
                <w:sz w:val="20"/>
                <w:szCs w:val="20"/>
                <w:u w:val="none"/>
                <w:lang w:val="en-US" w:eastAsia="zh-CN" w:bidi="ar"/>
              </w:rPr>
              <w:t>其他对个人和家庭的补助</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r>
              <w:rPr>
                <w:rFonts w:hint="eastAsia" w:ascii="宋体" w:hAnsi="宋体" w:cs="宋体"/>
                <w:color w:val="auto"/>
                <w:kern w:val="0"/>
                <w:sz w:val="20"/>
                <w:szCs w:val="20"/>
                <w:highlight w:val="none"/>
              </w:rPr>
              <w:t>0.33</w:t>
            </w:r>
          </w:p>
        </w:tc>
        <w:tc>
          <w:tcPr>
            <w:tcW w:w="1701" w:type="dxa"/>
            <w:gridSpan w:val="2"/>
            <w:tcBorders>
              <w:top w:val="nil"/>
              <w:left w:val="nil"/>
              <w:bottom w:val="single" w:color="auto" w:sz="4" w:space="0"/>
              <w:right w:val="single" w:color="auto" w:sz="4" w:space="0"/>
            </w:tcBorders>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rPr>
              <w:t>0.33</w:t>
            </w:r>
          </w:p>
        </w:tc>
        <w:tc>
          <w:tcPr>
            <w:tcW w:w="1701" w:type="dxa"/>
            <w:tcBorders>
              <w:top w:val="nil"/>
              <w:left w:val="nil"/>
              <w:bottom w:val="single" w:color="auto" w:sz="4" w:space="0"/>
              <w:right w:val="single" w:color="auto" w:sz="4" w:space="0"/>
            </w:tcBorders>
            <w:vAlign w:val="center"/>
          </w:tcPr>
          <w:p>
            <w:pPr>
              <w:widowControl/>
              <w:jc w:val="center"/>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112.69</w:t>
            </w:r>
          </w:p>
        </w:tc>
        <w:tc>
          <w:tcPr>
            <w:tcW w:w="1701" w:type="dxa"/>
            <w:gridSpan w:val="2"/>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108.38</w:t>
            </w:r>
          </w:p>
        </w:tc>
        <w:tc>
          <w:tcPr>
            <w:tcW w:w="1701" w:type="dxa"/>
            <w:tcBorders>
              <w:top w:val="nil"/>
              <w:left w:val="nil"/>
              <w:bottom w:val="single" w:color="auto" w:sz="4" w:space="0"/>
              <w:right w:val="single" w:color="auto" w:sz="4" w:space="0"/>
            </w:tcBorders>
            <w:vAlign w:val="center"/>
          </w:tcPr>
          <w:p>
            <w:pPr>
              <w:widowControl/>
              <w:jc w:val="center"/>
              <w:rPr>
                <w:rFonts w:ascii="宋体" w:hAnsi="宋体" w:cs="宋体"/>
                <w:b/>
                <w:bCs/>
                <w:color w:val="auto"/>
                <w:kern w:val="0"/>
                <w:sz w:val="20"/>
                <w:szCs w:val="20"/>
                <w:highlight w:val="none"/>
              </w:rPr>
            </w:pPr>
            <w:r>
              <w:rPr>
                <w:rFonts w:hint="eastAsia" w:ascii="宋体" w:hAnsi="宋体" w:cs="宋体"/>
                <w:b/>
                <w:bCs/>
                <w:color w:val="auto"/>
                <w:kern w:val="0"/>
                <w:sz w:val="20"/>
                <w:szCs w:val="20"/>
                <w:highlight w:val="none"/>
              </w:rPr>
              <w:t>4.31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9"/>
        <w:tblW w:w="9599" w:type="dxa"/>
        <w:tblInd w:w="-419" w:type="dxa"/>
        <w:tblLayout w:type="fixed"/>
        <w:tblCellMar>
          <w:top w:w="0" w:type="dxa"/>
          <w:left w:w="108" w:type="dxa"/>
          <w:bottom w:w="0" w:type="dxa"/>
          <w:right w:w="108" w:type="dxa"/>
        </w:tblCellMar>
      </w:tblPr>
      <w:tblGrid>
        <w:gridCol w:w="59"/>
        <w:gridCol w:w="471"/>
        <w:gridCol w:w="410"/>
        <w:gridCol w:w="370"/>
        <w:gridCol w:w="1150"/>
        <w:gridCol w:w="1490"/>
        <w:gridCol w:w="430"/>
        <w:gridCol w:w="420"/>
        <w:gridCol w:w="610"/>
        <w:gridCol w:w="480"/>
        <w:gridCol w:w="570"/>
        <w:gridCol w:w="583"/>
        <w:gridCol w:w="597"/>
        <w:gridCol w:w="654"/>
        <w:gridCol w:w="420"/>
        <w:gridCol w:w="420"/>
        <w:gridCol w:w="388"/>
        <w:gridCol w:w="77"/>
      </w:tblGrid>
      <w:tr>
        <w:tblPrEx>
          <w:tblCellMar>
            <w:top w:w="0" w:type="dxa"/>
            <w:left w:w="108" w:type="dxa"/>
            <w:bottom w:w="0" w:type="dxa"/>
            <w:right w:w="108" w:type="dxa"/>
          </w:tblCellMar>
        </w:tblPrEx>
        <w:trPr>
          <w:gridAfter w:val="1"/>
          <w:wAfter w:w="77" w:type="dxa"/>
          <w:trHeight w:val="375" w:hRule="atLeast"/>
        </w:trPr>
        <w:tc>
          <w:tcPr>
            <w:tcW w:w="9522" w:type="dxa"/>
            <w:gridSpan w:val="17"/>
            <w:tcBorders>
              <w:top w:val="nil"/>
              <w:left w:val="nil"/>
              <w:bottom w:val="nil"/>
              <w:right w:val="nil"/>
            </w:tcBorders>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After w:val="1"/>
          <w:wAfter w:w="77" w:type="dxa"/>
          <w:trHeight w:val="405" w:hRule="atLeast"/>
        </w:trPr>
        <w:tc>
          <w:tcPr>
            <w:tcW w:w="5410" w:type="dxa"/>
            <w:gridSpan w:val="9"/>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 w:hAnsi="仿宋" w:eastAsia="仿宋" w:cs="仿宋"/>
                <w:color w:val="auto"/>
                <w:kern w:val="0"/>
                <w:sz w:val="24"/>
                <w:szCs w:val="24"/>
                <w:highlight w:val="none"/>
              </w:rPr>
              <w:t>呼图壁县农村合作经济发展指导中心</w:t>
            </w:r>
          </w:p>
        </w:tc>
        <w:tc>
          <w:tcPr>
            <w:tcW w:w="1633" w:type="dxa"/>
            <w:gridSpan w:val="3"/>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79" w:type="dxa"/>
            <w:gridSpan w:val="5"/>
            <w:tcBorders>
              <w:top w:val="nil"/>
              <w:left w:val="nil"/>
              <w:bottom w:val="nil"/>
              <w:right w:val="nil"/>
            </w:tcBorders>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9" w:type="dxa"/>
          <w:trHeight w:val="630" w:hRule="atLeast"/>
        </w:trPr>
        <w:tc>
          <w:tcPr>
            <w:tcW w:w="1251" w:type="dxa"/>
            <w:gridSpan w:val="3"/>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150" w:type="dxa"/>
            <w:vMerge w:val="restart"/>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490"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43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1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48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57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83"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59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5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420"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5" w:type="dxa"/>
            <w:gridSpan w:val="2"/>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9" w:type="dxa"/>
          <w:trHeight w:val="1367" w:hRule="atLeast"/>
        </w:trPr>
        <w:tc>
          <w:tcPr>
            <w:tcW w:w="471"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0"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370" w:type="dxa"/>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150" w:type="dxa"/>
            <w:vMerge w:val="continue"/>
            <w:tcBorders>
              <w:bottom w:val="single" w:color="auto" w:sz="4" w:space="0"/>
            </w:tcBorders>
            <w:vAlign w:val="center"/>
          </w:tcPr>
          <w:p>
            <w:pPr>
              <w:widowControl/>
              <w:jc w:val="left"/>
              <w:outlineLvl w:val="1"/>
              <w:rPr>
                <w:rFonts w:ascii="仿宋_GB2312" w:hAnsi="宋体" w:eastAsia="仿宋_GB2312"/>
                <w:b/>
                <w:color w:val="auto"/>
                <w:kern w:val="0"/>
                <w:sz w:val="20"/>
                <w:szCs w:val="20"/>
                <w:highlight w:val="none"/>
              </w:rPr>
            </w:pPr>
          </w:p>
        </w:tc>
        <w:tc>
          <w:tcPr>
            <w:tcW w:w="149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3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1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8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7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83"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597"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654"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20" w:type="dxa"/>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c>
          <w:tcPr>
            <w:tcW w:w="465" w:type="dxa"/>
            <w:gridSpan w:val="2"/>
            <w:vMerge w:val="continue"/>
            <w:tcBorders>
              <w:bottom w:val="single" w:color="auto" w:sz="4" w:space="0"/>
            </w:tcBorders>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9" w:type="dxa"/>
          <w:trHeight w:val="585" w:hRule="atLeast"/>
        </w:trPr>
        <w:tc>
          <w:tcPr>
            <w:tcW w:w="471" w:type="dxa"/>
            <w:vAlign w:val="center"/>
          </w:tcPr>
          <w:p>
            <w:pPr>
              <w:widowControl/>
              <w:jc w:val="center"/>
              <w:outlineLvl w:val="1"/>
              <w:rPr>
                <w:rFonts w:hint="eastAsia" w:ascii="仿宋" w:hAnsi="仿宋" w:eastAsia="仿宋" w:cs="仿宋"/>
                <w:color w:val="auto"/>
                <w:kern w:val="0"/>
                <w:sz w:val="15"/>
                <w:szCs w:val="15"/>
                <w:highlight w:val="none"/>
                <w:lang w:val="en-US" w:eastAsia="zh-CN" w:bidi="ar-SA"/>
              </w:rPr>
            </w:pPr>
            <w:r>
              <w:rPr>
                <w:rFonts w:hint="eastAsia" w:ascii="仿宋" w:hAnsi="仿宋" w:eastAsia="仿宋" w:cs="仿宋"/>
                <w:color w:val="auto"/>
                <w:kern w:val="0"/>
                <w:sz w:val="15"/>
                <w:szCs w:val="15"/>
                <w:highlight w:val="none"/>
                <w:lang w:val="en-US" w:eastAsia="zh-CN"/>
              </w:rPr>
              <w:t>213</w:t>
            </w:r>
          </w:p>
        </w:tc>
        <w:tc>
          <w:tcPr>
            <w:tcW w:w="410" w:type="dxa"/>
            <w:vAlign w:val="center"/>
          </w:tcPr>
          <w:p>
            <w:pPr>
              <w:widowControl/>
              <w:jc w:val="center"/>
              <w:outlineLvl w:val="1"/>
              <w:rPr>
                <w:rFonts w:hint="eastAsia" w:ascii="仿宋" w:hAnsi="仿宋" w:eastAsia="仿宋" w:cs="仿宋"/>
                <w:color w:val="auto"/>
                <w:kern w:val="0"/>
                <w:sz w:val="15"/>
                <w:szCs w:val="15"/>
                <w:highlight w:val="none"/>
                <w:lang w:val="en-US" w:eastAsia="zh-Hans" w:bidi="ar-SA"/>
              </w:rPr>
            </w:pPr>
          </w:p>
        </w:tc>
        <w:tc>
          <w:tcPr>
            <w:tcW w:w="370" w:type="dxa"/>
            <w:vAlign w:val="center"/>
          </w:tcPr>
          <w:p>
            <w:pPr>
              <w:widowControl/>
              <w:jc w:val="center"/>
              <w:outlineLvl w:val="1"/>
              <w:rPr>
                <w:rFonts w:hint="eastAsia" w:ascii="仿宋" w:hAnsi="仿宋" w:eastAsia="仿宋" w:cs="仿宋"/>
                <w:color w:val="auto"/>
                <w:kern w:val="0"/>
                <w:sz w:val="15"/>
                <w:szCs w:val="15"/>
                <w:highlight w:val="none"/>
                <w:lang w:val="en-US" w:eastAsia="zh-CN" w:bidi="ar-SA"/>
              </w:rPr>
            </w:pPr>
          </w:p>
        </w:tc>
        <w:tc>
          <w:tcPr>
            <w:tcW w:w="1150" w:type="dxa"/>
            <w:vAlign w:val="center"/>
          </w:tcPr>
          <w:p>
            <w:pPr>
              <w:widowControl/>
              <w:jc w:val="center"/>
              <w:outlineLvl w:val="1"/>
              <w:rPr>
                <w:rFonts w:hint="eastAsia" w:ascii="仿宋" w:hAnsi="仿宋" w:eastAsia="仿宋" w:cs="仿宋"/>
                <w:color w:val="auto"/>
                <w:kern w:val="0"/>
                <w:sz w:val="15"/>
                <w:szCs w:val="15"/>
                <w:highlight w:val="none"/>
                <w:lang w:val="en-US" w:eastAsia="zh-CN" w:bidi="ar-SA"/>
              </w:rPr>
            </w:pPr>
            <w:r>
              <w:rPr>
                <w:rFonts w:hint="eastAsia" w:ascii="仿宋" w:hAnsi="仿宋" w:eastAsia="仿宋" w:cs="仿宋"/>
                <w:color w:val="auto"/>
                <w:kern w:val="0"/>
                <w:sz w:val="15"/>
                <w:szCs w:val="15"/>
                <w:highlight w:val="none"/>
                <w:lang w:eastAsia="zh-CN"/>
              </w:rPr>
              <w:t>农林水支出</w:t>
            </w:r>
          </w:p>
        </w:tc>
        <w:tc>
          <w:tcPr>
            <w:tcW w:w="1490" w:type="dxa"/>
            <w:vAlign w:val="center"/>
          </w:tcPr>
          <w:p>
            <w:pPr>
              <w:widowControl/>
              <w:jc w:val="center"/>
              <w:outlineLvl w:val="1"/>
              <w:rPr>
                <w:rFonts w:ascii="仿宋_GB2312" w:hAnsi="宋体" w:eastAsia="仿宋_GB2312"/>
                <w:color w:val="auto"/>
                <w:kern w:val="0"/>
                <w:sz w:val="32"/>
                <w:szCs w:val="32"/>
                <w:highlight w:val="none"/>
              </w:rPr>
            </w:pPr>
          </w:p>
        </w:tc>
        <w:tc>
          <w:tcPr>
            <w:tcW w:w="430"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5</w:t>
            </w:r>
          </w:p>
        </w:tc>
        <w:tc>
          <w:tcPr>
            <w:tcW w:w="420"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610" w:type="dxa"/>
            <w:vAlign w:val="center"/>
          </w:tcPr>
          <w:p>
            <w:pPr>
              <w:widowControl/>
              <w:jc w:val="center"/>
              <w:outlineLvl w:val="1"/>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3.5</w:t>
            </w:r>
          </w:p>
        </w:tc>
        <w:tc>
          <w:tcPr>
            <w:tcW w:w="480"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0</w:t>
            </w:r>
          </w:p>
        </w:tc>
        <w:tc>
          <w:tcPr>
            <w:tcW w:w="570"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583"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597" w:type="dxa"/>
            <w:vAlign w:val="center"/>
          </w:tcPr>
          <w:p>
            <w:pPr>
              <w:widowControl/>
              <w:jc w:val="center"/>
              <w:outlineLvl w:val="1"/>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1.5</w:t>
            </w:r>
          </w:p>
        </w:tc>
        <w:tc>
          <w:tcPr>
            <w:tcW w:w="654"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420" w:type="dxa"/>
            <w:vAlign w:val="center"/>
          </w:tcPr>
          <w:p>
            <w:pPr>
              <w:widowControl/>
              <w:jc w:val="center"/>
              <w:outlineLvl w:val="1"/>
              <w:rPr>
                <w:rFonts w:ascii="仿宋_GB2312" w:hAnsi="宋体" w:eastAsia="仿宋_GB2312"/>
                <w:color w:val="auto"/>
                <w:kern w:val="0"/>
                <w:sz w:val="32"/>
                <w:szCs w:val="32"/>
                <w:highlight w:val="none"/>
              </w:rPr>
            </w:pPr>
          </w:p>
        </w:tc>
        <w:tc>
          <w:tcPr>
            <w:tcW w:w="420" w:type="dxa"/>
            <w:vAlign w:val="center"/>
          </w:tcPr>
          <w:p>
            <w:pPr>
              <w:widowControl/>
              <w:jc w:val="center"/>
              <w:outlineLvl w:val="1"/>
              <w:rPr>
                <w:rFonts w:ascii="仿宋_GB2312" w:hAnsi="宋体" w:eastAsia="仿宋_GB2312"/>
                <w:color w:val="auto"/>
                <w:kern w:val="0"/>
                <w:sz w:val="32"/>
                <w:szCs w:val="32"/>
                <w:highlight w:val="none"/>
              </w:rPr>
            </w:pPr>
          </w:p>
        </w:tc>
        <w:tc>
          <w:tcPr>
            <w:tcW w:w="465" w:type="dxa"/>
            <w:gridSpan w:val="2"/>
            <w:vAlign w:val="center"/>
          </w:tcPr>
          <w:p>
            <w:pPr>
              <w:widowControl/>
              <w:jc w:val="center"/>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9" w:type="dxa"/>
          <w:trHeight w:val="585" w:hRule="atLeast"/>
        </w:trPr>
        <w:tc>
          <w:tcPr>
            <w:tcW w:w="471" w:type="dxa"/>
            <w:vAlign w:val="center"/>
          </w:tcPr>
          <w:p>
            <w:pPr>
              <w:widowControl/>
              <w:jc w:val="center"/>
              <w:outlineLvl w:val="1"/>
              <w:rPr>
                <w:rFonts w:hint="eastAsia" w:ascii="仿宋" w:hAnsi="仿宋" w:eastAsia="仿宋" w:cs="仿宋"/>
                <w:color w:val="auto"/>
                <w:kern w:val="0"/>
                <w:sz w:val="15"/>
                <w:szCs w:val="15"/>
                <w:highlight w:val="none"/>
                <w:lang w:val="en-US" w:eastAsia="zh-CN" w:bidi="ar-SA"/>
              </w:rPr>
            </w:pPr>
            <w:r>
              <w:rPr>
                <w:rFonts w:hint="eastAsia" w:ascii="仿宋" w:hAnsi="仿宋" w:eastAsia="仿宋" w:cs="仿宋"/>
                <w:color w:val="auto"/>
                <w:kern w:val="0"/>
                <w:sz w:val="15"/>
                <w:szCs w:val="15"/>
                <w:highlight w:val="none"/>
                <w:lang w:val="en-US" w:eastAsia="zh-CN"/>
              </w:rPr>
              <w:t>213</w:t>
            </w:r>
          </w:p>
        </w:tc>
        <w:tc>
          <w:tcPr>
            <w:tcW w:w="410" w:type="dxa"/>
            <w:vAlign w:val="center"/>
          </w:tcPr>
          <w:p>
            <w:pPr>
              <w:widowControl/>
              <w:jc w:val="center"/>
              <w:outlineLvl w:val="1"/>
              <w:rPr>
                <w:rFonts w:hint="eastAsia" w:ascii="仿宋" w:hAnsi="仿宋" w:eastAsia="仿宋" w:cs="仿宋"/>
                <w:color w:val="auto"/>
                <w:kern w:val="0"/>
                <w:sz w:val="15"/>
                <w:szCs w:val="15"/>
                <w:highlight w:val="none"/>
                <w:lang w:val="en-US" w:eastAsia="zh-CN" w:bidi="ar-SA"/>
              </w:rPr>
            </w:pPr>
            <w:r>
              <w:rPr>
                <w:rFonts w:hint="eastAsia" w:ascii="仿宋" w:hAnsi="仿宋" w:eastAsia="仿宋" w:cs="仿宋"/>
                <w:color w:val="auto"/>
                <w:kern w:val="0"/>
                <w:sz w:val="15"/>
                <w:szCs w:val="15"/>
                <w:highlight w:val="none"/>
                <w:lang w:val="en-US" w:eastAsia="zh-CN"/>
              </w:rPr>
              <w:t>01</w:t>
            </w:r>
          </w:p>
        </w:tc>
        <w:tc>
          <w:tcPr>
            <w:tcW w:w="370" w:type="dxa"/>
            <w:vAlign w:val="center"/>
          </w:tcPr>
          <w:p>
            <w:pPr>
              <w:widowControl/>
              <w:jc w:val="center"/>
              <w:outlineLvl w:val="1"/>
              <w:rPr>
                <w:rFonts w:hint="eastAsia" w:ascii="仿宋" w:hAnsi="仿宋" w:eastAsia="仿宋" w:cs="仿宋"/>
                <w:color w:val="auto"/>
                <w:kern w:val="0"/>
                <w:sz w:val="15"/>
                <w:szCs w:val="15"/>
                <w:highlight w:val="none"/>
                <w:lang w:val="en-US" w:eastAsia="zh-CN" w:bidi="ar-SA"/>
              </w:rPr>
            </w:pPr>
          </w:p>
        </w:tc>
        <w:tc>
          <w:tcPr>
            <w:tcW w:w="1150" w:type="dxa"/>
            <w:vAlign w:val="center"/>
          </w:tcPr>
          <w:p>
            <w:pPr>
              <w:widowControl/>
              <w:jc w:val="center"/>
              <w:outlineLvl w:val="1"/>
              <w:rPr>
                <w:rFonts w:hint="eastAsia" w:ascii="仿宋" w:hAnsi="仿宋" w:eastAsia="仿宋" w:cs="仿宋"/>
                <w:color w:val="auto"/>
                <w:kern w:val="0"/>
                <w:sz w:val="15"/>
                <w:szCs w:val="15"/>
                <w:highlight w:val="none"/>
                <w:lang w:val="en-US" w:eastAsia="zh-CN" w:bidi="ar-SA"/>
              </w:rPr>
            </w:pPr>
            <w:r>
              <w:rPr>
                <w:rFonts w:hint="eastAsia" w:ascii="仿宋" w:hAnsi="仿宋" w:eastAsia="仿宋" w:cs="仿宋"/>
                <w:color w:val="auto"/>
                <w:kern w:val="0"/>
                <w:sz w:val="15"/>
                <w:szCs w:val="15"/>
                <w:highlight w:val="none"/>
                <w:lang w:eastAsia="zh-CN"/>
              </w:rPr>
              <w:t>农业农村</w:t>
            </w:r>
          </w:p>
        </w:tc>
        <w:tc>
          <w:tcPr>
            <w:tcW w:w="1490" w:type="dxa"/>
            <w:vAlign w:val="center"/>
          </w:tcPr>
          <w:p>
            <w:pPr>
              <w:widowControl/>
              <w:jc w:val="center"/>
              <w:outlineLvl w:val="1"/>
              <w:rPr>
                <w:rFonts w:ascii="仿宋_GB2312" w:hAnsi="宋体" w:eastAsia="仿宋_GB2312"/>
                <w:color w:val="auto"/>
                <w:kern w:val="0"/>
                <w:sz w:val="32"/>
                <w:szCs w:val="32"/>
                <w:highlight w:val="none"/>
              </w:rPr>
            </w:pPr>
          </w:p>
        </w:tc>
        <w:tc>
          <w:tcPr>
            <w:tcW w:w="430"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5</w:t>
            </w:r>
          </w:p>
        </w:tc>
        <w:tc>
          <w:tcPr>
            <w:tcW w:w="420"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610" w:type="dxa"/>
            <w:vAlign w:val="center"/>
          </w:tcPr>
          <w:p>
            <w:pPr>
              <w:widowControl/>
              <w:jc w:val="center"/>
              <w:outlineLvl w:val="1"/>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3.5</w:t>
            </w:r>
          </w:p>
        </w:tc>
        <w:tc>
          <w:tcPr>
            <w:tcW w:w="480"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0</w:t>
            </w:r>
          </w:p>
        </w:tc>
        <w:tc>
          <w:tcPr>
            <w:tcW w:w="570"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583"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597" w:type="dxa"/>
            <w:vAlign w:val="center"/>
          </w:tcPr>
          <w:p>
            <w:pPr>
              <w:widowControl/>
              <w:jc w:val="center"/>
              <w:outlineLvl w:val="1"/>
              <w:rPr>
                <w:rFonts w:hint="default"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1.5</w:t>
            </w:r>
          </w:p>
        </w:tc>
        <w:tc>
          <w:tcPr>
            <w:tcW w:w="654"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420" w:type="dxa"/>
            <w:vAlign w:val="center"/>
          </w:tcPr>
          <w:p>
            <w:pPr>
              <w:widowControl/>
              <w:jc w:val="center"/>
              <w:outlineLvl w:val="1"/>
              <w:rPr>
                <w:rFonts w:ascii="仿宋_GB2312" w:hAnsi="宋体" w:eastAsia="仿宋_GB2312"/>
                <w:color w:val="auto"/>
                <w:kern w:val="0"/>
                <w:sz w:val="32"/>
                <w:szCs w:val="32"/>
                <w:highlight w:val="none"/>
              </w:rPr>
            </w:pPr>
          </w:p>
        </w:tc>
        <w:tc>
          <w:tcPr>
            <w:tcW w:w="420" w:type="dxa"/>
            <w:vAlign w:val="center"/>
          </w:tcPr>
          <w:p>
            <w:pPr>
              <w:widowControl/>
              <w:jc w:val="center"/>
              <w:outlineLvl w:val="1"/>
              <w:rPr>
                <w:rFonts w:ascii="仿宋_GB2312" w:hAnsi="宋体" w:eastAsia="仿宋_GB2312"/>
                <w:color w:val="auto"/>
                <w:kern w:val="0"/>
                <w:sz w:val="32"/>
                <w:szCs w:val="32"/>
                <w:highlight w:val="none"/>
              </w:rPr>
            </w:pPr>
          </w:p>
        </w:tc>
        <w:tc>
          <w:tcPr>
            <w:tcW w:w="465" w:type="dxa"/>
            <w:gridSpan w:val="2"/>
            <w:vAlign w:val="center"/>
          </w:tcPr>
          <w:p>
            <w:pPr>
              <w:widowControl/>
              <w:jc w:val="center"/>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9" w:type="dxa"/>
          <w:trHeight w:val="585" w:hRule="atLeast"/>
        </w:trPr>
        <w:tc>
          <w:tcPr>
            <w:tcW w:w="471" w:type="dxa"/>
            <w:vAlign w:val="center"/>
          </w:tcPr>
          <w:p>
            <w:pPr>
              <w:widowControl/>
              <w:jc w:val="center"/>
              <w:outlineLvl w:val="1"/>
              <w:rPr>
                <w:rFonts w:hint="eastAsia" w:ascii="仿宋" w:hAnsi="仿宋" w:eastAsia="仿宋" w:cs="仿宋"/>
                <w:color w:val="auto"/>
                <w:kern w:val="0"/>
                <w:sz w:val="15"/>
                <w:szCs w:val="15"/>
                <w:highlight w:val="none"/>
                <w:lang w:val="en-US" w:eastAsia="zh-CN" w:bidi="ar-SA"/>
              </w:rPr>
            </w:pPr>
            <w:r>
              <w:rPr>
                <w:rFonts w:hint="eastAsia" w:ascii="仿宋" w:hAnsi="仿宋" w:eastAsia="仿宋" w:cs="仿宋"/>
                <w:color w:val="auto"/>
                <w:kern w:val="0"/>
                <w:sz w:val="15"/>
                <w:szCs w:val="15"/>
                <w:highlight w:val="none"/>
                <w:lang w:val="en-US" w:eastAsia="zh-CN"/>
              </w:rPr>
              <w:t>213</w:t>
            </w:r>
          </w:p>
        </w:tc>
        <w:tc>
          <w:tcPr>
            <w:tcW w:w="410" w:type="dxa"/>
            <w:vAlign w:val="center"/>
          </w:tcPr>
          <w:p>
            <w:pPr>
              <w:widowControl/>
              <w:jc w:val="center"/>
              <w:outlineLvl w:val="1"/>
              <w:rPr>
                <w:rFonts w:hint="eastAsia" w:ascii="仿宋" w:hAnsi="仿宋" w:eastAsia="仿宋" w:cs="仿宋"/>
                <w:color w:val="auto"/>
                <w:kern w:val="0"/>
                <w:sz w:val="15"/>
                <w:szCs w:val="15"/>
                <w:highlight w:val="none"/>
                <w:lang w:val="en-US" w:eastAsia="zh-CN" w:bidi="ar-SA"/>
              </w:rPr>
            </w:pPr>
            <w:r>
              <w:rPr>
                <w:rFonts w:hint="eastAsia" w:ascii="仿宋" w:hAnsi="仿宋" w:eastAsia="仿宋" w:cs="仿宋"/>
                <w:color w:val="auto"/>
                <w:kern w:val="0"/>
                <w:sz w:val="15"/>
                <w:szCs w:val="15"/>
                <w:highlight w:val="none"/>
                <w:lang w:val="en-US" w:eastAsia="zh-CN"/>
              </w:rPr>
              <w:t>01</w:t>
            </w:r>
          </w:p>
        </w:tc>
        <w:tc>
          <w:tcPr>
            <w:tcW w:w="370" w:type="dxa"/>
            <w:vAlign w:val="center"/>
          </w:tcPr>
          <w:p>
            <w:pPr>
              <w:widowControl/>
              <w:jc w:val="center"/>
              <w:outlineLvl w:val="1"/>
              <w:rPr>
                <w:rFonts w:hint="eastAsia" w:ascii="仿宋" w:hAnsi="仿宋" w:eastAsia="仿宋" w:cs="仿宋"/>
                <w:color w:val="auto"/>
                <w:kern w:val="0"/>
                <w:sz w:val="15"/>
                <w:szCs w:val="15"/>
                <w:highlight w:val="none"/>
                <w:lang w:val="en-US" w:eastAsia="zh-CN" w:bidi="ar-SA"/>
              </w:rPr>
            </w:pPr>
            <w:r>
              <w:rPr>
                <w:rFonts w:hint="eastAsia" w:ascii="仿宋" w:hAnsi="仿宋" w:eastAsia="仿宋" w:cs="仿宋"/>
                <w:color w:val="auto"/>
                <w:kern w:val="0"/>
                <w:sz w:val="15"/>
                <w:szCs w:val="15"/>
                <w:highlight w:val="none"/>
                <w:lang w:val="en-US" w:eastAsia="zh-CN"/>
              </w:rPr>
              <w:t>24</w:t>
            </w:r>
          </w:p>
        </w:tc>
        <w:tc>
          <w:tcPr>
            <w:tcW w:w="1150" w:type="dxa"/>
            <w:vAlign w:val="center"/>
          </w:tcPr>
          <w:p>
            <w:pPr>
              <w:widowControl/>
              <w:jc w:val="center"/>
              <w:outlineLvl w:val="1"/>
              <w:rPr>
                <w:rFonts w:hint="eastAsia" w:ascii="仿宋" w:hAnsi="仿宋" w:eastAsia="仿宋" w:cs="仿宋"/>
                <w:color w:val="auto"/>
                <w:kern w:val="0"/>
                <w:sz w:val="11"/>
                <w:szCs w:val="11"/>
                <w:highlight w:val="none"/>
                <w:lang w:val="en-US" w:eastAsia="zh-CN" w:bidi="ar-SA"/>
              </w:rPr>
            </w:pPr>
            <w:r>
              <w:rPr>
                <w:rFonts w:hint="eastAsia" w:ascii="仿宋" w:hAnsi="仿宋" w:eastAsia="仿宋" w:cs="仿宋"/>
                <w:sz w:val="15"/>
                <w:szCs w:val="18"/>
              </w:rPr>
              <w:t>农村合作经济</w:t>
            </w:r>
          </w:p>
        </w:tc>
        <w:tc>
          <w:tcPr>
            <w:tcW w:w="1490"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rPr>
              <w:t>2024年农村土地承包经营纠纷仲裁项目（非定额）</w:t>
            </w:r>
          </w:p>
        </w:tc>
        <w:tc>
          <w:tcPr>
            <w:tcW w:w="430"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5</w:t>
            </w:r>
          </w:p>
        </w:tc>
        <w:tc>
          <w:tcPr>
            <w:tcW w:w="420"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p>
        </w:tc>
        <w:tc>
          <w:tcPr>
            <w:tcW w:w="610" w:type="dxa"/>
            <w:vAlign w:val="center"/>
          </w:tcPr>
          <w:p>
            <w:pPr>
              <w:widowControl/>
              <w:jc w:val="center"/>
              <w:outlineLvl w:val="1"/>
              <w:rPr>
                <w:rFonts w:hint="eastAsia" w:ascii="仿宋" w:hAnsi="仿宋" w:eastAsia="仿宋" w:cs="仿宋"/>
                <w:color w:val="auto"/>
                <w:kern w:val="0"/>
                <w:sz w:val="18"/>
                <w:szCs w:val="18"/>
                <w:highlight w:val="none"/>
                <w:lang w:val="en-US" w:eastAsia="zh-CN" w:bidi="ar-SA"/>
              </w:rPr>
            </w:pPr>
            <w:r>
              <w:rPr>
                <w:rFonts w:hint="eastAsia" w:ascii="仿宋" w:hAnsi="仿宋" w:eastAsia="仿宋" w:cs="仿宋"/>
                <w:color w:val="auto"/>
                <w:kern w:val="0"/>
                <w:sz w:val="18"/>
                <w:szCs w:val="18"/>
                <w:highlight w:val="none"/>
                <w:lang w:val="en-US" w:eastAsia="zh-CN"/>
              </w:rPr>
              <w:t>3.50</w:t>
            </w:r>
          </w:p>
        </w:tc>
        <w:tc>
          <w:tcPr>
            <w:tcW w:w="480" w:type="dxa"/>
            <w:vAlign w:val="center"/>
          </w:tcPr>
          <w:p>
            <w:pPr>
              <w:widowControl/>
              <w:jc w:val="center"/>
              <w:outlineLvl w:val="1"/>
              <w:rPr>
                <w:rFonts w:ascii="仿宋_GB2312" w:hAnsi="宋体" w:eastAsia="仿宋_GB2312"/>
                <w:color w:val="auto"/>
                <w:kern w:val="0"/>
                <w:sz w:val="32"/>
                <w:szCs w:val="32"/>
                <w:highlight w:val="none"/>
              </w:rPr>
            </w:pPr>
          </w:p>
        </w:tc>
        <w:tc>
          <w:tcPr>
            <w:tcW w:w="570" w:type="dxa"/>
            <w:vAlign w:val="center"/>
          </w:tcPr>
          <w:p>
            <w:pPr>
              <w:widowControl/>
              <w:jc w:val="center"/>
              <w:outlineLvl w:val="1"/>
              <w:rPr>
                <w:rFonts w:ascii="仿宋_GB2312" w:hAnsi="宋体" w:eastAsia="仿宋_GB2312"/>
                <w:color w:val="auto"/>
                <w:kern w:val="0"/>
                <w:sz w:val="32"/>
                <w:szCs w:val="32"/>
                <w:highlight w:val="none"/>
              </w:rPr>
            </w:pPr>
          </w:p>
        </w:tc>
        <w:tc>
          <w:tcPr>
            <w:tcW w:w="583" w:type="dxa"/>
            <w:vAlign w:val="center"/>
          </w:tcPr>
          <w:p>
            <w:pPr>
              <w:widowControl/>
              <w:jc w:val="center"/>
              <w:outlineLvl w:val="1"/>
              <w:rPr>
                <w:rFonts w:ascii="仿宋_GB2312" w:hAnsi="宋体" w:eastAsia="仿宋_GB2312"/>
                <w:color w:val="auto"/>
                <w:kern w:val="0"/>
                <w:sz w:val="32"/>
                <w:szCs w:val="32"/>
                <w:highlight w:val="none"/>
              </w:rPr>
            </w:pPr>
          </w:p>
        </w:tc>
        <w:tc>
          <w:tcPr>
            <w:tcW w:w="597"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 w:hAnsi="仿宋" w:eastAsia="仿宋" w:cs="仿宋"/>
                <w:color w:val="auto"/>
                <w:kern w:val="0"/>
                <w:sz w:val="18"/>
                <w:szCs w:val="18"/>
                <w:highlight w:val="none"/>
                <w:lang w:val="en-US" w:eastAsia="zh-CN"/>
              </w:rPr>
              <w:t>1.5</w:t>
            </w:r>
          </w:p>
        </w:tc>
        <w:tc>
          <w:tcPr>
            <w:tcW w:w="654" w:type="dxa"/>
            <w:vAlign w:val="center"/>
          </w:tcPr>
          <w:p>
            <w:pPr>
              <w:widowControl/>
              <w:jc w:val="center"/>
              <w:outlineLvl w:val="1"/>
              <w:rPr>
                <w:rFonts w:ascii="仿宋_GB2312" w:hAnsi="宋体" w:eastAsia="仿宋_GB2312"/>
                <w:color w:val="auto"/>
                <w:kern w:val="0"/>
                <w:sz w:val="32"/>
                <w:szCs w:val="32"/>
                <w:highlight w:val="none"/>
              </w:rPr>
            </w:pPr>
          </w:p>
        </w:tc>
        <w:tc>
          <w:tcPr>
            <w:tcW w:w="420" w:type="dxa"/>
            <w:vAlign w:val="center"/>
          </w:tcPr>
          <w:p>
            <w:pPr>
              <w:widowControl/>
              <w:jc w:val="center"/>
              <w:outlineLvl w:val="1"/>
              <w:rPr>
                <w:rFonts w:ascii="仿宋_GB2312" w:hAnsi="宋体" w:eastAsia="仿宋_GB2312"/>
                <w:color w:val="auto"/>
                <w:kern w:val="0"/>
                <w:sz w:val="32"/>
                <w:szCs w:val="32"/>
                <w:highlight w:val="none"/>
              </w:rPr>
            </w:pPr>
          </w:p>
        </w:tc>
        <w:tc>
          <w:tcPr>
            <w:tcW w:w="420" w:type="dxa"/>
            <w:vAlign w:val="center"/>
          </w:tcPr>
          <w:p>
            <w:pPr>
              <w:widowControl/>
              <w:jc w:val="center"/>
              <w:outlineLvl w:val="1"/>
              <w:rPr>
                <w:rFonts w:ascii="仿宋_GB2312" w:hAnsi="宋体" w:eastAsia="仿宋_GB2312"/>
                <w:color w:val="auto"/>
                <w:kern w:val="0"/>
                <w:sz w:val="32"/>
                <w:szCs w:val="32"/>
                <w:highlight w:val="none"/>
              </w:rPr>
            </w:pPr>
          </w:p>
        </w:tc>
        <w:tc>
          <w:tcPr>
            <w:tcW w:w="465" w:type="dxa"/>
            <w:gridSpan w:val="2"/>
            <w:vAlign w:val="center"/>
          </w:tcPr>
          <w:p>
            <w:pPr>
              <w:widowControl/>
              <w:jc w:val="center"/>
              <w:outlineLvl w:val="1"/>
              <w:rPr>
                <w:rFonts w:ascii="仿宋_GB2312" w:hAnsi="宋体" w:eastAsia="仿宋_GB2312"/>
                <w:color w:val="auto"/>
                <w:kern w:val="0"/>
                <w:sz w:val="32"/>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59" w:type="dxa"/>
          <w:trHeight w:val="585" w:hRule="atLeast"/>
        </w:trPr>
        <w:tc>
          <w:tcPr>
            <w:tcW w:w="471" w:type="dxa"/>
            <w:vAlign w:val="center"/>
          </w:tcPr>
          <w:p>
            <w:pPr>
              <w:widowControl/>
              <w:jc w:val="center"/>
              <w:outlineLvl w:val="1"/>
              <w:rPr>
                <w:rFonts w:ascii="仿宋_GB2312" w:hAnsi="宋体" w:eastAsia="仿宋_GB2312"/>
                <w:color w:val="auto"/>
                <w:kern w:val="0"/>
                <w:sz w:val="32"/>
                <w:szCs w:val="32"/>
                <w:highlight w:val="none"/>
              </w:rPr>
            </w:pPr>
          </w:p>
        </w:tc>
        <w:tc>
          <w:tcPr>
            <w:tcW w:w="410" w:type="dxa"/>
            <w:vAlign w:val="center"/>
          </w:tcPr>
          <w:p>
            <w:pPr>
              <w:widowControl/>
              <w:jc w:val="center"/>
              <w:outlineLvl w:val="1"/>
              <w:rPr>
                <w:rFonts w:ascii="仿宋_GB2312" w:hAnsi="宋体" w:eastAsia="仿宋_GB2312"/>
                <w:color w:val="auto"/>
                <w:kern w:val="0"/>
                <w:sz w:val="32"/>
                <w:szCs w:val="32"/>
                <w:highlight w:val="none"/>
              </w:rPr>
            </w:pPr>
          </w:p>
        </w:tc>
        <w:tc>
          <w:tcPr>
            <w:tcW w:w="370" w:type="dxa"/>
            <w:vAlign w:val="center"/>
          </w:tcPr>
          <w:p>
            <w:pPr>
              <w:widowControl/>
              <w:jc w:val="center"/>
              <w:outlineLvl w:val="1"/>
              <w:rPr>
                <w:rFonts w:ascii="仿宋_GB2312" w:hAnsi="宋体" w:eastAsia="仿宋_GB2312"/>
                <w:color w:val="auto"/>
                <w:kern w:val="0"/>
                <w:sz w:val="32"/>
                <w:szCs w:val="32"/>
                <w:highlight w:val="none"/>
              </w:rPr>
            </w:pPr>
          </w:p>
        </w:tc>
        <w:tc>
          <w:tcPr>
            <w:tcW w:w="1150" w:type="dxa"/>
            <w:vAlign w:val="center"/>
          </w:tcPr>
          <w:p>
            <w:pPr>
              <w:widowControl/>
              <w:jc w:val="center"/>
              <w:outlineLvl w:val="1"/>
              <w:rPr>
                <w:rFonts w:ascii="仿宋_GB2312" w:hAnsi="宋体" w:eastAsia="仿宋_GB2312"/>
                <w:color w:val="auto"/>
                <w:kern w:val="0"/>
                <w:sz w:val="32"/>
                <w:szCs w:val="32"/>
                <w:highlight w:val="none"/>
              </w:rPr>
            </w:pPr>
          </w:p>
        </w:tc>
        <w:tc>
          <w:tcPr>
            <w:tcW w:w="1490" w:type="dxa"/>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430" w:type="dxa"/>
            <w:vAlign w:val="center"/>
          </w:tcPr>
          <w:p>
            <w:pPr>
              <w:widowControl/>
              <w:jc w:val="center"/>
              <w:outlineLvl w:val="1"/>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5</w:t>
            </w:r>
          </w:p>
        </w:tc>
        <w:tc>
          <w:tcPr>
            <w:tcW w:w="420" w:type="dxa"/>
            <w:vAlign w:val="center"/>
          </w:tcPr>
          <w:p>
            <w:pPr>
              <w:widowControl/>
              <w:jc w:val="center"/>
              <w:outlineLvl w:val="1"/>
              <w:rPr>
                <w:rFonts w:hint="eastAsia" w:ascii="仿宋" w:hAnsi="仿宋" w:eastAsia="仿宋" w:cs="仿宋"/>
                <w:b/>
                <w:bCs/>
                <w:color w:val="auto"/>
                <w:kern w:val="0"/>
                <w:sz w:val="18"/>
                <w:szCs w:val="18"/>
                <w:highlight w:val="none"/>
                <w:lang w:val="en-US" w:eastAsia="zh-CN"/>
              </w:rPr>
            </w:pPr>
          </w:p>
        </w:tc>
        <w:tc>
          <w:tcPr>
            <w:tcW w:w="610" w:type="dxa"/>
            <w:vAlign w:val="center"/>
          </w:tcPr>
          <w:p>
            <w:pPr>
              <w:widowControl/>
              <w:jc w:val="center"/>
              <w:outlineLvl w:val="1"/>
              <w:rPr>
                <w:rFonts w:hint="default"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3.5</w:t>
            </w:r>
          </w:p>
        </w:tc>
        <w:tc>
          <w:tcPr>
            <w:tcW w:w="480" w:type="dxa"/>
            <w:vAlign w:val="center"/>
          </w:tcPr>
          <w:p>
            <w:pPr>
              <w:widowControl/>
              <w:jc w:val="center"/>
              <w:outlineLvl w:val="1"/>
              <w:rPr>
                <w:rFonts w:hint="eastAsia"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0</w:t>
            </w:r>
          </w:p>
        </w:tc>
        <w:tc>
          <w:tcPr>
            <w:tcW w:w="570" w:type="dxa"/>
            <w:vAlign w:val="center"/>
          </w:tcPr>
          <w:p>
            <w:pPr>
              <w:widowControl/>
              <w:jc w:val="center"/>
              <w:outlineLvl w:val="1"/>
              <w:rPr>
                <w:rFonts w:hint="eastAsia" w:ascii="仿宋" w:hAnsi="仿宋" w:eastAsia="仿宋" w:cs="仿宋"/>
                <w:b/>
                <w:bCs/>
                <w:color w:val="auto"/>
                <w:kern w:val="0"/>
                <w:sz w:val="18"/>
                <w:szCs w:val="18"/>
                <w:highlight w:val="none"/>
                <w:lang w:val="en-US" w:eastAsia="zh-CN"/>
              </w:rPr>
            </w:pPr>
          </w:p>
        </w:tc>
        <w:tc>
          <w:tcPr>
            <w:tcW w:w="583" w:type="dxa"/>
            <w:vAlign w:val="center"/>
          </w:tcPr>
          <w:p>
            <w:pPr>
              <w:widowControl/>
              <w:jc w:val="center"/>
              <w:outlineLvl w:val="1"/>
              <w:rPr>
                <w:rFonts w:hint="eastAsia" w:ascii="仿宋" w:hAnsi="仿宋" w:eastAsia="仿宋" w:cs="仿宋"/>
                <w:b/>
                <w:bCs/>
                <w:color w:val="auto"/>
                <w:kern w:val="0"/>
                <w:sz w:val="18"/>
                <w:szCs w:val="18"/>
                <w:highlight w:val="none"/>
                <w:lang w:val="en-US" w:eastAsia="zh-CN"/>
              </w:rPr>
            </w:pPr>
          </w:p>
        </w:tc>
        <w:tc>
          <w:tcPr>
            <w:tcW w:w="597" w:type="dxa"/>
            <w:vAlign w:val="center"/>
          </w:tcPr>
          <w:p>
            <w:pPr>
              <w:widowControl/>
              <w:jc w:val="center"/>
              <w:outlineLvl w:val="1"/>
              <w:rPr>
                <w:rFonts w:hint="default" w:ascii="仿宋" w:hAnsi="仿宋" w:eastAsia="仿宋" w:cs="仿宋"/>
                <w:b/>
                <w:bCs/>
                <w:color w:val="auto"/>
                <w:kern w:val="0"/>
                <w:sz w:val="18"/>
                <w:szCs w:val="18"/>
                <w:highlight w:val="none"/>
                <w:lang w:val="en-US" w:eastAsia="zh-CN"/>
              </w:rPr>
            </w:pPr>
            <w:r>
              <w:rPr>
                <w:rFonts w:hint="eastAsia" w:ascii="仿宋" w:hAnsi="仿宋" w:eastAsia="仿宋" w:cs="仿宋"/>
                <w:b/>
                <w:bCs/>
                <w:color w:val="auto"/>
                <w:kern w:val="0"/>
                <w:sz w:val="18"/>
                <w:szCs w:val="18"/>
                <w:highlight w:val="none"/>
                <w:lang w:val="en-US" w:eastAsia="zh-CN"/>
              </w:rPr>
              <w:t>1.5</w:t>
            </w:r>
          </w:p>
        </w:tc>
        <w:tc>
          <w:tcPr>
            <w:tcW w:w="654" w:type="dxa"/>
            <w:vAlign w:val="center"/>
          </w:tcPr>
          <w:p>
            <w:pPr>
              <w:widowControl/>
              <w:jc w:val="center"/>
              <w:outlineLvl w:val="1"/>
              <w:rPr>
                <w:rFonts w:hint="eastAsia" w:ascii="仿宋" w:hAnsi="仿宋" w:eastAsia="仿宋" w:cs="仿宋"/>
                <w:b/>
                <w:bCs/>
                <w:color w:val="auto"/>
                <w:kern w:val="0"/>
                <w:sz w:val="18"/>
                <w:szCs w:val="18"/>
                <w:highlight w:val="none"/>
                <w:lang w:val="en-US" w:eastAsia="zh-CN"/>
              </w:rPr>
            </w:pPr>
          </w:p>
        </w:tc>
        <w:tc>
          <w:tcPr>
            <w:tcW w:w="420" w:type="dxa"/>
            <w:vAlign w:val="center"/>
          </w:tcPr>
          <w:p>
            <w:pPr>
              <w:widowControl/>
              <w:jc w:val="center"/>
              <w:outlineLvl w:val="1"/>
              <w:rPr>
                <w:rFonts w:hint="eastAsia" w:ascii="仿宋" w:hAnsi="仿宋" w:eastAsia="仿宋" w:cs="仿宋"/>
                <w:b/>
                <w:bCs/>
                <w:color w:val="auto"/>
                <w:kern w:val="0"/>
                <w:sz w:val="18"/>
                <w:szCs w:val="18"/>
                <w:highlight w:val="none"/>
                <w:lang w:val="en-US" w:eastAsia="zh-CN"/>
              </w:rPr>
            </w:pPr>
          </w:p>
        </w:tc>
        <w:tc>
          <w:tcPr>
            <w:tcW w:w="420" w:type="dxa"/>
            <w:vAlign w:val="center"/>
          </w:tcPr>
          <w:p>
            <w:pPr>
              <w:widowControl/>
              <w:jc w:val="center"/>
              <w:outlineLvl w:val="1"/>
              <w:rPr>
                <w:rFonts w:hint="eastAsia" w:ascii="仿宋" w:hAnsi="仿宋" w:eastAsia="仿宋" w:cs="仿宋"/>
                <w:b/>
                <w:bCs/>
                <w:color w:val="auto"/>
                <w:kern w:val="0"/>
                <w:sz w:val="18"/>
                <w:szCs w:val="18"/>
                <w:highlight w:val="none"/>
                <w:lang w:val="en-US" w:eastAsia="zh-CN"/>
              </w:rPr>
            </w:pPr>
          </w:p>
        </w:tc>
        <w:tc>
          <w:tcPr>
            <w:tcW w:w="465" w:type="dxa"/>
            <w:gridSpan w:val="2"/>
            <w:vAlign w:val="center"/>
          </w:tcPr>
          <w:p>
            <w:pPr>
              <w:widowControl/>
              <w:jc w:val="center"/>
              <w:outlineLvl w:val="1"/>
              <w:rPr>
                <w:rFonts w:ascii="仿宋_GB2312" w:hAnsi="宋体" w:eastAsia="仿宋_GB2312"/>
                <w:b/>
                <w:bCs/>
                <w:color w:val="auto"/>
                <w:kern w:val="0"/>
                <w:sz w:val="32"/>
                <w:szCs w:val="32"/>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单位：万元                             </w:t>
      </w:r>
      <w:r>
        <w:rPr>
          <w:rFonts w:hint="eastAsia" w:ascii="仿宋_GB2312" w:hAnsi="宋体" w:eastAsia="仿宋_GB2312"/>
          <w:color w:val="auto"/>
          <w:kern w:val="0"/>
          <w:sz w:val="24"/>
          <w:highlight w:val="none"/>
          <w:lang w:val="en-US" w:eastAsia="zh-CN"/>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keepNext w:val="0"/>
        <w:keepLines w:val="0"/>
        <w:pageBreakBefore w:val="0"/>
        <w:widowControl/>
        <w:kinsoku/>
        <w:wordWrap/>
        <w:overflowPunct/>
        <w:topLinePunct w:val="0"/>
        <w:autoSpaceDE/>
        <w:autoSpaceDN/>
        <w:bidi w:val="0"/>
        <w:adjustRightInd/>
        <w:snapToGrid/>
        <w:spacing w:line="320" w:lineRule="exact"/>
        <w:textAlignment w:val="auto"/>
        <w:outlineLvl w:val="1"/>
        <w:rPr>
          <w:rFonts w:hint="default" w:ascii="宋体" w:hAnsi="宋体" w:eastAsia="宋体" w:cs="宋体"/>
          <w:i w:val="0"/>
          <w:color w:val="auto"/>
          <w:kern w:val="0"/>
          <w:sz w:val="20"/>
          <w:szCs w:val="20"/>
          <w:highlight w:val="none"/>
          <w:u w:val="none"/>
          <w:lang w:val="en-US" w:eastAsia="zh-CN" w:bidi="ar"/>
        </w:rPr>
      </w:pPr>
      <w:r>
        <w:rPr>
          <w:rFonts w:hint="eastAsia" w:ascii="仿宋_GB2312" w:hAnsi="宋体" w:eastAsia="仿宋_GB2312"/>
          <w:b/>
          <w:color w:val="auto"/>
          <w:kern w:val="0"/>
          <w:sz w:val="28"/>
          <w:szCs w:val="32"/>
          <w:highlight w:val="none"/>
          <w:lang w:val="en-US" w:eastAsia="zh-CN"/>
        </w:rPr>
        <w:t>备注：呼图壁县农村合作经济发展指导中心2025年无政府性基金预算支出，政府性基金预算支出情况表为空表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    </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 xml:space="preserve">  </w:t>
      </w:r>
    </w:p>
    <w:tbl>
      <w:tblPr>
        <w:tblStyle w:val="9"/>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jc w:val="left"/>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备注：呼图壁县农村合作经济发展指导中心2025年无国有资本经营预算支出，国有资本经营预算支出情况表为空表</w:t>
      </w:r>
    </w:p>
    <w:p>
      <w:pPr>
        <w:widowControl/>
        <w:jc w:val="left"/>
        <w:rPr>
          <w:rFonts w:hint="eastAsia" w:ascii="仿宋_GB2312" w:hAnsi="宋体" w:eastAsia="仿宋_GB2312"/>
          <w:b/>
          <w:color w:val="auto"/>
          <w:kern w:val="0"/>
          <w:sz w:val="28"/>
          <w:szCs w:val="32"/>
          <w:highlight w:val="none"/>
          <w:lang w:val="en-US" w:eastAsia="zh-CN"/>
        </w:rPr>
      </w:pPr>
    </w:p>
    <w:p>
      <w:pPr>
        <w:widowControl/>
        <w:jc w:val="left"/>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olor w:val="auto"/>
          <w:kern w:val="0"/>
          <w:sz w:val="24"/>
          <w:szCs w:val="24"/>
          <w:highlight w:val="none"/>
        </w:rPr>
        <w:t xml:space="preserve">               单位：万元 </w:t>
      </w:r>
      <w:r>
        <w:rPr>
          <w:rFonts w:hint="eastAsia" w:ascii="仿宋_GB2312" w:hAnsi="宋体" w:eastAsia="仿宋_GB2312"/>
          <w:color w:val="auto"/>
          <w:kern w:val="0"/>
          <w:sz w:val="24"/>
          <w:highlight w:val="none"/>
        </w:rPr>
        <w:t xml:space="preserve">                                             </w:t>
      </w:r>
    </w:p>
    <w:tbl>
      <w:tblPr>
        <w:tblStyle w:val="10"/>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0.2</w:t>
            </w:r>
          </w:p>
        </w:tc>
        <w:tc>
          <w:tcPr>
            <w:tcW w:w="1314" w:type="dxa"/>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0.2</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314" w:type="dxa"/>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1.6</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314" w:type="dxa"/>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0</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1.8</w:t>
            </w:r>
          </w:p>
        </w:tc>
        <w:tc>
          <w:tcPr>
            <w:tcW w:w="1314" w:type="dxa"/>
            <w:vAlign w:val="center"/>
          </w:tcPr>
          <w:p>
            <w:pPr>
              <w:widowControl/>
              <w:jc w:val="center"/>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1.8</w:t>
            </w:r>
          </w:p>
        </w:tc>
        <w:tc>
          <w:tcPr>
            <w:tcW w:w="1595" w:type="dxa"/>
            <w:vAlign w:val="center"/>
          </w:tcPr>
          <w:p>
            <w:pPr>
              <w:widowControl/>
              <w:jc w:val="center"/>
              <w:outlineLvl w:val="1"/>
              <w:rPr>
                <w:rFonts w:hint="eastAsia" w:ascii="仿宋_GB2312" w:hAnsi="宋体" w:eastAsia="仿宋_GB2312"/>
                <w:b/>
                <w:color w:val="auto"/>
                <w:kern w:val="0"/>
                <w:sz w:val="28"/>
                <w:szCs w:val="32"/>
                <w:highlight w:val="none"/>
                <w:vertAlign w:val="baseline"/>
              </w:rPr>
            </w:pPr>
          </w:p>
        </w:tc>
        <w:tc>
          <w:tcPr>
            <w:tcW w:w="1621" w:type="dxa"/>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spacing w:line="600" w:lineRule="exact"/>
        <w:ind w:left="640"/>
        <w:jc w:val="center"/>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left"/>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 w:hAnsi="仿宋" w:eastAsia="仿宋" w:cs="仿宋"/>
          <w:color w:val="auto"/>
          <w:kern w:val="0"/>
          <w:sz w:val="24"/>
          <w:szCs w:val="24"/>
          <w:highlight w:val="none"/>
        </w:rPr>
        <w:t>呼图壁县农村合作经济发展指导中心</w:t>
      </w:r>
      <w:r>
        <w:rPr>
          <w:rFonts w:hint="eastAsia" w:ascii="仿宋_GB2312" w:hAnsi="宋体" w:eastAsia="仿宋_GB2312" w:cs="宋体"/>
          <w:color w:val="auto"/>
          <w:kern w:val="0"/>
          <w:sz w:val="24"/>
          <w:highlight w:val="none"/>
        </w:rPr>
        <w:t xml:space="preserve"> </w:t>
      </w:r>
      <w:r>
        <w:rPr>
          <w:rFonts w:hint="eastAsia" w:ascii="仿宋_GB2312" w:hAnsi="宋体" w:eastAsia="仿宋_GB2312"/>
          <w:color w:val="auto"/>
          <w:kern w:val="0"/>
          <w:sz w:val="24"/>
          <w:szCs w:val="24"/>
          <w:highlight w:val="none"/>
        </w:rPr>
        <w:t xml:space="preserve"> </w:t>
      </w:r>
      <w:r>
        <w:rPr>
          <w:rFonts w:hint="eastAsia" w:ascii="仿宋_GB2312" w:hAnsi="宋体" w:eastAsia="仿宋_GB2312"/>
          <w:color w:val="auto"/>
          <w:kern w:val="0"/>
          <w:sz w:val="24"/>
          <w:highlight w:val="none"/>
        </w:rPr>
        <w:t xml:space="preserve">       单位：万元                                      </w:t>
      </w:r>
    </w:p>
    <w:tbl>
      <w:tblPr>
        <w:tblStyle w:val="10"/>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vAlign w:val="center"/>
          </w:tcPr>
          <w:p>
            <w:pPr>
              <w:spacing w:line="600" w:lineRule="exact"/>
              <w:jc w:val="center"/>
              <w:rPr>
                <w:rFonts w:ascii="仿宋" w:hAnsi="仿宋" w:eastAsia="仿宋" w:cs="仿宋_GB2312"/>
                <w:bCs/>
                <w:color w:val="auto"/>
                <w:kern w:val="0"/>
                <w:sz w:val="28"/>
                <w:szCs w:val="28"/>
                <w:highlight w:val="none"/>
              </w:rPr>
            </w:pPr>
          </w:p>
        </w:tc>
        <w:tc>
          <w:tcPr>
            <w:tcW w:w="890"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Align w:val="center"/>
          </w:tcPr>
          <w:p>
            <w:pPr>
              <w:spacing w:line="600" w:lineRule="exact"/>
              <w:jc w:val="center"/>
              <w:rPr>
                <w:rFonts w:ascii="仿宋" w:hAnsi="仿宋" w:eastAsia="仿宋" w:cs="仿宋_GB2312"/>
                <w:bCs/>
                <w:color w:val="auto"/>
                <w:kern w:val="0"/>
                <w:sz w:val="28"/>
                <w:szCs w:val="28"/>
                <w:highlight w:val="none"/>
              </w:rPr>
            </w:pPr>
          </w:p>
        </w:tc>
        <w:tc>
          <w:tcPr>
            <w:tcW w:w="723" w:type="dxa"/>
            <w:vAlign w:val="center"/>
          </w:tcPr>
          <w:p>
            <w:pPr>
              <w:spacing w:line="600" w:lineRule="exact"/>
              <w:jc w:val="center"/>
              <w:rPr>
                <w:rFonts w:ascii="仿宋" w:hAnsi="仿宋" w:eastAsia="仿宋" w:cs="仿宋_GB2312"/>
                <w:bCs/>
                <w:color w:val="auto"/>
                <w:kern w:val="0"/>
                <w:sz w:val="28"/>
                <w:szCs w:val="28"/>
                <w:highlight w:val="none"/>
              </w:rPr>
            </w:pPr>
          </w:p>
        </w:tc>
        <w:tc>
          <w:tcPr>
            <w:tcW w:w="881" w:type="dxa"/>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jc w:val="left"/>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备注：呼图壁县农村合作经济发展指导中心2025年无</w:t>
      </w:r>
      <w:r>
        <w:rPr>
          <w:rFonts w:hint="eastAsia" w:ascii="仿宋_GB2312" w:hAnsi="宋体" w:eastAsia="仿宋_GB2312"/>
          <w:b/>
          <w:color w:val="auto"/>
          <w:kern w:val="0"/>
          <w:sz w:val="28"/>
          <w:szCs w:val="32"/>
          <w:highlight w:val="none"/>
          <w:lang w:val="en-US" w:eastAsia="zh-Hans"/>
        </w:rPr>
        <w:t>上年结转</w:t>
      </w:r>
      <w:r>
        <w:rPr>
          <w:rFonts w:hint="eastAsia" w:ascii="仿宋_GB2312" w:hAnsi="宋体" w:eastAsia="仿宋_GB2312"/>
          <w:b/>
          <w:color w:val="auto"/>
          <w:kern w:val="0"/>
          <w:sz w:val="28"/>
          <w:szCs w:val="32"/>
          <w:highlight w:val="none"/>
          <w:lang w:val="en-US" w:eastAsia="zh-CN"/>
        </w:rPr>
        <w:t>结余</w:t>
      </w:r>
      <w:r>
        <w:rPr>
          <w:rFonts w:hint="eastAsia" w:ascii="仿宋_GB2312" w:hAnsi="宋体" w:eastAsia="仿宋_GB2312"/>
          <w:b/>
          <w:color w:val="auto"/>
          <w:kern w:val="0"/>
          <w:sz w:val="28"/>
          <w:szCs w:val="32"/>
          <w:highlight w:val="none"/>
          <w:lang w:val="en-US" w:eastAsia="zh-Hans"/>
        </w:rPr>
        <w:t>情况</w:t>
      </w:r>
      <w:r>
        <w:rPr>
          <w:rFonts w:hint="eastAsia" w:ascii="仿宋_GB2312" w:hAnsi="宋体" w:eastAsia="仿宋_GB2312"/>
          <w:b/>
          <w:color w:val="auto"/>
          <w:kern w:val="0"/>
          <w:sz w:val="28"/>
          <w:szCs w:val="32"/>
          <w:highlight w:val="none"/>
          <w:lang w:val="en-US" w:eastAsia="zh-CN"/>
        </w:rPr>
        <w:t>，</w:t>
      </w:r>
      <w:r>
        <w:rPr>
          <w:rFonts w:hint="eastAsia" w:ascii="仿宋_GB2312" w:hAnsi="宋体" w:eastAsia="仿宋_GB2312"/>
          <w:b/>
          <w:color w:val="auto"/>
          <w:kern w:val="0"/>
          <w:sz w:val="28"/>
          <w:szCs w:val="32"/>
          <w:highlight w:val="none"/>
          <w:lang w:val="en-US" w:eastAsia="zh-Hans"/>
        </w:rPr>
        <w:t>上年结转</w:t>
      </w:r>
      <w:r>
        <w:rPr>
          <w:rFonts w:hint="eastAsia" w:ascii="仿宋_GB2312" w:hAnsi="宋体" w:eastAsia="仿宋_GB2312"/>
          <w:b/>
          <w:color w:val="auto"/>
          <w:kern w:val="0"/>
          <w:sz w:val="28"/>
          <w:szCs w:val="32"/>
          <w:highlight w:val="none"/>
          <w:lang w:val="en-US" w:eastAsia="zh-CN"/>
        </w:rPr>
        <w:t>结余情况表为空表</w:t>
      </w:r>
    </w:p>
    <w:p>
      <w:pPr>
        <w:widowControl/>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2025年部门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呼图壁县农村合作经济发展指导中心2025年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呼图壁县农村合作经济发展指导中心2025年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eastAsia="zh-CN"/>
        </w:rPr>
        <w:t>部门</w:t>
      </w:r>
      <w:r>
        <w:rPr>
          <w:rFonts w:hint="eastAsia" w:ascii="仿宋_GB2312" w:hAnsi="宋体" w:eastAsia="仿宋_GB2312" w:cs="宋体"/>
          <w:color w:val="auto"/>
          <w:kern w:val="0"/>
          <w:sz w:val="32"/>
          <w:szCs w:val="32"/>
          <w:highlight w:val="none"/>
        </w:rPr>
        <w:t>预算管理。收支总预算</w:t>
      </w:r>
      <w:r>
        <w:rPr>
          <w:rFonts w:hint="eastAsia" w:ascii="仿宋_GB2312" w:hAnsi="宋体" w:eastAsia="仿宋_GB2312" w:cs="宋体"/>
          <w:color w:val="auto"/>
          <w:kern w:val="0"/>
          <w:sz w:val="32"/>
          <w:szCs w:val="32"/>
          <w:highlight w:val="none"/>
          <w:lang w:val="en-US" w:eastAsia="zh-CN"/>
        </w:rPr>
        <w:t>187</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kern w:val="0"/>
          <w:sz w:val="32"/>
          <w:szCs w:val="32"/>
        </w:rPr>
        <w:t>社会保障和就业支出、卫生健康支出、农林水支出、住房保障支出。</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宋体" w:eastAsia="仿宋_GB2312" w:cs="宋体"/>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呼图壁县农村合作经济发展指导中心2025年</w:t>
      </w:r>
      <w:r>
        <w:rPr>
          <w:rFonts w:hint="eastAsia" w:ascii="楷体_GB2312" w:hAnsi="楷体_GB2312" w:eastAsia="楷体_GB2312" w:cs="楷体_GB2312"/>
          <w:b/>
          <w:bCs/>
          <w:color w:val="auto"/>
          <w:kern w:val="0"/>
          <w:sz w:val="32"/>
          <w:szCs w:val="32"/>
          <w:highlight w:val="none"/>
        </w:rPr>
        <w:t>收入预算情况说明</w:t>
      </w:r>
      <w:r>
        <w:rPr>
          <w:rFonts w:hint="eastAsia" w:ascii="楷体_GB2312" w:hAnsi="楷体_GB2312" w:eastAsia="楷体_GB2312" w:cs="楷体_GB2312"/>
          <w:b/>
          <w:bCs/>
          <w:color w:val="auto"/>
          <w:kern w:val="0"/>
          <w:sz w:val="32"/>
          <w:szCs w:val="32"/>
          <w:highlight w:val="none"/>
          <w:lang w:eastAsia="zh-CN"/>
        </w:rPr>
        <w:t>呼图壁县农村合作经济发展指导中心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187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一般公共预算117.69万元，占</w:t>
      </w:r>
      <w:r>
        <w:rPr>
          <w:rFonts w:hint="eastAsia" w:ascii="仿宋_GB2312" w:hAnsi="宋体" w:eastAsia="仿宋_GB2312" w:cs="宋体"/>
          <w:color w:val="auto"/>
          <w:kern w:val="0"/>
          <w:sz w:val="32"/>
          <w:szCs w:val="32"/>
          <w:highlight w:val="none"/>
          <w:lang w:val="en-US" w:eastAsia="zh-CN"/>
        </w:rPr>
        <w:t>62.94</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14.98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11.29%，</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新增退休</w:t>
      </w:r>
      <w:r>
        <w:rPr>
          <w:rFonts w:hint="eastAsia" w:ascii="仿宋_GB2312" w:hAnsi="宋体" w:eastAsia="仿宋_GB2312" w:cs="宋体"/>
          <w:color w:val="auto"/>
          <w:kern w:val="0"/>
          <w:sz w:val="32"/>
          <w:szCs w:val="32"/>
          <w:highlight w:val="none"/>
          <w:lang w:eastAsia="zh-CN"/>
        </w:rPr>
        <w:t>公务员</w:t>
      </w:r>
      <w:r>
        <w:rPr>
          <w:rFonts w:hint="eastAsia" w:ascii="仿宋_GB2312" w:hAnsi="宋体" w:eastAsia="仿宋_GB2312" w:cs="宋体"/>
          <w:color w:val="auto"/>
          <w:kern w:val="0"/>
          <w:sz w:val="32"/>
          <w:szCs w:val="32"/>
          <w:highlight w:val="none"/>
          <w:lang w:val="en-US" w:eastAsia="zh-CN"/>
        </w:rPr>
        <w:t>1人，预算减少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69.3</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37.06</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83.37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54.61%，</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今年</w:t>
      </w:r>
      <w:r>
        <w:rPr>
          <w:rFonts w:hint="eastAsia" w:ascii="仿宋_GB2312" w:hAnsi="宋体" w:eastAsia="仿宋_GB2312" w:cs="宋体"/>
          <w:color w:val="auto"/>
          <w:kern w:val="0"/>
          <w:sz w:val="32"/>
          <w:szCs w:val="32"/>
          <w:highlight w:val="none"/>
          <w:lang w:val="en-US" w:eastAsia="zh-CN"/>
        </w:rPr>
        <w:t>退休1人，且上年单位部分</w:t>
      </w:r>
      <w:r>
        <w:rPr>
          <w:rFonts w:hint="eastAsia" w:ascii="仿宋_GB2312" w:hAnsi="宋体" w:eastAsia="仿宋_GB2312" w:cs="宋体"/>
          <w:color w:val="auto"/>
          <w:kern w:val="0"/>
          <w:sz w:val="32"/>
          <w:szCs w:val="32"/>
          <w:highlight w:val="none"/>
          <w:lang w:eastAsia="zh-CN"/>
        </w:rPr>
        <w:t>（医疗、养老、职业年金、住房公积金等）</w:t>
      </w:r>
      <w:r>
        <w:rPr>
          <w:rFonts w:hint="eastAsia" w:ascii="仿宋_GB2312" w:hAnsi="宋体" w:eastAsia="仿宋_GB2312" w:cs="宋体"/>
          <w:color w:val="auto"/>
          <w:kern w:val="0"/>
          <w:sz w:val="32"/>
          <w:szCs w:val="32"/>
          <w:highlight w:val="none"/>
          <w:lang w:val="en-US" w:eastAsia="zh-CN"/>
        </w:rPr>
        <w:t>纳入单位资金预算，在实际缴纳时不需要纳入，因此单位资金较上年减少</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呼图壁县农村合作经济发展指导中心2025年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呼图壁县农村合作经济发展指导中心2025</w:t>
      </w:r>
      <w:r>
        <w:rPr>
          <w:rFonts w:hint="eastAsia" w:ascii="仿宋_GB2312" w:hAnsi="宋体" w:eastAsia="仿宋_GB2312" w:cs="宋体"/>
          <w:color w:val="auto"/>
          <w:kern w:val="0"/>
          <w:sz w:val="32"/>
          <w:szCs w:val="32"/>
          <w:highlight w:val="none"/>
        </w:rPr>
        <w:t>年支出预算</w:t>
      </w:r>
      <w:r>
        <w:rPr>
          <w:rFonts w:hint="eastAsia" w:ascii="仿宋_GB2312" w:hAnsi="宋体" w:eastAsia="仿宋_GB2312" w:cs="宋体"/>
          <w:color w:val="auto"/>
          <w:kern w:val="0"/>
          <w:sz w:val="32"/>
          <w:szCs w:val="32"/>
          <w:highlight w:val="none"/>
          <w:lang w:val="en-US" w:eastAsia="zh-CN"/>
        </w:rPr>
        <w:t>187</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181.99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97.32</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99.28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35.30%，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2025年单位资金减少预算</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2.67</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227</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97.84 %，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仿宋_GB2312" w:eastAsia="仿宋_GB2312" w:cs="仿宋_GB2312"/>
          <w:color w:val="auto"/>
          <w:kern w:val="0"/>
          <w:sz w:val="32"/>
          <w:szCs w:val="32"/>
          <w:highlight w:val="none"/>
        </w:rPr>
        <w:t>中央农业经营主体能力提升</w:t>
      </w:r>
      <w:r>
        <w:rPr>
          <w:rFonts w:hint="eastAsia" w:ascii="仿宋_GB2312" w:hAnsi="仿宋_GB2312" w:eastAsia="仿宋_GB2312" w:cs="仿宋_GB2312"/>
          <w:color w:val="auto"/>
          <w:kern w:val="0"/>
          <w:sz w:val="32"/>
          <w:szCs w:val="32"/>
          <w:highlight w:val="none"/>
          <w:lang w:eastAsia="zh-CN"/>
        </w:rPr>
        <w:t>和</w:t>
      </w:r>
      <w:r>
        <w:rPr>
          <w:rFonts w:hint="eastAsia" w:ascii="仿宋_GB2312" w:hAnsi="仿宋_GB2312" w:eastAsia="仿宋_GB2312" w:cs="仿宋_GB2312"/>
          <w:color w:val="auto"/>
          <w:kern w:val="0"/>
          <w:sz w:val="32"/>
          <w:szCs w:val="32"/>
          <w:highlight w:val="none"/>
        </w:rPr>
        <w:t>农业生产社会化服务项目</w:t>
      </w:r>
      <w:r>
        <w:rPr>
          <w:rFonts w:hint="eastAsia" w:ascii="仿宋_GB2312" w:hAnsi="宋体" w:eastAsia="仿宋_GB2312" w:cs="宋体"/>
          <w:color w:val="auto"/>
          <w:kern w:val="0"/>
          <w:sz w:val="32"/>
          <w:szCs w:val="32"/>
          <w:highlight w:val="none"/>
          <w:lang w:val="en-US" w:eastAsia="zh-CN"/>
        </w:rPr>
        <w:t>资金提前下达列入全年预算，2025年无此项提前下达资金。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eastAsia="zh-CN"/>
        </w:rPr>
        <w:t>呼图壁县农村合作经济发展指导中心2025年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年财政拨款收支总预算</w:t>
      </w:r>
      <w:r>
        <w:rPr>
          <w:rFonts w:hint="eastAsia" w:ascii="仿宋_GB2312" w:hAnsi="宋体" w:eastAsia="仿宋_GB2312" w:cs="宋体"/>
          <w:color w:val="auto"/>
          <w:kern w:val="0"/>
          <w:sz w:val="32"/>
          <w:szCs w:val="32"/>
          <w:highlight w:val="none"/>
          <w:lang w:val="en-US" w:eastAsia="zh-CN"/>
        </w:rPr>
        <w:t>117.69</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117.69</w:t>
      </w:r>
      <w:r>
        <w:rPr>
          <w:rFonts w:hint="eastAsia" w:ascii="仿宋_GB2312" w:hAnsi="宋体" w:eastAsia="仿宋_GB2312" w:cs="宋体"/>
          <w:color w:val="auto"/>
          <w:kern w:val="0"/>
          <w:sz w:val="32"/>
          <w:szCs w:val="32"/>
          <w:highlight w:val="none"/>
        </w:rPr>
        <w:t>万元。</w:t>
      </w:r>
    </w:p>
    <w:p>
      <w:pPr>
        <w:rPr>
          <w:rFonts w:ascii="仿宋_GB2312" w:hAnsi="宋体" w:eastAsia="仿宋_GB2312" w:cs="宋体"/>
          <w:color w:val="FF0000"/>
          <w:kern w:val="0"/>
          <w:sz w:val="32"/>
          <w:szCs w:val="32"/>
          <w:highlight w:val="none"/>
        </w:rPr>
      </w:pPr>
      <w:r>
        <w:rPr>
          <w:rFonts w:hint="eastAsia" w:ascii="仿宋_GB2312" w:hAnsi="宋体" w:eastAsia="仿宋_GB2312" w:cs="宋体"/>
          <w:color w:val="auto"/>
          <w:kern w:val="0"/>
          <w:sz w:val="32"/>
          <w:szCs w:val="32"/>
          <w:highlight w:val="none"/>
          <w:lang w:val="en-US" w:eastAsia="zh-CN"/>
        </w:rPr>
        <w:t>一般公共预算</w:t>
      </w:r>
      <w:r>
        <w:rPr>
          <w:rFonts w:hint="eastAsia" w:ascii="仿宋_GB2312" w:hAnsi="宋体" w:eastAsia="仿宋_GB2312" w:cs="宋体"/>
          <w:color w:val="auto"/>
          <w:kern w:val="0"/>
          <w:sz w:val="32"/>
          <w:szCs w:val="32"/>
          <w:highlight w:val="none"/>
        </w:rPr>
        <w:t>支出包括：</w:t>
      </w:r>
      <w:r>
        <w:rPr>
          <w:rFonts w:hint="eastAsia" w:ascii="仿宋_GB2312" w:hAnsi="宋体" w:eastAsia="仿宋_GB2312" w:cs="宋体"/>
          <w:color w:val="auto"/>
          <w:kern w:val="0"/>
          <w:sz w:val="32"/>
          <w:szCs w:val="32"/>
          <w:highlight w:val="none"/>
          <w:lang w:eastAsia="zh-CN"/>
        </w:rPr>
        <w:t>农林水</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85.27</w:t>
      </w:r>
      <w:r>
        <w:rPr>
          <w:rFonts w:hint="eastAsia" w:ascii="仿宋_GB2312" w:hAnsi="宋体" w:eastAsia="仿宋_GB2312" w:cs="宋体"/>
          <w:color w:val="auto"/>
          <w:kern w:val="0"/>
          <w:sz w:val="32"/>
          <w:szCs w:val="32"/>
          <w:highlight w:val="none"/>
        </w:rPr>
        <w:t>万元，</w:t>
      </w:r>
      <w:r>
        <w:rPr>
          <w:rFonts w:hint="eastAsia" w:ascii="仿宋_GB2312" w:hAnsi="仿宋_GB2312" w:eastAsia="仿宋_GB2312" w:cs="仿宋_GB2312"/>
          <w:color w:val="auto"/>
          <w:sz w:val="32"/>
          <w:szCs w:val="32"/>
        </w:rPr>
        <w:t>主要用于单位工资福利支出、商品和服务支出、对个人和家庭补助支出等单位基本支出;社会保障和就业支出</w:t>
      </w:r>
      <w:r>
        <w:rPr>
          <w:rFonts w:hint="eastAsia" w:ascii="仿宋_GB2312" w:hAnsi="仿宋_GB2312" w:eastAsia="仿宋_GB2312" w:cs="仿宋_GB2312"/>
          <w:color w:val="auto"/>
          <w:sz w:val="32"/>
          <w:szCs w:val="32"/>
          <w:lang w:val="en-US" w:eastAsia="zh-CN"/>
        </w:rPr>
        <w:t>15.19</w:t>
      </w:r>
      <w:r>
        <w:rPr>
          <w:rFonts w:hint="eastAsia" w:ascii="仿宋_GB2312" w:hAnsi="仿宋_GB2312" w:eastAsia="仿宋_GB2312" w:cs="仿宋_GB2312"/>
          <w:color w:val="auto"/>
          <w:sz w:val="32"/>
          <w:szCs w:val="32"/>
        </w:rPr>
        <w:t>万元，主要用于单位社会保险缴费支出;卫生健康支出</w:t>
      </w:r>
      <w:r>
        <w:rPr>
          <w:rFonts w:hint="eastAsia" w:ascii="仿宋_GB2312" w:hAnsi="仿宋_GB2312" w:eastAsia="仿宋_GB2312" w:cs="仿宋_GB2312"/>
          <w:color w:val="auto"/>
          <w:sz w:val="32"/>
          <w:szCs w:val="32"/>
          <w:lang w:val="en-US" w:eastAsia="zh-CN"/>
        </w:rPr>
        <w:t>8.19</w:t>
      </w:r>
      <w:r>
        <w:rPr>
          <w:rFonts w:hint="eastAsia" w:ascii="仿宋_GB2312" w:hAnsi="仿宋_GB2312" w:eastAsia="仿宋_GB2312" w:cs="仿宋_GB2312"/>
          <w:color w:val="auto"/>
          <w:sz w:val="32"/>
          <w:szCs w:val="32"/>
        </w:rPr>
        <w:t>万元,主要用于单位医疗保险缴费支出;住房保障支出</w:t>
      </w:r>
      <w:r>
        <w:rPr>
          <w:rFonts w:hint="eastAsia" w:ascii="仿宋_GB2312" w:hAnsi="仿宋_GB2312" w:eastAsia="仿宋_GB2312" w:cs="仿宋_GB2312"/>
          <w:color w:val="auto"/>
          <w:sz w:val="32"/>
          <w:szCs w:val="32"/>
          <w:lang w:val="en-US" w:eastAsia="zh-CN"/>
        </w:rPr>
        <w:t>9.04</w:t>
      </w:r>
      <w:r>
        <w:rPr>
          <w:rFonts w:hint="eastAsia" w:ascii="仿宋_GB2312" w:hAnsi="仿宋_GB2312" w:eastAsia="仿宋_GB2312" w:cs="仿宋_GB2312"/>
          <w:color w:val="auto"/>
          <w:sz w:val="32"/>
          <w:szCs w:val="32"/>
        </w:rPr>
        <w:t>万元主要用于单位住房公积金支出</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呼图壁县农村合作经济发展指导中心2025年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呼图壁县农村合作经济发展指导中心</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年一般公共预算拨款合计</w:t>
      </w:r>
      <w:r>
        <w:rPr>
          <w:rFonts w:hint="eastAsia" w:ascii="仿宋_GB2312" w:hAnsi="仿宋_GB2312" w:eastAsia="仿宋_GB2312" w:cs="仿宋_GB2312"/>
          <w:color w:val="auto"/>
          <w:kern w:val="0"/>
          <w:sz w:val="32"/>
          <w:szCs w:val="32"/>
          <w:highlight w:val="none"/>
          <w:lang w:val="en-US" w:eastAsia="zh-CN"/>
        </w:rPr>
        <w:t>117.69</w:t>
      </w:r>
      <w:r>
        <w:rPr>
          <w:rFonts w:hint="eastAsia" w:ascii="仿宋_GB2312" w:hAnsi="仿宋_GB2312" w:eastAsia="仿宋_GB2312" w:cs="仿宋_GB2312"/>
          <w:color w:val="auto"/>
          <w:kern w:val="0"/>
          <w:sz w:val="32"/>
          <w:szCs w:val="32"/>
          <w:highlight w:val="none"/>
        </w:rPr>
        <w:t>万元，其中：基本支出</w:t>
      </w:r>
      <w:r>
        <w:rPr>
          <w:rFonts w:hint="eastAsia" w:ascii="仿宋_GB2312" w:hAnsi="仿宋_GB2312" w:eastAsia="仿宋_GB2312" w:cs="仿宋_GB2312"/>
          <w:color w:val="auto"/>
          <w:kern w:val="0"/>
          <w:sz w:val="32"/>
          <w:szCs w:val="32"/>
          <w:highlight w:val="none"/>
          <w:lang w:val="en-US" w:eastAsia="zh-CN"/>
        </w:rPr>
        <w:t>112.69</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14.98</w:t>
      </w:r>
      <w:r>
        <w:rPr>
          <w:rFonts w:hint="eastAsia" w:ascii="仿宋_GB2312" w:hAnsi="仿宋_GB2312" w:eastAsia="仿宋_GB2312" w:cs="仿宋_GB2312"/>
          <w:color w:val="auto"/>
          <w:kern w:val="0"/>
          <w:sz w:val="32"/>
          <w:szCs w:val="32"/>
          <w:highlight w:val="none"/>
        </w:rPr>
        <w:t>万元，下降</w:t>
      </w:r>
      <w:r>
        <w:rPr>
          <w:rFonts w:hint="eastAsia" w:ascii="仿宋_GB2312" w:hAnsi="仿宋_GB2312" w:eastAsia="仿宋_GB2312" w:cs="仿宋_GB2312"/>
          <w:color w:val="auto"/>
          <w:kern w:val="0"/>
          <w:sz w:val="32"/>
          <w:szCs w:val="32"/>
          <w:highlight w:val="none"/>
          <w:lang w:val="en-US" w:eastAsia="zh-CN"/>
        </w:rPr>
        <w:t>11.73</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退休</w:t>
      </w:r>
      <w:r>
        <w:rPr>
          <w:rFonts w:hint="eastAsia" w:ascii="仿宋_GB2312" w:hAnsi="宋体" w:eastAsia="仿宋_GB2312" w:cs="宋体"/>
          <w:color w:val="auto"/>
          <w:kern w:val="0"/>
          <w:sz w:val="32"/>
          <w:szCs w:val="32"/>
          <w:highlight w:val="none"/>
          <w:lang w:eastAsia="zh-CN"/>
        </w:rPr>
        <w:t>公务员</w:t>
      </w:r>
      <w:r>
        <w:rPr>
          <w:rFonts w:hint="eastAsia" w:ascii="仿宋_GB2312" w:hAnsi="宋体" w:eastAsia="仿宋_GB2312" w:cs="宋体"/>
          <w:color w:val="auto"/>
          <w:kern w:val="0"/>
          <w:sz w:val="32"/>
          <w:szCs w:val="32"/>
          <w:highlight w:val="none"/>
          <w:lang w:val="en-US" w:eastAsia="zh-CN"/>
        </w:rPr>
        <w:t>1人，预算减少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项目支出</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万元，比上年预算减少</w:t>
      </w:r>
      <w:r>
        <w:rPr>
          <w:rFonts w:hint="eastAsia" w:ascii="仿宋_GB2312" w:hAnsi="仿宋_GB2312" w:eastAsia="仿宋_GB2312" w:cs="仿宋_GB2312"/>
          <w:color w:val="auto"/>
          <w:kern w:val="0"/>
          <w:sz w:val="32"/>
          <w:szCs w:val="32"/>
          <w:highlight w:val="none"/>
          <w:lang w:val="en-US" w:eastAsia="zh-CN"/>
        </w:rPr>
        <w:t>227</w:t>
      </w:r>
      <w:r>
        <w:rPr>
          <w:rFonts w:hint="eastAsia" w:ascii="仿宋_GB2312" w:hAnsi="仿宋_GB2312" w:eastAsia="仿宋_GB2312" w:cs="仿宋_GB2312"/>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97.84%，</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lang w:val="en-US" w:eastAsia="zh-CN"/>
        </w:rPr>
        <w:t>年</w:t>
      </w:r>
      <w:r>
        <w:rPr>
          <w:rFonts w:hint="eastAsia" w:ascii="仿宋_GB2312" w:hAnsi="仿宋_GB2312" w:eastAsia="仿宋_GB2312" w:cs="仿宋_GB2312"/>
          <w:color w:val="auto"/>
          <w:kern w:val="0"/>
          <w:sz w:val="32"/>
          <w:szCs w:val="32"/>
          <w:highlight w:val="none"/>
        </w:rPr>
        <w:t>中央农业经营主体能力提升</w:t>
      </w:r>
      <w:r>
        <w:rPr>
          <w:rFonts w:hint="eastAsia" w:ascii="仿宋_GB2312" w:hAnsi="仿宋_GB2312" w:eastAsia="仿宋_GB2312" w:cs="仿宋_GB2312"/>
          <w:color w:val="auto"/>
          <w:kern w:val="0"/>
          <w:sz w:val="32"/>
          <w:szCs w:val="32"/>
          <w:highlight w:val="none"/>
          <w:lang w:eastAsia="zh-CN"/>
        </w:rPr>
        <w:t>和</w:t>
      </w:r>
      <w:r>
        <w:rPr>
          <w:rFonts w:hint="eastAsia" w:ascii="仿宋_GB2312" w:hAnsi="仿宋_GB2312" w:eastAsia="仿宋_GB2312" w:cs="仿宋_GB2312"/>
          <w:color w:val="auto"/>
          <w:kern w:val="0"/>
          <w:sz w:val="32"/>
          <w:szCs w:val="32"/>
          <w:highlight w:val="none"/>
        </w:rPr>
        <w:t>农业生产社会化服务项目</w:t>
      </w:r>
      <w:r>
        <w:rPr>
          <w:rFonts w:hint="eastAsia" w:ascii="仿宋_GB2312" w:hAnsi="仿宋_GB2312" w:eastAsia="仿宋_GB2312" w:cs="仿宋_GB2312"/>
          <w:color w:val="auto"/>
          <w:kern w:val="0"/>
          <w:sz w:val="32"/>
          <w:szCs w:val="32"/>
          <w:highlight w:val="none"/>
          <w:lang w:eastAsia="zh-CN"/>
        </w:rPr>
        <w:t>资金</w:t>
      </w:r>
      <w:r>
        <w:rPr>
          <w:rFonts w:hint="eastAsia" w:ascii="仿宋_GB2312" w:hAnsi="仿宋_GB2312" w:eastAsia="仿宋_GB2312" w:cs="仿宋_GB2312"/>
          <w:color w:val="auto"/>
          <w:kern w:val="0"/>
          <w:sz w:val="32"/>
          <w:szCs w:val="32"/>
          <w:highlight w:val="none"/>
          <w:lang w:val="en-US" w:eastAsia="zh-CN"/>
        </w:rPr>
        <w:t>提前下达列入全年预算，2025年</w:t>
      </w:r>
      <w:r>
        <w:rPr>
          <w:rFonts w:hint="eastAsia" w:ascii="仿宋_GB2312" w:hAnsi="仿宋_GB2312" w:eastAsia="仿宋_GB2312" w:cs="仿宋_GB2312"/>
          <w:color w:val="auto"/>
          <w:kern w:val="0"/>
          <w:sz w:val="32"/>
          <w:szCs w:val="32"/>
          <w:highlight w:val="none"/>
        </w:rPr>
        <w:t>中央农业经营主体能力提升</w:t>
      </w:r>
      <w:r>
        <w:rPr>
          <w:rFonts w:hint="eastAsia" w:ascii="仿宋_GB2312" w:hAnsi="仿宋_GB2312" w:eastAsia="仿宋_GB2312" w:cs="仿宋_GB2312"/>
          <w:color w:val="auto"/>
          <w:kern w:val="0"/>
          <w:sz w:val="32"/>
          <w:szCs w:val="32"/>
          <w:highlight w:val="none"/>
          <w:lang w:eastAsia="zh-CN"/>
        </w:rPr>
        <w:t>和</w:t>
      </w:r>
      <w:r>
        <w:rPr>
          <w:rFonts w:hint="eastAsia" w:ascii="仿宋_GB2312" w:hAnsi="仿宋_GB2312" w:eastAsia="仿宋_GB2312" w:cs="仿宋_GB2312"/>
          <w:color w:val="auto"/>
          <w:kern w:val="0"/>
          <w:sz w:val="32"/>
          <w:szCs w:val="32"/>
          <w:highlight w:val="none"/>
        </w:rPr>
        <w:t>农业生产社会化服务项目</w:t>
      </w:r>
      <w:r>
        <w:rPr>
          <w:rFonts w:hint="eastAsia" w:ascii="仿宋_GB2312" w:hAnsi="仿宋_GB2312" w:eastAsia="仿宋_GB2312" w:cs="仿宋_GB2312"/>
          <w:color w:val="auto"/>
          <w:kern w:val="0"/>
          <w:sz w:val="32"/>
          <w:szCs w:val="32"/>
          <w:highlight w:val="none"/>
          <w:lang w:eastAsia="zh-CN"/>
        </w:rPr>
        <w:t>资金</w:t>
      </w:r>
      <w:r>
        <w:rPr>
          <w:rFonts w:hint="eastAsia" w:ascii="仿宋_GB2312" w:hAnsi="仿宋_GB2312" w:eastAsia="仿宋_GB2312" w:cs="仿宋_GB2312"/>
          <w:color w:val="auto"/>
          <w:kern w:val="0"/>
          <w:sz w:val="32"/>
          <w:szCs w:val="32"/>
          <w:highlight w:val="none"/>
          <w:lang w:val="en-US" w:eastAsia="zh-CN"/>
        </w:rPr>
        <w:t>未提前下达也没</w:t>
      </w:r>
      <w:r>
        <w:rPr>
          <w:rFonts w:hint="eastAsia" w:ascii="仿宋_GB2312" w:hAnsi="宋体" w:eastAsia="仿宋_GB2312" w:cs="宋体"/>
          <w:color w:val="auto"/>
          <w:kern w:val="0"/>
          <w:sz w:val="32"/>
          <w:szCs w:val="32"/>
          <w:highlight w:val="none"/>
          <w:lang w:val="en-US" w:eastAsia="zh-CN"/>
        </w:rPr>
        <w:t>列入全年预算。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highlight w:val="none"/>
          <w:lang w:eastAsia="zh-CN"/>
        </w:rPr>
        <w:t>农林水支出（类）</w:t>
      </w:r>
      <w:r>
        <w:rPr>
          <w:rFonts w:hint="eastAsia" w:ascii="仿宋_GB2312" w:hAnsi="仿宋_GB2312" w:eastAsia="仿宋_GB2312" w:cs="仿宋_GB2312"/>
          <w:sz w:val="32"/>
          <w:szCs w:val="32"/>
          <w:highlight w:val="none"/>
          <w:lang w:val="en-US" w:eastAsia="zh-CN"/>
        </w:rPr>
        <w:t>85.27</w:t>
      </w:r>
      <w:r>
        <w:rPr>
          <w:rFonts w:hint="eastAsia" w:ascii="仿宋_GB2312" w:hAnsi="宋体" w:eastAsia="仿宋_GB2312" w:cs="宋体"/>
          <w:kern w:val="0"/>
          <w:sz w:val="32"/>
          <w:szCs w:val="32"/>
        </w:rPr>
        <w:t>万元，占</w:t>
      </w:r>
      <w:r>
        <w:rPr>
          <w:rFonts w:hint="eastAsia" w:ascii="仿宋_GB2312" w:hAnsi="宋体" w:eastAsia="仿宋_GB2312" w:cs="宋体"/>
          <w:kern w:val="0"/>
          <w:sz w:val="32"/>
          <w:szCs w:val="32"/>
          <w:lang w:val="en-US" w:eastAsia="zh-CN"/>
        </w:rPr>
        <w:t>72.45</w:t>
      </w:r>
      <w:r>
        <w:rPr>
          <w:rFonts w:hint="eastAsia" w:ascii="仿宋_GB2312" w:hAnsi="宋体" w:eastAsia="仿宋_GB2312" w:cs="宋体"/>
          <w:kern w:val="0"/>
          <w:sz w:val="32"/>
          <w:szCs w:val="32"/>
        </w:rPr>
        <w:t>%。</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2.社会保障和就业支出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类</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15.19万元，占12.91%。</w:t>
      </w:r>
    </w:p>
    <w:p>
      <w:pPr>
        <w:spacing w:line="560" w:lineRule="exact"/>
        <w:ind w:firstLine="640" w:firstLineChars="200"/>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3.卫生健康支出（类）8.19万元，占6.96%。</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宋体" w:eastAsia="仿宋_GB2312" w:cs="宋体"/>
          <w:kern w:val="0"/>
          <w:sz w:val="32"/>
          <w:szCs w:val="32"/>
          <w:lang w:val="en-US" w:eastAsia="zh-CN"/>
        </w:rPr>
        <w:t>4.住房保障支出（类）9.04万元，占7.68%。</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widowControl w:val="0"/>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sz w:val="32"/>
          <w:szCs w:val="32"/>
          <w:highlight w:val="none"/>
          <w:lang w:eastAsia="zh-CN"/>
        </w:rPr>
        <w:t>农林水支出（</w:t>
      </w:r>
      <w:r>
        <w:rPr>
          <w:rFonts w:hint="eastAsia" w:ascii="仿宋_GB2312" w:hAnsi="仿宋_GB2312" w:eastAsia="仿宋_GB2312" w:cs="仿宋_GB2312"/>
          <w:sz w:val="32"/>
          <w:szCs w:val="32"/>
          <w:highlight w:val="none"/>
          <w:lang w:val="en-US" w:eastAsia="zh-CN"/>
        </w:rPr>
        <w:t>类</w:t>
      </w:r>
      <w:r>
        <w:rPr>
          <w:rFonts w:hint="eastAsia" w:ascii="仿宋_GB2312" w:hAnsi="仿宋_GB2312" w:eastAsia="仿宋_GB2312" w:cs="仿宋_GB2312"/>
          <w:sz w:val="32"/>
          <w:szCs w:val="32"/>
          <w:highlight w:val="none"/>
          <w:lang w:eastAsia="zh-CN"/>
        </w:rPr>
        <w:t>）农业农村（</w:t>
      </w:r>
      <w:r>
        <w:rPr>
          <w:rFonts w:hint="eastAsia" w:ascii="仿宋_GB2312" w:hAnsi="仿宋_GB2312" w:eastAsia="仿宋_GB2312" w:cs="仿宋_GB2312"/>
          <w:sz w:val="32"/>
          <w:szCs w:val="32"/>
          <w:highlight w:val="none"/>
          <w:lang w:val="en-US" w:eastAsia="zh-CN"/>
        </w:rPr>
        <w:t>款</w:t>
      </w:r>
      <w:r>
        <w:rPr>
          <w:rFonts w:hint="eastAsia" w:ascii="仿宋_GB2312" w:hAnsi="仿宋_GB2312" w:eastAsia="仿宋_GB2312" w:cs="仿宋_GB2312"/>
          <w:sz w:val="32"/>
          <w:szCs w:val="32"/>
          <w:highlight w:val="none"/>
          <w:lang w:eastAsia="zh-CN"/>
        </w:rPr>
        <w:t>）行政运行（</w:t>
      </w:r>
      <w:r>
        <w:rPr>
          <w:rFonts w:hint="eastAsia" w:ascii="仿宋_GB2312" w:hAnsi="仿宋_GB2312" w:eastAsia="仿宋_GB2312" w:cs="仿宋_GB2312"/>
          <w:sz w:val="32"/>
          <w:szCs w:val="32"/>
          <w:highlight w:val="none"/>
          <w:lang w:val="en-US" w:eastAsia="zh-CN"/>
        </w:rPr>
        <w:t>项</w:t>
      </w: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年预算数为80.27万元，比上年预算</w:t>
      </w:r>
      <w:r>
        <w:rPr>
          <w:rFonts w:hint="eastAsia" w:ascii="仿宋_GB2312" w:hAnsi="仿宋_GB2312" w:eastAsia="仿宋_GB2312" w:cs="仿宋_GB2312"/>
          <w:sz w:val="32"/>
          <w:szCs w:val="32"/>
          <w:highlight w:val="none"/>
          <w:lang w:val="en-US" w:eastAsia="zh-CN"/>
        </w:rPr>
        <w:t>减少11.36</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减少12.40</w:t>
      </w:r>
      <w:r>
        <w:rPr>
          <w:rFonts w:hint="eastAsia" w:ascii="仿宋_GB2312" w:hAnsi="仿宋_GB2312" w:eastAsia="仿宋_GB2312" w:cs="仿宋_GB2312"/>
          <w:color w:val="auto"/>
          <w:sz w:val="32"/>
          <w:szCs w:val="32"/>
          <w:highlight w:val="none"/>
          <w:lang w:eastAsia="zh-CN"/>
        </w:rPr>
        <w:t>％，主要原因是：</w:t>
      </w:r>
      <w:r>
        <w:rPr>
          <w:rFonts w:hint="eastAsia" w:ascii="仿宋_GB2312" w:hAnsi="仿宋_GB2312" w:eastAsia="仿宋_GB2312" w:cs="仿宋_GB2312"/>
          <w:color w:val="auto"/>
          <w:sz w:val="32"/>
          <w:szCs w:val="32"/>
          <w:highlight w:val="none"/>
          <w:lang w:val="en-US" w:eastAsia="zh-CN"/>
        </w:rPr>
        <w:t>去年9月月份退休1人，预算减少。</w:t>
      </w:r>
    </w:p>
    <w:p>
      <w:pPr>
        <w:widowControl w:val="0"/>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sz w:val="32"/>
          <w:szCs w:val="32"/>
          <w:highlight w:val="none"/>
          <w:lang w:eastAsia="zh-CN"/>
        </w:rPr>
        <w:t>农林水支出（</w:t>
      </w:r>
      <w:r>
        <w:rPr>
          <w:rFonts w:hint="eastAsia" w:ascii="仿宋_GB2312" w:hAnsi="仿宋_GB2312" w:eastAsia="仿宋_GB2312" w:cs="仿宋_GB2312"/>
          <w:sz w:val="32"/>
          <w:szCs w:val="32"/>
          <w:highlight w:val="none"/>
          <w:lang w:val="en-US" w:eastAsia="zh-CN"/>
        </w:rPr>
        <w:t>类</w:t>
      </w:r>
      <w:r>
        <w:rPr>
          <w:rFonts w:hint="eastAsia" w:ascii="仿宋_GB2312" w:hAnsi="仿宋_GB2312" w:eastAsia="仿宋_GB2312" w:cs="仿宋_GB2312"/>
          <w:sz w:val="32"/>
          <w:szCs w:val="32"/>
          <w:highlight w:val="none"/>
          <w:lang w:eastAsia="zh-CN"/>
        </w:rPr>
        <w:t>）农业农村（</w:t>
      </w:r>
      <w:r>
        <w:rPr>
          <w:rFonts w:hint="eastAsia" w:ascii="仿宋_GB2312" w:hAnsi="仿宋_GB2312" w:eastAsia="仿宋_GB2312" w:cs="仿宋_GB2312"/>
          <w:sz w:val="32"/>
          <w:szCs w:val="32"/>
          <w:highlight w:val="none"/>
          <w:lang w:val="en-US" w:eastAsia="zh-CN"/>
        </w:rPr>
        <w:t>款</w:t>
      </w:r>
      <w:r>
        <w:rPr>
          <w:rFonts w:hint="eastAsia" w:ascii="仿宋_GB2312" w:hAnsi="仿宋_GB2312" w:eastAsia="仿宋_GB2312" w:cs="仿宋_GB2312"/>
          <w:sz w:val="32"/>
          <w:szCs w:val="32"/>
          <w:highlight w:val="none"/>
          <w:lang w:eastAsia="zh-CN"/>
        </w:rPr>
        <w:t>）农村合作经济（</w:t>
      </w:r>
      <w:r>
        <w:rPr>
          <w:rFonts w:hint="eastAsia" w:ascii="仿宋_GB2312" w:hAnsi="仿宋_GB2312" w:eastAsia="仿宋_GB2312" w:cs="仿宋_GB2312"/>
          <w:sz w:val="32"/>
          <w:szCs w:val="32"/>
          <w:highlight w:val="none"/>
          <w:lang w:val="en-US" w:eastAsia="zh-CN"/>
        </w:rPr>
        <w:t>项</w:t>
      </w:r>
      <w:r>
        <w:rPr>
          <w:rFonts w:hint="eastAsia" w:ascii="仿宋_GB2312" w:hAnsi="仿宋_GB2312" w:eastAsia="仿宋_GB2312" w:cs="仿宋_GB2312"/>
          <w:sz w:val="32"/>
          <w:szCs w:val="32"/>
          <w:highlight w:val="none"/>
          <w:lang w:eastAsia="zh-CN"/>
        </w:rPr>
        <w:t>）：202</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年预算数为</w:t>
      </w: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lang w:eastAsia="zh-CN"/>
        </w:rPr>
        <w:t>万元，比上年预算</w:t>
      </w:r>
      <w:r>
        <w:rPr>
          <w:rFonts w:hint="eastAsia" w:ascii="仿宋_GB2312" w:hAnsi="仿宋_GB2312" w:eastAsia="仿宋_GB2312" w:cs="仿宋_GB2312"/>
          <w:sz w:val="32"/>
          <w:szCs w:val="32"/>
          <w:highlight w:val="none"/>
          <w:lang w:val="en-US" w:eastAsia="zh-CN"/>
        </w:rPr>
        <w:t>减少227</w:t>
      </w:r>
      <w:r>
        <w:rPr>
          <w:rFonts w:hint="eastAsia" w:ascii="仿宋_GB2312" w:hAnsi="仿宋_GB2312" w:eastAsia="仿宋_GB2312" w:cs="仿宋_GB2312"/>
          <w:color w:val="auto"/>
          <w:sz w:val="32"/>
          <w:szCs w:val="32"/>
          <w:highlight w:val="none"/>
          <w:lang w:eastAsia="zh-CN"/>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97.84 %，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2024年</w:t>
      </w:r>
      <w:r>
        <w:rPr>
          <w:rFonts w:hint="eastAsia" w:ascii="仿宋_GB2312" w:hAnsi="仿宋_GB2312" w:eastAsia="仿宋_GB2312" w:cs="仿宋_GB2312"/>
          <w:color w:val="auto"/>
          <w:kern w:val="0"/>
          <w:sz w:val="32"/>
          <w:szCs w:val="32"/>
          <w:highlight w:val="none"/>
        </w:rPr>
        <w:t>中央农业经营主体能力提升</w:t>
      </w:r>
      <w:r>
        <w:rPr>
          <w:rFonts w:hint="eastAsia" w:ascii="仿宋_GB2312" w:hAnsi="仿宋_GB2312" w:eastAsia="仿宋_GB2312" w:cs="仿宋_GB2312"/>
          <w:color w:val="auto"/>
          <w:kern w:val="0"/>
          <w:sz w:val="32"/>
          <w:szCs w:val="32"/>
          <w:highlight w:val="none"/>
          <w:lang w:eastAsia="zh-CN"/>
        </w:rPr>
        <w:t>和</w:t>
      </w:r>
      <w:r>
        <w:rPr>
          <w:rFonts w:hint="eastAsia" w:ascii="仿宋_GB2312" w:hAnsi="仿宋_GB2312" w:eastAsia="仿宋_GB2312" w:cs="仿宋_GB2312"/>
          <w:color w:val="auto"/>
          <w:kern w:val="0"/>
          <w:sz w:val="32"/>
          <w:szCs w:val="32"/>
          <w:highlight w:val="none"/>
        </w:rPr>
        <w:t>农业生产社会化服务项目</w:t>
      </w:r>
      <w:r>
        <w:rPr>
          <w:rFonts w:hint="eastAsia" w:ascii="仿宋_GB2312" w:hAnsi="宋体" w:eastAsia="仿宋_GB2312" w:cs="宋体"/>
          <w:color w:val="auto"/>
          <w:kern w:val="0"/>
          <w:sz w:val="32"/>
          <w:szCs w:val="32"/>
          <w:highlight w:val="none"/>
          <w:lang w:val="en-US" w:eastAsia="zh-CN"/>
        </w:rPr>
        <w:t>资金提前下达列入全年预算，2025年项目资金未提前下达也没列入全年预算</w:t>
      </w:r>
      <w:r>
        <w:rPr>
          <w:rFonts w:hint="eastAsia" w:ascii="仿宋_GB2312" w:hAnsi="仿宋_GB2312" w:eastAsia="仿宋_GB2312" w:cs="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3.社会保障和就业支出（类）行政事业单位养老支出（款）行政单位离退休（项）：2025年预算数为4.35万元，比上年预算减少0.85万元，减少16.35％，主要原因是：退休人员医疗2025年不做预算。</w:t>
      </w:r>
    </w:p>
    <w:p>
      <w:pPr>
        <w:widowControl w:val="0"/>
        <w:spacing w:line="560" w:lineRule="exact"/>
        <w:ind w:firstLine="640" w:firstLineChars="200"/>
        <w:jc w:val="both"/>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4.社会保障和就业支出（类）行政事业单位养老支出（款）机关事业单位基本养老保险缴费支出（项）：2025年预算数为10.83万元，比上年预算减少1.63万元，减少13.08％，主要原因是：</w:t>
      </w:r>
      <w:r>
        <w:rPr>
          <w:rFonts w:hint="eastAsia" w:ascii="仿宋_GB2312" w:hAnsi="仿宋_GB2312" w:eastAsia="仿宋_GB2312" w:cs="仿宋_GB2312"/>
          <w:sz w:val="32"/>
          <w:szCs w:val="32"/>
          <w:highlight w:val="none"/>
          <w:lang w:val="en-US" w:eastAsia="zh-CN"/>
        </w:rPr>
        <w:t>人员减少及缴费金额减少</w:t>
      </w:r>
      <w:r>
        <w:rPr>
          <w:rFonts w:hint="eastAsia" w:ascii="仿宋_GB2312" w:hAnsi="仿宋_GB2312" w:eastAsia="仿宋_GB2312" w:cs="仿宋_GB2312"/>
          <w:color w:val="auto"/>
          <w:sz w:val="32"/>
          <w:szCs w:val="32"/>
          <w:highlight w:val="none"/>
          <w:lang w:val="en-US" w:eastAsia="zh-CN"/>
        </w:rPr>
        <w:t>。</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5.卫生健康支出（类）行政事业单位医疗（款）行政单位医疗（项）：2025年预算数为5.42万元，比上年预算减少0.81万元，减少13.00％，</w:t>
      </w:r>
      <w:r>
        <w:rPr>
          <w:rFonts w:hint="eastAsia" w:ascii="仿宋_GB2312" w:hAnsi="仿宋_GB2312" w:eastAsia="仿宋_GB2312" w:cs="仿宋_GB2312"/>
          <w:color w:val="auto"/>
          <w:sz w:val="32"/>
          <w:szCs w:val="32"/>
          <w:highlight w:val="none"/>
          <w:lang w:val="en-US" w:eastAsia="zh-CN"/>
        </w:rPr>
        <w:t>主要原因是：</w:t>
      </w:r>
      <w:r>
        <w:rPr>
          <w:rFonts w:hint="eastAsia" w:ascii="仿宋_GB2312" w:hAnsi="仿宋_GB2312" w:eastAsia="仿宋_GB2312" w:cs="仿宋_GB2312"/>
          <w:sz w:val="32"/>
          <w:szCs w:val="32"/>
          <w:highlight w:val="none"/>
          <w:lang w:val="en-US" w:eastAsia="zh-CN"/>
        </w:rPr>
        <w:t>人员减少及缴费金额减少。</w:t>
      </w:r>
    </w:p>
    <w:p>
      <w:pPr>
        <w:widowControl w:val="0"/>
        <w:spacing w:line="560" w:lineRule="exact"/>
        <w:ind w:firstLine="640" w:firstLineChars="200"/>
        <w:jc w:val="both"/>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highlight w:val="none"/>
          <w:lang w:val="en-US" w:eastAsia="zh-CN"/>
        </w:rPr>
        <w:t>6.卫生健康支出（类）行政事业单位医疗（款）公务员医疗补助（项）：2025年预算数为2.71万元，比上年预算增加1万元，增加</w:t>
      </w:r>
      <w:r>
        <w:rPr>
          <w:rFonts w:hint="eastAsia" w:ascii="仿宋_GB2312" w:hAnsi="仿宋_GB2312" w:eastAsia="仿宋_GB2312" w:cs="仿宋_GB2312"/>
          <w:color w:val="auto"/>
          <w:sz w:val="32"/>
          <w:szCs w:val="32"/>
          <w:highlight w:val="none"/>
          <w:lang w:val="en-US" w:eastAsia="zh-CN"/>
        </w:rPr>
        <w:t>58.48</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主要原因是：年初调增医保基数。</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7.卫生健康支出（类）行政事业单位医疗（款）其他行政事业单位医疗支出（项）：2025年预算数为0.07万元，比上年预算增加0.02万元，增长40％，主要原因是：</w:t>
      </w:r>
      <w:r>
        <w:rPr>
          <w:rFonts w:hint="eastAsia" w:ascii="仿宋_GB2312" w:hAnsi="仿宋_GB2312" w:eastAsia="仿宋_GB2312" w:cs="仿宋_GB2312"/>
          <w:color w:val="auto"/>
          <w:sz w:val="32"/>
          <w:szCs w:val="32"/>
          <w:highlight w:val="none"/>
          <w:lang w:val="en-US" w:eastAsia="zh-CN"/>
        </w:rPr>
        <w:t>年初调增医保基数</w:t>
      </w:r>
      <w:r>
        <w:rPr>
          <w:rFonts w:hint="eastAsia" w:ascii="仿宋_GB2312" w:hAnsi="仿宋_GB2312" w:eastAsia="仿宋_GB2312" w:cs="仿宋_GB2312"/>
          <w:sz w:val="32"/>
          <w:szCs w:val="32"/>
          <w:highlight w:val="none"/>
          <w:lang w:val="en-US" w:eastAsia="zh-CN"/>
        </w:rPr>
        <w:t>。</w:t>
      </w:r>
    </w:p>
    <w:p>
      <w:pPr>
        <w:widowControl w:val="0"/>
        <w:spacing w:line="560" w:lineRule="exact"/>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住房保障支出（类）住房改革支出（款）住房公积金（项）：2025年预算数为9.04万元，比上年预算减少1.35万元，下降12.99%，</w:t>
      </w:r>
      <w:r>
        <w:rPr>
          <w:rFonts w:hint="eastAsia" w:ascii="仿宋_GB2312" w:hAnsi="仿宋_GB2312" w:eastAsia="仿宋_GB2312" w:cs="仿宋_GB2312"/>
          <w:sz w:val="32"/>
          <w:szCs w:val="32"/>
          <w:highlight w:val="none"/>
          <w:lang w:val="en-US" w:eastAsia="zh-CN"/>
        </w:rPr>
        <w:t>主要原因是：人员减少及缴费金额减少。</w:t>
      </w:r>
    </w:p>
    <w:p>
      <w:pPr>
        <w:keepNext w:val="0"/>
        <w:keepLines w:val="0"/>
        <w:pageBreakBefore w:val="0"/>
        <w:widowControl w:val="0"/>
        <w:numPr>
          <w:ilvl w:val="0"/>
          <w:numId w:val="3"/>
        </w:numPr>
        <w:kinsoku/>
        <w:wordWrap/>
        <w:overflowPunct/>
        <w:topLinePunct w:val="0"/>
        <w:autoSpaceDE/>
        <w:autoSpaceDN/>
        <w:bidi w:val="0"/>
        <w:adjustRightInd/>
        <w:snapToGrid/>
        <w:spacing w:line="600" w:lineRule="exact"/>
        <w:ind w:left="0" w:leftChars="0" w:firstLine="619"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呼图壁县农村合作经济发展指导中心2025年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16" w:firstLineChars="200"/>
        <w:jc w:val="both"/>
        <w:textAlignment w:val="auto"/>
        <w:rPr>
          <w:rFonts w:hint="eastAsia" w:ascii="仿宋_GB2312" w:hAnsi="宋体" w:eastAsia="仿宋_GB2312" w:cs="宋体"/>
          <w:color w:val="auto"/>
          <w:spacing w:val="-6"/>
          <w:kern w:val="0"/>
          <w:sz w:val="32"/>
          <w:szCs w:val="32"/>
          <w:highlight w:val="none"/>
        </w:rPr>
      </w:pPr>
      <w:r>
        <w:rPr>
          <w:rFonts w:hint="eastAsia" w:ascii="仿宋_GB2312" w:hAnsi="宋体" w:eastAsia="仿宋_GB2312" w:cs="宋体"/>
          <w:color w:val="auto"/>
          <w:spacing w:val="-6"/>
          <w:kern w:val="0"/>
          <w:sz w:val="32"/>
          <w:szCs w:val="32"/>
          <w:highlight w:val="none"/>
          <w:lang w:eastAsia="zh-CN"/>
        </w:rPr>
        <w:t>呼图壁县农村合作经济发展指导中心2025年</w:t>
      </w:r>
      <w:r>
        <w:rPr>
          <w:rFonts w:hint="eastAsia" w:ascii="仿宋_GB2312" w:hAnsi="宋体" w:eastAsia="仿宋_GB2312" w:cs="宋体"/>
          <w:color w:val="auto"/>
          <w:spacing w:val="-6"/>
          <w:kern w:val="0"/>
          <w:sz w:val="32"/>
          <w:szCs w:val="32"/>
          <w:highlight w:val="none"/>
        </w:rPr>
        <w:t>一般公共预算基本支出112.69万元，其中：</w:t>
      </w:r>
    </w:p>
    <w:p>
      <w:pPr>
        <w:pStyle w:val="2"/>
        <w:rPr>
          <w:rFonts w:hint="eastAsia"/>
        </w:rPr>
      </w:pP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人员经费108.38万元，主要包括：基本工资、津贴补贴、奖金、机关事业单位基本养老保险缴费、职工基本医疗保险缴费、公务员医疗补助缴费、其他社会保障缴费、住房公积金、退休费、奖励金、</w:t>
      </w:r>
      <w:r>
        <w:rPr>
          <w:rFonts w:hint="eastAsia" w:ascii="仿宋_GB2312" w:hAnsi="宋体" w:eastAsia="仿宋_GB2312" w:cs="宋体"/>
          <w:color w:val="auto"/>
          <w:kern w:val="0"/>
          <w:sz w:val="32"/>
          <w:szCs w:val="32"/>
          <w:highlight w:val="none"/>
          <w:lang w:val="en-US" w:eastAsia="zh-CN"/>
        </w:rPr>
        <w:t>生活</w:t>
      </w:r>
      <w:r>
        <w:rPr>
          <w:rFonts w:hint="eastAsia" w:ascii="仿宋_GB2312" w:hAnsi="宋体" w:eastAsia="仿宋_GB2312" w:cs="宋体"/>
          <w:color w:val="auto"/>
          <w:kern w:val="0"/>
          <w:sz w:val="32"/>
          <w:szCs w:val="32"/>
          <w:highlight w:val="none"/>
        </w:rPr>
        <w:t>补助。</w:t>
      </w:r>
    </w:p>
    <w:p>
      <w:pPr>
        <w:pStyle w:val="2"/>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公用经费4.31万元，主要包括：办公费、水费、电费、邮电费</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差旅费、公务接待费、工会经费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公务用车运行维护费。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呼图壁县农村合作经济发展指导中心2025年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黑体" w:eastAsia="仿宋_GB2312"/>
          <w:sz w:val="32"/>
          <w:szCs w:val="32"/>
          <w:lang w:val="en-US" w:eastAsia="zh-CN"/>
        </w:rPr>
        <w:t>1.</w:t>
      </w:r>
      <w:r>
        <w:rPr>
          <w:rFonts w:hint="eastAsia" w:ascii="仿宋_GB2312" w:hAnsi="黑体" w:eastAsia="仿宋_GB2312"/>
          <w:sz w:val="32"/>
          <w:szCs w:val="32"/>
        </w:rPr>
        <w:t>项目</w:t>
      </w:r>
      <w:r>
        <w:rPr>
          <w:rFonts w:ascii="仿宋_GB2312" w:hAnsi="黑体" w:eastAsia="仿宋_GB2312"/>
          <w:sz w:val="32"/>
          <w:szCs w:val="32"/>
        </w:rPr>
        <w:t>名称</w:t>
      </w:r>
      <w:r>
        <w:rPr>
          <w:rFonts w:hint="eastAsia" w:ascii="仿宋_GB2312" w:hAnsi="黑体" w:eastAsia="仿宋_GB2312"/>
          <w:sz w:val="32"/>
          <w:szCs w:val="32"/>
        </w:rPr>
        <w:t>：</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年农村土地承包纠纷仲裁工作经费（非定额）</w:t>
      </w:r>
    </w:p>
    <w:p>
      <w:pPr>
        <w:spacing w:line="560" w:lineRule="exact"/>
        <w:ind w:firstLine="640" w:firstLineChars="200"/>
        <w:rPr>
          <w:rFonts w:hint="eastAsia" w:ascii="仿宋_GB2312" w:hAnsi="宋体" w:eastAsia="仿宋_GB2312" w:cs="宋体"/>
          <w:color w:val="FF0000"/>
          <w:kern w:val="0"/>
          <w:sz w:val="32"/>
          <w:szCs w:val="32"/>
          <w:lang w:eastAsia="zh-CN"/>
        </w:rPr>
      </w:pPr>
      <w:r>
        <w:rPr>
          <w:rFonts w:ascii="仿宋_GB2312" w:hAnsi="黑体" w:eastAsia="仿宋_GB2312"/>
          <w:sz w:val="32"/>
          <w:szCs w:val="32"/>
        </w:rPr>
        <w:t>设立的政策依据</w:t>
      </w:r>
      <w:r>
        <w:rPr>
          <w:rFonts w:hint="eastAsia" w:ascii="仿宋_GB2312" w:hAnsi="黑体" w:eastAsia="仿宋_GB2312"/>
          <w:sz w:val="32"/>
          <w:szCs w:val="32"/>
        </w:rPr>
        <w:t>：</w:t>
      </w:r>
      <w:r>
        <w:rPr>
          <w:rFonts w:hint="eastAsia" w:ascii="仿宋_GB2312" w:hAnsi="宋体" w:eastAsia="仿宋_GB2312" w:cs="宋体"/>
          <w:color w:val="auto"/>
          <w:kern w:val="0"/>
          <w:sz w:val="32"/>
          <w:szCs w:val="32"/>
        </w:rPr>
        <w:t>呼财</w:t>
      </w:r>
      <w:r>
        <w:rPr>
          <w:rFonts w:hint="eastAsia" w:ascii="仿宋_GB2312" w:hAnsi="宋体" w:eastAsia="仿宋_GB2312" w:cs="宋体"/>
          <w:color w:val="auto"/>
          <w:kern w:val="0"/>
          <w:sz w:val="32"/>
          <w:szCs w:val="32"/>
          <w:lang w:eastAsia="zh-CN"/>
        </w:rPr>
        <w:t>字</w:t>
      </w:r>
      <w:r>
        <w:rPr>
          <w:rFonts w:hint="eastAsia" w:ascii="仿宋_GB2312" w:hAnsi="宋体" w:eastAsia="仿宋_GB2312" w:cs="宋体"/>
          <w:color w:val="auto"/>
          <w:kern w:val="0"/>
          <w:sz w:val="32"/>
          <w:szCs w:val="32"/>
        </w:rPr>
        <w:t>【202</w:t>
      </w:r>
      <w:r>
        <w:rPr>
          <w:rFonts w:hint="eastAsia" w:ascii="仿宋_GB2312" w:hAnsi="宋体" w:eastAsia="仿宋_GB2312" w:cs="宋体"/>
          <w:color w:val="auto"/>
          <w:kern w:val="0"/>
          <w:sz w:val="32"/>
          <w:szCs w:val="32"/>
          <w:lang w:val="en-US" w:eastAsia="zh-CN"/>
        </w:rPr>
        <w:t>4</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val="en-US" w:eastAsia="zh-CN"/>
        </w:rPr>
        <w:t>11</w:t>
      </w:r>
      <w:r>
        <w:rPr>
          <w:rFonts w:hint="eastAsia" w:ascii="仿宋_GB2312" w:hAnsi="宋体" w:eastAsia="仿宋_GB2312" w:cs="宋体"/>
          <w:color w:val="auto"/>
          <w:kern w:val="0"/>
          <w:sz w:val="32"/>
          <w:szCs w:val="32"/>
        </w:rPr>
        <w:t>号</w:t>
      </w:r>
      <w:r>
        <w:rPr>
          <w:rFonts w:hint="eastAsia" w:ascii="仿宋_GB2312" w:hAnsi="宋体" w:eastAsia="仿宋_GB2312" w:cs="宋体"/>
          <w:color w:val="auto"/>
          <w:kern w:val="0"/>
          <w:sz w:val="32"/>
          <w:szCs w:val="32"/>
          <w:lang w:val="en-US" w:eastAsia="zh-CN"/>
        </w:rPr>
        <w:t>-《</w:t>
      </w:r>
      <w:r>
        <w:rPr>
          <w:rFonts w:hint="eastAsia" w:ascii="仿宋_GB2312" w:hAnsi="宋体" w:eastAsia="仿宋_GB2312" w:cs="宋体"/>
          <w:color w:val="auto"/>
          <w:kern w:val="0"/>
          <w:sz w:val="32"/>
          <w:szCs w:val="32"/>
          <w:lang w:eastAsia="zh-CN"/>
        </w:rPr>
        <w:t>呼图壁县农业农村局关于申请拨付2024年农村土地仲裁委员会业务工作经费的请示</w:t>
      </w:r>
      <w:r>
        <w:rPr>
          <w:rFonts w:hint="eastAsia" w:ascii="仿宋_GB2312" w:hAnsi="宋体" w:eastAsia="仿宋_GB2312" w:cs="宋体"/>
          <w:color w:val="auto"/>
          <w:kern w:val="0"/>
          <w:sz w:val="32"/>
          <w:szCs w:val="32"/>
          <w:lang w:val="en-US" w:eastAsia="zh-CN"/>
        </w:rPr>
        <w:t>》</w:t>
      </w:r>
    </w:p>
    <w:p>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预算安排规模</w:t>
      </w:r>
      <w:r>
        <w:rPr>
          <w:rFonts w:hint="eastAsia" w:ascii="仿宋_GB2312" w:hAnsi="黑体" w:eastAsia="仿宋_GB2312"/>
          <w:sz w:val="32"/>
          <w:szCs w:val="32"/>
        </w:rPr>
        <w:t>：</w:t>
      </w:r>
      <w:r>
        <w:rPr>
          <w:rFonts w:hint="eastAsia" w:ascii="仿宋_GB2312" w:hAnsi="宋体" w:eastAsia="仿宋_GB2312" w:cs="宋体"/>
          <w:kern w:val="0"/>
          <w:sz w:val="32"/>
          <w:szCs w:val="32"/>
          <w:lang w:val="en-US" w:eastAsia="zh-CN"/>
        </w:rPr>
        <w:t>5万元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项目承担单位</w:t>
      </w:r>
      <w:r>
        <w:rPr>
          <w:rFonts w:hint="eastAsia" w:ascii="仿宋_GB2312" w:hAnsi="黑体" w:eastAsia="仿宋_GB2312"/>
          <w:sz w:val="32"/>
          <w:szCs w:val="32"/>
        </w:rPr>
        <w:t>：</w:t>
      </w:r>
      <w:r>
        <w:rPr>
          <w:rFonts w:hint="eastAsia" w:ascii="仿宋" w:hAnsi="仿宋" w:eastAsia="仿宋" w:cs="仿宋"/>
          <w:color w:val="auto"/>
          <w:kern w:val="0"/>
          <w:sz w:val="32"/>
          <w:szCs w:val="32"/>
          <w:highlight w:val="none"/>
        </w:rPr>
        <w:t>呼图壁县农村合作经济发展指导中心</w:t>
      </w:r>
    </w:p>
    <w:p>
      <w:pPr>
        <w:spacing w:line="560" w:lineRule="exact"/>
        <w:ind w:firstLine="640" w:firstLineChars="200"/>
        <w:rPr>
          <w:rFonts w:hint="eastAsia" w:ascii="仿宋_GB2312" w:hAnsi="宋体" w:eastAsia="仿宋_GB2312" w:cs="宋体"/>
          <w:kern w:val="0"/>
          <w:sz w:val="32"/>
          <w:szCs w:val="32"/>
          <w:lang w:val="en-US" w:eastAsia="zh-CN"/>
        </w:rPr>
      </w:pPr>
      <w:r>
        <w:rPr>
          <w:rFonts w:ascii="仿宋_GB2312" w:hAnsi="黑体" w:eastAsia="仿宋_GB2312"/>
          <w:sz w:val="32"/>
          <w:szCs w:val="32"/>
        </w:rPr>
        <w:t>资金分配情况</w:t>
      </w:r>
      <w:r>
        <w:rPr>
          <w:rFonts w:hint="eastAsia" w:ascii="仿宋_GB2312" w:hAnsi="黑体" w:eastAsia="仿宋_GB2312"/>
          <w:sz w:val="32"/>
          <w:szCs w:val="32"/>
        </w:rPr>
        <w:t>：</w:t>
      </w:r>
      <w:r>
        <w:rPr>
          <w:rFonts w:hint="eastAsia" w:ascii="仿宋_GB2312" w:hAnsi="黑体" w:eastAsia="仿宋_GB2312"/>
          <w:sz w:val="32"/>
          <w:szCs w:val="32"/>
          <w:lang w:val="en-US" w:eastAsia="zh-CN"/>
        </w:rPr>
        <w:t>5万元全部用于</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4</w:t>
      </w:r>
      <w:r>
        <w:rPr>
          <w:rFonts w:hint="eastAsia" w:ascii="仿宋_GB2312" w:hAnsi="宋体" w:eastAsia="仿宋_GB2312" w:cs="宋体"/>
          <w:kern w:val="0"/>
          <w:sz w:val="32"/>
          <w:szCs w:val="32"/>
        </w:rPr>
        <w:t>年农村土地承包纠纷仲裁工作</w:t>
      </w:r>
      <w:r>
        <w:rPr>
          <w:rFonts w:hint="eastAsia" w:ascii="仿宋_GB2312" w:hAnsi="宋体" w:eastAsia="仿宋_GB2312" w:cs="宋体"/>
          <w:kern w:val="0"/>
          <w:sz w:val="32"/>
          <w:szCs w:val="32"/>
          <w:lang w:val="en-US" w:eastAsia="zh-CN"/>
        </w:rPr>
        <w:t>经费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黑体" w:eastAsia="仿宋_GB2312"/>
          <w:color w:val="auto"/>
          <w:sz w:val="32"/>
          <w:szCs w:val="32"/>
          <w:highlight w:val="none"/>
        </w:rPr>
      </w:pPr>
      <w:r>
        <w:rPr>
          <w:rFonts w:ascii="仿宋_GB2312" w:hAnsi="黑体" w:eastAsia="仿宋_GB2312"/>
          <w:sz w:val="32"/>
          <w:szCs w:val="32"/>
        </w:rPr>
        <w:t>资金执行时间</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2025年1月1日至2025年12月31日</w:t>
      </w:r>
    </w:p>
    <w:p>
      <w:pPr>
        <w:pStyle w:val="2"/>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呼图壁县农村合作经济发展指导中心2025年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呼图壁县农村合作经济发展指导中心2025年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呼图壁县农村合作经济发展指导中心2025年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呼图壁县农村合作经济发展指导中心2025年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numPr>
          <w:ilvl w:val="0"/>
          <w:numId w:val="4"/>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呼图壁县农村合作经济发展指导中心2025年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呼图壁县农村合作经济发展指导中心2025年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1.6</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减少</w:t>
      </w:r>
      <w:r>
        <w:rPr>
          <w:rFonts w:hint="eastAsia" w:ascii="仿宋_GB2312" w:hAnsi="宋体" w:eastAsia="仿宋_GB2312" w:cs="宋体"/>
          <w:color w:val="auto"/>
          <w:kern w:val="0"/>
          <w:sz w:val="32"/>
          <w:szCs w:val="32"/>
          <w:highlight w:val="none"/>
          <w:lang w:val="en-US" w:eastAsia="zh-CN"/>
        </w:rPr>
        <w:t>0.28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13.46%，</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我部门</w:t>
      </w:r>
      <w:r>
        <w:rPr>
          <w:rFonts w:hint="eastAsia" w:ascii="仿宋_GB2312" w:hAnsi="宋体" w:eastAsia="仿宋_GB2312" w:cs="宋体"/>
          <w:kern w:val="0"/>
          <w:sz w:val="32"/>
          <w:szCs w:val="32"/>
          <w:highlight w:val="none"/>
          <w:lang w:val="en-US" w:eastAsia="zh-CN"/>
        </w:rPr>
        <w:t>2024年、2025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均</w:t>
      </w:r>
      <w:r>
        <w:rPr>
          <w:rFonts w:hint="eastAsia" w:ascii="仿宋_GB2312" w:hAnsi="宋体" w:eastAsia="仿宋_GB2312" w:cs="宋体"/>
          <w:kern w:val="0"/>
          <w:sz w:val="32"/>
          <w:szCs w:val="32"/>
          <w:highlight w:val="none"/>
        </w:rPr>
        <w:t>未安排</w:t>
      </w:r>
      <w:r>
        <w:rPr>
          <w:rFonts w:hint="eastAsia" w:ascii="仿宋_GB2312" w:hAnsi="宋体" w:eastAsia="仿宋_GB2312" w:cs="宋体"/>
          <w:kern w:val="0"/>
          <w:sz w:val="32"/>
          <w:szCs w:val="32"/>
          <w:highlight w:val="none"/>
          <w:lang w:val="en-US" w:eastAsia="zh-CN"/>
        </w:rPr>
        <w:t>此项</w:t>
      </w:r>
      <w:r>
        <w:rPr>
          <w:rFonts w:hint="eastAsia" w:ascii="仿宋_GB2312" w:hAnsi="宋体" w:eastAsia="仿宋_GB2312" w:cs="宋体"/>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我部门</w:t>
      </w:r>
      <w:r>
        <w:rPr>
          <w:rFonts w:hint="eastAsia" w:ascii="仿宋_GB2312" w:hAnsi="宋体" w:eastAsia="仿宋_GB2312" w:cs="宋体"/>
          <w:kern w:val="0"/>
          <w:sz w:val="32"/>
          <w:szCs w:val="32"/>
          <w:highlight w:val="none"/>
          <w:lang w:val="en-US" w:eastAsia="zh-CN"/>
        </w:rPr>
        <w:t>2024年、2025</w:t>
      </w:r>
      <w:r>
        <w:rPr>
          <w:rFonts w:hint="eastAsia"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均</w:t>
      </w:r>
      <w:r>
        <w:rPr>
          <w:rFonts w:hint="eastAsia" w:ascii="仿宋_GB2312" w:hAnsi="宋体" w:eastAsia="仿宋_GB2312" w:cs="宋体"/>
          <w:kern w:val="0"/>
          <w:sz w:val="32"/>
          <w:szCs w:val="32"/>
          <w:highlight w:val="none"/>
        </w:rPr>
        <w:t>未安排</w:t>
      </w:r>
      <w:r>
        <w:rPr>
          <w:rFonts w:hint="eastAsia" w:ascii="仿宋_GB2312" w:hAnsi="宋体" w:eastAsia="仿宋_GB2312" w:cs="宋体"/>
          <w:kern w:val="0"/>
          <w:sz w:val="32"/>
          <w:szCs w:val="32"/>
          <w:highlight w:val="none"/>
          <w:lang w:val="en-US" w:eastAsia="zh-CN"/>
        </w:rPr>
        <w:t>此项</w:t>
      </w:r>
      <w:r>
        <w:rPr>
          <w:rFonts w:hint="eastAsia" w:ascii="仿宋_GB2312" w:hAnsi="宋体" w:eastAsia="仿宋_GB2312" w:cs="宋体"/>
          <w:kern w:val="0"/>
          <w:sz w:val="32"/>
          <w:szCs w:val="32"/>
          <w:highlight w:val="none"/>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我部门只有一辆公务用车，2024年公务用车运行安排和2025年未发生变化；</w:t>
      </w:r>
      <w:r>
        <w:rPr>
          <w:rFonts w:hint="eastAsia" w:ascii="仿宋_GB2312" w:hAnsi="宋体" w:eastAsia="仿宋_GB2312" w:cs="宋体"/>
          <w:color w:val="auto"/>
          <w:kern w:val="0"/>
          <w:sz w:val="32"/>
          <w:szCs w:val="32"/>
          <w:highlight w:val="none"/>
        </w:rPr>
        <w:t>公务接待费减少</w:t>
      </w:r>
      <w:r>
        <w:rPr>
          <w:rFonts w:hint="eastAsia" w:ascii="仿宋_GB2312" w:hAnsi="宋体" w:eastAsia="仿宋_GB2312" w:cs="宋体"/>
          <w:color w:val="auto"/>
          <w:kern w:val="0"/>
          <w:sz w:val="32"/>
          <w:szCs w:val="32"/>
          <w:highlight w:val="none"/>
          <w:lang w:val="en-US" w:eastAsia="zh-CN"/>
        </w:rPr>
        <w:t>0.28</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58.33%，</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我部门</w:t>
      </w:r>
      <w:r>
        <w:rPr>
          <w:rFonts w:hint="eastAsia" w:eastAsia="仿宋_GB2312" w:cs="Times New Roman"/>
          <w:b w:val="0"/>
          <w:bCs w:val="0"/>
          <w:color w:val="auto"/>
          <w:kern w:val="0"/>
          <w:sz w:val="32"/>
          <w:szCs w:val="32"/>
          <w:highlight w:val="none"/>
          <w:lang w:val="en-US" w:eastAsia="zh-CN" w:bidi="ar"/>
        </w:rPr>
        <w:t>严格落实中央、自治区相关规定，牢固树立过“紧日子</w:t>
      </w:r>
      <w:r>
        <w:rPr>
          <w:rFonts w:hint="default" w:eastAsia="仿宋_GB2312" w:cs="Times New Roman"/>
          <w:b w:val="0"/>
          <w:bCs w:val="0"/>
          <w:color w:val="auto"/>
          <w:kern w:val="0"/>
          <w:sz w:val="32"/>
          <w:szCs w:val="32"/>
          <w:highlight w:val="none"/>
          <w:lang w:val="en-US" w:eastAsia="zh-CN" w:bidi="ar"/>
        </w:rPr>
        <w:t>”</w:t>
      </w:r>
      <w:r>
        <w:rPr>
          <w:rFonts w:hint="eastAsia" w:eastAsia="仿宋_GB2312" w:cs="Times New Roman"/>
          <w:b w:val="0"/>
          <w:bCs w:val="0"/>
          <w:color w:val="auto"/>
          <w:kern w:val="0"/>
          <w:sz w:val="32"/>
          <w:szCs w:val="32"/>
          <w:highlight w:val="none"/>
          <w:lang w:val="en-US" w:eastAsia="zh-CN" w:bidi="ar"/>
        </w:rPr>
        <w:t>思想，节约财政资金，“三公”经费较上年只减不增</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呼图壁县农村合作经济发展指导中心2025年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呼图壁县农村合作经济发展指导中心2025年没有</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eastAsia="zh-CN"/>
        </w:rPr>
        <w:t>上年</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情况</w:t>
      </w:r>
      <w:r>
        <w:rPr>
          <w:rFonts w:hint="eastAsia" w:ascii="仿宋_GB2312" w:hAnsi="仿宋_GB2312" w:eastAsia="仿宋_GB2312" w:cs="仿宋_GB2312"/>
          <w:color w:val="auto"/>
          <w:kern w:val="0"/>
          <w:sz w:val="32"/>
          <w:szCs w:val="32"/>
          <w:highlight w:val="none"/>
          <w:lang w:eastAsia="zh-CN"/>
        </w:rPr>
        <w:t>明细</w:t>
      </w:r>
      <w:r>
        <w:rPr>
          <w:rFonts w:hint="eastAsia" w:ascii="仿宋_GB2312" w:hAnsi="仿宋_GB2312" w:eastAsia="仿宋_GB2312" w:cs="仿宋_GB2312"/>
          <w:color w:val="auto"/>
          <w:kern w:val="0"/>
          <w:sz w:val="32"/>
          <w:szCs w:val="32"/>
          <w:highlight w:val="none"/>
        </w:rPr>
        <w:t>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呼图壁县农村合作经济发展指导中心</w:t>
      </w:r>
      <w:r>
        <w:rPr>
          <w:rFonts w:hint="eastAsia" w:ascii="仿宋_GB2312" w:hAnsi="仿宋_GB2312" w:eastAsia="仿宋_GB2312" w:cs="仿宋_GB2312"/>
          <w:color w:val="auto"/>
          <w:kern w:val="0"/>
          <w:sz w:val="32"/>
          <w:szCs w:val="32"/>
          <w:highlight w:val="none"/>
          <w:lang w:eastAsia="zh-CN"/>
        </w:rPr>
        <w:t>2025年的</w:t>
      </w:r>
      <w:r>
        <w:rPr>
          <w:rFonts w:hint="eastAsia" w:ascii="仿宋_GB2312" w:hAnsi="仿宋_GB2312" w:eastAsia="仿宋_GB2312" w:cs="仿宋_GB2312"/>
          <w:color w:val="auto"/>
          <w:kern w:val="0"/>
          <w:sz w:val="32"/>
          <w:szCs w:val="32"/>
          <w:highlight w:val="none"/>
        </w:rPr>
        <w:t>机关运行经费财政拨款预算</w:t>
      </w:r>
      <w:r>
        <w:rPr>
          <w:rFonts w:hint="eastAsia" w:ascii="仿宋_GB2312" w:hAnsi="仿宋_GB2312" w:eastAsia="仿宋_GB2312" w:cs="仿宋_GB2312"/>
          <w:color w:val="auto"/>
          <w:kern w:val="0"/>
          <w:sz w:val="32"/>
          <w:szCs w:val="32"/>
          <w:highlight w:val="none"/>
          <w:lang w:val="en-US" w:eastAsia="zh-CN"/>
        </w:rPr>
        <w:t>4.31</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减少0.4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下降8.49</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2025年人员减少、工会经费减少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 w:hAnsi="仿宋" w:eastAsia="仿宋" w:cs="仿宋"/>
          <w:color w:val="auto"/>
          <w:kern w:val="0"/>
          <w:sz w:val="32"/>
          <w:szCs w:val="32"/>
          <w:highlight w:val="none"/>
        </w:rPr>
        <w:t>呼图壁县农村合作经济发展指导中心</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3.48</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1.88</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1.6</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 w:hAnsi="仿宋" w:eastAsia="仿宋" w:cs="仿宋"/>
          <w:color w:val="auto"/>
          <w:kern w:val="0"/>
          <w:sz w:val="32"/>
          <w:szCs w:val="32"/>
          <w:highlight w:val="none"/>
        </w:rPr>
        <w:t>呼图壁县农村合作经济发展指导中心</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0.96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0.96</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 w:hAnsi="仿宋" w:eastAsia="仿宋" w:cs="仿宋"/>
          <w:color w:val="auto"/>
          <w:kern w:val="0"/>
          <w:sz w:val="32"/>
          <w:szCs w:val="32"/>
          <w:highlight w:val="none"/>
        </w:rPr>
        <w:t>呼图壁县农村合作经济发展指导中心</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8.09</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47.82</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2025年部门</w:t>
      </w:r>
      <w:r>
        <w:rPr>
          <w:rFonts w:hint="eastAsia" w:ascii="仿宋_GB2312" w:hAnsi="仿宋_GB2312" w:eastAsia="仿宋_GB2312" w:cs="仿宋_GB2312"/>
          <w:color w:val="auto"/>
          <w:kern w:val="0"/>
          <w:sz w:val="32"/>
          <w:szCs w:val="32"/>
          <w:highlight w:val="none"/>
        </w:rPr>
        <w:t>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整体预算绩效目标1个，涉及预算金额187.00</w:t>
      </w:r>
      <w:bookmarkStart w:id="1" w:name="_GoBack"/>
      <w:bookmarkEnd w:id="1"/>
      <w:r>
        <w:rPr>
          <w:rFonts w:hint="eastAsia" w:ascii="仿宋_GB2312" w:hAnsi="仿宋_GB2312" w:eastAsia="仿宋_GB2312" w:cs="仿宋_GB2312"/>
          <w:color w:val="auto"/>
          <w:kern w:val="0"/>
          <w:sz w:val="32"/>
          <w:szCs w:val="32"/>
          <w:highlight w:val="none"/>
          <w:lang w:val="en-US" w:eastAsia="zh-CN"/>
        </w:rPr>
        <w:t>万元；当年预算安排项目共1个，其中: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涉及预算金额5万元；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 xml:space="preserve"> </w:t>
      </w:r>
      <w:bookmarkEnd w:id="0"/>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vAlign w:val="center"/>
          </w:tcPr>
          <w:p>
            <w:pPr>
              <w:keepNext w:val="0"/>
              <w:keepLines w:val="0"/>
              <w:widowControl/>
              <w:suppressLineNumbers w:val="0"/>
              <w:jc w:val="both"/>
              <w:textAlignment w:val="center"/>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u w:val="none"/>
                <w:lang w:eastAsia="zh-CN"/>
              </w:rPr>
              <w:t>呼图壁县农村合作经济发展指导中心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eastAsia="zh-CN"/>
              </w:rPr>
              <w:t>郑艳莉</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both"/>
              <w:rPr>
                <w:rFonts w:hint="eastAsia" w:ascii="宋体" w:hAnsi="宋体" w:eastAsia="宋体" w:cs="宋体"/>
                <w:i w:val="0"/>
                <w:iCs w:val="0"/>
                <w:color w:val="000000"/>
                <w:kern w:val="2"/>
                <w:sz w:val="20"/>
                <w:szCs w:val="20"/>
                <w:u w:val="none"/>
                <w:lang w:val="en-US" w:eastAsia="zh-CN" w:bidi="ar-SA"/>
              </w:rPr>
            </w:pPr>
            <w:r>
              <w:rPr>
                <w:rFonts w:hint="eastAsia" w:ascii="宋体" w:hAnsi="宋体" w:cs="宋体"/>
                <w:i w:val="0"/>
                <w:iCs w:val="0"/>
                <w:color w:val="000000"/>
                <w:sz w:val="20"/>
                <w:szCs w:val="20"/>
                <w:u w:val="none"/>
                <w:lang w:val="en-US" w:eastAsia="zh-CN"/>
              </w:rPr>
              <w:t>0994-4502217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5" w:hRule="atLeast"/>
        </w:trPr>
        <w:tc>
          <w:tcPr>
            <w:tcW w:w="2489" w:type="dxa"/>
            <w:gridSpan w:val="2"/>
            <w:tcBorders>
              <w:top w:val="single" w:color="000000" w:sz="4" w:space="0"/>
              <w:left w:val="single" w:color="000000" w:sz="4" w:space="0"/>
              <w:bottom w:val="single" w:color="000000" w:sz="4" w:space="0"/>
              <w:right w:val="single" w:color="000000" w:sz="4" w:space="0"/>
            </w:tcBorders>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u w:val="none"/>
              </w:rPr>
              <w:t>1、做好全县农村统计工作以及国家在农村实施的惠农政策进行宣传并提供保障；2、提升农业经营主体自身管理能力和服务带动能力；3、强化综合管理，提升运营效率；4、全面实施预算绩效管理。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3"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1"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117.69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69.31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122" w:type="dxa"/>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auto" w:sz="4" w:space="0"/>
              <w:left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vMerge w:val="restart"/>
            <w:tcBorders>
              <w:top w:val="single" w:color="auto" w:sz="4" w:space="0"/>
              <w:left w:val="single" w:color="000000"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sz w:val="20"/>
                <w:szCs w:val="20"/>
                <w:highlight w:val="none"/>
                <w:u w:val="none"/>
                <w:lang w:eastAsia="zh-CN"/>
              </w:rPr>
              <w:t>数量指标</w:t>
            </w:r>
          </w:p>
        </w:tc>
        <w:tc>
          <w:tcPr>
            <w:tcW w:w="165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社会化服务项目实施面积</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&gt;=30000亩</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呼图壁县农经中心2024年工作总结及2025年工作计划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扶持新型经营主体项目资金示范社</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&gt;=3家</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呼图壁县农经中心2024年工作总结及2025年工作计划划</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安全生产检查次数</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&gt;=12次</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呼图壁县农经中心2024年工作总结及2025年工作计划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确定新型经营主体项目资金家庭农场</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&gt;=5家</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呼图壁县农经中心2024年工作总结及2025年工作计划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auto" w:sz="4" w:space="0"/>
            </w:tcBorders>
            <w:vAlign w:val="center"/>
          </w:tcPr>
          <w:p>
            <w:pPr>
              <w:keepNext w:val="0"/>
              <w:keepLines w:val="0"/>
              <w:widowControl/>
              <w:suppressLineNumbers w:val="0"/>
              <w:jc w:val="center"/>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质量指标</w:t>
            </w:r>
          </w:p>
        </w:tc>
        <w:tc>
          <w:tcPr>
            <w:tcW w:w="165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安全生产检查的合格率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呼图壁县农经中心2024年工作总结及2025年工作计划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auto" w:sz="4" w:space="0"/>
              <w:bottom w:val="single" w:color="auto"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时效指标</w:t>
            </w:r>
          </w:p>
        </w:tc>
        <w:tc>
          <w:tcPr>
            <w:tcW w:w="1657" w:type="dxa"/>
            <w:tcBorders>
              <w:top w:val="single" w:color="000000" w:sz="4" w:space="0"/>
              <w:left w:val="single" w:color="auto"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“三资”合同合法性审查的及时率</w:t>
            </w:r>
          </w:p>
        </w:tc>
        <w:tc>
          <w:tcPr>
            <w:tcW w:w="127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&gt;=90%</w:t>
            </w:r>
          </w:p>
        </w:tc>
        <w:tc>
          <w:tcPr>
            <w:tcW w:w="21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5"/>
                <w:szCs w:val="15"/>
                <w:highlight w:val="none"/>
                <w:u w:val="none"/>
              </w:rPr>
              <w:t>呼图壁县农经中心2024年工作总结及2025年工作计划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cs="宋体"/>
                <w:i w:val="0"/>
                <w:iCs w:val="0"/>
                <w:color w:val="000000"/>
                <w:sz w:val="21"/>
                <w:szCs w:val="21"/>
                <w:highlight w:val="none"/>
                <w:u w:val="none"/>
                <w:lang w:val="en-US" w:eastAsia="zh-CN"/>
              </w:rPr>
            </w:pPr>
            <w:r>
              <w:rPr>
                <w:rFonts w:hint="eastAsia" w:ascii="宋体" w:hAnsi="宋体" w:cs="宋体"/>
                <w:i w:val="0"/>
                <w:iCs w:val="0"/>
                <w:color w:val="000000"/>
                <w:sz w:val="21"/>
                <w:szCs w:val="21"/>
                <w:highlight w:val="none"/>
                <w:u w:val="none"/>
                <w:lang w:val="en-US" w:eastAsia="zh-CN"/>
              </w:rPr>
              <w:t>20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b/>
          <w:kern w:val="0"/>
          <w:sz w:val="32"/>
          <w:szCs w:val="32"/>
          <w:highlight w:val="none"/>
        </w:rPr>
      </w:pPr>
    </w:p>
    <w:p>
      <w:pPr>
        <w:pStyle w:val="2"/>
        <w:rPr>
          <w:rFonts w:hint="eastAsia" w:ascii="仿宋_GB2312" w:hAnsi="仿宋_GB2312" w:eastAsia="仿宋_GB2312" w:cs="仿宋_GB2312"/>
          <w:b/>
          <w:kern w:val="0"/>
          <w:sz w:val="32"/>
          <w:szCs w:val="32"/>
          <w:highlight w:val="none"/>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tbl>
      <w:tblPr>
        <w:tblStyle w:val="9"/>
        <w:tblpPr w:leftFromText="180" w:rightFromText="180" w:vertAnchor="text" w:horzAnchor="page" w:tblpX="1103" w:tblpY="51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1081"/>
        <w:gridCol w:w="917"/>
        <w:gridCol w:w="71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9260" w:type="dxa"/>
            <w:gridSpan w:val="9"/>
            <w:tcBorders>
              <w:top w:val="nil"/>
              <w:left w:val="nil"/>
              <w:bottom w:val="nil"/>
              <w:right w:val="nil"/>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pPr>
              <w:tabs>
                <w:tab w:val="left" w:pos="2110"/>
              </w:tabs>
              <w:jc w:val="left"/>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ab/>
            </w:r>
            <w:r>
              <w:rPr>
                <w:rFonts w:hint="eastAsia" w:ascii="宋体" w:hAnsi="宋体" w:cs="宋体"/>
                <w:i w:val="0"/>
                <w:iCs w:val="0"/>
                <w:color w:val="000000"/>
                <w:sz w:val="20"/>
                <w:szCs w:val="20"/>
                <w:u w:val="none"/>
                <w:lang w:eastAsia="zh-CN"/>
              </w:rPr>
              <w:t>呼图壁县农村合作经济发展指导中心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2"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pPr>
              <w:spacing w:line="560" w:lineRule="exact"/>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color w:val="000000"/>
                <w:sz w:val="18"/>
                <w:szCs w:val="18"/>
                <w:lang w:val="en-US" w:eastAsia="zh-CN"/>
              </w:rPr>
              <w:t>2025年农村土地承包纠纷仲裁工作经费</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color w:val="000000"/>
                <w:sz w:val="18"/>
                <w:szCs w:val="18"/>
                <w:lang w:val="en-US" w:eastAsia="zh-CN"/>
              </w:rPr>
              <w:t>郑艳莉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1455" w:type="dxa"/>
            <w:tcBorders>
              <w:top w:val="single" w:color="000000" w:sz="4" w:space="0"/>
              <w:left w:val="nil"/>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5</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pPr>
              <w:jc w:val="both"/>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6"/>
                <w:szCs w:val="16"/>
                <w:highlight w:val="none"/>
                <w:u w:val="none"/>
              </w:rPr>
              <w:t>1、农业主管部门要切实履行好指导、规范农村地承包经营纠纷调解仲裁组织建设和人员配备等职责，发挥好农村土地纠纷预防协商、调解、仲裁和诉讼规范发展的职能定期研判农村土地承包经营纠纷化解情况，及时解决工作中的困难和问题。2、提升农村经济环境平稳增长和农民群众满意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5"/>
                <w:szCs w:val="15"/>
                <w:highlight w:val="none"/>
                <w:u w:val="none"/>
              </w:rPr>
              <w:t>土地经营权确权登记颁证系统运行印制宣传资料</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1.5</w:t>
            </w:r>
            <w:r>
              <w:rPr>
                <w:rFonts w:hint="eastAsia" w:ascii="宋体" w:hAnsi="宋体" w:eastAsia="宋体" w:cs="宋体"/>
                <w:i w:val="0"/>
                <w:iCs w:val="0"/>
                <w:color w:val="000000"/>
                <w:sz w:val="18"/>
                <w:szCs w:val="18"/>
                <w:highlight w:val="none"/>
                <w:u w:val="none"/>
              </w:rPr>
              <w:t>万元</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0.3</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w w:val="66"/>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5"/>
                <w:szCs w:val="15"/>
                <w:highlight w:val="none"/>
                <w:u w:val="none"/>
              </w:rPr>
            </w:pPr>
            <w:r>
              <w:rPr>
                <w:rFonts w:hint="eastAsia" w:ascii="宋体" w:hAnsi="宋体" w:eastAsia="宋体" w:cs="宋体"/>
                <w:i w:val="0"/>
                <w:iCs w:val="0"/>
                <w:color w:val="000000"/>
                <w:sz w:val="16"/>
                <w:szCs w:val="16"/>
                <w:highlight w:val="none"/>
                <w:u w:val="none"/>
              </w:rPr>
              <w:t>仲裁矛盾调解工作</w:t>
            </w:r>
            <w:r>
              <w:rPr>
                <w:rFonts w:hint="eastAsia" w:ascii="宋体" w:hAnsi="宋体" w:cs="宋体"/>
                <w:i w:val="0"/>
                <w:iCs w:val="0"/>
                <w:color w:val="000000"/>
                <w:sz w:val="16"/>
                <w:szCs w:val="16"/>
                <w:highlight w:val="none"/>
                <w:u w:val="none"/>
                <w:lang w:eastAsia="zh-CN"/>
              </w:rPr>
              <w:t>经费</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1.5</w:t>
            </w:r>
            <w:r>
              <w:rPr>
                <w:rFonts w:hint="eastAsia" w:ascii="宋体" w:hAnsi="宋体" w:eastAsia="宋体" w:cs="宋体"/>
                <w:i w:val="0"/>
                <w:iCs w:val="0"/>
                <w:color w:val="000000"/>
                <w:sz w:val="18"/>
                <w:szCs w:val="18"/>
                <w:highlight w:val="none"/>
                <w:u w:val="none"/>
              </w:rPr>
              <w:t>万元</w:t>
            </w:r>
          </w:p>
        </w:tc>
        <w:tc>
          <w:tcPr>
            <w:tcW w:w="145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w w:val="66"/>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vMerge w:val="continue"/>
            <w:tcBorders>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6"/>
                <w:szCs w:val="16"/>
                <w:highlight w:val="none"/>
                <w:u w:val="none"/>
                <w:lang w:eastAsia="zh-CN"/>
              </w:rPr>
            </w:pPr>
            <w:r>
              <w:rPr>
                <w:rFonts w:hint="eastAsia" w:ascii="宋体" w:hAnsi="宋体" w:eastAsia="宋体" w:cs="宋体"/>
                <w:i w:val="0"/>
                <w:iCs w:val="0"/>
                <w:color w:val="000000"/>
                <w:sz w:val="16"/>
                <w:szCs w:val="16"/>
                <w:highlight w:val="none"/>
                <w:u w:val="none"/>
                <w:lang w:eastAsia="zh-CN"/>
              </w:rPr>
              <w:t>仲裁调解员培训</w:t>
            </w:r>
            <w:r>
              <w:rPr>
                <w:rFonts w:hint="eastAsia" w:ascii="宋体" w:hAnsi="宋体" w:cs="宋体"/>
                <w:i w:val="0"/>
                <w:iCs w:val="0"/>
                <w:color w:val="000000"/>
                <w:sz w:val="16"/>
                <w:szCs w:val="16"/>
                <w:highlight w:val="none"/>
                <w:u w:val="none"/>
                <w:lang w:eastAsia="zh-CN"/>
              </w:rPr>
              <w:t>次数</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w:t>
            </w:r>
            <w:r>
              <w:rPr>
                <w:rFonts w:hint="eastAsia" w:ascii="宋体" w:hAnsi="宋体" w:cs="宋体"/>
                <w:i w:val="0"/>
                <w:iCs w:val="0"/>
                <w:color w:val="000000"/>
                <w:sz w:val="18"/>
                <w:szCs w:val="18"/>
                <w:highlight w:val="none"/>
                <w:u w:val="none"/>
                <w:lang w:val="en-US" w:eastAsia="zh-CN"/>
              </w:rPr>
              <w:t>3次</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4</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w w:val="66"/>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颁发土地经营权证完成率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&gt;=100%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w w:val="66"/>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6"/>
                <w:szCs w:val="16"/>
                <w:highlight w:val="none"/>
                <w:u w:val="none"/>
              </w:rPr>
            </w:pPr>
            <w:r>
              <w:rPr>
                <w:rFonts w:hint="eastAsia" w:ascii="宋体" w:hAnsi="宋体" w:eastAsia="宋体" w:cs="宋体"/>
                <w:i w:val="0"/>
                <w:iCs w:val="0"/>
                <w:color w:val="000000"/>
                <w:sz w:val="16"/>
                <w:szCs w:val="16"/>
                <w:highlight w:val="none"/>
                <w:u w:val="none"/>
              </w:rPr>
              <w:t>宣传及时率</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&gt;=95</w:t>
            </w:r>
            <w:r>
              <w:rPr>
                <w:rFonts w:hint="eastAsia" w:ascii="宋体" w:hAnsi="宋体" w:cs="宋体"/>
                <w:i w:val="0"/>
                <w:iCs w:val="0"/>
                <w:color w:val="000000"/>
                <w:sz w:val="18"/>
                <w:szCs w:val="18"/>
                <w:highlight w:val="none"/>
                <w:u w:val="none"/>
                <w:lang w:val="en-US" w:eastAsia="zh-CN"/>
              </w:rPr>
              <w:t>%</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95%</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w w:val="66"/>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811" w:type="dxa"/>
            <w:tcBorders>
              <w:top w:val="single" w:color="000000" w:sz="4" w:space="0"/>
              <w:left w:val="single" w:color="000000" w:sz="4" w:space="0"/>
              <w:bottom w:val="nil"/>
              <w:right w:val="single" w:color="000000" w:sz="4" w:space="0"/>
            </w:tcBorders>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18"/>
                <w:szCs w:val="18"/>
                <w:highlight w:val="none"/>
                <w:u w:val="none"/>
                <w:lang w:val="en-US" w:eastAsia="zh-CN" w:bidi="ar"/>
              </w:rPr>
            </w:pPr>
          </w:p>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6"/>
                <w:szCs w:val="16"/>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农村经济环境平稳增长</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良好</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良好</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w w:val="66"/>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7" w:hRule="atLeast"/>
        </w:trPr>
        <w:tc>
          <w:tcPr>
            <w:tcW w:w="811" w:type="dxa"/>
            <w:tcBorders>
              <w:top w:val="single" w:color="000000" w:sz="4" w:space="0"/>
              <w:left w:val="single" w:color="000000" w:sz="4" w:space="0"/>
              <w:bottom w:val="nil"/>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5"/>
                <w:szCs w:val="15"/>
                <w:highlight w:val="none"/>
                <w:u w:val="none"/>
              </w:rPr>
              <w:t>农民群众满意度</w:t>
            </w:r>
          </w:p>
        </w:tc>
        <w:tc>
          <w:tcPr>
            <w:tcW w:w="861"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p>
        </w:tc>
        <w:tc>
          <w:tcPr>
            <w:tcW w:w="108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90%</w:t>
            </w:r>
          </w:p>
        </w:tc>
        <w:tc>
          <w:tcPr>
            <w:tcW w:w="9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val="en-US" w:eastAsia="zh-CN"/>
              </w:rPr>
              <w:t>15</w:t>
            </w:r>
          </w:p>
        </w:tc>
        <w:tc>
          <w:tcPr>
            <w:tcW w:w="7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w w:val="66"/>
                <w:sz w:val="16"/>
                <w:szCs w:val="16"/>
                <w:highlight w:val="none"/>
                <w:u w:val="none"/>
              </w:rPr>
              <w:t>按照完成比例赋分</w:t>
            </w:r>
          </w:p>
        </w:tc>
        <w:tc>
          <w:tcPr>
            <w:tcW w:w="914" w:type="dxa"/>
            <w:tcBorders>
              <w:top w:val="single" w:color="000000" w:sz="4" w:space="0"/>
              <w:left w:val="single" w:color="000000" w:sz="4" w:space="0"/>
              <w:bottom w:val="single" w:color="000000" w:sz="4" w:space="0"/>
              <w:right w:val="single" w:color="000000" w:sz="4" w:space="0"/>
            </w:tcBorders>
            <w:vAlign w:val="center"/>
          </w:tcPr>
          <w:p>
            <w:pP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sz w:val="18"/>
                <w:szCs w:val="18"/>
                <w:highlight w:val="none"/>
                <w:u w:val="none"/>
                <w:lang w:eastAsia="zh-CN"/>
              </w:rPr>
              <w:t>工作资料</w:t>
            </w:r>
          </w:p>
        </w:tc>
      </w:tr>
    </w:tbl>
    <w:p>
      <w:pPr>
        <w:keepNext w:val="0"/>
        <w:keepLines w:val="0"/>
        <w:pageBreakBefore w:val="0"/>
        <w:widowControl w:val="0"/>
        <w:numPr>
          <w:ilvl w:val="0"/>
          <w:numId w:val="5"/>
        </w:numPr>
        <w:kinsoku/>
        <w:wordWrap/>
        <w:overflowPunct/>
        <w:topLinePunct w:val="0"/>
        <w:autoSpaceDE/>
        <w:autoSpaceDN/>
        <w:bidi w:val="0"/>
        <w:adjustRightInd/>
        <w:snapToGrid/>
        <w:spacing w:before="0" w:beforeLines="0" w:line="600" w:lineRule="exact"/>
        <w:jc w:val="both"/>
        <w:textAlignment w:val="auto"/>
        <w:outlineLvl w:val="9"/>
        <w:rPr>
          <w:rFonts w:hint="eastAsia" w:ascii="黑体" w:hAnsi="黑体" w:eastAsia="黑体"/>
          <w:kern w:val="0"/>
          <w:sz w:val="32"/>
          <w:szCs w:val="32"/>
          <w:highlight w:val="none"/>
          <w:lang w:eastAsia="zh-CN"/>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numPr>
          <w:ilvl w:val="0"/>
          <w:numId w:val="0"/>
        </w:numPr>
        <w:kinsoku/>
        <w:wordWrap/>
        <w:overflowPunct/>
        <w:topLinePunct w:val="0"/>
        <w:autoSpaceDE/>
        <w:autoSpaceDN/>
        <w:bidi w:val="0"/>
        <w:adjustRightInd/>
        <w:snapToGrid/>
        <w:spacing w:before="0" w:beforeLines="0" w:line="600" w:lineRule="exact"/>
        <w:ind w:firstLine="320" w:firstLineChars="1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lang w:eastAsia="zh-CN"/>
        </w:rPr>
        <w:t>无</w:t>
      </w:r>
    </w:p>
    <w:p>
      <w:pPr>
        <w:pStyle w:val="2"/>
        <w:rPr>
          <w:rFonts w:hint="eastAsia" w:ascii="仿宋_GB2312" w:hAnsi="宋体" w:eastAsia="仿宋_GB2312" w:cs="宋体"/>
          <w:kern w:val="0"/>
          <w:sz w:val="32"/>
          <w:szCs w:val="32"/>
          <w:highlight w:val="none"/>
          <w:lang w:eastAsia="zh-CN"/>
        </w:rPr>
      </w:pPr>
    </w:p>
    <w:p>
      <w:pPr>
        <w:rPr>
          <w:rFonts w:hint="eastAsia" w:ascii="仿宋_GB2312" w:hAnsi="宋体" w:eastAsia="仿宋_GB2312" w:cs="宋体"/>
          <w:kern w:val="0"/>
          <w:sz w:val="32"/>
          <w:szCs w:val="32"/>
          <w:highlight w:val="none"/>
          <w:lang w:eastAsia="zh-CN"/>
        </w:rPr>
      </w:pPr>
    </w:p>
    <w:p>
      <w:pPr>
        <w:pStyle w:val="2"/>
        <w:rPr>
          <w:rFonts w:hint="eastAsia"/>
          <w:lang w:eastAsia="zh-CN"/>
        </w:rPr>
      </w:pP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hAnsi="宋体" w:eastAsia="仿宋_GB2312" w:cs="宋体"/>
          <w:kern w:val="0"/>
          <w:sz w:val="32"/>
          <w:szCs w:val="32"/>
          <w:highlight w:val="none"/>
          <w:lang w:val="en-US"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呼图壁县农村合作经济发展指导中心</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p>
      <w:pPr>
        <w:bidi w:val="0"/>
        <w:rPr>
          <w:rFonts w:ascii="Times New Roman" w:hAnsi="Times New Roman" w:eastAsia="宋体" w:cs="Times New Roman"/>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2498"/>
        </w:tabs>
        <w:bidi w:val="0"/>
        <w:jc w:val="left"/>
        <w:rPr>
          <w:lang w:val="en-US" w:eastAsia="zh-CN"/>
        </w:rPr>
      </w:pPr>
      <w:r>
        <w:rPr>
          <w:rFonts w:hint="eastAsia"/>
          <w:lang w:val="en-US" w:eastAsia="zh-CN"/>
        </w:rPr>
        <w:tab/>
      </w: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- 1 -</w:t>
                    </w:r>
                    <w:r>
                      <w:fldChar w:fldCharType="end"/>
                    </w:r>
                  </w:p>
                </w:txbxContent>
              </v:textbox>
            </v:shape>
          </w:pict>
        </mc:Fallback>
      </mc:AlternateContent>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p>
                        <w:p>
                          <w:pPr>
                            <w:pStyle w:val="5"/>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5"/>
                    </w:pPr>
                  </w:p>
                  <w:p>
                    <w:pPr>
                      <w:pStyle w:val="5"/>
                    </w:pPr>
                    <w:r>
                      <w:fldChar w:fldCharType="begin"/>
                    </w:r>
                    <w:r>
                      <w:instrText xml:space="preserve"> PAGE  \* MERGEFORMAT </w:instrText>
                    </w:r>
                    <w:r>
                      <w:fldChar w:fldCharType="separate"/>
                    </w:r>
                    <w:r>
                      <w:t>4</w:t>
                    </w:r>
                    <w:r>
                      <w:fldChar w:fldCharType="end"/>
                    </w:r>
                  </w:p>
                </w:txbxContent>
              </v:textbox>
            </v:shape>
          </w:pict>
        </mc:Fallback>
      </mc:AlternateContent>
    </w:r>
  </w:p>
  <w:p>
    <w:pPr>
      <w:pStyle w:val="5"/>
      <w:jc w:val="right"/>
      <w:rPr>
        <w:rFonts w:ascii="宋体" w:hAnsi="宋体" w:eastAsia="宋体"/>
        <w:sz w:val="28"/>
        <w:szCs w:val="28"/>
      </w:rPr>
    </w:pP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54CF8"/>
    <w:multiLevelType w:val="singleLevel"/>
    <w:tmpl w:val="81054CF8"/>
    <w:lvl w:ilvl="0" w:tentative="0">
      <w:start w:val="2"/>
      <w:numFmt w:val="chineseCounting"/>
      <w:suff w:val="nothing"/>
      <w:lvlText w:val="%1、"/>
      <w:lvlJc w:val="left"/>
      <w:rPr>
        <w:rFonts w:hint="eastAsia"/>
      </w:rPr>
    </w:lvl>
  </w:abstractNum>
  <w:abstractNum w:abstractNumId="1">
    <w:nsid w:val="C89838ED"/>
    <w:multiLevelType w:val="singleLevel"/>
    <w:tmpl w:val="C89838ED"/>
    <w:lvl w:ilvl="0" w:tentative="0">
      <w:start w:val="6"/>
      <w:numFmt w:val="chineseCounting"/>
      <w:suff w:val="nothing"/>
      <w:lvlText w:val="%1、"/>
      <w:lvlJc w:val="left"/>
      <w:rPr>
        <w:rFonts w:hint="eastAsia"/>
      </w:rPr>
    </w:lvl>
  </w:abstractNum>
  <w:abstractNum w:abstractNumId="2">
    <w:nsid w:val="CAD250BA"/>
    <w:multiLevelType w:val="singleLevel"/>
    <w:tmpl w:val="CAD250BA"/>
    <w:lvl w:ilvl="0" w:tentative="0">
      <w:start w:val="10"/>
      <w:numFmt w:val="chineseCounting"/>
      <w:suff w:val="nothing"/>
      <w:lvlText w:val="%1、"/>
      <w:lvlJc w:val="left"/>
      <w:rPr>
        <w:rFonts w:hint="eastAsia"/>
      </w:rPr>
    </w:lvl>
  </w:abstractNum>
  <w:abstractNum w:abstractNumId="3">
    <w:nsid w:val="CC3645D0"/>
    <w:multiLevelType w:val="singleLevel"/>
    <w:tmpl w:val="CC3645D0"/>
    <w:lvl w:ilvl="0" w:tentative="0">
      <w:start w:val="5"/>
      <w:numFmt w:val="chineseCounting"/>
      <w:suff w:val="nothing"/>
      <w:lvlText w:val="（%1）"/>
      <w:lvlJc w:val="left"/>
      <w:rPr>
        <w:rFonts w:hint="eastAsia"/>
      </w:rPr>
    </w:lvl>
  </w:abstractNum>
  <w:abstractNum w:abstractNumId="4">
    <w:nsid w:val="E5541861"/>
    <w:multiLevelType w:val="singleLevel"/>
    <w:tmpl w:val="E5541861"/>
    <w:lvl w:ilvl="0" w:tentative="0">
      <w:start w:val="1"/>
      <w:numFmt w:val="chineseCounting"/>
      <w:suff w:val="space"/>
      <w:lvlText w:val="第%1部分"/>
      <w:lvlJc w:val="left"/>
      <w:rPr>
        <w:rFonts w:hint="eastAsia"/>
      </w:r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20E507E"/>
    <w:rsid w:val="025C3BD4"/>
    <w:rsid w:val="02732F8E"/>
    <w:rsid w:val="02CB7F49"/>
    <w:rsid w:val="037800D1"/>
    <w:rsid w:val="04267087"/>
    <w:rsid w:val="04267B2D"/>
    <w:rsid w:val="044C330C"/>
    <w:rsid w:val="05397FD9"/>
    <w:rsid w:val="057A5F58"/>
    <w:rsid w:val="05CA273A"/>
    <w:rsid w:val="070E6657"/>
    <w:rsid w:val="07B21598"/>
    <w:rsid w:val="080E3E4F"/>
    <w:rsid w:val="081729F7"/>
    <w:rsid w:val="084451C2"/>
    <w:rsid w:val="08450B28"/>
    <w:rsid w:val="08762705"/>
    <w:rsid w:val="088F5575"/>
    <w:rsid w:val="08E81855"/>
    <w:rsid w:val="097B6543"/>
    <w:rsid w:val="0A4168EC"/>
    <w:rsid w:val="0AD672A7"/>
    <w:rsid w:val="0B247F12"/>
    <w:rsid w:val="0B7C3034"/>
    <w:rsid w:val="0B841FFD"/>
    <w:rsid w:val="0BD56A2F"/>
    <w:rsid w:val="0C0A3890"/>
    <w:rsid w:val="0C7D600C"/>
    <w:rsid w:val="0CC02F03"/>
    <w:rsid w:val="0CD20198"/>
    <w:rsid w:val="0CEC568C"/>
    <w:rsid w:val="0D4B03F1"/>
    <w:rsid w:val="0D6E5FD0"/>
    <w:rsid w:val="0E221A90"/>
    <w:rsid w:val="0E320E7D"/>
    <w:rsid w:val="0E9208E7"/>
    <w:rsid w:val="10587512"/>
    <w:rsid w:val="105D0E37"/>
    <w:rsid w:val="10916BDA"/>
    <w:rsid w:val="10EC7358"/>
    <w:rsid w:val="11036B00"/>
    <w:rsid w:val="11301FEB"/>
    <w:rsid w:val="11AE333C"/>
    <w:rsid w:val="11B6451D"/>
    <w:rsid w:val="121E62E8"/>
    <w:rsid w:val="1252474C"/>
    <w:rsid w:val="13C04A1A"/>
    <w:rsid w:val="149B79DD"/>
    <w:rsid w:val="1668498B"/>
    <w:rsid w:val="1697741D"/>
    <w:rsid w:val="19A215AC"/>
    <w:rsid w:val="1A132B78"/>
    <w:rsid w:val="1A986ED9"/>
    <w:rsid w:val="1AC437A4"/>
    <w:rsid w:val="1B153D26"/>
    <w:rsid w:val="1BEB54C3"/>
    <w:rsid w:val="1C3C6084"/>
    <w:rsid w:val="1C8C02F2"/>
    <w:rsid w:val="1D3E1AFE"/>
    <w:rsid w:val="1E6432D4"/>
    <w:rsid w:val="1E89232D"/>
    <w:rsid w:val="1EB61656"/>
    <w:rsid w:val="20270683"/>
    <w:rsid w:val="20407429"/>
    <w:rsid w:val="20875CEE"/>
    <w:rsid w:val="20CF3CE4"/>
    <w:rsid w:val="20DD55C0"/>
    <w:rsid w:val="22922CB8"/>
    <w:rsid w:val="22DB78DD"/>
    <w:rsid w:val="244D65B8"/>
    <w:rsid w:val="2492221D"/>
    <w:rsid w:val="24B42D8E"/>
    <w:rsid w:val="250855AF"/>
    <w:rsid w:val="258B383C"/>
    <w:rsid w:val="263B7010"/>
    <w:rsid w:val="26B4291F"/>
    <w:rsid w:val="26BD282A"/>
    <w:rsid w:val="26E769FA"/>
    <w:rsid w:val="27FB73B8"/>
    <w:rsid w:val="28660E58"/>
    <w:rsid w:val="286D65BC"/>
    <w:rsid w:val="28D9041B"/>
    <w:rsid w:val="293B2E83"/>
    <w:rsid w:val="2AFC4894"/>
    <w:rsid w:val="2B3A05DE"/>
    <w:rsid w:val="2B6901C6"/>
    <w:rsid w:val="2D480265"/>
    <w:rsid w:val="2D977453"/>
    <w:rsid w:val="2E2943BA"/>
    <w:rsid w:val="2EF22236"/>
    <w:rsid w:val="2FED29FE"/>
    <w:rsid w:val="300E1D4A"/>
    <w:rsid w:val="30B05F05"/>
    <w:rsid w:val="310F3573"/>
    <w:rsid w:val="32A92C1E"/>
    <w:rsid w:val="32D560F7"/>
    <w:rsid w:val="330C4FCE"/>
    <w:rsid w:val="33A76F60"/>
    <w:rsid w:val="341E7629"/>
    <w:rsid w:val="35463E2B"/>
    <w:rsid w:val="35F117C8"/>
    <w:rsid w:val="364D6593"/>
    <w:rsid w:val="37154574"/>
    <w:rsid w:val="374C2A45"/>
    <w:rsid w:val="37B4308D"/>
    <w:rsid w:val="38284F1B"/>
    <w:rsid w:val="39B0409D"/>
    <w:rsid w:val="3B217F86"/>
    <w:rsid w:val="3BE45FB7"/>
    <w:rsid w:val="3BF21AC7"/>
    <w:rsid w:val="3C013037"/>
    <w:rsid w:val="3C9D20EB"/>
    <w:rsid w:val="3D986889"/>
    <w:rsid w:val="3F031D9F"/>
    <w:rsid w:val="3FDF4D23"/>
    <w:rsid w:val="40850057"/>
    <w:rsid w:val="41083B3B"/>
    <w:rsid w:val="41270465"/>
    <w:rsid w:val="41DB2FFE"/>
    <w:rsid w:val="42F779C3"/>
    <w:rsid w:val="43502DA9"/>
    <w:rsid w:val="435E61BD"/>
    <w:rsid w:val="43AF4B9C"/>
    <w:rsid w:val="43C26223"/>
    <w:rsid w:val="43D8307E"/>
    <w:rsid w:val="44507CD3"/>
    <w:rsid w:val="44AF5181"/>
    <w:rsid w:val="44D70EFD"/>
    <w:rsid w:val="455A018C"/>
    <w:rsid w:val="46B02CAB"/>
    <w:rsid w:val="46CE3131"/>
    <w:rsid w:val="47947DD2"/>
    <w:rsid w:val="479C316E"/>
    <w:rsid w:val="493059DD"/>
    <w:rsid w:val="494F7907"/>
    <w:rsid w:val="49AB276F"/>
    <w:rsid w:val="4ADF73DC"/>
    <w:rsid w:val="4B1B26BD"/>
    <w:rsid w:val="4B315A3D"/>
    <w:rsid w:val="4C0055E5"/>
    <w:rsid w:val="4C3677AE"/>
    <w:rsid w:val="4C706B3A"/>
    <w:rsid w:val="4CA46C09"/>
    <w:rsid w:val="4F3B332E"/>
    <w:rsid w:val="50AD2C0A"/>
    <w:rsid w:val="51C15CED"/>
    <w:rsid w:val="52285DEB"/>
    <w:rsid w:val="52AD62F0"/>
    <w:rsid w:val="533D7978"/>
    <w:rsid w:val="53A94D0A"/>
    <w:rsid w:val="546308FE"/>
    <w:rsid w:val="550A6AE8"/>
    <w:rsid w:val="56A77558"/>
    <w:rsid w:val="56FE59C9"/>
    <w:rsid w:val="570D735E"/>
    <w:rsid w:val="571053C3"/>
    <w:rsid w:val="571B2674"/>
    <w:rsid w:val="589917F1"/>
    <w:rsid w:val="594D3A16"/>
    <w:rsid w:val="59B241EC"/>
    <w:rsid w:val="5A5E27F6"/>
    <w:rsid w:val="5A704801"/>
    <w:rsid w:val="5A8C5E4D"/>
    <w:rsid w:val="5AED2A9A"/>
    <w:rsid w:val="5CF00D24"/>
    <w:rsid w:val="5D9E1657"/>
    <w:rsid w:val="5E225DE5"/>
    <w:rsid w:val="5E257683"/>
    <w:rsid w:val="5E7802BC"/>
    <w:rsid w:val="5EE078B0"/>
    <w:rsid w:val="5F0D5523"/>
    <w:rsid w:val="5F2346ED"/>
    <w:rsid w:val="608D0889"/>
    <w:rsid w:val="61086613"/>
    <w:rsid w:val="61686204"/>
    <w:rsid w:val="62917095"/>
    <w:rsid w:val="630E06E5"/>
    <w:rsid w:val="6408782B"/>
    <w:rsid w:val="65322CBF"/>
    <w:rsid w:val="65B35574"/>
    <w:rsid w:val="65C658ED"/>
    <w:rsid w:val="681C7E9B"/>
    <w:rsid w:val="68CC52CB"/>
    <w:rsid w:val="68DE4FFE"/>
    <w:rsid w:val="69054EE5"/>
    <w:rsid w:val="691B0000"/>
    <w:rsid w:val="694B58D7"/>
    <w:rsid w:val="69CE4E15"/>
    <w:rsid w:val="6B3E7E06"/>
    <w:rsid w:val="6B7F3246"/>
    <w:rsid w:val="6BF904A6"/>
    <w:rsid w:val="6CB5251A"/>
    <w:rsid w:val="6CD429A0"/>
    <w:rsid w:val="6EF07839"/>
    <w:rsid w:val="6F63000B"/>
    <w:rsid w:val="6FCF0C72"/>
    <w:rsid w:val="714214D7"/>
    <w:rsid w:val="71500A63"/>
    <w:rsid w:val="717C1858"/>
    <w:rsid w:val="72B56DCF"/>
    <w:rsid w:val="72D33243"/>
    <w:rsid w:val="72E964BC"/>
    <w:rsid w:val="735C7C42"/>
    <w:rsid w:val="74B53A0A"/>
    <w:rsid w:val="74D07EF1"/>
    <w:rsid w:val="75B570E6"/>
    <w:rsid w:val="75BF3AC1"/>
    <w:rsid w:val="7706409E"/>
    <w:rsid w:val="77137D6A"/>
    <w:rsid w:val="7797777E"/>
    <w:rsid w:val="780A1873"/>
    <w:rsid w:val="787D11B8"/>
    <w:rsid w:val="78A771BA"/>
    <w:rsid w:val="78AC6820"/>
    <w:rsid w:val="792C5912"/>
    <w:rsid w:val="7AB87230"/>
    <w:rsid w:val="7CBA4FE2"/>
    <w:rsid w:val="7D06612B"/>
    <w:rsid w:val="7E880152"/>
    <w:rsid w:val="7E8B30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lang w:val="en-US" w:eastAsia="zh-CN"/>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24"/>
      <w:szCs w:val="24"/>
      <w:u w:val="none"/>
    </w:rPr>
  </w:style>
  <w:style w:type="character" w:customStyle="1" w:styleId="13">
    <w:name w:val="font51"/>
    <w:basedOn w:val="11"/>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3780</Words>
  <Characters>4961</Characters>
  <Lines>0</Lines>
  <Paragraphs>0</Paragraphs>
  <TotalTime>1</TotalTime>
  <ScaleCrop>false</ScaleCrop>
  <LinksUpToDate>false</LinksUpToDate>
  <CharactersWithSpaces>5849</CharactersWithSpaces>
  <Application>WPS Office_12.8.2.15286_F1E327BC-269C-435d-A152-05C5408002CA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htbczj</cp:lastModifiedBy>
  <dcterms:modified xsi:type="dcterms:W3CDTF">2025-05-29T02:50:17Z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2052-12.8.2.15286</vt:lpwstr>
  </property>
  <property fmtid="{D5CDD505-2E9C-101B-9397-08002B2CF9AE}" pid="3" name="ICV">
    <vt:lpwstr>0D4DE24AE1AF488EB5CE5F1234482630_13</vt:lpwstr>
  </property>
  <property fmtid="{D5CDD505-2E9C-101B-9397-08002B2CF9AE}" pid="4" name="KSOTemplateDocerSaveRecord">
    <vt:lpwstr>eyJoZGlkIjoiMDljYzUzMWQ4OWI0YzBkYjYzMDRhZTY5ZjZkYmFmYTgiLCJ1c2VySWQiOiI1ODMzMjMyMTIifQ==</vt:lpwstr>
  </property>
</Properties>
</file>