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动物疫病监测项目</w:t>
      </w:r>
    </w:p>
    <w:p>
      <w:pPr>
        <w:spacing w:line="700" w:lineRule="exact"/>
        <w:jc w:val="left"/>
        <w:rPr>
          <w:rFonts w:hAnsi="宋体" w:eastAsia="仿宋_GB2312" w:cs="宋体"/>
          <w:kern w:val="0"/>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2"/>
          <w:szCs w:val="32"/>
        </w:rPr>
        <w:t>奇台县</w:t>
      </w:r>
      <w:r>
        <w:rPr>
          <w:rFonts w:hint="eastAsia" w:hAnsi="宋体" w:eastAsia="仿宋_GB2312" w:cs="宋体"/>
          <w:kern w:val="0"/>
          <w:sz w:val="32"/>
          <w:szCs w:val="32"/>
          <w:lang w:eastAsia="zh-CN"/>
        </w:rPr>
        <w:t>动物疾病预防与控制中心</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畜牧兽医局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石丰富</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p>
    <w:p>
      <w:pPr>
        <w:keepNext w:val="0"/>
        <w:keepLines w:val="0"/>
        <w:pageBreakBefore w:val="0"/>
        <w:kinsoku/>
        <w:wordWrap/>
        <w:overflowPunct/>
        <w:topLinePunct w:val="0"/>
        <w:autoSpaceDE/>
        <w:bidi w:val="0"/>
        <w:spacing w:after="0" w:line="560" w:lineRule="exact"/>
        <w:ind w:left="0" w:leftChars="0" w:right="0" w:rightChars="0"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keepNext w:val="0"/>
        <w:keepLines w:val="0"/>
        <w:pageBreakBefore w:val="0"/>
        <w:kinsoku/>
        <w:wordWrap/>
        <w:overflowPunct/>
        <w:topLinePunct w:val="0"/>
        <w:autoSpaceDE/>
        <w:bidi w:val="0"/>
        <w:spacing w:after="0" w:line="560" w:lineRule="exact"/>
        <w:ind w:left="0" w:leftChars="0" w:right="0" w:rightChars="0"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贯彻执行国家、自治区、自治州关于畜牧兽医方面的法律法规、方针政策、规划和计划；研究提出并监督实施本县畜牧业经济发展的政策和办法；编制本县畜牧业中长期发展规划和年度计划；根据畜牧业发展规划和市场需求，指导畜牧业产业化建设，引导和支持畜牧业结构调整。</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sz w:val="32"/>
          <w:szCs w:val="32"/>
        </w:rPr>
        <w:t>负责本县兽医监督管理工作。监督和管理全县动物防疫、检疫工作，兽医医政和药政工作；负责兽药经营的许可；负责动物诊疗的许可；负责动物产品及投入品使用的安全监督管理，官方兽医和执业兽医管理以及兽医实验室生物安全管理；制定全县重大动物疫病控制和扑灭计划，组织实施动物疫病强制免疫计划、动物疫情扑灭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sz w:val="32"/>
          <w:szCs w:val="32"/>
        </w:rPr>
        <w:t>负责本县养殖和屠宰环节畜产品质量安全的监管工作。组织实施畜产品质量安全监测计划;负责监督落实畜产品生产标准体系、检测体系和安全卫生质量跟踪管理制度；负责养殖业投</w:t>
      </w:r>
      <w:r>
        <w:rPr>
          <w:rFonts w:hint="eastAsia" w:ascii="仿宋_GB2312" w:hAnsi="仿宋_GB2312" w:eastAsia="仿宋_GB2312" w:cs="仿宋_GB2312"/>
          <w:spacing w:val="-20"/>
          <w:sz w:val="32"/>
          <w:szCs w:val="32"/>
        </w:rPr>
        <w:t>入品使用的安全监督管理；指导协调畜产品“三品一标”认证工作。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4.</w:t>
      </w:r>
      <w:r>
        <w:rPr>
          <w:rFonts w:hint="eastAsia" w:ascii="仿宋_GB2312" w:hAnsi="仿宋_GB2312" w:eastAsia="仿宋_GB2312" w:cs="仿宋_GB2312"/>
          <w:sz w:val="32"/>
          <w:szCs w:val="32"/>
        </w:rPr>
        <w:t>负责本县草原监督管理工作；拟订全县草业发展规划，会同有关部门编制全县草原保护、建设和利用规划并组织实施；负责草原生物灾害监测预警、调查以及防治工作，组织研究和推广综合防治的办法；负责草种生产、加工、检疫、检验的监督管理；负责牧草种子生产的许可；负责全县境内草原的行政监理和草原防火灭火工作。负责在草原上修建直接为草原保护和畜牧业生产服务的工程建设的审核；临时占用草原的许可；在草原上开设旅游区点临时占用草原的许可；在草原防火期内，对在草原上进行爆破、勘察和施工等活动的批准；对进入草原防火管制区的车辆颁发草原防火通行证。</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sz w:val="32"/>
          <w:szCs w:val="32"/>
        </w:rPr>
        <w:t>负责本县畜禽屠宰行业管理工作，制定并实施畜禽屠宰行业发展规划和年度计划；负责畜禽屠宰执法监管体系建设；负责畜禽屠宰的监督执法等管理工作。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6.</w:t>
      </w:r>
      <w:r>
        <w:rPr>
          <w:rFonts w:hint="eastAsia" w:ascii="仿宋_GB2312" w:hAnsi="仿宋_GB2312" w:eastAsia="仿宋_GB2312" w:cs="仿宋_GB2312"/>
          <w:sz w:val="32"/>
          <w:szCs w:val="32"/>
        </w:rPr>
        <w:t>指导协调全县畜禽育种改良工作，研究制定并组织实施畜禽品种改良规划；负责种畜禽生产经营许可证的发放；负责种畜禽（蛋）质量安全的监督管理及其引进工作。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7.</w:t>
      </w:r>
      <w:r>
        <w:rPr>
          <w:rFonts w:hint="eastAsia" w:ascii="仿宋_GB2312" w:hAnsi="仿宋_GB2312" w:eastAsia="仿宋_GB2312" w:cs="仿宋_GB2312"/>
          <w:sz w:val="32"/>
          <w:szCs w:val="32"/>
        </w:rPr>
        <w:t>负责落实自治州饲料工业的发展方针、政策和措施，负责对全县饲料行业的监督与指导工作。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8.</w:t>
      </w:r>
      <w:r>
        <w:rPr>
          <w:rFonts w:hint="eastAsia" w:ascii="仿宋_GB2312" w:hAnsi="仿宋_GB2312" w:eastAsia="仿宋_GB2312" w:cs="仿宋_GB2312"/>
          <w:sz w:val="32"/>
          <w:szCs w:val="32"/>
        </w:rPr>
        <w:t>负责本县畜牧业科学研究和新技术推广，组织协调畜牧业重大科技项目的联合攻关；组织协调本县畜牧业对外经济技术合作项目和科技交流以及技术引进等涉外工作；拟订畜牧业地方标准并组织监督实施。</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9.</w:t>
      </w:r>
      <w:r>
        <w:rPr>
          <w:rFonts w:hint="eastAsia" w:ascii="仿宋_GB2312" w:hAnsi="仿宋_GB2312" w:eastAsia="仿宋_GB2312" w:cs="仿宋_GB2312"/>
          <w:sz w:val="32"/>
          <w:szCs w:val="32"/>
        </w:rPr>
        <w:t>负责畜牧业各类资金的财务管理，对资金使用情况及经济效益进行检查监督；负责全县畜牧业信息与市场调查工作。</w:t>
      </w:r>
    </w:p>
    <w:p>
      <w:pPr>
        <w:pStyle w:val="15"/>
        <w:keepNext w:val="0"/>
        <w:keepLines w:val="0"/>
        <w:pageBreakBefore w:val="0"/>
        <w:widowControl/>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color w:val="000000"/>
          <w:spacing w:val="-2"/>
          <w:sz w:val="32"/>
          <w:szCs w:val="32"/>
        </w:rPr>
      </w:pPr>
      <w:r>
        <w:rPr>
          <w:rFonts w:hint="eastAsia" w:ascii="仿宋_GB2312" w:hAnsi="仿宋_GB2312" w:eastAsia="仿宋_GB2312" w:cs="仿宋_GB2312"/>
          <w:bCs/>
          <w:sz w:val="32"/>
          <w:szCs w:val="32"/>
          <w:lang w:val="en-US" w:eastAsia="zh-CN"/>
        </w:rPr>
        <w:t>10.</w:t>
      </w:r>
      <w:r>
        <w:rPr>
          <w:rFonts w:hint="eastAsia" w:ascii="仿宋_GB2312" w:hAnsi="仿宋_GB2312" w:eastAsia="仿宋_GB2312" w:cs="仿宋_GB2312"/>
          <w:sz w:val="32"/>
          <w:szCs w:val="32"/>
        </w:rPr>
        <w:t>承办县人民政府交办的其他事项。</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keepNext w:val="0"/>
        <w:keepLines w:val="0"/>
        <w:pageBreakBefore w:val="0"/>
        <w:kinsoku/>
        <w:wordWrap/>
        <w:overflowPunct/>
        <w:topLinePunct w:val="0"/>
        <w:autoSpaceDE/>
        <w:bidi w:val="0"/>
        <w:spacing w:after="0" w:line="560" w:lineRule="exact"/>
        <w:ind w:left="0" w:leftChars="0" w:right="0" w:rightChars="0" w:firstLine="624" w:firstLineChars="200"/>
        <w:jc w:val="left"/>
        <w:rPr>
          <w:rStyle w:val="18"/>
          <w:rFonts w:hint="eastAsia" w:ascii="仿宋_GB2312" w:hAnsi="仿宋_GB2312" w:eastAsia="仿宋_GB2312" w:cs="仿宋_GB2312"/>
          <w:b w:val="0"/>
          <w:color w:val="auto"/>
          <w:spacing w:val="-4"/>
          <w:sz w:val="32"/>
          <w:szCs w:val="32"/>
          <w:highlight w:val="none"/>
          <w:shd w:val="clear"/>
          <w:lang w:val="en-US" w:eastAsia="zh-CN"/>
        </w:rPr>
      </w:pPr>
      <w:r>
        <w:rPr>
          <w:rStyle w:val="18"/>
          <w:rFonts w:hint="eastAsia" w:ascii="仿宋_GB2312" w:hAnsi="仿宋_GB2312" w:eastAsia="仿宋_GB2312" w:cs="仿宋_GB2312"/>
          <w:b w:val="0"/>
          <w:color w:val="auto"/>
          <w:spacing w:val="-4"/>
          <w:sz w:val="32"/>
          <w:szCs w:val="32"/>
          <w:highlight w:val="none"/>
          <w:shd w:val="clear"/>
        </w:rPr>
        <w:t>2018年实施重大动物疫病免疫抗体监测1.3万份次，动物免疫抗体合格率常年保持在70%以上，全县不发生重大动物疫病。</w:t>
      </w:r>
      <w:r>
        <w:rPr>
          <w:rStyle w:val="18"/>
          <w:rFonts w:hint="eastAsia" w:ascii="仿宋_GB2312" w:hAnsi="仿宋_GB2312" w:eastAsia="仿宋_GB2312" w:cs="仿宋_GB2312"/>
          <w:b w:val="0"/>
          <w:color w:val="auto"/>
          <w:spacing w:val="-4"/>
          <w:sz w:val="32"/>
          <w:szCs w:val="32"/>
          <w:highlight w:val="none"/>
          <w:shd w:val="clear"/>
          <w:lang w:val="en-US" w:eastAsia="zh-CN"/>
        </w:rPr>
        <w:t xml:space="preserve">   </w:t>
      </w:r>
    </w:p>
    <w:p>
      <w:pPr>
        <w:keepNext w:val="0"/>
        <w:keepLines w:val="0"/>
        <w:pageBreakBefore w:val="0"/>
        <w:kinsoku/>
        <w:wordWrap/>
        <w:overflowPunct/>
        <w:topLinePunct w:val="0"/>
        <w:autoSpaceDE/>
        <w:bidi w:val="0"/>
        <w:spacing w:after="0" w:line="560" w:lineRule="exact"/>
        <w:ind w:left="0" w:leftChars="0" w:right="0" w:rightChars="0" w:firstLine="624" w:firstLineChars="200"/>
        <w:jc w:val="left"/>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keepNext w:val="0"/>
        <w:keepLines w:val="0"/>
        <w:pageBreakBefore w:val="0"/>
        <w:kinsoku/>
        <w:wordWrap/>
        <w:overflowPunct/>
        <w:topLinePunct w:val="0"/>
        <w:autoSpaceDE/>
        <w:bidi w:val="0"/>
        <w:spacing w:after="0" w:line="560" w:lineRule="exact"/>
        <w:ind w:left="0" w:leftChars="0" w:right="0" w:rightChars="0" w:firstLine="624" w:firstLineChars="200"/>
        <w:rPr>
          <w:rStyle w:val="18"/>
          <w:rFonts w:hint="eastAsia" w:ascii="仿宋_GB2312" w:hAnsi="仿宋_GB2312" w:eastAsia="仿宋_GB2312" w:cs="仿宋_GB2312"/>
          <w:b w:val="0"/>
          <w:spacing w:val="-4"/>
          <w:sz w:val="32"/>
          <w:szCs w:val="32"/>
          <w:highlight w:val="none"/>
          <w:lang w:eastAsia="zh-CN"/>
        </w:rPr>
      </w:pPr>
      <w:r>
        <w:rPr>
          <w:rStyle w:val="18"/>
          <w:rFonts w:hint="eastAsia" w:ascii="仿宋_GB2312" w:hAnsi="仿宋_GB2312" w:eastAsia="仿宋_GB2312" w:cs="仿宋_GB2312"/>
          <w:b w:val="0"/>
          <w:spacing w:val="-4"/>
          <w:sz w:val="32"/>
          <w:szCs w:val="32"/>
          <w:highlight w:val="none"/>
          <w:lang w:val="en-US" w:eastAsia="zh-CN"/>
        </w:rPr>
        <w:t>动物疫病监测项目</w:t>
      </w:r>
      <w:r>
        <w:rPr>
          <w:rStyle w:val="18"/>
          <w:rFonts w:hint="eastAsia" w:ascii="仿宋_GB2312" w:hAnsi="仿宋_GB2312" w:eastAsia="仿宋_GB2312" w:cs="仿宋_GB2312"/>
          <w:b w:val="0"/>
          <w:spacing w:val="-4"/>
          <w:sz w:val="32"/>
          <w:szCs w:val="32"/>
          <w:highlight w:val="none"/>
          <w:lang w:eastAsia="zh-CN"/>
        </w:rPr>
        <w:t>总投入</w:t>
      </w:r>
      <w:r>
        <w:rPr>
          <w:rStyle w:val="18"/>
          <w:rFonts w:hint="eastAsia" w:ascii="仿宋_GB2312" w:hAnsi="仿宋_GB2312" w:eastAsia="仿宋_GB2312" w:cs="仿宋_GB2312"/>
          <w:b w:val="0"/>
          <w:spacing w:val="-4"/>
          <w:sz w:val="32"/>
          <w:szCs w:val="32"/>
          <w:highlight w:val="none"/>
          <w:lang w:val="en-US" w:eastAsia="zh-CN"/>
        </w:rPr>
        <w:t>25.6万元，其中县级财政拨款安排25.6万元。</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right="0" w:rightChars="0" w:firstLine="624" w:firstLineChars="200"/>
        <w:jc w:val="left"/>
        <w:textAlignment w:val="auto"/>
        <w:rPr>
          <w:rStyle w:val="18"/>
          <w:rFonts w:hint="eastAsia" w:ascii="仿宋_GB2312" w:hAnsi="仿宋_GB2312" w:eastAsia="仿宋_GB2312" w:cs="仿宋_GB2312"/>
          <w:b w:val="0"/>
          <w:spacing w:val="-4"/>
          <w:sz w:val="32"/>
          <w:szCs w:val="32"/>
          <w:highlight w:val="none"/>
          <w:lang w:eastAsia="zh-CN"/>
        </w:rPr>
      </w:pPr>
      <w:r>
        <w:rPr>
          <w:rStyle w:val="18"/>
          <w:rFonts w:hint="eastAsia" w:ascii="仿宋_GB2312" w:hAnsi="仿宋_GB2312" w:eastAsia="仿宋_GB2312" w:cs="仿宋_GB2312"/>
          <w:b w:val="0"/>
          <w:spacing w:val="-4"/>
          <w:sz w:val="32"/>
          <w:szCs w:val="32"/>
          <w:highlight w:val="none"/>
          <w:lang w:eastAsia="zh-CN"/>
        </w:rPr>
        <w:t>该项目资金</w:t>
      </w:r>
      <w:r>
        <w:rPr>
          <w:rStyle w:val="18"/>
          <w:rFonts w:hint="eastAsia" w:ascii="仿宋_GB2312" w:hAnsi="仿宋_GB2312" w:eastAsia="仿宋_GB2312" w:cs="仿宋_GB2312"/>
          <w:b w:val="0"/>
          <w:spacing w:val="-4"/>
          <w:sz w:val="32"/>
          <w:szCs w:val="32"/>
          <w:highlight w:val="none"/>
          <w:lang w:val="en-US" w:eastAsia="zh-CN"/>
        </w:rPr>
        <w:t>25.6万元，</w:t>
      </w:r>
      <w:r>
        <w:rPr>
          <w:rFonts w:hint="eastAsia" w:ascii="仿宋_GB2312" w:hAnsi="仿宋_GB2312" w:eastAsia="仿宋_GB2312" w:cs="仿宋_GB2312"/>
          <w:b w:val="0"/>
          <w:bCs w:val="0"/>
          <w:sz w:val="32"/>
          <w:szCs w:val="32"/>
          <w:highlight w:val="none"/>
          <w:lang w:val="en-US" w:eastAsia="zh-CN"/>
        </w:rPr>
        <w:t>主要用于购置禽流感、口蹄疫、新城疫、布病、小反刍兽疫、猪瘟等重大动物疫病免疫抗体监测工作所需检测试剂盒、检测试剂及耗材，阳性畜扑杀等。</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（三）项目资金管理情况分析</w:t>
      </w:r>
    </w:p>
    <w:p>
      <w:pPr>
        <w:keepNext w:val="0"/>
        <w:keepLines w:val="0"/>
        <w:pageBreakBefore w:val="0"/>
        <w:kinsoku/>
        <w:wordWrap/>
        <w:overflowPunct/>
        <w:topLinePunct w:val="0"/>
        <w:autoSpaceDE/>
        <w:bidi w:val="0"/>
        <w:spacing w:after="0" w:line="560" w:lineRule="exact"/>
        <w:ind w:left="0" w:leftChars="0" w:right="0" w:rightChars="0" w:firstLine="624" w:firstLineChars="200"/>
        <w:rPr>
          <w:rStyle w:val="18"/>
          <w:rFonts w:hint="eastAsia" w:ascii="仿宋_GB2312" w:hAnsi="仿宋_GB2312" w:eastAsia="仿宋_GB2312" w:cs="仿宋_GB2312"/>
          <w:b w:val="0"/>
          <w:spacing w:val="-4"/>
          <w:sz w:val="32"/>
          <w:szCs w:val="32"/>
          <w:highlight w:val="none"/>
          <w:lang w:eastAsia="zh-CN"/>
        </w:rPr>
      </w:pPr>
      <w:r>
        <w:rPr>
          <w:rStyle w:val="18"/>
          <w:rFonts w:hint="eastAsia" w:ascii="仿宋_GB2312" w:hAnsi="仿宋_GB2312" w:eastAsia="仿宋_GB2312" w:cs="仿宋_GB2312"/>
          <w:b w:val="0"/>
          <w:spacing w:val="-4"/>
          <w:sz w:val="32"/>
          <w:szCs w:val="32"/>
          <w:highlight w:val="none"/>
          <w:lang w:eastAsia="zh-CN"/>
        </w:rPr>
        <w:t>加强资金监管，动物疫病监测项目所需的各类耗材和试剂全部通过政府采购审批，集中采购、集中管理，未发生违规违纪使用资金的现象。</w:t>
      </w:r>
    </w:p>
    <w:p>
      <w:pPr>
        <w:keepNext w:val="0"/>
        <w:keepLines w:val="0"/>
        <w:pageBreakBefore w:val="0"/>
        <w:kinsoku/>
        <w:wordWrap/>
        <w:overflowPunct/>
        <w:topLinePunct w:val="0"/>
        <w:autoSpaceDE/>
        <w:bidi w:val="0"/>
        <w:spacing w:after="0" w:line="560" w:lineRule="exact"/>
        <w:ind w:left="0" w:leftChars="0" w:right="0" w:rightChars="0" w:firstLine="640"/>
        <w:rPr>
          <w:rStyle w:val="18"/>
          <w:rFonts w:ascii="黑体" w:hAnsi="黑体" w:eastAsia="黑体"/>
          <w:b w:val="0"/>
          <w:spacing w:val="-4"/>
          <w:sz w:val="32"/>
          <w:szCs w:val="32"/>
          <w:highlight w:val="none"/>
        </w:rPr>
      </w:pPr>
      <w:r>
        <w:rPr>
          <w:rStyle w:val="18"/>
          <w:rFonts w:hint="eastAsia" w:ascii="黑体" w:hAnsi="黑体" w:eastAsia="黑体"/>
          <w:b w:val="0"/>
          <w:spacing w:val="-4"/>
          <w:sz w:val="32"/>
          <w:szCs w:val="32"/>
          <w:highlight w:val="none"/>
        </w:rPr>
        <w:t>三、项目组织实施情况</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（一）项目组织情况分析</w:t>
      </w:r>
    </w:p>
    <w:p>
      <w:pPr>
        <w:keepNext w:val="0"/>
        <w:keepLines w:val="0"/>
        <w:pageBreakBefore w:val="0"/>
        <w:kinsoku/>
        <w:wordWrap/>
        <w:overflowPunct/>
        <w:topLinePunct w:val="0"/>
        <w:autoSpaceDE/>
        <w:bidi w:val="0"/>
        <w:spacing w:after="0" w:line="560" w:lineRule="exact"/>
        <w:ind w:left="0" w:leftChars="0" w:right="0" w:rightChars="0" w:firstLine="564" w:firstLineChars="181"/>
        <w:rPr>
          <w:rStyle w:val="18"/>
          <w:rFonts w:ascii="楷体" w:hAnsi="楷体" w:eastAsia="楷体"/>
          <w:spacing w:val="-4"/>
          <w:sz w:val="32"/>
          <w:szCs w:val="32"/>
        </w:rPr>
      </w:pPr>
      <w:r>
        <w:rPr>
          <w:rStyle w:val="18"/>
          <w:rFonts w:hint="eastAsia" w:ascii="仿宋_GB2312" w:hAnsi="仿宋_GB2312" w:eastAsia="仿宋_GB2312" w:cs="仿宋_GB2312"/>
          <w:b w:val="0"/>
          <w:color w:val="auto"/>
          <w:spacing w:val="-4"/>
          <w:sz w:val="32"/>
          <w:szCs w:val="32"/>
          <w:highlight w:val="none"/>
          <w:shd w:val="clear"/>
        </w:rPr>
        <w:t>2018年实施重大动物疫病免疫抗体监测1.3万份次，动物免疫抗体合格率常年保持在70%以上，全县</w:t>
      </w:r>
      <w:r>
        <w:rPr>
          <w:rStyle w:val="18"/>
          <w:rFonts w:hint="eastAsia" w:ascii="仿宋_GB2312" w:hAnsi="仿宋_GB2312" w:eastAsia="仿宋_GB2312" w:cs="仿宋_GB2312"/>
          <w:b w:val="0"/>
          <w:color w:val="auto"/>
          <w:spacing w:val="-4"/>
          <w:sz w:val="32"/>
          <w:szCs w:val="32"/>
          <w:highlight w:val="none"/>
          <w:shd w:val="clear"/>
          <w:lang w:eastAsia="zh-CN"/>
        </w:rPr>
        <w:t>未</w:t>
      </w:r>
      <w:r>
        <w:rPr>
          <w:rStyle w:val="18"/>
          <w:rFonts w:hint="eastAsia" w:ascii="仿宋_GB2312" w:hAnsi="仿宋_GB2312" w:eastAsia="仿宋_GB2312" w:cs="仿宋_GB2312"/>
          <w:b w:val="0"/>
          <w:color w:val="auto"/>
          <w:spacing w:val="-4"/>
          <w:sz w:val="32"/>
          <w:szCs w:val="32"/>
          <w:highlight w:val="none"/>
          <w:shd w:val="clear"/>
        </w:rPr>
        <w:t>发生重大动物疫病。</w:t>
      </w:r>
      <w:r>
        <w:rPr>
          <w:rStyle w:val="18"/>
          <w:rFonts w:hint="eastAsia" w:ascii="楷体" w:hAnsi="楷体" w:eastAsia="楷体"/>
          <w:spacing w:val="-4"/>
          <w:sz w:val="32"/>
          <w:szCs w:val="32"/>
        </w:rPr>
        <w:t>（二）项目管理情况分析</w:t>
      </w:r>
    </w:p>
    <w:p>
      <w:pPr>
        <w:keepNext w:val="0"/>
        <w:keepLines w:val="0"/>
        <w:pageBreakBefore w:val="0"/>
        <w:kinsoku/>
        <w:wordWrap/>
        <w:overflowPunct/>
        <w:topLinePunct w:val="0"/>
        <w:autoSpaceDE/>
        <w:bidi w:val="0"/>
        <w:spacing w:after="0" w:line="560" w:lineRule="exact"/>
        <w:ind w:left="0" w:leftChars="0" w:right="0" w:rightChars="0" w:firstLine="640"/>
        <w:rPr>
          <w:rStyle w:val="18"/>
          <w:rFonts w:ascii="黑体" w:hAnsi="黑体" w:eastAsia="黑体"/>
          <w:sz w:val="32"/>
          <w:szCs w:val="32"/>
        </w:rPr>
      </w:pPr>
      <w:r>
        <w:rPr>
          <w:rStyle w:val="18"/>
          <w:rFonts w:hint="eastAsia" w:ascii="仿宋_GB2312" w:hAnsi="仿宋_GB2312" w:eastAsia="仿宋_GB2312" w:cs="仿宋_GB2312"/>
          <w:b w:val="0"/>
          <w:color w:val="auto"/>
          <w:spacing w:val="-4"/>
          <w:sz w:val="32"/>
          <w:szCs w:val="32"/>
          <w:highlight w:val="none"/>
          <w:shd w:val="clear"/>
        </w:rPr>
        <w:t>2018年实施重大动物疫病免疫抗体监测1.3万份次，动物免疫抗体合格率常年保持在70%以上，全县</w:t>
      </w:r>
      <w:r>
        <w:rPr>
          <w:rStyle w:val="18"/>
          <w:rFonts w:hint="eastAsia" w:ascii="仿宋_GB2312" w:hAnsi="仿宋_GB2312" w:eastAsia="仿宋_GB2312" w:cs="仿宋_GB2312"/>
          <w:b w:val="0"/>
          <w:color w:val="auto"/>
          <w:spacing w:val="-4"/>
          <w:sz w:val="32"/>
          <w:szCs w:val="32"/>
          <w:highlight w:val="none"/>
          <w:shd w:val="clear"/>
          <w:lang w:eastAsia="zh-CN"/>
        </w:rPr>
        <w:t>未</w:t>
      </w:r>
      <w:r>
        <w:rPr>
          <w:rStyle w:val="18"/>
          <w:rFonts w:hint="eastAsia" w:ascii="仿宋_GB2312" w:hAnsi="仿宋_GB2312" w:eastAsia="仿宋_GB2312" w:cs="仿宋_GB2312"/>
          <w:b w:val="0"/>
          <w:color w:val="auto"/>
          <w:spacing w:val="-4"/>
          <w:sz w:val="32"/>
          <w:szCs w:val="32"/>
          <w:highlight w:val="none"/>
          <w:shd w:val="clear"/>
        </w:rPr>
        <w:t>发生重大动物疫病。</w:t>
      </w:r>
      <w:r>
        <w:rPr>
          <w:rStyle w:val="18"/>
          <w:rFonts w:hint="eastAsia" w:ascii="黑体" w:hAnsi="黑体" w:eastAsia="黑体"/>
          <w:b w:val="0"/>
          <w:spacing w:val="-4"/>
          <w:sz w:val="32"/>
          <w:szCs w:val="32"/>
        </w:rPr>
        <w:t>四、项目绩效情况</w:t>
      </w:r>
      <w:r>
        <w:rPr>
          <w:rStyle w:val="18"/>
          <w:rFonts w:hint="eastAsia" w:ascii="黑体" w:hAnsi="黑体" w:eastAsia="黑体"/>
          <w:sz w:val="32"/>
          <w:szCs w:val="32"/>
        </w:rPr>
        <w:t xml:space="preserve"> </w:t>
      </w:r>
    </w:p>
    <w:p>
      <w:pPr>
        <w:keepNext w:val="0"/>
        <w:keepLines w:val="0"/>
        <w:pageBreakBefore w:val="0"/>
        <w:kinsoku/>
        <w:wordWrap/>
        <w:overflowPunct/>
        <w:topLinePunct w:val="0"/>
        <w:autoSpaceDE/>
        <w:bidi w:val="0"/>
        <w:spacing w:after="0" w:line="560" w:lineRule="exact"/>
        <w:ind w:left="0" w:leftChars="0" w:right="0" w:rightChars="0"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kinsoku/>
        <w:wordWrap/>
        <w:overflowPunct/>
        <w:topLinePunct w:val="0"/>
        <w:autoSpaceDE/>
        <w:bidi w:val="0"/>
        <w:spacing w:after="0" w:line="560" w:lineRule="exact"/>
        <w:ind w:left="0" w:leftChars="0" w:right="0" w:rightChars="0" w:firstLine="564" w:firstLineChars="181"/>
        <w:rPr>
          <w:rFonts w:hint="eastAsia" w:ascii="楷体" w:hAnsi="楷体" w:eastAsia="楷体"/>
          <w:b/>
          <w:spacing w:val="-4"/>
          <w:sz w:val="32"/>
          <w:szCs w:val="32"/>
        </w:rPr>
      </w:pPr>
      <w:r>
        <w:rPr>
          <w:rFonts w:hint="eastAsia" w:ascii="仿宋_GB2312" w:hAnsi="仿宋_GB2312" w:eastAsia="仿宋_GB2312" w:cs="仿宋_GB2312"/>
          <w:b w:val="0"/>
          <w:bCs/>
          <w:spacing w:val="-4"/>
          <w:sz w:val="32"/>
          <w:szCs w:val="32"/>
        </w:rPr>
        <w:t>2018年实施</w:t>
      </w:r>
      <w:r>
        <w:rPr>
          <w:rFonts w:hint="eastAsia" w:ascii="仿宋_GB2312" w:hAnsi="仿宋_GB2312" w:eastAsia="仿宋_GB2312" w:cs="仿宋_GB2312"/>
          <w:b w:val="0"/>
          <w:bCs/>
          <w:sz w:val="32"/>
          <w:szCs w:val="32"/>
          <w:lang w:val="en-US" w:eastAsia="zh-CN"/>
        </w:rPr>
        <w:t>口蹄疫、禽流感等重大动物疫病免疫抗体监测1.436万份次，覆盖15个乡镇所有动物防疫片区，</w:t>
      </w:r>
      <w:r>
        <w:rPr>
          <w:rFonts w:hint="eastAsia" w:ascii="仿宋_GB2312" w:hAnsi="仿宋_GB2312" w:eastAsia="仿宋_GB2312" w:cs="仿宋_GB2312"/>
          <w:b w:val="0"/>
          <w:bCs/>
          <w:spacing w:val="-4"/>
          <w:sz w:val="32"/>
          <w:szCs w:val="32"/>
        </w:rPr>
        <w:t>动物免疫抗体合格率常年保持在70%以上，全县未发生重大动物疫病。</w:t>
      </w:r>
      <w:r>
        <w:rPr>
          <w:rFonts w:hint="eastAsia" w:ascii="仿宋_GB2312" w:hAnsi="仿宋_GB2312" w:eastAsia="仿宋_GB2312" w:cs="仿宋_GB2312"/>
          <w:b w:val="0"/>
          <w:bCs/>
          <w:sz w:val="32"/>
          <w:szCs w:val="32"/>
          <w:lang w:val="en-US" w:eastAsia="zh-CN"/>
        </w:rPr>
        <w:t xml:space="preserve"> </w:t>
      </w:r>
    </w:p>
    <w:p>
      <w:pPr>
        <w:keepNext w:val="0"/>
        <w:keepLines w:val="0"/>
        <w:pageBreakBefore w:val="0"/>
        <w:kinsoku/>
        <w:wordWrap/>
        <w:overflowPunct/>
        <w:topLinePunct w:val="0"/>
        <w:autoSpaceDE/>
        <w:bidi w:val="0"/>
        <w:spacing w:after="0" w:line="560" w:lineRule="exact"/>
        <w:ind w:left="0" w:leftChars="0" w:right="0" w:rightChars="0"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kinsoku/>
        <w:wordWrap/>
        <w:overflowPunct/>
        <w:topLinePunct w:val="0"/>
        <w:autoSpaceDE/>
        <w:bidi w:val="0"/>
        <w:spacing w:after="0" w:line="560" w:lineRule="exact"/>
        <w:ind w:left="0" w:leftChars="0" w:right="0" w:rightChars="0" w:firstLine="640"/>
        <w:rPr>
          <w:rStyle w:val="18"/>
          <w:rFonts w:hint="eastAsia" w:ascii="黑体" w:hAnsi="黑体" w:eastAsia="黑体"/>
          <w:b w:val="0"/>
          <w:spacing w:val="-4"/>
          <w:sz w:val="32"/>
          <w:szCs w:val="32"/>
          <w:lang w:eastAsia="zh-CN"/>
        </w:rPr>
      </w:pPr>
      <w:r>
        <w:rPr>
          <w:rStyle w:val="18"/>
          <w:rFonts w:hint="eastAsia" w:ascii="黑体" w:hAnsi="黑体" w:eastAsia="黑体"/>
          <w:b w:val="0"/>
          <w:spacing w:val="-4"/>
          <w:sz w:val="32"/>
          <w:szCs w:val="32"/>
          <w:lang w:eastAsia="zh-CN"/>
        </w:rPr>
        <w:t>无。</w:t>
      </w:r>
    </w:p>
    <w:p>
      <w:pPr>
        <w:keepNext w:val="0"/>
        <w:keepLines w:val="0"/>
        <w:pageBreakBefore w:val="0"/>
        <w:kinsoku/>
        <w:wordWrap/>
        <w:overflowPunct/>
        <w:topLinePunct w:val="0"/>
        <w:autoSpaceDE/>
        <w:bidi w:val="0"/>
        <w:spacing w:after="0" w:line="560" w:lineRule="exact"/>
        <w:ind w:left="0" w:leftChars="0" w:right="0" w:rightChars="0"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keepNext w:val="0"/>
        <w:keepLines w:val="0"/>
        <w:pageBreakBefore w:val="0"/>
        <w:kinsoku/>
        <w:wordWrap/>
        <w:overflowPunct/>
        <w:topLinePunct w:val="0"/>
        <w:autoSpaceDE/>
        <w:bidi w:val="0"/>
        <w:spacing w:after="0" w:line="560" w:lineRule="exact"/>
        <w:ind w:left="0" w:leftChars="0" w:right="0" w:rightChars="0" w:firstLine="567" w:firstLineChars="181"/>
        <w:rPr>
          <w:rFonts w:hint="eastAsia"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0" w:leftChars="0" w:right="0" w:rightChars="0" w:firstLine="640" w:firstLineChars="200"/>
        <w:jc w:val="left"/>
        <w:textAlignment w:val="top"/>
        <w:outlineLvl w:val="9"/>
        <w:rPr>
          <w:rFonts w:ascii="楷体" w:hAnsi="楷体" w:eastAsia="楷体"/>
          <w:b/>
          <w:spacing w:val="-4"/>
          <w:sz w:val="32"/>
          <w:szCs w:val="32"/>
        </w:rPr>
      </w:pPr>
      <w:r>
        <w:rPr>
          <w:rFonts w:hint="eastAsia" w:ascii="仿宋_GB2312" w:hAnsi="仿宋_GB2312" w:eastAsia="仿宋_GB2312" w:cs="仿宋_GB2312"/>
          <w:b w:val="0"/>
          <w:bCs/>
          <w:color w:val="auto"/>
          <w:sz w:val="32"/>
          <w:szCs w:val="32"/>
          <w:lang w:eastAsia="zh-CN"/>
        </w:rPr>
        <w:t>切实抓好“重大动物疫病防控安全”责任落实，</w:t>
      </w:r>
      <w:r>
        <w:rPr>
          <w:rFonts w:hint="eastAsia" w:ascii="仿宋_GB2312" w:hAnsi="仿宋_GB2312" w:eastAsia="仿宋_GB2312" w:cs="仿宋_GB2312"/>
          <w:b w:val="0"/>
          <w:i w:val="0"/>
          <w:snapToGrid/>
          <w:color w:val="auto"/>
          <w:sz w:val="32"/>
          <w:szCs w:val="32"/>
          <w:shd w:val="clear" w:color="auto" w:fill="FFFFFF"/>
          <w:lang w:val="en-US" w:eastAsia="zh-CN"/>
        </w:rPr>
        <w:t>扎实推进春秋两季动物防疫工作，加大重大动物疫病免疫抗体监测的频次，确保全县动物安全。</w:t>
      </w:r>
    </w:p>
    <w:p>
      <w:pPr>
        <w:keepNext w:val="0"/>
        <w:keepLines w:val="0"/>
        <w:pageBreakBefore w:val="0"/>
        <w:numPr>
          <w:ilvl w:val="0"/>
          <w:numId w:val="0"/>
        </w:numPr>
        <w:kinsoku/>
        <w:wordWrap/>
        <w:overflowPunct/>
        <w:topLinePunct w:val="0"/>
        <w:autoSpaceDE/>
        <w:bidi w:val="0"/>
        <w:spacing w:after="0" w:line="560" w:lineRule="exact"/>
        <w:ind w:leftChars="181" w:right="0" w:rightChars="0" w:firstLine="313" w:firstLineChars="100"/>
        <w:rPr>
          <w:rFonts w:hint="eastAsia" w:ascii="楷体" w:hAnsi="楷体" w:eastAsia="楷体"/>
          <w:b/>
          <w:spacing w:val="-4"/>
          <w:sz w:val="32"/>
          <w:szCs w:val="32"/>
        </w:rPr>
      </w:pPr>
      <w:r>
        <w:rPr>
          <w:rFonts w:hint="eastAsia" w:ascii="楷体" w:hAnsi="楷体" w:eastAsia="楷体"/>
          <w:b/>
          <w:spacing w:val="-4"/>
          <w:sz w:val="32"/>
          <w:szCs w:val="32"/>
          <w:lang w:eastAsia="zh-CN"/>
        </w:rPr>
        <w:t>（二）</w:t>
      </w:r>
      <w:r>
        <w:rPr>
          <w:rFonts w:hint="eastAsia" w:ascii="楷体" w:hAnsi="楷体" w:eastAsia="楷体"/>
          <w:b/>
          <w:spacing w:val="-4"/>
          <w:sz w:val="32"/>
          <w:szCs w:val="32"/>
        </w:rPr>
        <w:t>主要经验及做法、存在问题和建议</w:t>
      </w:r>
    </w:p>
    <w:p>
      <w:pPr>
        <w:keepNext w:val="0"/>
        <w:keepLines w:val="0"/>
        <w:pageBreakBefore w:val="0"/>
        <w:widowControl w:val="0"/>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0" w:leftChars="0" w:right="0" w:rightChars="0"/>
        <w:jc w:val="left"/>
        <w:textAlignment w:val="top"/>
        <w:outlineLvl w:val="9"/>
        <w:rPr>
          <w:rFonts w:hint="eastAsia" w:ascii="仿宋_GB2312" w:hAnsi="仿宋_GB2312" w:eastAsia="仿宋_GB2312" w:cs="仿宋_GB2312"/>
          <w:b w:val="0"/>
          <w:i w:val="0"/>
          <w:snapToGrid/>
          <w:color w:val="auto"/>
          <w:sz w:val="32"/>
          <w:szCs w:val="32"/>
          <w:shd w:val="clear" w:color="auto" w:fill="FFFFFF"/>
          <w:lang w:val="en-US" w:eastAsia="zh-CN"/>
        </w:rPr>
      </w:pPr>
      <w:r>
        <w:rPr>
          <w:rFonts w:hint="eastAsia" w:ascii="楷体" w:hAnsi="楷体" w:eastAsia="楷体"/>
          <w:b/>
          <w:spacing w:val="-4"/>
          <w:sz w:val="32"/>
          <w:szCs w:val="32"/>
          <w:lang w:val="en-US" w:eastAsia="zh-CN"/>
        </w:rPr>
        <w:t xml:space="preserve">     </w:t>
      </w:r>
      <w:r>
        <w:rPr>
          <w:rFonts w:hint="eastAsia" w:ascii="仿宋_GB2312" w:hAnsi="仿宋_GB2312" w:eastAsia="仿宋_GB2312" w:cs="仿宋_GB2312"/>
          <w:b w:val="0"/>
          <w:bCs/>
          <w:spacing w:val="-4"/>
          <w:sz w:val="32"/>
          <w:szCs w:val="32"/>
          <w:lang w:val="en-US" w:eastAsia="zh-CN"/>
        </w:rPr>
        <w:t>成立动物防疫公司，</w:t>
      </w:r>
      <w:r>
        <w:rPr>
          <w:rFonts w:hint="eastAsia" w:ascii="仿宋_GB2312" w:hAnsi="仿宋_GB2312" w:eastAsia="仿宋_GB2312" w:cs="仿宋_GB2312"/>
          <w:b w:val="0"/>
          <w:i w:val="0"/>
          <w:snapToGrid/>
          <w:color w:val="auto"/>
          <w:sz w:val="32"/>
          <w:szCs w:val="32"/>
          <w:shd w:val="clear" w:color="auto" w:fill="FFFFFF"/>
        </w:rPr>
        <w:t>强化风险分级管理和属地责任，</w:t>
      </w:r>
      <w:r>
        <w:rPr>
          <w:rFonts w:hint="eastAsia" w:ascii="仿宋_GB2312" w:hAnsi="仿宋_GB2312" w:eastAsia="仿宋_GB2312" w:cs="仿宋_GB2312"/>
          <w:b w:val="0"/>
          <w:i w:val="0"/>
          <w:snapToGrid/>
          <w:color w:val="auto"/>
          <w:sz w:val="32"/>
          <w:szCs w:val="32"/>
          <w:shd w:val="clear" w:color="auto" w:fill="FFFFFF"/>
          <w:lang w:val="en-US" w:eastAsia="zh-CN"/>
        </w:rPr>
        <w:t>进一步明确畜牧部门和乡镇人民政府在动物防疫、畜产品安全监管等方面的主体责任，以乡镇为主推进春秋季重大动物疫病防疫工作，免疫密度和免疫抗体合格率均达到规定标准。</w:t>
      </w:r>
    </w:p>
    <w:p>
      <w:pPr>
        <w:keepNext w:val="0"/>
        <w:keepLines w:val="0"/>
        <w:pageBreakBefore w:val="0"/>
        <w:widowControl w:val="0"/>
        <w:numPr>
          <w:ilvl w:val="0"/>
          <w:numId w:val="0"/>
        </w:numPr>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Chars="181" w:right="0" w:rightChars="0" w:firstLine="313" w:firstLineChars="100"/>
        <w:jc w:val="left"/>
        <w:textAlignment w:val="top"/>
        <w:outlineLvl w:val="9"/>
        <w:rPr>
          <w:rFonts w:hint="eastAsia" w:ascii="楷体" w:hAnsi="楷体" w:eastAsia="楷体"/>
          <w:b/>
          <w:spacing w:val="-4"/>
          <w:sz w:val="32"/>
          <w:szCs w:val="32"/>
        </w:rPr>
      </w:pPr>
      <w:r>
        <w:rPr>
          <w:rFonts w:hint="eastAsia" w:ascii="楷体" w:hAnsi="楷体" w:eastAsia="楷体"/>
          <w:b/>
          <w:spacing w:val="-4"/>
          <w:sz w:val="32"/>
          <w:szCs w:val="32"/>
          <w:lang w:eastAsia="zh-CN"/>
        </w:rPr>
        <w:t>（三）</w:t>
      </w:r>
      <w:r>
        <w:rPr>
          <w:rFonts w:hint="eastAsia" w:ascii="楷体" w:hAnsi="楷体" w:eastAsia="楷体"/>
          <w:b/>
          <w:spacing w:val="-4"/>
          <w:sz w:val="32"/>
          <w:szCs w:val="32"/>
        </w:rPr>
        <w:t>其他</w:t>
      </w:r>
    </w:p>
    <w:p>
      <w:pPr>
        <w:keepNext w:val="0"/>
        <w:keepLines w:val="0"/>
        <w:pageBreakBefore w:val="0"/>
        <w:widowControl w:val="0"/>
        <w:numPr>
          <w:ilvl w:val="0"/>
          <w:numId w:val="0"/>
        </w:numPr>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Chars="100" w:right="0" w:rightChars="0" w:firstLine="624" w:firstLineChars="200"/>
        <w:jc w:val="left"/>
        <w:textAlignment w:val="top"/>
        <w:outlineLvl w:val="9"/>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hint="eastAsia" w:ascii="黑体" w:hAnsi="黑体" w:eastAsia="黑体"/>
          <w:b w:val="0"/>
          <w:spacing w:val="-4"/>
          <w:sz w:val="32"/>
          <w:szCs w:val="32"/>
        </w:rPr>
        <w:t>项目评价工作情况</w:t>
      </w:r>
    </w:p>
    <w:p>
      <w:pPr>
        <w:keepNext w:val="0"/>
        <w:keepLines w:val="0"/>
        <w:pageBreakBefore w:val="0"/>
        <w:widowControl w:val="0"/>
        <w:numPr>
          <w:ilvl w:val="0"/>
          <w:numId w:val="0"/>
        </w:numPr>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Chars="100" w:right="0" w:rightChars="0" w:firstLine="640" w:firstLineChars="200"/>
        <w:jc w:val="left"/>
        <w:textAlignment w:val="top"/>
        <w:outlineLvl w:val="9"/>
        <w:rPr>
          <w:rFonts w:ascii="仿宋_GB2312" w:eastAsia="仿宋_GB2312"/>
          <w:spacing w:val="-4"/>
          <w:sz w:val="32"/>
          <w:szCs w:val="32"/>
          <w:highlight w:val="yellow"/>
        </w:rPr>
      </w:pPr>
      <w:r>
        <w:rPr>
          <w:rFonts w:hint="eastAsia" w:ascii="仿宋_GB2312" w:hAnsi="仿宋_GB2312" w:eastAsia="仿宋_GB2312" w:cs="仿宋_GB2312"/>
          <w:b w:val="0"/>
          <w:bCs/>
          <w:kern w:val="0"/>
          <w:sz w:val="32"/>
          <w:szCs w:val="32"/>
          <w:lang w:eastAsia="zh-CN"/>
        </w:rPr>
        <w:t>重大动物疫病免疫抗体监测是动物疫病预警预告的重要技术手段及技术支撑，为我县各族人民公共卫生、人身安全及畜产品质量安全起到了坚强的技术保障作用。</w:t>
      </w:r>
    </w:p>
    <w:p>
      <w:pPr>
        <w:keepNext w:val="0"/>
        <w:keepLines w:val="0"/>
        <w:pageBreakBefore w:val="0"/>
        <w:kinsoku/>
        <w:wordWrap/>
        <w:overflowPunct/>
        <w:topLinePunct w:val="0"/>
        <w:autoSpaceDE/>
        <w:bidi w:val="0"/>
        <w:spacing w:after="0" w:line="560" w:lineRule="exact"/>
        <w:ind w:right="0" w:rightChars="0" w:firstLine="936" w:firstLineChars="30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keepNext w:val="0"/>
        <w:keepLines w:val="0"/>
        <w:pageBreakBefore w:val="0"/>
        <w:kinsoku/>
        <w:wordWrap/>
        <w:overflowPunct/>
        <w:topLinePunct w:val="0"/>
        <w:autoSpaceDE/>
        <w:bidi w:val="0"/>
        <w:spacing w:after="0" w:line="560" w:lineRule="exact"/>
        <w:ind w:right="0" w:rightChars="0" w:firstLine="936" w:firstLineChars="300"/>
        <w:rPr>
          <w:rStyle w:val="18"/>
          <w:rFonts w:ascii="仿宋" w:hAnsi="仿宋" w:eastAsia="仿宋"/>
          <w:b w:val="0"/>
          <w:spacing w:val="-4"/>
          <w:sz w:val="32"/>
          <w:szCs w:val="32"/>
        </w:rPr>
      </w:pPr>
      <w:r>
        <w:rPr>
          <w:rStyle w:val="18"/>
          <w:rFonts w:hint="eastAsia" w:ascii="仿宋" w:hAnsi="仿宋" w:eastAsia="仿宋"/>
          <w:b w:val="0"/>
          <w:spacing w:val="-4"/>
          <w:sz w:val="32"/>
          <w:szCs w:val="32"/>
        </w:rPr>
        <w:t>《自治州财政项目支出绩效自评表》</w:t>
      </w:r>
    </w:p>
    <w:p>
      <w:pPr>
        <w:keepNext w:val="0"/>
        <w:keepLines w:val="0"/>
        <w:pageBreakBefore w:val="0"/>
        <w:kinsoku/>
        <w:wordWrap/>
        <w:overflowPunct/>
        <w:topLinePunct w:val="0"/>
        <w:autoSpaceDE/>
        <w:bidi w:val="0"/>
        <w:spacing w:after="0" w:line="560" w:lineRule="exact"/>
        <w:ind w:left="0" w:leftChars="0" w:right="0" w:rightChars="0"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tbl>
      <w:tblPr>
        <w:tblStyle w:val="20"/>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动物疫病监测项目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奇台县畜牧兽医局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25.6</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25.6</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25.6</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25.6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2018年实施重大动物疫病免疫抗体监测1.3万份次，动物免疫抗体合格率常年保持在70%以上，全县不发生重大动物疫病。</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2018年实施重大动物疫病免疫抗体监测1.3万份次，动物免疫抗体合格率常年保持在70%以上，全县不发生重大动物疫病。</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指标1：实施重大动物疫病免疫抗体监测</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1.3万份次</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1.436万份次</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指标2：口蹄疫、高致命性禽流感等优先防治病种防治工作</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强制免疫病种应免畜禽的免疫密度90%以上</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90%以上</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指标1：动物免疫抗体合格率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常年保持在70%以上</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≥70%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项目完成按时时效</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100</w:t>
            </w:r>
            <w:r>
              <w:rPr>
                <w:rFonts w:hint="eastAsia" w:ascii="宋体" w:hAnsi="宋体" w:eastAsia="宋体" w:cs="宋体"/>
                <w:i w:val="0"/>
                <w:color w:val="000000"/>
                <w:kern w:val="0"/>
                <w:sz w:val="20"/>
                <w:szCs w:val="20"/>
                <w:u w:val="none"/>
                <w:lang w:val="en-US" w:eastAsia="zh-CN" w:bidi="ar"/>
              </w:rPr>
              <w:t>%</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100</w:t>
            </w:r>
            <w:r>
              <w:rPr>
                <w:rFonts w:hint="eastAsia" w:ascii="宋体" w:hAnsi="宋体" w:eastAsia="宋体" w:cs="宋体"/>
                <w:i w:val="0"/>
                <w:color w:val="000000"/>
                <w:kern w:val="0"/>
                <w:sz w:val="20"/>
                <w:szCs w:val="20"/>
                <w:u w:val="none"/>
                <w:lang w:val="en-US" w:eastAsia="zh-CN" w:bidi="ar"/>
              </w:rPr>
              <w:t>%</w:t>
            </w:r>
            <w:bookmarkStart w:id="0" w:name="_GoBack"/>
            <w:bookmarkEnd w:id="0"/>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项目总成本</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25.6万元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25.6万元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指标1：县级财政补助经费使用率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动物疫病监测经费使用率100%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指标2：资金使用重大违规违纪问题</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加强资金监管，不发生资金使用重大违规违纪问题</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无</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w:t>
            </w:r>
            <w:r>
              <w:rPr>
                <w:rFonts w:hint="eastAsia" w:ascii="宋体" w:hAnsi="宋体" w:cs="宋体"/>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：口蹄疫、高致命性禽流感等优先防治病种防治工作</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强制免疫病种应免畜禽的免疫密度达到90%以上</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疫情保持平稳</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受益对象满意度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80</w:t>
            </w:r>
            <w:r>
              <w:rPr>
                <w:rFonts w:hint="eastAsia" w:ascii="宋体" w:hAnsi="宋体" w:eastAsia="宋体" w:cs="宋体"/>
                <w:i w:val="0"/>
                <w:color w:val="000000"/>
                <w:kern w:val="0"/>
                <w:sz w:val="20"/>
                <w:szCs w:val="20"/>
                <w:u w:val="none"/>
                <w:lang w:val="en-US" w:eastAsia="zh-CN" w:bidi="ar"/>
              </w:rPr>
              <w:t>%</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80</w:t>
            </w: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Arial Rounded MT Bold">
    <w:altName w:val="Arial"/>
    <w:panose1 w:val="020F0704030504030204"/>
    <w:charset w:val="00"/>
    <w:family w:val="auto"/>
    <w:pitch w:val="default"/>
    <w:sig w:usb0="00000000" w:usb1="00000000" w:usb2="00000000" w:usb3="00000000" w:csb0="2000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2010609030101010101"/>
    <w:charset w:val="86"/>
    <w:family w:val="auto"/>
    <w:pitch w:val="default"/>
    <w:sig w:usb0="00000000" w:usb1="00000000" w:usb2="00000000" w:usb3="00000000" w:csb0="00040000" w:csb1="00000000"/>
  </w:font>
  <w:font w:name="Shruti">
    <w:panose1 w:val="020B0502040204020203"/>
    <w:charset w:val="00"/>
    <w:family w:val="auto"/>
    <w:pitch w:val="default"/>
    <w:sig w:usb0="00040003"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font>
  <w:font w:name="方正行楷简体">
    <w:altName w:val="微软雅黑"/>
    <w:panose1 w:val="03000509000000000000"/>
    <w:charset w:val="86"/>
    <w:family w:val="auto"/>
    <w:pitch w:val="default"/>
    <w:sig w:usb0="00000000" w:usb1="00000000" w:usb2="00000000" w:usb3="00000000" w:csb0="00040000" w:csb1="00000000"/>
  </w:font>
  <w:font w:name="方正魏碑简体">
    <w:altName w:val="微软雅黑"/>
    <w:panose1 w:val="03000509000000000000"/>
    <w:charset w:val="86"/>
    <w:family w:val="auto"/>
    <w:pitch w:val="default"/>
    <w:sig w:usb0="00000000" w:usb1="00000000" w:usb2="00000000" w:usb3="00000000" w:csb0="00040000" w:csb1="00000000"/>
  </w:font>
  <w:font w:name="Calibri">
    <w:panose1 w:val="020F0502020204030204"/>
    <w:charset w:val="01"/>
    <w:family w:val="swiss"/>
    <w:pitch w:val="default"/>
    <w:sig w:usb0="E00002FF" w:usb1="4000ACFF" w:usb2="00000001" w:usb3="00000000" w:csb0="2000019F" w:csb1="00000000"/>
  </w:font>
  <w:font w:name="Helvetica">
    <w:altName w:val="仿宋_GB2312"/>
    <w:panose1 w:val="020B0604020202020204"/>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CFE70EC"/>
    <w:rsid w:val="11DA0264"/>
    <w:rsid w:val="140B5D61"/>
    <w:rsid w:val="144C5BDC"/>
    <w:rsid w:val="14CA5A49"/>
    <w:rsid w:val="19871071"/>
    <w:rsid w:val="20B531CB"/>
    <w:rsid w:val="277C0730"/>
    <w:rsid w:val="2D0F7903"/>
    <w:rsid w:val="3C1F3D6D"/>
    <w:rsid w:val="3F5808AF"/>
    <w:rsid w:val="3F897938"/>
    <w:rsid w:val="4E2E513C"/>
    <w:rsid w:val="524454EC"/>
    <w:rsid w:val="5699607D"/>
    <w:rsid w:val="573631FD"/>
    <w:rsid w:val="5BA36880"/>
    <w:rsid w:val="5ED703D2"/>
    <w:rsid w:val="606A30C9"/>
    <w:rsid w:val="7EBB2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rPr>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7"/>
    <w:qFormat/>
    <w:uiPriority w:val="21"/>
    <w:rPr>
      <w:b/>
      <w:i/>
      <w:sz w:val="24"/>
      <w:szCs w:val="24"/>
      <w:u w:val="single"/>
    </w:rPr>
  </w:style>
  <w:style w:type="character" w:customStyle="1" w:styleId="40">
    <w:name w:val="Subtle Reference"/>
    <w:basedOn w:val="17"/>
    <w:qFormat/>
    <w:uiPriority w:val="31"/>
    <w:rPr>
      <w:sz w:val="24"/>
      <w:szCs w:val="24"/>
      <w:u w:val="single"/>
    </w:rPr>
  </w:style>
  <w:style w:type="character" w:customStyle="1" w:styleId="41">
    <w:name w:val="Intense Reference"/>
    <w:basedOn w:val="17"/>
    <w:qFormat/>
    <w:uiPriority w:val="32"/>
    <w:rPr>
      <w:b/>
      <w:sz w:val="24"/>
      <w:u w:val="single"/>
    </w:rPr>
  </w:style>
  <w:style w:type="character" w:customStyle="1" w:styleId="42">
    <w:name w:val="Book Title"/>
    <w:basedOn w:val="17"/>
    <w:qFormat/>
    <w:uiPriority w:val="33"/>
    <w:rPr>
      <w:rFonts w:asciiTheme="majorHAnsi" w:hAnsiTheme="majorHAnsi" w:eastAsiaTheme="majorEastAsia"/>
      <w:b/>
      <w:i/>
      <w:sz w:val="24"/>
      <w:szCs w:val="24"/>
    </w:rPr>
  </w:style>
  <w:style w:type="paragraph" w:customStyle="1" w:styleId="43">
    <w:name w:val="TOC Heading"/>
    <w:basedOn w:val="2"/>
    <w:next w:val="1"/>
    <w:unhideWhenUsed/>
    <w:qFormat/>
    <w:uiPriority w:val="39"/>
    <w:pPr>
      <w:outlineLvl w:val="9"/>
    </w:pPr>
    <w:rPr>
      <w:lang w:eastAsia="en-US" w:bidi="en-US"/>
    </w:rPr>
  </w:style>
  <w:style w:type="character" w:customStyle="1" w:styleId="44">
    <w:name w:val="页眉 Char"/>
    <w:basedOn w:val="17"/>
    <w:link w:val="13"/>
    <w:qFormat/>
    <w:uiPriority w:val="99"/>
    <w:rPr>
      <w:rFonts w:ascii="Calibri" w:hAnsi="Calibri" w:eastAsia="宋体"/>
      <w:kern w:val="2"/>
      <w:sz w:val="18"/>
      <w:szCs w:val="18"/>
    </w:rPr>
  </w:style>
  <w:style w:type="character" w:customStyle="1" w:styleId="45">
    <w:name w:val="页脚 Char"/>
    <w:basedOn w:val="17"/>
    <w:link w:val="12"/>
    <w:qFormat/>
    <w:uiPriority w:val="99"/>
    <w:rPr>
      <w:rFonts w:ascii="Calibri" w:hAnsi="Calibri" w:eastAsia="宋体"/>
      <w:kern w:val="2"/>
      <w:sz w:val="18"/>
      <w:szCs w:val="18"/>
    </w:rPr>
  </w:style>
  <w:style w:type="character" w:customStyle="1" w:styleId="46">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0</TotalTime>
  <ScaleCrop>false</ScaleCrop>
  <LinksUpToDate>false</LinksUpToDate>
  <CharactersWithSpaces>1366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2019-01-13T12:20:00Z</cp:lastPrinted>
  <dcterms:modified xsi:type="dcterms:W3CDTF">2019-01-29T09:29:03Z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