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1" w:name="_GoBack"/>
      <w:bookmarkEnd w:id="1"/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奇台县财政项目支出绩效自评报告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项目名称：义务兵优待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实施单位（公章）：奇台县民政局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主管部门（公章）：奇台县民政局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项目负责人（签章）：卢春林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 20日</w:t>
      </w:r>
    </w:p>
    <w:p>
      <w:pPr>
        <w:spacing w:line="540" w:lineRule="exact"/>
        <w:ind w:firstLine="640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微软雅黑" w:hAnsi="微软雅黑" w:eastAsia="微软雅黑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主要职能：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民政局主要承担：城乡低保、城乡医疗救助、城乡解困、救灾救济、基层政权和社区建设、优抚安置、双拥共建、婚姻登记、收养登记、孤儿管理、五保供养、“三无人员”管理、流浪乞讨人员管理、临时救助、一门受理协同办理、社会福利、福利机构管理、殡葬管理、行政区划、地名管理、民办非企业单位和社会团体登记管理等工作职能，承担新社会组织党工委各项工作。</w:t>
      </w:r>
    </w:p>
    <w:p>
      <w:pPr>
        <w:spacing w:line="540" w:lineRule="exact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义务兵优待项目资金用于包括残疾军人、老复员军人、带病回乡退伍军人以及烈士遗属、因公牺牲军人遗属、病故军人遗属等支出，政策依据为新民发【2017】136号&lt;&lt;关于调整部分优抚对象抚恤和生活补助标准的通知&gt;&gt;，义务兵优待项目资金的支出，主要是退役士兵享受。使优抚家属感受到党和政府对其的关心、关爱。</w:t>
      </w:r>
    </w:p>
    <w:p>
      <w:pPr>
        <w:ind w:firstLine="624" w:firstLineChars="200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义务兵优待项目资金用于义务兵优待项目的支出，该项目总投入138万元，其中上级财政拨款安排138万元。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义务兵优待项目资金用于义务兵优待活动的支出，该项目总投入138万元，其中上级财政拨款安排138万元。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  <w:highlight w:val="yellow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ind w:firstLine="60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bidi="ar"/>
        </w:rPr>
        <w:t>根据《中华人民共和国预算法》、《中华人民共和国会计法》</w:t>
      </w:r>
      <w:r>
        <w:rPr>
          <w:rFonts w:hint="eastAsia" w:ascii="宋体" w:hAnsi="宋体" w:cs="Arial"/>
          <w:color w:val="000000"/>
          <w:sz w:val="28"/>
          <w:szCs w:val="28"/>
          <w:lang w:bidi="ar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奇台县民政局项目资金管理办法。严格遵守项目资金管理的具体要求，实行“专款专用”，对项目资金进行计划申请、划拨、使用、及时规范对收支进行账务处理和会计核算。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义务兵优待项目经县委、县政府批准后，退役士兵安置、就业指导、培训，优抚对象抚恤经费包括残疾军人、老复员军人、带病回乡退伍军人以及烈士遗属、因公牺牲军人遗属、病故军人遗属等支出，依据《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退役士兵安置条例</w:t>
      </w:r>
      <w:r>
        <w:rPr>
          <w:rFonts w:hint="eastAsia" w:ascii="仿宋_GB2312" w:hAnsi="仿宋_GB2312" w:eastAsia="仿宋_GB2312" w:cs="仿宋_GB2312"/>
          <w:sz w:val="30"/>
          <w:szCs w:val="30"/>
        </w:rPr>
        <w:t>》、新民发【2017】136号&lt;&lt;关于调整部分优抚对象抚恤和生活补助标准的通知&gt;&gt;由县民政局组织实施。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成立奇台县民政局项目资金管理领导小组，具体负责项目资金的使用和管理，在项目实施过程中接受县、乡镇纪检、财政、审计、督查部门、服务对象对项目资金发放进行全程监督。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义务兵优待项目共投入资金138万元，涉及137人，受益群体较多，项目完成质量高。优抚对象和退役士兵满意率良好。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项目绩效目标未完成原因分析</w:t>
      </w:r>
    </w:p>
    <w:p>
      <w:pPr>
        <w:spacing w:line="540" w:lineRule="exact"/>
        <w:ind w:firstLine="936" w:firstLineChars="3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项目绩效目标按年度如期完成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817" w:firstLineChars="280"/>
        <w:rPr>
          <w:rFonts w:ascii="楷体" w:hAnsi="楷体" w:eastAsia="楷体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进一步加大服务力度，提高服务质量，提升管理水平，提高项目资金的使用效率，如期实现</w:t>
      </w:r>
      <w:r>
        <w:rPr>
          <w:rFonts w:hint="eastAsia" w:ascii="楷体" w:hAnsi="楷体" w:eastAsia="楷体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项目绩效目标。</w:t>
      </w:r>
    </w:p>
    <w:p>
      <w:pPr>
        <w:numPr>
          <w:ilvl w:val="0"/>
          <w:numId w:val="2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  </w:t>
      </w:r>
      <w:r>
        <w:rPr>
          <w:rFonts w:hint="eastAsia" w:ascii="楷体" w:hAnsi="楷体" w:eastAsia="楷体"/>
          <w:bCs/>
          <w:spacing w:val="-4"/>
          <w:sz w:val="32"/>
          <w:szCs w:val="32"/>
        </w:rPr>
        <w:t xml:space="preserve"> 绩效目标管理工作起步较晚，经验不足，业务人员业务知识缺乏，急待专业培训。形成专业人员管理实施项目的工作态势，提高资金项目实施的规范化、时效性，提高项目实施的针对性和实用性。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1182" w:firstLineChars="379"/>
        <w:rPr>
          <w:rFonts w:ascii="楷体" w:hAnsi="楷体" w:eastAsia="楷体"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400" w:lineRule="exact"/>
        <w:ind w:firstLine="900" w:firstLineChars="3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此次绩效评价民政部门通过入户核查、听取乡镇民政干事汇报、查阅资料、满意度测评等多种方法，认为优抚资金发放及时到位，优抚对象较满意。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《自治州财政项目支出绩效自评表》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pPr w:leftFromText="180" w:rightFromText="180" w:vertAnchor="text" w:horzAnchor="page" w:tblpX="1877" w:tblpY="236"/>
        <w:tblOverlap w:val="never"/>
        <w:tblW w:w="9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bookmarkStart w:id="0" w:name="_Hlk20232680"/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奇台县财政项目支出绩效自评表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2018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 xml:space="preserve">    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义务兵优待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奇台县民政局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预算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执行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情况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138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138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年度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目标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完成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现役士兵和退役士兵享受，提高国防意识，维护社会稳定。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现役士兵和退役士兵享受，提高了国防意识，维护社会稳定。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年度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绩效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指标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完成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保障率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应保尽保100%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应保尽保100%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优抚资金补助到位率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保障标准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伤残军人：分为因战、因公、因病3种性质1－10个等级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老复员军人：1035元／人／月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带病回乡退伍军人：550元／人／月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两参退役人员：600元／人／月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烈士遗属：1752元／人／月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因共牺牲军人遗属：1504元／人／月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病故军人遗属：1415元／人／月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伤残军人：分为因战、因公、因病3种性质1－10个等级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老复员军人：1035元／人／月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带病回乡退伍军人：550元／人／月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两参退役人员：600元／人／月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烈士遗属：1752元／人／月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因共牺牲军人遗属：1504元／人／月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病故军人遗属：1415元／人／月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在规定时间内发放保障资金的比例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经济效益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社会效益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生态效益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可持续影响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满意度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政策知晓率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≥90%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≥90%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bookmarkEnd w:id="0"/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3C8856"/>
    <w:multiLevelType w:val="singleLevel"/>
    <w:tmpl w:val="5C3C8856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5C3D3523"/>
    <w:multiLevelType w:val="singleLevel"/>
    <w:tmpl w:val="5C3D3523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iOGZiYWVmZDhlOWI5MWU4OWZmOTU1MWVjZmE1NjcifQ=="/>
  </w:docVars>
  <w:rsids>
    <w:rsidRoot w:val="00172A27"/>
    <w:rsid w:val="00056465"/>
    <w:rsid w:val="00121AE4"/>
    <w:rsid w:val="00146AAD"/>
    <w:rsid w:val="00172A27"/>
    <w:rsid w:val="001B3A40"/>
    <w:rsid w:val="003C18BC"/>
    <w:rsid w:val="004366A8"/>
    <w:rsid w:val="00464900"/>
    <w:rsid w:val="004B11D1"/>
    <w:rsid w:val="00502BA7"/>
    <w:rsid w:val="005162F1"/>
    <w:rsid w:val="00535153"/>
    <w:rsid w:val="00554F82"/>
    <w:rsid w:val="0056390D"/>
    <w:rsid w:val="005719B0"/>
    <w:rsid w:val="005D10D6"/>
    <w:rsid w:val="007806A5"/>
    <w:rsid w:val="008367BE"/>
    <w:rsid w:val="00855E3A"/>
    <w:rsid w:val="00922CB9"/>
    <w:rsid w:val="009E5CD9"/>
    <w:rsid w:val="00A26421"/>
    <w:rsid w:val="00A4293B"/>
    <w:rsid w:val="00A67D50"/>
    <w:rsid w:val="00A8691A"/>
    <w:rsid w:val="00A87058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030D67"/>
    <w:rsid w:val="092F1C6A"/>
    <w:rsid w:val="0CFE70EC"/>
    <w:rsid w:val="11DA0264"/>
    <w:rsid w:val="12BD66F5"/>
    <w:rsid w:val="13857CFD"/>
    <w:rsid w:val="144C5BDC"/>
    <w:rsid w:val="1A7057C7"/>
    <w:rsid w:val="1E964D57"/>
    <w:rsid w:val="23D7501A"/>
    <w:rsid w:val="2D5554ED"/>
    <w:rsid w:val="2E072BE4"/>
    <w:rsid w:val="2E365080"/>
    <w:rsid w:val="470532C6"/>
    <w:rsid w:val="47963B47"/>
    <w:rsid w:val="4A6D3135"/>
    <w:rsid w:val="548E1B09"/>
    <w:rsid w:val="606A30C9"/>
    <w:rsid w:val="62FA7B00"/>
    <w:rsid w:val="694A3F64"/>
    <w:rsid w:val="6EC32528"/>
    <w:rsid w:val="72126003"/>
    <w:rsid w:val="75D20AE8"/>
    <w:rsid w:val="77F21AA5"/>
    <w:rsid w:val="78F3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autoRedefine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autoRedefine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autoRedefine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autoRedefine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autoRedefine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autoRedefine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autoRedefine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autoRedefine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autoRedefine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autoRedefine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引用1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明显引用1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371</Words>
  <Characters>2118</Characters>
  <Lines>17</Lines>
  <Paragraphs>4</Paragraphs>
  <TotalTime>0</TotalTime>
  <ScaleCrop>false</ScaleCrop>
  <LinksUpToDate>false</LinksUpToDate>
  <CharactersWithSpaces>2485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2024-03-22T08:55:40Z</dcterms:modified>
  <dc:title>附件1：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118CE83DB6DD43CBA8935D8132684063_12</vt:lpwstr>
  </property>
</Properties>
</file>