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1" w:name="_GoBack"/>
      <w:bookmarkEnd w:id="1"/>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项目名称：三中绿化硬化、五中运动场项目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2月15日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43" w:firstLineChars="181"/>
        <w:rPr>
          <w:rStyle w:val="18"/>
          <w:rFonts w:ascii="仿宋" w:hAnsi="仿宋" w:eastAsia="仿宋"/>
          <w:b w:val="0"/>
          <w:spacing w:val="-4"/>
          <w:sz w:val="32"/>
          <w:szCs w:val="32"/>
        </w:rPr>
      </w:pPr>
      <w:r>
        <w:rPr>
          <w:rFonts w:hint="eastAsia" w:ascii="仿宋_GB2312" w:hAnsi="仿宋_GB2312" w:eastAsia="仿宋_GB2312" w:cs="仿宋_GB2312"/>
          <w:sz w:val="30"/>
          <w:szCs w:val="30"/>
        </w:rPr>
        <w:t xml:space="preserve"> 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r>
        <w:rPr>
          <w:rStyle w:val="18"/>
          <w:rFonts w:hint="eastAsia" w:ascii="仿宋" w:hAnsi="仿宋" w:eastAsia="仿宋"/>
          <w:b w:val="0"/>
          <w:spacing w:val="-4"/>
          <w:sz w:val="32"/>
          <w:szCs w:val="32"/>
        </w:rPr>
        <w:t>2018年教育费附加分配给奇台五中182.02万元奇台三中295万元。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预期目标：完成奇台五中塑胶运动场建设；用于支付奇台三中硬化、绿化款。</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阶段性目标：已完成奇台五中塑胶运动场建设；用于支付奇台三中硬化、绿化</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以上项目的完成提升了我县这两所办学条件，为学生创造一个良好的学习环境，保障学生就学需求，实现义务教育均衡发展验收目标。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项目资金477.02万元为2018年教育费附加分配给奇台五中182.02万元奇台三中295万元。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477.02元已全部支付，分别为奇台五中塑胶运动场建设182.02万元；奇台三中硬化、绿化款295万元。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项目资金全部采用专款专用，无占用、挪用现象，严格按照专项资金管理办法，已全部拨付到位。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460" w:lineRule="exact"/>
        <w:ind w:firstLine="624" w:firstLineChars="200"/>
        <w:rPr>
          <w:rFonts w:ascii="仿宋_GB2312" w:hAnsi="仿宋_GB2312" w:eastAsia="仿宋_GB2312" w:cs="仿宋_GB2312"/>
          <w:kern w:val="0"/>
          <w:sz w:val="32"/>
          <w:szCs w:val="32"/>
          <w:shd w:val="clear" w:color="auto" w:fill="FFFFFF"/>
        </w:rPr>
      </w:pPr>
      <w:r>
        <w:rPr>
          <w:rStyle w:val="18"/>
          <w:rFonts w:hint="eastAsia" w:ascii="仿宋" w:hAnsi="仿宋" w:eastAsia="仿宋"/>
          <w:b w:val="0"/>
          <w:spacing w:val="-4"/>
          <w:sz w:val="32"/>
          <w:szCs w:val="32"/>
        </w:rPr>
        <w:t>项目资金到位后，</w:t>
      </w:r>
      <w:r>
        <w:rPr>
          <w:rFonts w:hint="eastAsia" w:ascii="仿宋_GB2312" w:hAnsi="仿宋_GB2312" w:eastAsia="仿宋_GB2312" w:cs="仿宋_GB2312"/>
          <w:kern w:val="0"/>
          <w:sz w:val="32"/>
          <w:szCs w:val="32"/>
          <w:shd w:val="clear" w:color="auto" w:fill="FFFFFF"/>
        </w:rPr>
        <w:t>各项目实施学校指定专人具体负责项目的规划、施工、监督等工作，做到工程处处有人抓、件件有落实</w:t>
      </w:r>
      <w:r>
        <w:rPr>
          <w:rFonts w:hint="eastAsia" w:ascii="仿宋_GB2312" w:hAnsi="仿宋_GB2312" w:eastAsia="仿宋_GB2312" w:cs="仿宋_GB2312"/>
          <w:sz w:val="32"/>
          <w:szCs w:val="32"/>
          <w:shd w:val="clear" w:color="auto" w:fill="FFFFFF"/>
        </w:rPr>
        <w:t>，为</w:t>
      </w:r>
      <w:r>
        <w:rPr>
          <w:rFonts w:hint="eastAsia" w:ascii="仿宋_GB2312" w:hAnsi="仿宋_GB2312" w:eastAsia="仿宋_GB2312" w:cs="仿宋_GB2312"/>
          <w:kern w:val="0"/>
          <w:sz w:val="32"/>
          <w:szCs w:val="32"/>
          <w:shd w:val="clear" w:color="auto" w:fill="FFFFFF"/>
        </w:rPr>
        <w:t>项目的顺利实施奠定了坚实的基础。项目严格按照招投标法执行，无调整情况，按工程进度资金到位部分完成验收。</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经济性：项目成本预算控制实现目标</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效率性：资金完成项目100%</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有益性：项目资金专款专用，专人管理，并建立相应的台帐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可持续性：项目完成后，提升了我县义务教育阶段学校办学条件，中小学校创造一个良好的学习环境，保障学生就学需求，实现义务教育均衡发展验收目标。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（一）主要经验及做法、存在问题和建议</w:t>
      </w:r>
    </w:p>
    <w:p>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严管项目资金，确保专款专用，制定项目资料管理制度，指定专人负责项目财务管理及报帐工作，做到专用帐户，专人管理，专款专用，及时拨付，管好用好资金。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bookmarkStart w:id="0" w:name="_Hlk20223545"/>
            <w:r>
              <w:rPr>
                <w:rFonts w:hint="eastAsia" w:ascii="宋体" w:hAnsi="宋体" w:cs="宋体"/>
                <w:b/>
                <w:bCs/>
                <w:kern w:val="0"/>
                <w:sz w:val="32"/>
                <w:szCs w:val="32"/>
              </w:rPr>
              <w:t>自治州财政项目支出绩效自评表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农村义务教育薄弱学校改造项目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477.02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477.02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477.02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477.02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0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完成奇台五中运动场建设；完成奇台三中硬化、绿化建设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完成奇台五中运动场建设；完成奇台三中硬化、绿化建设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2所</w:t>
            </w:r>
          </w:p>
        </w:tc>
        <w:tc>
          <w:tcPr>
            <w:tcW w:w="178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2所</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室外运动场建筑面积</w:t>
            </w:r>
          </w:p>
        </w:tc>
        <w:tc>
          <w:tcPr>
            <w:tcW w:w="206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18000平方米</w:t>
            </w:r>
          </w:p>
        </w:tc>
        <w:tc>
          <w:tcPr>
            <w:tcW w:w="178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18000平方米</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硬化、绿化竣工验收合格率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硬化、绿化质量标准</w:t>
            </w:r>
          </w:p>
        </w:tc>
        <w:tc>
          <w:tcPr>
            <w:tcW w:w="206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运动场竣工验收合格率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硬化、绿化建设周期</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5个月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5个月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2015年11月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2015年11月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运动场建设周期</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17个月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17个月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2016年10月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2016年10月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硬化、绿化类项目每平方米造价</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≤350元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≤350元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室外运动场每平方米造价</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项目覆盖范围义务教育阶段学生</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≥4909人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≥4909人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项目覆盖范围义务教育阶段建档立卡贫困学生</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运动场持续使用年限</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计算机及多媒体教学设备管理持续使用年限</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bookmarkEnd w:id="0"/>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CA6457"/>
    <w:rsid w:val="00056465"/>
    <w:rsid w:val="00064C57"/>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6720B"/>
    <w:rsid w:val="00CA6457"/>
    <w:rsid w:val="00D17F2E"/>
    <w:rsid w:val="00D30354"/>
    <w:rsid w:val="00DF42A0"/>
    <w:rsid w:val="00E46C51"/>
    <w:rsid w:val="00E769FE"/>
    <w:rsid w:val="00EA2CBE"/>
    <w:rsid w:val="00F32FEE"/>
    <w:rsid w:val="00FB10BB"/>
    <w:rsid w:val="00FC2E91"/>
    <w:rsid w:val="04017286"/>
    <w:rsid w:val="0FA214AE"/>
    <w:rsid w:val="13FA00B5"/>
    <w:rsid w:val="151B60BE"/>
    <w:rsid w:val="1642493B"/>
    <w:rsid w:val="1C5F7A2F"/>
    <w:rsid w:val="1E564841"/>
    <w:rsid w:val="213C041B"/>
    <w:rsid w:val="21D14D8D"/>
    <w:rsid w:val="2A521CD5"/>
    <w:rsid w:val="3983667E"/>
    <w:rsid w:val="46941482"/>
    <w:rsid w:val="4B55742C"/>
    <w:rsid w:val="52595DC9"/>
    <w:rsid w:val="641E1898"/>
    <w:rsid w:val="72746DDB"/>
    <w:rsid w:val="73A02F13"/>
    <w:rsid w:val="73EC3E0D"/>
    <w:rsid w:val="76AA2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customStyle="1" w:styleId="35">
    <w:name w:val="明显引用1"/>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417</Words>
  <Characters>2382</Characters>
  <Lines>19</Lines>
  <Paragraphs>5</Paragraphs>
  <TotalTime>0</TotalTime>
  <ScaleCrop>false</ScaleCrop>
  <LinksUpToDate>false</LinksUpToDate>
  <CharactersWithSpaces>2794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2024-03-22T08:59:52Z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F6B9012B7A5848859040D8B6B0900E96_12</vt:lpwstr>
  </property>
</Properties>
</file>