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附件1：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lang w:eastAsia="zh-CN"/>
        </w:rPr>
        <w:t>奇台县市场监督管理局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项目支出</w:t>
      </w: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left="2877" w:leftChars="513" w:hanging="1800" w:hangingChars="500"/>
        <w:jc w:val="left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食品抽检项目</w:t>
      </w:r>
    </w:p>
    <w:p>
      <w:pPr>
        <w:spacing w:line="700" w:lineRule="exact"/>
        <w:ind w:firstLine="1080" w:firstLineChars="3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实施单位（公章）：奇台县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市场监督管理局</w:t>
      </w:r>
    </w:p>
    <w:p>
      <w:pPr>
        <w:spacing w:line="700" w:lineRule="exact"/>
        <w:ind w:firstLine="1080" w:firstLineChars="3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主管部门（公章）：奇台县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市场监督管理局</w:t>
      </w:r>
    </w:p>
    <w:p>
      <w:pPr>
        <w:spacing w:line="700" w:lineRule="exact"/>
        <w:ind w:firstLine="1080" w:firstLineChars="300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董伟国</w:t>
      </w:r>
    </w:p>
    <w:p>
      <w:pPr>
        <w:spacing w:line="700" w:lineRule="exact"/>
        <w:ind w:firstLine="1080" w:firstLineChars="300"/>
        <w:jc w:val="left"/>
        <w:rPr>
          <w:rFonts w:hAnsi="宋体" w:eastAsia="仿宋_GB2312" w:cs="宋体"/>
          <w:kern w:val="0"/>
          <w:sz w:val="36"/>
          <w:szCs w:val="36"/>
          <w:highlight w:val="yellow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填报时间：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2019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23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624" w:firstLineChars="200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、承担国家和自治区、州有关工商行政管理、食品药品监督管理、质量技术监督管理等方面法律法规规章的执行、宣传和政策落实。研究制定并组织实施奇台县市场监督管理相关政策措施。负责市场监督管理信用体系建设和应急体系建设。</w:t>
      </w:r>
    </w:p>
    <w:p>
      <w:pPr>
        <w:spacing w:line="540" w:lineRule="exact"/>
        <w:ind w:firstLine="624" w:firstLineChars="200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2、承担国家、自治区、自治州有关食品（含酒类、食品添加剂、保健食品，下同）、药品（含中药、民族药，下同）、医疗器械、化妆品监督管理的法律法规规章，实施食品经营的行政许可；负责药品和医疗器械研制、生产、经营、使用质量安全监管，实施质量管理规范；负责建立药品不良反应、医疗器械不良事件监测体系。</w:t>
      </w:r>
    </w:p>
    <w:p>
      <w:pPr>
        <w:spacing w:line="540" w:lineRule="exact"/>
        <w:ind w:firstLine="624" w:firstLineChars="200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3、承担县人民政府食品安全委员会办公室的日常工作，指导检查乡（镇）、园区和有关部门履行食品药品安全监督管理职责并负责考核评价。</w:t>
      </w:r>
    </w:p>
    <w:p>
      <w:pPr>
        <w:spacing w:line="540" w:lineRule="exact"/>
        <w:ind w:firstLine="624" w:firstLineChars="200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4、承担各类企业、农民专业合作社和从事经营活动的单位、个人以及外国(地区)企业常驻代表机构等市场主体的登记注册并监督管理，负责依法查处取缔无照经营行为。</w:t>
      </w:r>
    </w:p>
    <w:p>
      <w:pPr>
        <w:spacing w:line="540" w:lineRule="exact"/>
        <w:ind w:firstLine="624" w:firstLineChars="200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5、承担市场监督管理领域消费维权工作，查处假冒伪劣等违法行为，指导消费者咨询、申诉、举报受理、处理和网络体系建设等工作，组织查处侵犯消费者权益案件，保护经营者、消费者合法权益。</w:t>
      </w:r>
    </w:p>
    <w:p>
      <w:pPr>
        <w:spacing w:line="540" w:lineRule="exact"/>
        <w:ind w:firstLine="624" w:firstLineChars="200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6、承担依法监督管理直销企业和直销员及其直销活动，依法打击传销违法行为。负责依法监督管理经纪人、经纪机构及经纪活动。负责监督管理市场交易行为和网络商品交易及有关服务的行为。</w:t>
      </w:r>
    </w:p>
    <w:p>
      <w:pPr>
        <w:spacing w:line="540" w:lineRule="exact"/>
        <w:ind w:firstLine="624" w:firstLineChars="200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7、承担奇台县发展非公有制经济协调领导小组办公室日常工作；负责个体工商户和私营企业的经营行为的服务和监督管理。组织指导企业、个体工商户、商品交易市场信用分类管理，依法发布市场主体登记注册基础信息、商标注册信息。</w:t>
      </w:r>
    </w:p>
    <w:p>
      <w:pPr>
        <w:spacing w:line="540" w:lineRule="exact"/>
        <w:ind w:firstLine="624" w:firstLineChars="200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8、负责依法实施合同监督管理，负责管理动产抵押物登记，组织监督管理拍卖行为，依法查处合同欺诈等违法行为。</w:t>
      </w:r>
    </w:p>
    <w:p>
      <w:pPr>
        <w:spacing w:line="540" w:lineRule="exact"/>
        <w:ind w:firstLine="624" w:firstLineChars="200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9、负责商标监督管理工作，依法保护商标专用权和查处商标侵权行为，按规定组织知名商标、著名商标、驰名商标的推荐和保护工作。负责广告活动的监督管理工作，依法查处广告违法行为。</w:t>
      </w:r>
    </w:p>
    <w:p>
      <w:pPr>
        <w:spacing w:line="540" w:lineRule="exact"/>
        <w:ind w:firstLine="624" w:firstLineChars="200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10、负责垄断协议、滥用市场支配地位、滥用行政权力排除限制竞争方面的反垄断执法工作。依法查处不正当竞争、商业贿赂、走私贩私等经济违法行为。</w:t>
      </w:r>
    </w:p>
    <w:p>
      <w:pPr>
        <w:spacing w:line="540" w:lineRule="exact"/>
        <w:ind w:firstLine="624" w:firstLineChars="200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11、负责制订质量发展规划，组织推进质量发展工作；推行先进质量管理方法和质量体系认证，组织实施品牌发展战略，组织实施质量奖励制度；依法管理和指导质量工作，负责质量宏观管理和产（商）品质量监督检查工作；组织产（商）品质量预警、监测工作；负责设备监理单位资格管理；组织或参与有关产（商）品质量事故调查；负责对工业产品生产许可证产品及相关活动进行监督检查；负责地理标志产品日常监督管理工作；监督管理产品防伪工作。</w:t>
      </w:r>
    </w:p>
    <w:p>
      <w:pPr>
        <w:spacing w:line="540" w:lineRule="exact"/>
        <w:ind w:firstLine="624" w:firstLineChars="200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12、负责管理标准化工作；组织协调和指导推动各部门、各行业的标准化工作；依法组织制定地方标准规范；依法监督标准的实施；推行采用国际标准和国外先进标准，负责技术性贸易中涉及标准的有关工作；负责能效标识的监督管理；负责商品条码监督检查工作。</w:t>
      </w:r>
    </w:p>
    <w:p>
      <w:pPr>
        <w:spacing w:line="540" w:lineRule="exact"/>
        <w:ind w:firstLine="624" w:firstLineChars="200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13、负责管理计量工作，推行法定计量单位和国家计量制度，依法监督管理计量器具及量值传递和比对工作；负责规范和监督商品计量和市场计量行为。</w:t>
      </w:r>
    </w:p>
    <w:p>
      <w:pPr>
        <w:spacing w:line="540" w:lineRule="exact"/>
        <w:ind w:firstLine="624" w:firstLineChars="200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14、负责检验检测机构的监督管理，依法对检验机构及其检验服务活动进行监督管理；负责认证市场监督和管理工作。</w:t>
      </w:r>
    </w:p>
    <w:p>
      <w:pPr>
        <w:spacing w:line="540" w:lineRule="exact"/>
        <w:ind w:firstLine="624" w:firstLineChars="200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15、落实打假责任制要求，负责依法对辖区内质量、计量、标准化、认证认可的日常监督管理；负责特种设备安全监督管理工作；监督检查高能耗特种设备节能标准的执行情况。</w:t>
      </w:r>
    </w:p>
    <w:p>
      <w:pPr>
        <w:spacing w:line="540" w:lineRule="exact"/>
        <w:ind w:firstLine="624" w:firstLineChars="200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16、负责纤维质量监督管理工作。</w:t>
      </w:r>
    </w:p>
    <w:p>
      <w:pPr>
        <w:spacing w:line="540" w:lineRule="exact"/>
        <w:ind w:firstLine="624" w:firstLineChars="200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17、承办县人民政府及县食品安全委员会交办的其他事项。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7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spacing w:line="540" w:lineRule="exact"/>
        <w:ind w:firstLine="624" w:firstLineChars="200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以满足人民群众美好生活对安全健康食品的需要为目标，以食品安全抽样检验为抓手，以发现食品安全问题为导向，以监督抽检与信息公布、核查处置联动为保障，有效防控苗头性、系统性、区域性食品安全风险，倒逼生产经营企业落实食品安全主体责任，巩固食品安全稳定向好的态势，促进食品产业有序健康发展。完成好州局下达的奇台县2018年250批次食用农产品抽检任务数，全项做好指定的检验项目的抽检工作，同时做好抽检信息汇总和整理工作，并及时向社会公示和及时上报食用农产品抽检信息。</w:t>
      </w:r>
    </w:p>
    <w:p>
      <w:pPr>
        <w:spacing w:beforeLines="0" w:afterLines="0"/>
        <w:ind w:firstLine="624" w:firstLineChars="200"/>
        <w:jc w:val="left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624" w:firstLineChars="200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yellow"/>
          <w:lang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财政预算拨入抽检项目经费36万元，实际拨入36万元。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564" w:firstLineChars="181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财政预算拨入抽检项目经费36万元，本年支出36万元，全部用于食用农产品抽检，其中：委托谱尼测试集团抽检经费29.73万元、抽检办公经费2.27万元、印刷费2.05万元、邮电费0.43万元、差旅费1.51万元。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564" w:firstLineChars="181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严格按照食药监办〔2018〕17号《关于印发2018年地县食品安全抽检计划的通知》及《政府采购制度》进行项目运行及资金管理。</w:t>
      </w:r>
    </w:p>
    <w:p>
      <w:pPr>
        <w:spacing w:line="540" w:lineRule="exact"/>
        <w:ind w:firstLine="624" w:firstLineChars="20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624" w:firstLineChars="200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为保质保量完成好农产品抽检工作，我局选派业务精、工作干练、责任心强的一名干部参加区局组织的食用农产品培训。我局在确定抽检机构重点考查机构资质能力，对2家有检测资质的单位进行考察评定，选择资质能力较强的谱尼测试承担检验工作，并与其签订了检测协议。积极支持配合承检机构开展工作，确定了专人负</w:t>
      </w:r>
      <w:bookmarkStart w:id="0" w:name="_GoBack"/>
      <w:bookmarkEnd w:id="0"/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责配合开展食用农产品抽检工作，在样品采集、运输等方面提供了必要的帮助，并要求抽样人员和承检机构在抽检工作中严格按照有关法律法规、规章和《食品安全抽检实施细则》等规定执行。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24" w:firstLineChars="200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抽样和检测等工作的实施应严格按照有关法律法规、规章以及《食品安全抽样检验管理办法》（总局第11号令）、《食品安全监督抽检和风险监测工作规范》、《食品安全抽检监测实施细则（2018版）》；抽样过程应严格按照监督抽检工作程序，履行相应的法定手续。</w:t>
      </w:r>
    </w:p>
    <w:p>
      <w:pPr>
        <w:spacing w:line="540" w:lineRule="exact"/>
        <w:ind w:firstLine="624" w:firstLineChars="200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检验人员应按照食品安全标准和检验规范对食品进行检验，保证数据和结论客观、公正。承检机构对不合格样品必须进行复核，确保检验结果准确可靠。此外，检验报告编号应该与抽样编号保持一致（或是在检验报告封皮醒目处加注抽样编号），便于不合格样品的核查处置追溯。</w:t>
      </w:r>
    </w:p>
    <w:p>
      <w:pPr>
        <w:spacing w:line="540" w:lineRule="exact"/>
        <w:ind w:firstLine="624" w:firstLineChars="200"/>
        <w:rPr>
          <w:rFonts w:hint="eastAsia" w:ascii="仿宋" w:hAnsi="仿宋" w:eastAsia="仿宋" w:cs="仿宋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抽检过程中，如发现企业停产的要说明原因并做好书面记录，长期停产的要进行生产条件的复核确认。经企业申请复检后，复检与初检结果不一致的，应分析原因。</w:t>
      </w:r>
    </w:p>
    <w:p>
      <w:pPr>
        <w:spacing w:line="540" w:lineRule="exact"/>
        <w:ind w:firstLine="640"/>
        <w:rPr>
          <w:rStyle w:val="17"/>
          <w:rFonts w:ascii="黑体" w:hAnsi="黑体" w:eastAsia="黑体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7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pacing w:line="500" w:lineRule="exact"/>
        <w:ind w:left="0" w:leftChars="0" w:right="0" w:rightChars="0" w:firstLine="624" w:firstLineChars="200"/>
        <w:textAlignment w:val="auto"/>
        <w:outlineLvl w:val="9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奇台县市场监督管理局截止10月31日已完成250批次食用农产品抽检，一是对我县各食品市场销售的蔬菜、水果的农药残留，畜禽肉、水产品的兽药残留等进行抽检；二是对小餐饮、小作坊、小摊贩等行业的食品进行抽检以食品安全抽样检验为抓手；辖区内的农贸市场、集市、商场超市等经营单位进行抽检。检测信息已录入上报完毕，抽检结果248批次合格，有2批次不合格，对于抽检不合格商品的经营者给予了10000元的行政处罚，并及时按月分8次在奇台县人民政府网上及时公示检测结果。公众满意度大于等于85%、抽查企业满意度大于等于90%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beforeLines="0" w:afterLines="0"/>
        <w:ind w:firstLine="624" w:firstLineChars="200"/>
        <w:jc w:val="left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无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67" w:firstLineChars="181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 xml:space="preserve"> 无</w:t>
      </w:r>
    </w:p>
    <w:p>
      <w:pPr>
        <w:numPr>
          <w:ilvl w:val="0"/>
          <w:numId w:val="1"/>
        </w:numPr>
        <w:spacing w:line="540" w:lineRule="exact"/>
        <w:ind w:firstLine="567" w:firstLineChars="181"/>
        <w:rPr>
          <w:rFonts w:hint="eastAsia"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主要经验及做法、存在问题和建议</w:t>
      </w:r>
    </w:p>
    <w:p>
      <w:pPr>
        <w:numPr>
          <w:ilvl w:val="0"/>
          <w:numId w:val="0"/>
        </w:numPr>
        <w:spacing w:line="540" w:lineRule="exact"/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 xml:space="preserve">     无</w:t>
      </w:r>
    </w:p>
    <w:p>
      <w:pPr>
        <w:numPr>
          <w:ilvl w:val="0"/>
          <w:numId w:val="1"/>
        </w:numPr>
        <w:spacing w:line="540" w:lineRule="exact"/>
        <w:ind w:firstLine="567" w:firstLineChars="181"/>
        <w:rPr>
          <w:rFonts w:hint="eastAsia"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其他</w:t>
      </w:r>
    </w:p>
    <w:p>
      <w:pPr>
        <w:numPr>
          <w:ilvl w:val="0"/>
          <w:numId w:val="0"/>
        </w:numPr>
        <w:spacing w:line="540" w:lineRule="exact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 xml:space="preserve">     无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spacing w:line="540" w:lineRule="exact"/>
        <w:ind w:firstLine="567"/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经抽样调查、公众满意度问卷调查以及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项目现场勘验检查核实等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作出项目评价。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《自治州财政项目支出绩效自评表》</w:t>
      </w:r>
    </w:p>
    <w:tbl>
      <w:tblPr>
        <w:tblW w:w="94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90"/>
        <w:gridCol w:w="750"/>
        <w:gridCol w:w="975"/>
        <w:gridCol w:w="1080"/>
        <w:gridCol w:w="1081"/>
        <w:gridCol w:w="2221"/>
        <w:gridCol w:w="26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附件4</w:t>
            </w:r>
          </w:p>
        </w:tc>
        <w:tc>
          <w:tcPr>
            <w:tcW w:w="750" w:type="dxa"/>
            <w:shd w:val="clear"/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5" w:type="dxa"/>
            <w:shd w:val="clear"/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shd w:val="clear"/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1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1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23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</w:trPr>
        <w:tc>
          <w:tcPr>
            <w:tcW w:w="9420" w:type="dxa"/>
            <w:gridSpan w:val="7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420" w:type="dxa"/>
            <w:gridSpan w:val="7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（2018年度）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24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0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抽检经费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24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70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奇台县市场监督管理局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6"/>
                <w:lang w:val="en-US" w:eastAsia="zh-CN" w:bidi="ar"/>
              </w:rPr>
              <w:t>预算</w:t>
            </w:r>
            <w:r>
              <w:rPr>
                <w:rStyle w:val="46"/>
                <w:lang w:val="en-US" w:eastAsia="zh-CN" w:bidi="ar"/>
              </w:rPr>
              <w:br w:type="textWrapping"/>
            </w:r>
            <w:r>
              <w:rPr>
                <w:rStyle w:val="46"/>
                <w:lang w:val="en-US" w:eastAsia="zh-CN" w:bidi="ar"/>
              </w:rPr>
              <w:t>执行</w:t>
            </w:r>
            <w:r>
              <w:rPr>
                <w:rStyle w:val="46"/>
                <w:lang w:val="en-US" w:eastAsia="zh-CN" w:bidi="ar"/>
              </w:rPr>
              <w:br w:type="textWrapping"/>
            </w:r>
            <w:r>
              <w:rPr>
                <w:rStyle w:val="46"/>
                <w:lang w:val="en-US" w:eastAsia="zh-CN" w:bidi="ar"/>
              </w:rPr>
              <w:t>情况</w:t>
            </w:r>
            <w:r>
              <w:rPr>
                <w:rStyle w:val="46"/>
                <w:lang w:val="en-US" w:eastAsia="zh-CN" w:bidi="ar"/>
              </w:rPr>
              <w:br w:type="textWrapping"/>
            </w:r>
            <w:r>
              <w:rPr>
                <w:rStyle w:val="47"/>
                <w:lang w:val="en-US" w:eastAsia="zh-CN" w:bidi="ar"/>
              </w:rPr>
              <w:t>（万元）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预算数：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执行数：</w:t>
            </w:r>
          </w:p>
        </w:tc>
        <w:tc>
          <w:tcPr>
            <w:tcW w:w="2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221" w:type="dxa"/>
            <w:tcBorders>
              <w:top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2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1" w:type="dxa"/>
            <w:tcBorders>
              <w:top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2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目标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完成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情况</w:t>
            </w:r>
          </w:p>
        </w:tc>
        <w:tc>
          <w:tcPr>
            <w:tcW w:w="38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48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实际完成目标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促进食用农产品行业健康有序发展</w:t>
            </w:r>
          </w:p>
        </w:tc>
        <w:tc>
          <w:tcPr>
            <w:tcW w:w="48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促进食用农产品行业健康有序发展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绩效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完成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情况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预期指标值（包含数字及文字描述）</w:t>
            </w:r>
          </w:p>
        </w:tc>
        <w:tc>
          <w:tcPr>
            <w:tcW w:w="2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项目完成指标</w:t>
            </w:r>
          </w:p>
        </w:tc>
        <w:tc>
          <w:tcPr>
            <w:tcW w:w="9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指标1：监督检查次数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12次</w:t>
            </w:r>
          </w:p>
        </w:tc>
        <w:tc>
          <w:tcPr>
            <w:tcW w:w="2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指标2：食用农产品抽检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250批次</w:t>
            </w:r>
          </w:p>
        </w:tc>
        <w:tc>
          <w:tcPr>
            <w:tcW w:w="2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250批次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指标3：抽检批次增长率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0.03</w:t>
            </w:r>
          </w:p>
        </w:tc>
        <w:tc>
          <w:tcPr>
            <w:tcW w:w="2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指标4：抽查成果报告份数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250份</w:t>
            </w:r>
          </w:p>
        </w:tc>
        <w:tc>
          <w:tcPr>
            <w:tcW w:w="2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指标5：抽查企业数量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80家</w:t>
            </w:r>
          </w:p>
        </w:tc>
        <w:tc>
          <w:tcPr>
            <w:tcW w:w="2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5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指标1：抽查覆盖率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2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指标2：不合格产品及企业曝光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2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指标3：立案查处率（%）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2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指标4：不合格产品查处率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2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指标5：信息监测覆盖率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2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5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指标1：监督检查任务完成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2018-10-31</w:t>
            </w:r>
          </w:p>
        </w:tc>
        <w:tc>
          <w:tcPr>
            <w:tcW w:w="2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2018-10-31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指标2：食用农产品抽检任务完成时效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2018-10-31</w:t>
            </w:r>
          </w:p>
        </w:tc>
        <w:tc>
          <w:tcPr>
            <w:tcW w:w="2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2018-10-31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指标3：抽检批次增长率完成时效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2018-10-31</w:t>
            </w:r>
          </w:p>
        </w:tc>
        <w:tc>
          <w:tcPr>
            <w:tcW w:w="2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2018-10-31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指标4：抽查成果报告份数完成时效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2018-10-31</w:t>
            </w:r>
          </w:p>
        </w:tc>
        <w:tc>
          <w:tcPr>
            <w:tcW w:w="2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2018-10-31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指标5：抽查企业数量完成时效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2018-10-31</w:t>
            </w:r>
          </w:p>
        </w:tc>
        <w:tc>
          <w:tcPr>
            <w:tcW w:w="2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2018-10-31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指标1：食品每批次抽检费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≥1500元</w:t>
            </w:r>
          </w:p>
        </w:tc>
        <w:tc>
          <w:tcPr>
            <w:tcW w:w="2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≥1500元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指标1：重大事故发生次数（次）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食品安全重大事故发生次数0次</w:t>
            </w:r>
          </w:p>
        </w:tc>
        <w:tc>
          <w:tcPr>
            <w:tcW w:w="2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食品安全重大事故发生次数0次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指标2：问题商品下回率（%）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下架的抽查问题商品总数的比率100%</w:t>
            </w:r>
          </w:p>
        </w:tc>
        <w:tc>
          <w:tcPr>
            <w:tcW w:w="2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下架的抽查问题商品总数的比率100%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指标3：制假售假案件下降率（%）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制假售假案件同比下降率30%</w:t>
            </w:r>
          </w:p>
        </w:tc>
        <w:tc>
          <w:tcPr>
            <w:tcW w:w="2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制假售假案件同比下降率30%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可持续影响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指标1：促进食品生产企业健康有序发展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逐步提高</w:t>
            </w:r>
          </w:p>
        </w:tc>
        <w:tc>
          <w:tcPr>
            <w:tcW w:w="2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逐步提高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</w:t>
            </w:r>
          </w:p>
        </w:tc>
        <w:tc>
          <w:tcPr>
            <w:tcW w:w="9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指标1：公众满意度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≥85%</w:t>
            </w:r>
          </w:p>
        </w:tc>
        <w:tc>
          <w:tcPr>
            <w:tcW w:w="2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≥85%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指标2：抽查企业满意度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≥90%</w:t>
            </w:r>
          </w:p>
        </w:tc>
        <w:tc>
          <w:tcPr>
            <w:tcW w:w="2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≥90%</w:t>
            </w:r>
          </w:p>
        </w:tc>
      </w:tr>
    </w:tbl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Arial Rounded MT Bold">
    <w:altName w:val="Arial"/>
    <w:panose1 w:val="020F0704030504030204"/>
    <w:charset w:val="00"/>
    <w:family w:val="auto"/>
    <w:pitch w:val="default"/>
    <w:sig w:usb0="00000000" w:usb1="00000000" w:usb2="00000000" w:usb3="00000000" w:csb0="20000001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LKATIP Basma Tom">
    <w:altName w:val="Times New Roman"/>
    <w:panose1 w:val="02000000000000000000"/>
    <w:charset w:val="00"/>
    <w:family w:val="auto"/>
    <w:pitch w:val="default"/>
    <w:sig w:usb0="00000000" w:usb1="00000000" w:usb2="00000008" w:usb3="00000000" w:csb0="00000041" w:csb1="00000000"/>
  </w:font>
  <w:font w:name="方正仿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简体">
    <w:altName w:val="方正兰亭超细黑简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3D72A2"/>
    <w:multiLevelType w:val="singleLevel"/>
    <w:tmpl w:val="5C3D72A2"/>
    <w:lvl w:ilvl="0" w:tentative="0">
      <w:start w:val="2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56465"/>
    <w:rsid w:val="00121AE4"/>
    <w:rsid w:val="00146AAD"/>
    <w:rsid w:val="001B3A40"/>
    <w:rsid w:val="003C18BC"/>
    <w:rsid w:val="004366A8"/>
    <w:rsid w:val="00464900"/>
    <w:rsid w:val="00502BA7"/>
    <w:rsid w:val="005162F1"/>
    <w:rsid w:val="00535153"/>
    <w:rsid w:val="00554F82"/>
    <w:rsid w:val="0056390D"/>
    <w:rsid w:val="005719B0"/>
    <w:rsid w:val="005D10D6"/>
    <w:rsid w:val="007806A5"/>
    <w:rsid w:val="00855E3A"/>
    <w:rsid w:val="00922CB9"/>
    <w:rsid w:val="009E5CD9"/>
    <w:rsid w:val="00A26421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D17F2E"/>
    <w:rsid w:val="00D30354"/>
    <w:rsid w:val="00DF42A0"/>
    <w:rsid w:val="00E46C51"/>
    <w:rsid w:val="00E769FE"/>
    <w:rsid w:val="00EA2CBE"/>
    <w:rsid w:val="00F32FEE"/>
    <w:rsid w:val="00FB10BB"/>
    <w:rsid w:val="03BE750F"/>
    <w:rsid w:val="04FA1E1F"/>
    <w:rsid w:val="0C4D53A6"/>
    <w:rsid w:val="0CFE70EC"/>
    <w:rsid w:val="0F4B0411"/>
    <w:rsid w:val="11DA0264"/>
    <w:rsid w:val="144C5BDC"/>
    <w:rsid w:val="14CD50ED"/>
    <w:rsid w:val="15E42AC4"/>
    <w:rsid w:val="16B1771A"/>
    <w:rsid w:val="19194653"/>
    <w:rsid w:val="19FD00EE"/>
    <w:rsid w:val="1E1251F4"/>
    <w:rsid w:val="1E6B0F50"/>
    <w:rsid w:val="20A61175"/>
    <w:rsid w:val="23E96828"/>
    <w:rsid w:val="27A321FC"/>
    <w:rsid w:val="2D2F1BA9"/>
    <w:rsid w:val="2E3459A7"/>
    <w:rsid w:val="2F616676"/>
    <w:rsid w:val="31590397"/>
    <w:rsid w:val="34B279A8"/>
    <w:rsid w:val="36171986"/>
    <w:rsid w:val="365D49DF"/>
    <w:rsid w:val="3AFB708D"/>
    <w:rsid w:val="44DD3ABF"/>
    <w:rsid w:val="4770180D"/>
    <w:rsid w:val="48FF64C2"/>
    <w:rsid w:val="493752F3"/>
    <w:rsid w:val="4A6674A5"/>
    <w:rsid w:val="4DE2512C"/>
    <w:rsid w:val="5263694C"/>
    <w:rsid w:val="55B815B5"/>
    <w:rsid w:val="59812A00"/>
    <w:rsid w:val="5B6C67CB"/>
    <w:rsid w:val="5C1D481B"/>
    <w:rsid w:val="5D0935BA"/>
    <w:rsid w:val="606A30C9"/>
    <w:rsid w:val="639E48A2"/>
    <w:rsid w:val="66A31086"/>
    <w:rsid w:val="6B07599E"/>
    <w:rsid w:val="752C6783"/>
    <w:rsid w:val="75CE5E1E"/>
    <w:rsid w:val="75FE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6">
    <w:name w:val="Default Paragraph Font"/>
    <w:unhideWhenUsed/>
    <w:qFormat/>
    <w:uiPriority w:val="1"/>
  </w:style>
  <w:style w:type="table" w:default="1" w:styleId="1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unhideWhenUsed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0"/>
    <w:rPr>
      <w:b/>
      <w:bCs/>
    </w:rPr>
  </w:style>
  <w:style w:type="character" w:styleId="18">
    <w:name w:val="Emphasis"/>
    <w:basedOn w:val="16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Char"/>
    <w:basedOn w:val="16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Char"/>
    <w:basedOn w:val="16"/>
    <w:link w:val="3"/>
    <w:semiHidden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Char"/>
    <w:basedOn w:val="16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Char"/>
    <w:basedOn w:val="16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Char"/>
    <w:basedOn w:val="16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Char"/>
    <w:basedOn w:val="16"/>
    <w:link w:val="7"/>
    <w:semiHidden/>
    <w:uiPriority w:val="9"/>
    <w:rPr>
      <w:b/>
      <w:bCs/>
    </w:rPr>
  </w:style>
  <w:style w:type="character" w:customStyle="1" w:styleId="26">
    <w:name w:val="标题 7 Char"/>
    <w:basedOn w:val="16"/>
    <w:link w:val="8"/>
    <w:semiHidden/>
    <w:qFormat/>
    <w:uiPriority w:val="9"/>
    <w:rPr>
      <w:sz w:val="24"/>
      <w:szCs w:val="24"/>
    </w:rPr>
  </w:style>
  <w:style w:type="character" w:customStyle="1" w:styleId="27">
    <w:name w:val="标题 8 Char"/>
    <w:basedOn w:val="16"/>
    <w:link w:val="9"/>
    <w:semiHidden/>
    <w:uiPriority w:val="9"/>
    <w:rPr>
      <w:i/>
      <w:iCs/>
      <w:sz w:val="24"/>
      <w:szCs w:val="24"/>
    </w:rPr>
  </w:style>
  <w:style w:type="character" w:customStyle="1" w:styleId="28">
    <w:name w:val="标题 9 Char"/>
    <w:basedOn w:val="16"/>
    <w:link w:val="10"/>
    <w:semiHidden/>
    <w:uiPriority w:val="9"/>
    <w:rPr>
      <w:rFonts w:asciiTheme="majorHAnsi" w:hAnsiTheme="majorHAnsi" w:eastAsiaTheme="majorEastAsia"/>
    </w:rPr>
  </w:style>
  <w:style w:type="character" w:customStyle="1" w:styleId="29">
    <w:name w:val="标题 Char"/>
    <w:basedOn w:val="16"/>
    <w:link w:val="15"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Char"/>
    <w:basedOn w:val="16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Char"/>
    <w:basedOn w:val="16"/>
    <w:link w:val="33"/>
    <w:uiPriority w:val="29"/>
    <w:rPr>
      <w:i/>
      <w:sz w:val="24"/>
      <w:szCs w:val="24"/>
    </w:rPr>
  </w:style>
  <w:style w:type="paragraph" w:customStyle="1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Char"/>
    <w:basedOn w:val="16"/>
    <w:link w:val="35"/>
    <w:uiPriority w:val="30"/>
    <w:rPr>
      <w:b/>
      <w:i/>
      <w:sz w:val="24"/>
    </w:rPr>
  </w:style>
  <w:style w:type="character" w:customStyle="1" w:styleId="37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Intense Emphasis"/>
    <w:basedOn w:val="16"/>
    <w:qFormat/>
    <w:uiPriority w:val="21"/>
    <w:rPr>
      <w:b/>
      <w:i/>
      <w:sz w:val="24"/>
      <w:szCs w:val="24"/>
      <w:u w:val="single"/>
    </w:rPr>
  </w:style>
  <w:style w:type="character" w:customStyle="1" w:styleId="39">
    <w:name w:val="Subtle Reference"/>
    <w:basedOn w:val="16"/>
    <w:qFormat/>
    <w:uiPriority w:val="31"/>
    <w:rPr>
      <w:sz w:val="24"/>
      <w:szCs w:val="24"/>
      <w:u w:val="single"/>
    </w:rPr>
  </w:style>
  <w:style w:type="character" w:customStyle="1" w:styleId="40">
    <w:name w:val="Intense Reference"/>
    <w:basedOn w:val="16"/>
    <w:qFormat/>
    <w:uiPriority w:val="32"/>
    <w:rPr>
      <w:b/>
      <w:sz w:val="24"/>
      <w:u w:val="single"/>
    </w:rPr>
  </w:style>
  <w:style w:type="character" w:customStyle="1" w:styleId="41">
    <w:name w:val="Book Title"/>
    <w:basedOn w:val="16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Heading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Char"/>
    <w:basedOn w:val="16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Char"/>
    <w:basedOn w:val="16"/>
    <w:link w:val="12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Char"/>
    <w:basedOn w:val="16"/>
    <w:link w:val="11"/>
    <w:semiHidden/>
    <w:uiPriority w:val="99"/>
    <w:rPr>
      <w:rFonts w:ascii="Times New Roman" w:hAnsi="Times New Roman" w:eastAsia="宋体"/>
      <w:kern w:val="2"/>
      <w:sz w:val="18"/>
      <w:szCs w:val="18"/>
    </w:rPr>
  </w:style>
  <w:style w:type="character" w:customStyle="1" w:styleId="46">
    <w:name w:val="font61"/>
    <w:basedOn w:val="16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47">
    <w:name w:val="font11"/>
    <w:basedOn w:val="16"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204</Words>
  <Characters>1164</Characters>
  <Lines>9</Lines>
  <Paragraphs>2</Paragraphs>
  <TotalTime>1</TotalTime>
  <ScaleCrop>false</ScaleCrop>
  <LinksUpToDate>false</LinksUpToDate>
  <CharactersWithSpaces>1366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2019-01-13T12:20:00Z</cp:lastPrinted>
  <dcterms:modified xsi:type="dcterms:W3CDTF">2019-01-24T05:25:33Z</dcterms:modified>
  <dc:title>附件1：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