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奇台县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</w:t>
      </w:r>
      <w:r>
        <w:rPr>
          <w:rFonts w:hint="eastAsia" w:hAnsi="宋体" w:eastAsia="仿宋_GB2312" w:cs="宋体"/>
          <w:b/>
          <w:bCs/>
          <w:kern w:val="0"/>
          <w:sz w:val="36"/>
          <w:szCs w:val="36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项目名称：对</w:t>
      </w:r>
      <w:r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  <w:highlight w:val="none"/>
          <w:lang w:eastAsia="zh-CN"/>
        </w:rPr>
        <w:t>离休人员医疗保障金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的补助</w:t>
      </w:r>
    </w:p>
    <w:p>
      <w:pPr>
        <w:spacing w:line="700" w:lineRule="exact"/>
        <w:jc w:val="left"/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 xml:space="preserve">     实施单位（公章）：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/>
        </w:rPr>
        <w:t>奇台县社会保险管理局</w:t>
      </w:r>
    </w:p>
    <w:p>
      <w:pPr>
        <w:spacing w:line="700" w:lineRule="exact"/>
        <w:ind w:firstLine="711" w:firstLineChars="236"/>
        <w:jc w:val="left"/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主管部门（公章）：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/>
        </w:rPr>
        <w:t>奇台县社会保险管理局</w:t>
      </w:r>
    </w:p>
    <w:p>
      <w:pPr>
        <w:spacing w:line="700" w:lineRule="exact"/>
        <w:ind w:firstLine="711" w:firstLineChars="236"/>
        <w:jc w:val="left"/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项目负责人（签章）：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/>
        </w:rPr>
        <w:t>黄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/>
        </w:rPr>
        <w:t>斌</w:t>
      </w:r>
    </w:p>
    <w:p>
      <w:pPr>
        <w:spacing w:line="700" w:lineRule="exact"/>
        <w:ind w:firstLine="711" w:firstLineChars="236"/>
        <w:jc w:val="left"/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 xml:space="preserve">填报时间： 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 xml:space="preserve">年 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 xml:space="preserve"> 月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 xml:space="preserve"> 日</w:t>
      </w:r>
    </w:p>
    <w:p>
      <w:pPr>
        <w:spacing w:line="540" w:lineRule="exact"/>
        <w:jc w:val="center"/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</w:p>
    <w:p>
      <w:pPr>
        <w:spacing w:line="540" w:lineRule="exact"/>
        <w:ind w:firstLine="640"/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</w:rPr>
      </w:pPr>
    </w:p>
    <w:p>
      <w:pPr>
        <w:spacing w:line="540" w:lineRule="exact"/>
        <w:ind w:firstLine="640"/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</w:rPr>
      </w:pPr>
    </w:p>
    <w:p>
      <w:pPr>
        <w:spacing w:line="540" w:lineRule="exact"/>
        <w:ind w:firstLine="640"/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</w:rPr>
      </w:pPr>
    </w:p>
    <w:p>
      <w:pPr>
        <w:spacing w:line="540" w:lineRule="exact"/>
        <w:ind w:firstLine="640"/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一、项目概况</w:t>
      </w:r>
    </w:p>
    <w:p>
      <w:pPr>
        <w:spacing w:line="540" w:lineRule="exact"/>
        <w:ind w:firstLine="567"/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（一）项目单位基本情况</w:t>
      </w:r>
    </w:p>
    <w:p>
      <w:pPr>
        <w:spacing w:line="540" w:lineRule="exact"/>
        <w:ind w:firstLine="528" w:firstLineChars="181"/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奇台县社会保险管理局负责奇台县县域内行政、事业、企业职工基本养老保险、城乡居民基本养老保险、个体灵活就业城镇职工基本医疗保险、失业保险、工伤保险、生育保险的征缴和五项社会保险待遇的结算、支付等工作。负责全县机关事业单位养老保险政策宣传、基金征缴、支付管理、监督检查及稽核工作；承担全县城镇居民医疗保险的政策宣传及具体业务的经办；负责奇台县城乡居民养老保险政策宣传及具体业务的经办。负责全县社会保障卡相关政策宣传及发放工作。建立与完善奇台县社会保险系统，负责全县社保基金的监管工作；开展全民社保政策宣传，动员符合条件的参保人员参加社会保险。</w:t>
      </w:r>
    </w:p>
    <w:p>
      <w:pPr>
        <w:spacing w:line="540" w:lineRule="exact"/>
        <w:ind w:firstLine="531" w:firstLineChars="181"/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  <w:highlight w:val="none"/>
        </w:rPr>
        <w:t>（</w:t>
      </w:r>
      <w:r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二）项目预算绩效目标设定情况</w:t>
      </w:r>
    </w:p>
    <w:p>
      <w:pPr>
        <w:spacing w:line="540" w:lineRule="exact"/>
        <w:ind w:firstLine="528" w:firstLineChars="181"/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201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  <w:t>8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年根据《预算单位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  <w:t>2018年配套资金预算统计表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》，按照上级任务要求，每年同级财政要对全县离休人员的医疗保障金进行补助。离休人员医疗保障金属我局代收项目，补助基金全部由县级财政预算负担。</w:t>
      </w:r>
    </w:p>
    <w:p>
      <w:pPr>
        <w:spacing w:beforeLines="0" w:afterLines="0"/>
        <w:ind w:firstLine="586" w:firstLineChars="200"/>
        <w:jc w:val="left"/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  <w:lang w:eastAsia="zh-CN"/>
        </w:rPr>
      </w:pPr>
      <w:r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二、项目资金使用及管理情况</w:t>
      </w:r>
    </w:p>
    <w:p>
      <w:pPr>
        <w:spacing w:line="540" w:lineRule="exact"/>
        <w:ind w:firstLine="531" w:firstLineChars="181"/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（一）项目资金安排落实、总投入等情况分析</w:t>
      </w:r>
    </w:p>
    <w:p>
      <w:pPr>
        <w:spacing w:line="540" w:lineRule="exact"/>
        <w:ind w:firstLine="584" w:firstLineChars="200"/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对离休人员医疗保障金的补助，该项目总投入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  <w:t>35.49万元，其中本级财政拨款安排35.49万元。</w:t>
      </w:r>
    </w:p>
    <w:p>
      <w:pPr>
        <w:spacing w:line="540" w:lineRule="exact"/>
        <w:ind w:firstLine="531" w:firstLineChars="181"/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（二）项目资金实际使用情况分析</w:t>
      </w:r>
    </w:p>
    <w:p>
      <w:pPr>
        <w:spacing w:line="540" w:lineRule="exact"/>
        <w:ind w:firstLine="584" w:firstLineChars="200"/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  <w:t>2018年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对离休人员医疗保障金进行全额补助，共计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  <w:t>35.49万元，已全额补偿到位，对离休人员的医药结算费用已拨付到位。</w:t>
      </w:r>
    </w:p>
    <w:p>
      <w:pPr>
        <w:spacing w:line="540" w:lineRule="exact"/>
        <w:ind w:firstLine="531" w:firstLineChars="181"/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（三）项目资金管理情况分析</w:t>
      </w:r>
    </w:p>
    <w:p>
      <w:pPr>
        <w:spacing w:line="540" w:lineRule="exact"/>
        <w:ind w:firstLine="584" w:firstLineChars="200"/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yellow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根据要求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  <w:t>我局在第一季度将离休人员周转金每人4000元拨付到位，后三个季度根据离休人员提供的发票超过4000元的按规定报销到位。</w:t>
      </w:r>
    </w:p>
    <w:p>
      <w:pPr>
        <w:spacing w:line="540" w:lineRule="exact"/>
        <w:ind w:firstLine="640"/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三、项目组织实施情况</w:t>
      </w:r>
    </w:p>
    <w:p>
      <w:pPr>
        <w:spacing w:line="540" w:lineRule="exact"/>
        <w:ind w:firstLine="531" w:firstLineChars="181"/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（一）项目组织情况分析</w:t>
      </w:r>
    </w:p>
    <w:p>
      <w:pPr>
        <w:spacing w:line="540" w:lineRule="exact"/>
        <w:ind w:firstLine="584" w:firstLineChars="200"/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由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奇台县委老干部局提供离休人员花名单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，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奇台县社会保险管理局结算科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对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离休人员提供的住院、门诊发票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进行审核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和结算、支付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；县财政局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社保科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进行数据核对，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复审；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县财政局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预算科进行项目指标下达。</w:t>
      </w:r>
    </w:p>
    <w:p>
      <w:pPr>
        <w:spacing w:line="540" w:lineRule="exact"/>
        <w:ind w:firstLine="528" w:firstLineChars="181"/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</w:rPr>
        <w:t>（二）项目管理情况分析</w:t>
      </w:r>
    </w:p>
    <w:p>
      <w:pPr>
        <w:spacing w:line="540" w:lineRule="exact"/>
        <w:ind w:firstLine="584" w:firstLineChars="200"/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yellow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该项目设立财政专户、收入户。由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县财政局社保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科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设立基金专户，实行专户储存、专账管理；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奇台县社会保险管理局按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  <w:t>报销进度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提出申请，县财政局负责领导及相关人员复合后将项目资金拨入我局支出户，我局基金管理科进行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资金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支付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。</w:t>
      </w:r>
    </w:p>
    <w:p>
      <w:pPr>
        <w:spacing w:line="540" w:lineRule="exact"/>
        <w:ind w:firstLine="640"/>
        <w:rPr>
          <w:rStyle w:val="18"/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四、项目绩效情况</w:t>
      </w:r>
      <w:r>
        <w:rPr>
          <w:rStyle w:val="18"/>
          <w:rFonts w:hint="eastAsia" w:ascii="仿宋_GB2312" w:hAnsi="仿宋_GB2312" w:eastAsia="仿宋_GB2312" w:cs="仿宋_GB2312"/>
          <w:b/>
          <w:bCs/>
          <w:sz w:val="30"/>
          <w:szCs w:val="30"/>
        </w:rPr>
        <w:t xml:space="preserve"> </w:t>
      </w:r>
    </w:p>
    <w:p>
      <w:pPr>
        <w:spacing w:line="540" w:lineRule="exact"/>
        <w:ind w:firstLine="531" w:firstLineChars="181"/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（一）项目绩效目标完成情况分析</w:t>
      </w:r>
    </w:p>
    <w:p>
      <w:pPr>
        <w:keepNext w:val="0"/>
        <w:keepLines w:val="0"/>
        <w:widowControl/>
        <w:suppressLineNumbers w:val="0"/>
        <w:ind w:firstLine="584" w:firstLineChars="200"/>
        <w:jc w:val="left"/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201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val="en-US" w:eastAsia="zh-CN"/>
        </w:rPr>
        <w:t>8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年对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离休人员医疗保障金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的专项补助资金按照全额实际发生金额全部执行到位，顺利完成年度预算项目绩效目标，完成率100%。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该项补助资金按时、足额划拨进入社保基金财政专户，无挤占挪用补助资金、改变资金用途等现象，确保离休人员医疗待遇按时足额报销到位。</w:t>
      </w:r>
    </w:p>
    <w:p>
      <w:pPr>
        <w:keepNext w:val="0"/>
        <w:keepLines w:val="0"/>
        <w:widowControl/>
        <w:suppressLineNumbers w:val="0"/>
        <w:ind w:firstLine="584" w:firstLineChars="200"/>
        <w:jc w:val="left"/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</w:pPr>
    </w:p>
    <w:p>
      <w:pPr>
        <w:keepNext w:val="0"/>
        <w:keepLines w:val="0"/>
        <w:widowControl/>
        <w:suppressLineNumbers w:val="0"/>
        <w:ind w:firstLine="584" w:firstLineChars="200"/>
        <w:jc w:val="left"/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</w:pPr>
    </w:p>
    <w:p>
      <w:pPr>
        <w:spacing w:line="540" w:lineRule="exact"/>
        <w:ind w:firstLine="528" w:firstLineChars="181"/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yellow"/>
        </w:rPr>
      </w:pPr>
    </w:p>
    <w:p>
      <w:pPr>
        <w:spacing w:line="540" w:lineRule="exact"/>
        <w:ind w:firstLine="531" w:firstLineChars="181"/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（二）项目绩效目标未完成原因分析</w:t>
      </w:r>
    </w:p>
    <w:p>
      <w:pPr>
        <w:spacing w:line="540" w:lineRule="exact"/>
        <w:ind w:firstLine="528" w:firstLineChars="181"/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该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项目绩效目标已完成</w:t>
      </w:r>
    </w:p>
    <w:p>
      <w:pPr>
        <w:spacing w:line="540" w:lineRule="exact"/>
        <w:ind w:firstLine="640"/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五、其他需要说明的问题</w:t>
      </w:r>
    </w:p>
    <w:p>
      <w:pPr>
        <w:spacing w:line="540" w:lineRule="exact"/>
        <w:ind w:firstLine="531" w:firstLineChars="181"/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（一）后续工作计划</w:t>
      </w:r>
    </w:p>
    <w:p>
      <w:pPr>
        <w:spacing w:line="540" w:lineRule="exact"/>
        <w:ind w:firstLine="528" w:firstLineChars="181"/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lang w:eastAsia="zh-CN"/>
        </w:rPr>
        <w:t>我局将继续严格落实《社会保险法》、《预算法》及区、州、县管理工作有关规定，客观评价资金使用绩效，规范财政资金管理，加强财政资金使用落实，提高资金使用社会效益，防止财经违纪问题发生，促进社保事业的发展。</w:t>
      </w:r>
    </w:p>
    <w:p>
      <w:pPr>
        <w:spacing w:line="540" w:lineRule="exact"/>
        <w:ind w:firstLine="531" w:firstLineChars="181"/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（二）主要经验及做法、存在问题和建议</w:t>
      </w:r>
    </w:p>
    <w:p>
      <w:pPr>
        <w:spacing w:line="540" w:lineRule="exact"/>
        <w:ind w:firstLine="528" w:firstLineChars="181"/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严格财务管理制度。城镇职工基本医疗执行国家统一的基金财务制度、会计制度和基金预决算管理制度。离休人员医疗保障基金纳入财政专户，实行“收支两条线”管理，独立核算、专款专用，任何单位和个人不得挤占挪用。</w:t>
      </w:r>
    </w:p>
    <w:p>
      <w:pPr>
        <w:spacing w:line="540" w:lineRule="exact"/>
        <w:ind w:firstLine="531" w:firstLineChars="181"/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（三）其他</w:t>
      </w:r>
    </w:p>
    <w:p>
      <w:pPr>
        <w:spacing w:line="540" w:lineRule="exact"/>
        <w:ind w:firstLine="528" w:firstLineChars="181"/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lang w:eastAsia="zh-CN"/>
        </w:rPr>
        <w:t>无</w:t>
      </w:r>
    </w:p>
    <w:p>
      <w:pPr>
        <w:spacing w:line="540" w:lineRule="exact"/>
        <w:ind w:firstLine="640"/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</w:pPr>
      <w:r>
        <w:rPr>
          <w:rStyle w:val="18"/>
          <w:rFonts w:hint="eastAsia" w:ascii="仿宋_GB2312" w:hAnsi="仿宋_GB2312" w:eastAsia="仿宋_GB2312" w:cs="仿宋_GB2312"/>
          <w:b/>
          <w:bCs/>
          <w:spacing w:val="-4"/>
          <w:sz w:val="30"/>
          <w:szCs w:val="30"/>
        </w:rPr>
        <w:t>六、项目评价工作情况</w:t>
      </w:r>
    </w:p>
    <w:p>
      <w:pPr>
        <w:spacing w:line="54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根据绩效评价结果，我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局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认为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该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为保障民生的基本项目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，其存在意义重大，应当继续实施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  <w:lang w:eastAsia="zh-CN"/>
        </w:rPr>
        <w:t>该</w:t>
      </w:r>
      <w:r>
        <w:rPr>
          <w:rFonts w:hint="eastAsia" w:ascii="仿宋_GB2312" w:hAnsi="仿宋_GB2312" w:eastAsia="仿宋_GB2312" w:cs="仿宋_GB2312"/>
          <w:b w:val="0"/>
          <w:bCs w:val="0"/>
          <w:spacing w:val="-4"/>
          <w:sz w:val="30"/>
          <w:szCs w:val="30"/>
          <w:highlight w:val="none"/>
        </w:rPr>
        <w:t>项目。</w:t>
      </w:r>
    </w:p>
    <w:p>
      <w:pPr>
        <w:numPr>
          <w:ilvl w:val="0"/>
          <w:numId w:val="1"/>
        </w:num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附表</w:t>
      </w:r>
    </w:p>
    <w:p>
      <w:pPr>
        <w:widowControl w:val="0"/>
        <w:numPr>
          <w:ilvl w:val="0"/>
          <w:numId w:val="0"/>
        </w:numPr>
        <w:spacing w:after="0" w:line="540" w:lineRule="exact"/>
        <w:jc w:val="both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after="0" w:line="540" w:lineRule="exact"/>
        <w:jc w:val="both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after="0" w:line="540" w:lineRule="exact"/>
        <w:jc w:val="both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after="0" w:line="540" w:lineRule="exact"/>
        <w:jc w:val="both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after="0" w:line="540" w:lineRule="exact"/>
        <w:jc w:val="both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after="0" w:line="540" w:lineRule="exact"/>
        <w:jc w:val="both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widowControl w:val="0"/>
        <w:numPr>
          <w:ilvl w:val="0"/>
          <w:numId w:val="0"/>
        </w:numPr>
        <w:spacing w:after="0" w:line="540" w:lineRule="exact"/>
        <w:jc w:val="both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1775" w:firstLineChars="569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奇台县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财政财政项目支出绩效自评表》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56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43"/>
        <w:gridCol w:w="1200"/>
        <w:gridCol w:w="1350"/>
        <w:gridCol w:w="240"/>
        <w:gridCol w:w="2787"/>
        <w:gridCol w:w="23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奇台县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对企业职工基本养老保险基金的补助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奇台县社会保险管理局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35.49万元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35.49万元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37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5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7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预估离休人员医药费用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100万元。</w:t>
            </w:r>
          </w:p>
        </w:tc>
        <w:tc>
          <w:tcPr>
            <w:tcW w:w="5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按离休人员实际医药费用拨付离休人员医疗保险金，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按进度足额划拨入基金专户。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享受离休人员医疗保障共有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20人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享受离休人员医疗保障共有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离休人员医疗保障覆盖率率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离休人员医疗保障覆盖率率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离休人员医疗保障金结算补偿率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离休人员医疗保障金结算补偿率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离休人员医疗费用在社保目录范围内的全额报销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离休人员医疗费用在社保目录范围内的全额报销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离休人员生活水平稳步提升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离休人员生活水平稳步提升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政策宣传普及执行率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政策宣传普及执行率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享受离休人员医疗保障金待遇人员满意度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95&amp;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享受离休人员医疗保障金待遇人员满意度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95&amp;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5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97E843"/>
    <w:multiLevelType w:val="singleLevel"/>
    <w:tmpl w:val="6097E843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iOGZiYWVmZDhlOWI5MWU4OWZmOTU1MWVjZmE1NjcifQ=="/>
  </w:docVars>
  <w:rsids>
    <w:rsidRoot w:val="00172A2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2227772"/>
    <w:rsid w:val="0CFE70EC"/>
    <w:rsid w:val="11DA0264"/>
    <w:rsid w:val="144C5BDC"/>
    <w:rsid w:val="157967FC"/>
    <w:rsid w:val="15DF00AE"/>
    <w:rsid w:val="16AD2670"/>
    <w:rsid w:val="1D9F1CBC"/>
    <w:rsid w:val="203B1C53"/>
    <w:rsid w:val="3E9E3D04"/>
    <w:rsid w:val="41AD7195"/>
    <w:rsid w:val="426D5A81"/>
    <w:rsid w:val="494B602D"/>
    <w:rsid w:val="4C7C491B"/>
    <w:rsid w:val="533221DE"/>
    <w:rsid w:val="606A30C9"/>
    <w:rsid w:val="61E85893"/>
    <w:rsid w:val="69524492"/>
    <w:rsid w:val="69786DE3"/>
    <w:rsid w:val="6E0E6297"/>
    <w:rsid w:val="753670D3"/>
    <w:rsid w:val="7E277B42"/>
    <w:rsid w:val="7ED6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autoRedefine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autoRedefine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autoRedefine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autoRedefine/>
    <w:qFormat/>
    <w:uiPriority w:val="0"/>
    <w:rPr>
      <w:b/>
      <w:bCs/>
    </w:rPr>
  </w:style>
  <w:style w:type="character" w:styleId="19">
    <w:name w:val="Emphasis"/>
    <w:basedOn w:val="17"/>
    <w:autoRedefine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autoRedefine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autoRedefine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autoRedefine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autoRedefine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autoRedefine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autoRedefine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autoRedefine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autoRedefine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autoRedefine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autoRedefine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autoRedefine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autoRedefine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autoRedefine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autoRedefine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autoRedefine/>
    <w:qFormat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autoRedefine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autoRedefine/>
    <w:qFormat/>
    <w:uiPriority w:val="30"/>
    <w:rPr>
      <w:b/>
      <w:i/>
      <w:sz w:val="24"/>
    </w:rPr>
  </w:style>
  <w:style w:type="character" w:customStyle="1" w:styleId="37">
    <w:name w:val="Subtle Emphasis"/>
    <w:autoRedefine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7"/>
    <w:autoRedefine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7"/>
    <w:autoRedefine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7"/>
    <w:autoRedefine/>
    <w:qFormat/>
    <w:uiPriority w:val="32"/>
    <w:rPr>
      <w:b/>
      <w:sz w:val="24"/>
      <w:u w:val="single"/>
    </w:rPr>
  </w:style>
  <w:style w:type="character" w:customStyle="1" w:styleId="41">
    <w:name w:val="Book Title"/>
    <w:basedOn w:val="17"/>
    <w:autoRedefine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autoRedefine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autoRedefine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autoRedefine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autoRedefine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0</TotalTime>
  <ScaleCrop>false</ScaleCrop>
  <LinksUpToDate>false</LinksUpToDate>
  <CharactersWithSpaces>1366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2024-03-22T08:46:12Z</dcterms:modified>
  <dc:title>附件1：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BAD0BF73E01E4CF786FB40B40D12C556_12</vt:lpwstr>
  </property>
</Properties>
</file>