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540" w:lineRule="exact"/>
        <w:rPr>
          <w:rFonts w:eastAsia="Times New Roman"/>
          <w:sz w:val="32"/>
        </w:rPr>
      </w:pPr>
      <w:bookmarkStart w:id="0" w:name="_GoBack"/>
      <w:bookmarkEnd w:id="0"/>
      <w:r>
        <w:rPr>
          <w:rFonts w:hint="eastAsia" w:ascii="黑体" w:hAnsi="黑体" w:eastAsia="黑体"/>
          <w:sz w:val="26"/>
        </w:rPr>
        <w:t>附件1：</w:t>
      </w:r>
    </w:p>
    <w:p>
      <w:pPr>
        <w:spacing w:line="540" w:lineRule="exact"/>
        <w:rPr>
          <w:rFonts w:eastAsia="Times New Roman"/>
          <w:sz w:val="44"/>
        </w:rPr>
      </w:pPr>
    </w:p>
    <w:p>
      <w:pPr>
        <w:spacing w:line="540" w:lineRule="exact"/>
        <w:jc w:val="center"/>
        <w:rPr>
          <w:rFonts w:ascii="宋体" w:hAnsi="宋体"/>
          <w:sz w:val="40"/>
        </w:rPr>
      </w:pPr>
      <w:r>
        <w:rPr>
          <w:rFonts w:hint="eastAsia" w:ascii="宋体" w:hAnsi="宋体"/>
          <w:sz w:val="40"/>
        </w:rPr>
        <w:t>2018年度</w:t>
      </w:r>
      <w:r>
        <w:rPr>
          <w:rFonts w:hint="eastAsia" w:ascii="宋体" w:hAnsi="宋体"/>
          <w:kern w:val="0"/>
          <w:sz w:val="40"/>
        </w:rPr>
        <w:t>新疆昌吉州奇台县督查办公室</w:t>
      </w:r>
      <w:r>
        <w:rPr>
          <w:rFonts w:hint="eastAsia" w:ascii="宋体" w:hAnsi="宋体"/>
          <w:sz w:val="40"/>
        </w:rPr>
        <w:t>部门决算公开说明</w:t>
      </w:r>
    </w:p>
    <w:p>
      <w:pPr>
        <w:spacing w:line="540" w:lineRule="exact"/>
        <w:rPr>
          <w:rFonts w:eastAsia="Times New Roman"/>
          <w:sz w:val="32"/>
        </w:rPr>
      </w:pPr>
    </w:p>
    <w:p>
      <w:pPr>
        <w:spacing w:line="540" w:lineRule="exact"/>
        <w:jc w:val="center"/>
        <w:rPr>
          <w:rFonts w:eastAsia="Times New Roman"/>
          <w:kern w:val="0"/>
          <w:sz w:val="32"/>
        </w:rPr>
      </w:pPr>
      <w:r>
        <w:rPr>
          <w:rFonts w:hint="eastAsia" w:ascii="黑体" w:hAnsi="黑体" w:eastAsia="黑体"/>
          <w:kern w:val="0"/>
          <w:sz w:val="24"/>
        </w:rPr>
        <w:t>目  录</w:t>
      </w:r>
    </w:p>
    <w:p>
      <w:pPr>
        <w:spacing w:line="540" w:lineRule="exact"/>
        <w:rPr>
          <w:rFonts w:eastAsia="Times New Roman"/>
          <w:b/>
          <w:kern w:val="0"/>
          <w:sz w:val="32"/>
        </w:rPr>
      </w:pPr>
    </w:p>
    <w:p>
      <w:pPr>
        <w:spacing w:line="540" w:lineRule="exact"/>
        <w:ind w:firstLine="640"/>
        <w:rPr>
          <w:rFonts w:eastAsia="Times New Roman"/>
          <w:kern w:val="0"/>
          <w:sz w:val="24"/>
        </w:rPr>
      </w:pPr>
      <w:r>
        <w:rPr>
          <w:rFonts w:hint="eastAsia" w:ascii="宋体" w:hAnsi="宋体"/>
          <w:b/>
          <w:kern w:val="0"/>
          <w:sz w:val="24"/>
        </w:rPr>
        <w:t>第一部分 部门单位概况</w:t>
      </w:r>
    </w:p>
    <w:p>
      <w:pPr>
        <w:spacing w:line="540" w:lineRule="exact"/>
        <w:ind w:firstLine="640"/>
        <w:rPr>
          <w:rFonts w:ascii="宋体" w:hAnsi="宋体"/>
          <w:kern w:val="0"/>
          <w:sz w:val="24"/>
        </w:rPr>
      </w:pPr>
      <w:r>
        <w:rPr>
          <w:rFonts w:hint="eastAsia" w:ascii="宋体" w:hAnsi="宋体"/>
          <w:kern w:val="0"/>
          <w:sz w:val="24"/>
        </w:rPr>
        <w:t>一、主要职能</w:t>
      </w:r>
    </w:p>
    <w:p>
      <w:pPr>
        <w:spacing w:line="540" w:lineRule="exact"/>
        <w:ind w:firstLine="640"/>
        <w:rPr>
          <w:rFonts w:eastAsia="Times New Roman"/>
          <w:kern w:val="0"/>
          <w:sz w:val="32"/>
        </w:rPr>
      </w:pPr>
      <w:r>
        <w:rPr>
          <w:rFonts w:hint="eastAsia" w:ascii="宋体" w:hAnsi="宋体"/>
          <w:kern w:val="0"/>
          <w:sz w:val="24"/>
        </w:rPr>
        <w:t>二、</w:t>
      </w:r>
      <w:r>
        <w:rPr>
          <w:rFonts w:hint="eastAsia" w:ascii="宋体" w:hAnsi="宋体"/>
          <w:sz w:val="24"/>
        </w:rPr>
        <w:t>机构设置情况</w:t>
      </w:r>
    </w:p>
    <w:p>
      <w:pPr>
        <w:spacing w:line="540" w:lineRule="exact"/>
        <w:ind w:firstLine="640"/>
        <w:rPr>
          <w:rFonts w:eastAsia="Times New Roman"/>
          <w:kern w:val="0"/>
          <w:sz w:val="24"/>
        </w:rPr>
      </w:pPr>
      <w:r>
        <w:rPr>
          <w:rFonts w:hint="eastAsia" w:ascii="宋体" w:hAnsi="宋体"/>
          <w:b/>
          <w:kern w:val="0"/>
          <w:sz w:val="24"/>
        </w:rPr>
        <w:t>第二部分 部门决算情况说明</w:t>
      </w:r>
    </w:p>
    <w:p>
      <w:pPr>
        <w:spacing w:line="540" w:lineRule="exact"/>
        <w:ind w:firstLine="640"/>
        <w:rPr>
          <w:rFonts w:ascii="宋体" w:hAnsi="宋体"/>
          <w:sz w:val="24"/>
        </w:rPr>
      </w:pPr>
      <w:r>
        <w:rPr>
          <w:rFonts w:hint="eastAsia" w:ascii="宋体" w:hAnsi="宋体"/>
          <w:sz w:val="24"/>
        </w:rPr>
        <w:t>一、部门收支总体情况</w:t>
      </w:r>
    </w:p>
    <w:p>
      <w:pPr>
        <w:spacing w:line="540" w:lineRule="exact"/>
        <w:ind w:firstLine="640"/>
        <w:rPr>
          <w:rFonts w:ascii="宋体" w:hAnsi="宋体"/>
          <w:sz w:val="24"/>
        </w:rPr>
      </w:pPr>
      <w:r>
        <w:rPr>
          <w:rFonts w:hint="eastAsia" w:ascii="宋体" w:hAnsi="宋体"/>
          <w:sz w:val="24"/>
        </w:rPr>
        <w:t>（一）部门收入支出决算总体情况说明</w:t>
      </w:r>
    </w:p>
    <w:p>
      <w:pPr>
        <w:spacing w:line="540" w:lineRule="exact"/>
        <w:ind w:firstLine="640"/>
        <w:rPr>
          <w:rFonts w:ascii="宋体" w:hAnsi="宋体"/>
          <w:sz w:val="24"/>
        </w:rPr>
      </w:pPr>
      <w:r>
        <w:rPr>
          <w:rFonts w:hint="eastAsia" w:ascii="宋体" w:hAnsi="宋体"/>
          <w:sz w:val="24"/>
        </w:rPr>
        <w:t>（二）部门收入总体情况说明</w:t>
      </w:r>
    </w:p>
    <w:p>
      <w:pPr>
        <w:spacing w:line="540" w:lineRule="exact"/>
        <w:ind w:firstLine="640"/>
        <w:rPr>
          <w:rFonts w:ascii="宋体" w:hAnsi="宋体"/>
          <w:sz w:val="24"/>
        </w:rPr>
      </w:pPr>
      <w:r>
        <w:rPr>
          <w:rFonts w:hint="eastAsia" w:ascii="宋体" w:hAnsi="宋体"/>
          <w:sz w:val="24"/>
        </w:rPr>
        <w:t>（三）部门支出总体情况说明</w:t>
      </w:r>
    </w:p>
    <w:p>
      <w:pPr>
        <w:spacing w:line="540" w:lineRule="exact"/>
        <w:ind w:firstLine="640"/>
        <w:rPr>
          <w:rFonts w:eastAsia="Times New Roman"/>
          <w:sz w:val="24"/>
        </w:rPr>
      </w:pPr>
      <w:r>
        <w:rPr>
          <w:rFonts w:hint="eastAsia" w:ascii="宋体" w:hAnsi="宋体"/>
          <w:sz w:val="24"/>
        </w:rPr>
        <w:t>二、部门财政拨款收支情况</w:t>
      </w:r>
    </w:p>
    <w:p>
      <w:pPr>
        <w:spacing w:line="540" w:lineRule="exact"/>
        <w:ind w:firstLine="640"/>
        <w:rPr>
          <w:rFonts w:ascii="宋体" w:hAnsi="宋体"/>
          <w:sz w:val="32"/>
        </w:rPr>
      </w:pPr>
      <w:r>
        <w:rPr>
          <w:rFonts w:hint="eastAsia" w:ascii="宋体" w:hAnsi="宋体"/>
          <w:sz w:val="24"/>
        </w:rPr>
        <w:t>（一）财政拨款收支总体情况说明</w:t>
      </w:r>
    </w:p>
    <w:p>
      <w:pPr>
        <w:spacing w:line="540" w:lineRule="exact"/>
        <w:ind w:firstLine="640"/>
        <w:rPr>
          <w:rFonts w:ascii="宋体" w:hAnsi="宋体"/>
          <w:sz w:val="24"/>
        </w:rPr>
      </w:pPr>
      <w:r>
        <w:rPr>
          <w:rFonts w:hint="eastAsia" w:ascii="宋体" w:hAnsi="宋体"/>
          <w:sz w:val="24"/>
        </w:rPr>
        <w:t>（二）一般公共预算收支决算情况说明</w:t>
      </w:r>
    </w:p>
    <w:p>
      <w:pPr>
        <w:spacing w:line="540" w:lineRule="exact"/>
        <w:ind w:firstLine="640"/>
        <w:rPr>
          <w:rFonts w:ascii="宋体" w:hAnsi="宋体"/>
          <w:sz w:val="24"/>
        </w:rPr>
      </w:pPr>
      <w:r>
        <w:rPr>
          <w:rFonts w:hint="eastAsia" w:ascii="宋体" w:hAnsi="宋体"/>
          <w:sz w:val="24"/>
        </w:rPr>
        <w:t>（三）政府性基金预算收支决算情况说明</w:t>
      </w:r>
    </w:p>
    <w:p>
      <w:pPr>
        <w:spacing w:line="540" w:lineRule="exact"/>
        <w:ind w:firstLine="640"/>
        <w:rPr>
          <w:rFonts w:ascii="宋体" w:hAnsi="宋体"/>
          <w:sz w:val="24"/>
        </w:rPr>
      </w:pPr>
      <w:r>
        <w:rPr>
          <w:rFonts w:hint="eastAsia" w:ascii="宋体" w:hAnsi="宋体"/>
          <w:sz w:val="24"/>
        </w:rPr>
        <w:t>三、部门结转结余情况</w:t>
      </w:r>
    </w:p>
    <w:p>
      <w:pPr>
        <w:spacing w:line="540" w:lineRule="exact"/>
        <w:ind w:firstLine="640"/>
        <w:rPr>
          <w:rFonts w:ascii="宋体" w:hAnsi="宋体"/>
          <w:sz w:val="24"/>
        </w:rPr>
      </w:pPr>
      <w:r>
        <w:rPr>
          <w:rFonts w:hint="eastAsia" w:ascii="宋体" w:hAnsi="宋体"/>
          <w:sz w:val="24"/>
        </w:rPr>
        <w:t>四、一般公共预算</w:t>
      </w:r>
      <w:r>
        <w:rPr>
          <w:rFonts w:ascii="宋体" w:hAnsi="宋体"/>
          <w:sz w:val="24"/>
        </w:rPr>
        <w:t>“</w:t>
      </w:r>
      <w:r>
        <w:rPr>
          <w:rFonts w:hint="eastAsia" w:ascii="宋体" w:hAnsi="宋体"/>
          <w:sz w:val="24"/>
        </w:rPr>
        <w:t>三公</w:t>
      </w:r>
      <w:r>
        <w:rPr>
          <w:rFonts w:ascii="宋体" w:hAnsi="宋体"/>
          <w:sz w:val="24"/>
        </w:rPr>
        <w:t>”</w:t>
      </w:r>
      <w:r>
        <w:rPr>
          <w:rFonts w:hint="eastAsia" w:ascii="宋体" w:hAnsi="宋体"/>
          <w:sz w:val="24"/>
        </w:rPr>
        <w:t>经费支出情况</w:t>
      </w:r>
    </w:p>
    <w:p>
      <w:pPr>
        <w:spacing w:line="540" w:lineRule="exact"/>
        <w:ind w:firstLine="640"/>
        <w:rPr>
          <w:rFonts w:ascii="宋体" w:hAnsi="宋体"/>
          <w:sz w:val="24"/>
        </w:rPr>
      </w:pPr>
      <w:r>
        <w:rPr>
          <w:rFonts w:hint="eastAsia" w:ascii="宋体" w:hAnsi="宋体"/>
          <w:sz w:val="24"/>
        </w:rPr>
        <w:t>五、机关运行经费支出情况</w:t>
      </w:r>
    </w:p>
    <w:p>
      <w:pPr>
        <w:spacing w:line="540" w:lineRule="exact"/>
        <w:ind w:firstLine="640"/>
        <w:rPr>
          <w:rFonts w:ascii="宋体" w:hAnsi="宋体"/>
          <w:sz w:val="24"/>
        </w:rPr>
      </w:pPr>
      <w:r>
        <w:rPr>
          <w:rFonts w:hint="eastAsia" w:ascii="宋体" w:hAnsi="宋体"/>
          <w:sz w:val="24"/>
        </w:rPr>
        <w:t>六、政府采购情况</w:t>
      </w:r>
    </w:p>
    <w:p>
      <w:pPr>
        <w:spacing w:line="540" w:lineRule="exact"/>
        <w:ind w:firstLine="640"/>
        <w:rPr>
          <w:rFonts w:ascii="宋体" w:hAnsi="宋体"/>
          <w:sz w:val="24"/>
        </w:rPr>
      </w:pPr>
      <w:r>
        <w:rPr>
          <w:rFonts w:hint="eastAsia" w:ascii="宋体" w:hAnsi="宋体"/>
          <w:sz w:val="24"/>
        </w:rPr>
        <w:t>七、其他重要事项的情况</w:t>
      </w:r>
    </w:p>
    <w:p>
      <w:pPr>
        <w:spacing w:line="540" w:lineRule="exact"/>
        <w:ind w:firstLine="640"/>
        <w:rPr>
          <w:rFonts w:ascii="宋体" w:hAnsi="宋体"/>
          <w:sz w:val="24"/>
        </w:rPr>
      </w:pPr>
      <w:r>
        <w:rPr>
          <w:rFonts w:hint="eastAsia" w:ascii="宋体" w:hAnsi="宋体"/>
          <w:sz w:val="24"/>
        </w:rPr>
        <w:t>（一）国有资产占用情况说明</w:t>
      </w:r>
    </w:p>
    <w:p>
      <w:pPr>
        <w:spacing w:line="540" w:lineRule="exact"/>
        <w:ind w:firstLine="640"/>
        <w:rPr>
          <w:rFonts w:eastAsia="Times New Roman"/>
          <w:sz w:val="24"/>
        </w:rPr>
      </w:pPr>
      <w:r>
        <w:rPr>
          <w:rFonts w:hint="eastAsia" w:ascii="宋体" w:hAnsi="宋体"/>
          <w:sz w:val="24"/>
        </w:rPr>
        <w:t>（二）预算绩效情况的说明</w:t>
      </w:r>
    </w:p>
    <w:p>
      <w:pPr>
        <w:spacing w:line="540" w:lineRule="exact"/>
        <w:ind w:firstLine="640"/>
        <w:rPr>
          <w:rFonts w:ascii="宋体" w:hAnsi="宋体"/>
          <w:b/>
          <w:kern w:val="0"/>
          <w:sz w:val="24"/>
        </w:rPr>
      </w:pPr>
      <w:r>
        <w:rPr>
          <w:rFonts w:hint="eastAsia" w:ascii="宋体" w:hAnsi="宋体"/>
          <w:b/>
          <w:kern w:val="0"/>
          <w:sz w:val="24"/>
        </w:rPr>
        <w:t>第三部分 专业名词解释</w:t>
      </w:r>
    </w:p>
    <w:p>
      <w:pPr>
        <w:spacing w:line="540" w:lineRule="exact"/>
        <w:ind w:firstLine="640"/>
        <w:rPr>
          <w:rFonts w:eastAsia="Times New Roman"/>
          <w:kern w:val="0"/>
          <w:sz w:val="32"/>
        </w:rPr>
      </w:pPr>
      <w:r>
        <w:rPr>
          <w:rFonts w:hint="eastAsia" w:ascii="宋体" w:hAnsi="宋体"/>
          <w:b/>
          <w:kern w:val="0"/>
          <w:sz w:val="24"/>
        </w:rPr>
        <w:t>第四部分 部</w:t>
      </w:r>
      <w:r>
        <w:rPr>
          <w:rFonts w:hint="eastAsia" w:ascii="宋体" w:hAnsi="宋体"/>
          <w:b/>
          <w:sz w:val="24"/>
        </w:rPr>
        <w:t>门决算公开的8张报表</w:t>
      </w:r>
    </w:p>
    <w:p>
      <w:pPr>
        <w:spacing w:line="540" w:lineRule="exact"/>
        <w:ind w:firstLine="640"/>
        <w:rPr>
          <w:rFonts w:ascii="宋体" w:hAnsi="宋体"/>
          <w:sz w:val="24"/>
        </w:rPr>
      </w:pPr>
      <w:r>
        <w:rPr>
          <w:rFonts w:hint="eastAsia" w:ascii="宋体" w:hAnsi="宋体"/>
          <w:sz w:val="24"/>
        </w:rPr>
        <w:t>《收入支出决算总表》</w:t>
      </w:r>
    </w:p>
    <w:p>
      <w:pPr>
        <w:spacing w:line="540" w:lineRule="exact"/>
        <w:ind w:firstLine="640"/>
        <w:rPr>
          <w:rFonts w:ascii="宋体" w:hAnsi="宋体"/>
          <w:sz w:val="24"/>
        </w:rPr>
      </w:pPr>
      <w:r>
        <w:rPr>
          <w:rFonts w:hint="eastAsia" w:ascii="宋体" w:hAnsi="宋体"/>
          <w:sz w:val="24"/>
        </w:rPr>
        <w:t>《收入决算表》</w:t>
      </w:r>
    </w:p>
    <w:p>
      <w:pPr>
        <w:spacing w:line="540" w:lineRule="exact"/>
        <w:ind w:firstLine="640"/>
        <w:rPr>
          <w:rFonts w:ascii="宋体" w:hAnsi="宋体"/>
          <w:sz w:val="24"/>
        </w:rPr>
      </w:pPr>
      <w:r>
        <w:rPr>
          <w:rFonts w:hint="eastAsia" w:ascii="宋体" w:hAnsi="宋体"/>
          <w:sz w:val="24"/>
        </w:rPr>
        <w:t>《支出决算表》</w:t>
      </w:r>
    </w:p>
    <w:p>
      <w:pPr>
        <w:spacing w:line="540" w:lineRule="exact"/>
        <w:ind w:firstLine="640"/>
        <w:rPr>
          <w:rFonts w:ascii="宋体" w:hAnsi="宋体"/>
          <w:sz w:val="24"/>
        </w:rPr>
      </w:pPr>
      <w:r>
        <w:rPr>
          <w:rFonts w:hint="eastAsia" w:ascii="宋体" w:hAnsi="宋体"/>
          <w:sz w:val="24"/>
        </w:rPr>
        <w:t>《财政拨款收入支出决算总表》</w:t>
      </w:r>
    </w:p>
    <w:p>
      <w:pPr>
        <w:spacing w:line="540" w:lineRule="exact"/>
        <w:ind w:firstLine="640"/>
        <w:rPr>
          <w:rFonts w:ascii="宋体" w:hAnsi="宋体"/>
          <w:sz w:val="24"/>
        </w:rPr>
      </w:pPr>
      <w:r>
        <w:rPr>
          <w:rFonts w:hint="eastAsia" w:ascii="宋体" w:hAnsi="宋体"/>
          <w:sz w:val="24"/>
        </w:rPr>
        <w:t>《一般公共预算财政拨款支出决算表》</w:t>
      </w:r>
    </w:p>
    <w:p>
      <w:pPr>
        <w:spacing w:line="540" w:lineRule="exact"/>
        <w:ind w:firstLine="640"/>
        <w:rPr>
          <w:rFonts w:ascii="宋体" w:hAnsi="宋体"/>
          <w:sz w:val="24"/>
        </w:rPr>
      </w:pPr>
      <w:r>
        <w:rPr>
          <w:rFonts w:hint="eastAsia" w:ascii="宋体" w:hAnsi="宋体"/>
          <w:sz w:val="24"/>
        </w:rPr>
        <w:t>《一般公共预算财政拨款基本支出决算表》</w:t>
      </w:r>
    </w:p>
    <w:p>
      <w:pPr>
        <w:spacing w:line="540" w:lineRule="exact"/>
        <w:ind w:firstLine="640"/>
        <w:rPr>
          <w:rFonts w:ascii="宋体" w:hAnsi="宋体"/>
          <w:sz w:val="24"/>
        </w:rPr>
      </w:pPr>
      <w:r>
        <w:rPr>
          <w:rFonts w:hint="eastAsia" w:ascii="宋体" w:hAnsi="宋体"/>
          <w:sz w:val="24"/>
        </w:rPr>
        <w:t>《一般公共预算财政拨款</w:t>
      </w:r>
      <w:r>
        <w:rPr>
          <w:rFonts w:ascii="宋体" w:hAnsi="宋体"/>
          <w:sz w:val="24"/>
        </w:rPr>
        <w:t>“</w:t>
      </w:r>
      <w:r>
        <w:rPr>
          <w:rFonts w:hint="eastAsia" w:ascii="宋体" w:hAnsi="宋体"/>
          <w:sz w:val="24"/>
        </w:rPr>
        <w:t>三公</w:t>
      </w:r>
      <w:r>
        <w:rPr>
          <w:rFonts w:ascii="宋体" w:hAnsi="宋体"/>
          <w:sz w:val="24"/>
        </w:rPr>
        <w:t>”</w:t>
      </w:r>
      <w:r>
        <w:rPr>
          <w:rFonts w:hint="eastAsia" w:ascii="宋体" w:hAnsi="宋体"/>
          <w:sz w:val="24"/>
        </w:rPr>
        <w:t>经费支出决算表》</w:t>
      </w:r>
    </w:p>
    <w:p>
      <w:pPr>
        <w:spacing w:line="540" w:lineRule="exact"/>
        <w:ind w:firstLine="640"/>
        <w:rPr>
          <w:rFonts w:ascii="宋体" w:hAnsi="宋体"/>
          <w:sz w:val="24"/>
        </w:rPr>
      </w:pPr>
      <w:r>
        <w:rPr>
          <w:rFonts w:hint="eastAsia" w:ascii="宋体" w:hAnsi="宋体"/>
          <w:sz w:val="24"/>
        </w:rPr>
        <w:t>《政府性基金预算财政拨款收入支出决算表》</w:t>
      </w:r>
    </w:p>
    <w:p>
      <w:pPr>
        <w:spacing w:line="540" w:lineRule="exact"/>
        <w:ind w:firstLine="640"/>
        <w:rPr>
          <w:rFonts w:ascii="宋体" w:hAnsi="宋体"/>
          <w:sz w:val="24"/>
        </w:rPr>
      </w:pPr>
    </w:p>
    <w:p>
      <w:pPr>
        <w:spacing w:line="540" w:lineRule="exact"/>
        <w:ind w:firstLine="640"/>
        <w:rPr>
          <w:rFonts w:ascii="宋体" w:hAnsi="宋体"/>
          <w:sz w:val="24"/>
        </w:rPr>
      </w:pPr>
    </w:p>
    <w:p>
      <w:pPr>
        <w:spacing w:line="540" w:lineRule="exact"/>
        <w:ind w:firstLine="640"/>
        <w:rPr>
          <w:rFonts w:ascii="宋体" w:hAnsi="宋体"/>
          <w:sz w:val="24"/>
        </w:rPr>
      </w:pPr>
    </w:p>
    <w:p>
      <w:pPr>
        <w:spacing w:line="540" w:lineRule="exact"/>
        <w:ind w:firstLine="640"/>
        <w:rPr>
          <w:rFonts w:ascii="宋体" w:hAnsi="宋体"/>
          <w:sz w:val="24"/>
        </w:rPr>
      </w:pPr>
    </w:p>
    <w:p>
      <w:pPr>
        <w:spacing w:line="540" w:lineRule="exact"/>
        <w:ind w:firstLine="640"/>
        <w:rPr>
          <w:rFonts w:ascii="宋体" w:hAnsi="宋体"/>
          <w:sz w:val="24"/>
        </w:rPr>
      </w:pPr>
    </w:p>
    <w:p>
      <w:pPr>
        <w:spacing w:line="540" w:lineRule="exact"/>
        <w:ind w:firstLine="640"/>
        <w:rPr>
          <w:rFonts w:ascii="宋体" w:hAnsi="宋体"/>
          <w:sz w:val="24"/>
        </w:rPr>
      </w:pPr>
    </w:p>
    <w:p>
      <w:pPr>
        <w:spacing w:line="540" w:lineRule="exact"/>
        <w:ind w:firstLine="640"/>
        <w:rPr>
          <w:rFonts w:ascii="宋体" w:hAnsi="宋体"/>
          <w:sz w:val="24"/>
        </w:rPr>
      </w:pPr>
    </w:p>
    <w:p>
      <w:pPr>
        <w:spacing w:line="540" w:lineRule="exact"/>
        <w:ind w:firstLine="640"/>
        <w:rPr>
          <w:rFonts w:ascii="宋体" w:hAnsi="宋体"/>
          <w:sz w:val="24"/>
        </w:rPr>
      </w:pPr>
    </w:p>
    <w:p>
      <w:pPr>
        <w:spacing w:line="540" w:lineRule="exact"/>
        <w:ind w:firstLine="640"/>
        <w:rPr>
          <w:rFonts w:ascii="宋体" w:hAnsi="宋体"/>
          <w:sz w:val="24"/>
        </w:rPr>
      </w:pPr>
    </w:p>
    <w:p>
      <w:pPr>
        <w:spacing w:line="540" w:lineRule="exact"/>
        <w:ind w:firstLine="640"/>
        <w:rPr>
          <w:rFonts w:ascii="宋体" w:hAnsi="宋体"/>
          <w:sz w:val="24"/>
        </w:rPr>
      </w:pPr>
    </w:p>
    <w:p>
      <w:pPr>
        <w:spacing w:line="540" w:lineRule="exact"/>
        <w:ind w:firstLine="640"/>
        <w:rPr>
          <w:rFonts w:ascii="宋体" w:hAnsi="宋体"/>
          <w:sz w:val="24"/>
        </w:rPr>
      </w:pPr>
    </w:p>
    <w:p>
      <w:pPr>
        <w:shd w:val="clear" w:color="auto" w:fill="FFFFFF"/>
        <w:jc w:val="center"/>
        <w:rPr>
          <w:rFonts w:ascii="宋体" w:hAnsi="宋体"/>
          <w:b/>
          <w:kern w:val="0"/>
          <w:sz w:val="28"/>
        </w:rPr>
      </w:pPr>
    </w:p>
    <w:p>
      <w:pPr>
        <w:shd w:val="clear" w:color="auto" w:fill="FFFFFF"/>
        <w:jc w:val="center"/>
        <w:rPr>
          <w:rFonts w:ascii="宋体" w:hAnsi="宋体"/>
          <w:b/>
          <w:kern w:val="0"/>
          <w:sz w:val="28"/>
        </w:rPr>
      </w:pPr>
      <w:r>
        <w:rPr>
          <w:rFonts w:hint="eastAsia" w:ascii="宋体" w:hAnsi="宋体"/>
          <w:b/>
          <w:kern w:val="0"/>
          <w:sz w:val="28"/>
        </w:rPr>
        <w:t>第一部分新疆昌吉州奇台县督查办公室单位概述</w:t>
      </w:r>
    </w:p>
    <w:p>
      <w:pPr>
        <w:shd w:val="clear" w:color="auto" w:fill="FFFFFF"/>
        <w:jc w:val="center"/>
        <w:rPr>
          <w:rFonts w:eastAsia="Times New Roman"/>
          <w:kern w:val="0"/>
          <w:sz w:val="28"/>
        </w:rPr>
      </w:pPr>
    </w:p>
    <w:p>
      <w:pPr>
        <w:shd w:val="clear" w:color="auto" w:fill="FFFFFF"/>
        <w:jc w:val="left"/>
        <w:rPr>
          <w:rFonts w:eastAsia="Times New Roman"/>
          <w:kern w:val="0"/>
          <w:sz w:val="24"/>
        </w:rPr>
      </w:pPr>
      <w:r>
        <w:rPr>
          <w:rFonts w:hint="eastAsia" w:ascii="宋体" w:hAnsi="宋体"/>
          <w:b/>
          <w:kern w:val="0"/>
          <w:sz w:val="24"/>
        </w:rPr>
        <w:t>一、主要职能</w:t>
      </w:r>
    </w:p>
    <w:p>
      <w:pPr>
        <w:spacing w:line="540" w:lineRule="exact"/>
        <w:ind w:firstLine="640"/>
        <w:rPr>
          <w:rFonts w:ascii="宋体" w:hAnsi="宋体"/>
          <w:sz w:val="24"/>
        </w:rPr>
      </w:pPr>
      <w:r>
        <w:rPr>
          <w:rFonts w:hint="eastAsia" w:ascii="宋体" w:hAnsi="宋体"/>
          <w:color w:val="000000"/>
          <w:sz w:val="24"/>
        </w:rPr>
        <w:t>(</w:t>
      </w:r>
      <w:r>
        <w:rPr>
          <w:rFonts w:hint="eastAsia" w:ascii="宋体" w:hAnsi="宋体"/>
          <w:sz w:val="24"/>
        </w:rPr>
        <w:t>一)负责对乡镇及县直部门、单位贯彻落实上级决策的督促检查。</w:t>
      </w:r>
    </w:p>
    <w:p>
      <w:pPr>
        <w:spacing w:line="540" w:lineRule="exact"/>
        <w:ind w:firstLine="640"/>
        <w:rPr>
          <w:rFonts w:ascii="宋体" w:hAnsi="宋体"/>
          <w:sz w:val="24"/>
        </w:rPr>
      </w:pPr>
      <w:r>
        <w:rPr>
          <w:rFonts w:hint="eastAsia" w:ascii="宋体" w:hAnsi="宋体"/>
          <w:sz w:val="24"/>
        </w:rPr>
        <w:t>(二)负责州、县主要领导同志的指示、批示的催办查办工作，并上报贯彻落实情况。</w:t>
      </w:r>
    </w:p>
    <w:p>
      <w:pPr>
        <w:spacing w:line="540" w:lineRule="exact"/>
        <w:ind w:firstLine="640"/>
        <w:rPr>
          <w:rFonts w:ascii="宋体" w:hAnsi="宋体"/>
          <w:sz w:val="24"/>
        </w:rPr>
      </w:pPr>
      <w:r>
        <w:rPr>
          <w:rFonts w:hint="eastAsia" w:ascii="宋体" w:hAnsi="宋体"/>
          <w:sz w:val="24"/>
        </w:rPr>
        <w:t>(三)负责向县委、县人民政府反馈决策落实情况，为完善决策提供依据。</w:t>
      </w:r>
    </w:p>
    <w:p>
      <w:pPr>
        <w:spacing w:line="540" w:lineRule="exact"/>
        <w:ind w:firstLine="640"/>
        <w:rPr>
          <w:rFonts w:ascii="宋体" w:hAnsi="宋体"/>
          <w:sz w:val="24"/>
        </w:rPr>
      </w:pPr>
      <w:r>
        <w:rPr>
          <w:rFonts w:hint="eastAsia" w:ascii="宋体" w:hAnsi="宋体"/>
          <w:sz w:val="24"/>
        </w:rPr>
        <w:t>(四)负责对决策实施过程中出现的热点难点问题，适时开展督查调研，提出建议。</w:t>
      </w:r>
    </w:p>
    <w:p>
      <w:pPr>
        <w:spacing w:line="540" w:lineRule="exact"/>
        <w:ind w:firstLine="640"/>
        <w:rPr>
          <w:rFonts w:ascii="宋体" w:hAnsi="宋体"/>
          <w:sz w:val="24"/>
        </w:rPr>
      </w:pPr>
      <w:r>
        <w:rPr>
          <w:rFonts w:hint="eastAsia" w:ascii="宋体" w:hAnsi="宋体"/>
          <w:sz w:val="24"/>
        </w:rPr>
        <w:t>(五)负责县委、县人民政府综合目标管理工作考核领导小组办公室的工作，组织召集领导小组成员会议，制定奇合县年度综合目标管理考核责任分解方案；协调有关部门做好各乡镇、各部门综合目标年度考核的有关工作；审核确定各乡镇、各部门考核目标，组织督查考核，综合汇总评定，提出考核定等意见，提交领导小组审定。</w:t>
      </w:r>
    </w:p>
    <w:p>
      <w:pPr>
        <w:spacing w:line="540" w:lineRule="exact"/>
        <w:ind w:firstLine="640"/>
        <w:rPr>
          <w:rFonts w:ascii="宋体" w:hAnsi="宋体"/>
          <w:sz w:val="24"/>
        </w:rPr>
      </w:pPr>
      <w:r>
        <w:rPr>
          <w:rFonts w:hint="eastAsia" w:ascii="宋体" w:hAnsi="宋体"/>
          <w:sz w:val="24"/>
        </w:rPr>
        <w:t>(六)负责向督查工作领导小组和千部管理部门提出对干部的评价意见或使用建议。</w:t>
      </w:r>
    </w:p>
    <w:p>
      <w:pPr>
        <w:spacing w:line="540" w:lineRule="exact"/>
        <w:ind w:firstLine="640"/>
        <w:rPr>
          <w:rFonts w:ascii="宋体" w:hAnsi="宋体"/>
          <w:sz w:val="24"/>
        </w:rPr>
      </w:pPr>
      <w:r>
        <w:rPr>
          <w:rFonts w:hint="eastAsia" w:ascii="宋体" w:hAnsi="宋体"/>
          <w:sz w:val="24"/>
        </w:rPr>
        <w:t>(七)负责县督查室队伍建设、督查网络建设、思想教育和党建工作，对乡镇和县直部门、单位督查工作进行业务指导。</w:t>
      </w:r>
    </w:p>
    <w:p>
      <w:pPr>
        <w:spacing w:line="540" w:lineRule="exact"/>
        <w:ind w:firstLine="640"/>
        <w:rPr>
          <w:rFonts w:ascii="宋体" w:hAnsi="宋体"/>
          <w:sz w:val="24"/>
        </w:rPr>
      </w:pPr>
      <w:r>
        <w:rPr>
          <w:rFonts w:hint="eastAsia" w:ascii="宋体" w:hAnsi="宋体"/>
          <w:sz w:val="24"/>
        </w:rPr>
        <w:t>(八)完成县委、县人民政府交办的其它工作。</w:t>
      </w:r>
    </w:p>
    <w:p>
      <w:pPr>
        <w:shd w:val="clear" w:color="auto" w:fill="FFFFFF"/>
        <w:jc w:val="left"/>
        <w:rPr>
          <w:rFonts w:eastAsia="Times New Roman"/>
          <w:kern w:val="0"/>
          <w:sz w:val="24"/>
        </w:rPr>
      </w:pPr>
      <w:r>
        <w:rPr>
          <w:rFonts w:hint="eastAsia" w:ascii="宋体" w:hAnsi="宋体"/>
          <w:b/>
          <w:kern w:val="0"/>
          <w:sz w:val="24"/>
          <w:highlight w:val="white"/>
        </w:rPr>
        <w:t>二、机构设置情况</w:t>
      </w:r>
    </w:p>
    <w:p>
      <w:pPr>
        <w:shd w:val="clear" w:color="auto" w:fill="FFFFFF"/>
        <w:spacing w:line="520" w:lineRule="exact"/>
        <w:ind w:firstLine="480"/>
        <w:rPr>
          <w:rFonts w:eastAsia="Times New Roman"/>
          <w:kern w:val="0"/>
          <w:sz w:val="24"/>
        </w:rPr>
      </w:pPr>
      <w:r>
        <w:rPr>
          <w:rFonts w:hint="eastAsia" w:ascii="宋体" w:hAnsi="宋体"/>
          <w:kern w:val="0"/>
          <w:sz w:val="24"/>
        </w:rPr>
        <w:t>从决算单位构成看，纳入新疆昌吉州奇台县督查办公室2018年部门决算包括：新疆昌吉州奇台县督查办公室本级决算。</w:t>
      </w:r>
    </w:p>
    <w:p>
      <w:pPr>
        <w:shd w:val="clear" w:color="auto" w:fill="FFFFFF"/>
        <w:spacing w:line="520" w:lineRule="exact"/>
        <w:ind w:firstLine="480"/>
        <w:rPr>
          <w:rFonts w:eastAsia="Times New Roman"/>
          <w:kern w:val="0"/>
          <w:sz w:val="24"/>
        </w:rPr>
      </w:pPr>
      <w:r>
        <w:rPr>
          <w:rFonts w:hint="eastAsia" w:ascii="宋体" w:hAnsi="宋体"/>
          <w:kern w:val="0"/>
          <w:sz w:val="24"/>
        </w:rPr>
        <w:t>纳入新疆昌吉州奇台县督查办公室2018年部门决算编制范围的单位名单见下表：</w:t>
      </w:r>
    </w:p>
    <w:tbl>
      <w:tblPr>
        <w:tblStyle w:val="2"/>
        <w:tblW w:w="8363" w:type="dxa"/>
        <w:tblInd w:w="534"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616"/>
        <w:gridCol w:w="3240"/>
        <w:gridCol w:w="250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616" w:type="dxa"/>
            <w:tcBorders>
              <w:top w:val="single" w:color="auto" w:sz="6" w:space="0"/>
              <w:left w:val="single" w:color="auto" w:sz="6" w:space="0"/>
              <w:bottom w:val="single" w:color="auto" w:sz="6" w:space="0"/>
              <w:right w:val="single" w:color="auto" w:sz="6" w:space="0"/>
              <w:tl2br w:val="nil"/>
              <w:tr2bl w:val="nil"/>
            </w:tcBorders>
          </w:tcPr>
          <w:p>
            <w:pPr>
              <w:jc w:val="left"/>
              <w:rPr>
                <w:rFonts w:eastAsia="Times New Roman"/>
                <w:kern w:val="0"/>
                <w:sz w:val="24"/>
              </w:rPr>
            </w:pPr>
            <w:r>
              <w:rPr>
                <w:rFonts w:hint="eastAsia" w:ascii="宋体" w:hAnsi="宋体"/>
                <w:kern w:val="0"/>
                <w:sz w:val="24"/>
              </w:rPr>
              <w:t>序号</w:t>
            </w:r>
          </w:p>
        </w:tc>
        <w:tc>
          <w:tcPr>
            <w:tcW w:w="3240" w:type="dxa"/>
            <w:tcBorders>
              <w:top w:val="single" w:color="auto" w:sz="6" w:space="0"/>
              <w:left w:val="single" w:color="auto" w:sz="6" w:space="0"/>
              <w:bottom w:val="single" w:color="auto" w:sz="6" w:space="0"/>
              <w:right w:val="single" w:color="auto" w:sz="6" w:space="0"/>
              <w:tl2br w:val="nil"/>
              <w:tr2bl w:val="nil"/>
            </w:tcBorders>
          </w:tcPr>
          <w:p>
            <w:pPr>
              <w:jc w:val="left"/>
              <w:rPr>
                <w:rFonts w:eastAsia="Times New Roman"/>
                <w:kern w:val="0"/>
                <w:sz w:val="24"/>
              </w:rPr>
            </w:pPr>
            <w:r>
              <w:rPr>
                <w:rFonts w:hint="eastAsia" w:ascii="宋体" w:hAnsi="宋体"/>
                <w:kern w:val="0"/>
                <w:sz w:val="24"/>
              </w:rPr>
              <w:t>单位名称</w:t>
            </w:r>
          </w:p>
        </w:tc>
        <w:tc>
          <w:tcPr>
            <w:tcW w:w="2507" w:type="dxa"/>
            <w:tcBorders>
              <w:top w:val="single" w:color="auto" w:sz="6" w:space="0"/>
              <w:left w:val="single" w:color="auto" w:sz="6" w:space="0"/>
              <w:bottom w:val="single" w:color="auto" w:sz="6" w:space="0"/>
              <w:right w:val="single" w:color="auto" w:sz="6" w:space="0"/>
              <w:tl2br w:val="nil"/>
              <w:tr2bl w:val="nil"/>
            </w:tcBorders>
          </w:tcPr>
          <w:p>
            <w:pPr>
              <w:jc w:val="left"/>
              <w:rPr>
                <w:rFonts w:eastAsia="Times New Roman"/>
                <w:kern w:val="0"/>
                <w:sz w:val="24"/>
              </w:rPr>
            </w:pPr>
            <w:r>
              <w:rPr>
                <w:rFonts w:hint="eastAsia" w:ascii="宋体" w:hAnsi="宋体"/>
                <w:kern w:val="0"/>
                <w:sz w:val="24"/>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616" w:type="dxa"/>
            <w:tcBorders>
              <w:top w:val="single" w:color="auto" w:sz="6" w:space="0"/>
              <w:left w:val="single" w:color="auto" w:sz="6" w:space="0"/>
              <w:bottom w:val="single" w:color="auto" w:sz="6" w:space="0"/>
              <w:right w:val="single" w:color="auto" w:sz="6" w:space="0"/>
              <w:tl2br w:val="nil"/>
              <w:tr2bl w:val="nil"/>
            </w:tcBorders>
          </w:tcPr>
          <w:p>
            <w:pPr>
              <w:jc w:val="left"/>
              <w:rPr>
                <w:rFonts w:eastAsia="Times New Roman"/>
                <w:kern w:val="0"/>
                <w:sz w:val="24"/>
              </w:rPr>
            </w:pPr>
            <w:r>
              <w:rPr>
                <w:rFonts w:hint="eastAsia" w:ascii="宋体" w:hAnsi="宋体"/>
                <w:kern w:val="0"/>
                <w:sz w:val="24"/>
              </w:rPr>
              <w:t>1</w:t>
            </w:r>
          </w:p>
        </w:tc>
        <w:tc>
          <w:tcPr>
            <w:tcW w:w="3240" w:type="dxa"/>
            <w:tcBorders>
              <w:top w:val="single" w:color="auto" w:sz="6" w:space="0"/>
              <w:left w:val="single" w:color="auto" w:sz="6" w:space="0"/>
              <w:bottom w:val="single" w:color="auto" w:sz="6" w:space="0"/>
              <w:right w:val="single" w:color="auto" w:sz="6" w:space="0"/>
              <w:tl2br w:val="nil"/>
              <w:tr2bl w:val="nil"/>
            </w:tcBorders>
          </w:tcPr>
          <w:p>
            <w:pPr>
              <w:jc w:val="left"/>
              <w:rPr>
                <w:rFonts w:eastAsia="Times New Roman"/>
                <w:kern w:val="0"/>
                <w:sz w:val="24"/>
              </w:rPr>
            </w:pPr>
            <w:r>
              <w:rPr>
                <w:rFonts w:hint="eastAsia" w:ascii="宋体" w:hAnsi="宋体"/>
                <w:kern w:val="0"/>
                <w:sz w:val="24"/>
              </w:rPr>
              <w:t>新疆昌吉州奇台县督查办公室本级</w:t>
            </w:r>
          </w:p>
        </w:tc>
        <w:tc>
          <w:tcPr>
            <w:tcW w:w="2507" w:type="dxa"/>
            <w:tcBorders>
              <w:top w:val="single" w:color="auto" w:sz="6" w:space="0"/>
              <w:left w:val="single" w:color="auto" w:sz="6" w:space="0"/>
              <w:bottom w:val="single" w:color="auto" w:sz="6" w:space="0"/>
              <w:right w:val="single" w:color="auto" w:sz="6" w:space="0"/>
              <w:tl2br w:val="nil"/>
              <w:tr2bl w:val="nil"/>
            </w:tcBorders>
          </w:tcPr>
          <w:p>
            <w:pPr>
              <w:jc w:val="left"/>
              <w:rPr>
                <w:rFonts w:eastAsia="Times New Roman"/>
                <w:kern w:val="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616" w:type="dxa"/>
            <w:tcBorders>
              <w:top w:val="single" w:color="auto" w:sz="6" w:space="0"/>
              <w:left w:val="single" w:color="auto" w:sz="6" w:space="0"/>
              <w:bottom w:val="single" w:color="auto" w:sz="6" w:space="0"/>
              <w:right w:val="single" w:color="auto" w:sz="6" w:space="0"/>
              <w:tl2br w:val="nil"/>
              <w:tr2bl w:val="nil"/>
            </w:tcBorders>
          </w:tcPr>
          <w:p>
            <w:pPr>
              <w:jc w:val="left"/>
              <w:rPr>
                <w:rFonts w:eastAsia="Times New Roman"/>
                <w:kern w:val="0"/>
                <w:sz w:val="24"/>
              </w:rPr>
            </w:pPr>
            <w:r>
              <w:rPr>
                <w:rFonts w:hint="eastAsia" w:ascii="宋体" w:hAnsi="宋体"/>
                <w:kern w:val="0"/>
                <w:sz w:val="24"/>
              </w:rPr>
              <w:t>2</w:t>
            </w:r>
          </w:p>
        </w:tc>
        <w:tc>
          <w:tcPr>
            <w:tcW w:w="3240" w:type="dxa"/>
            <w:tcBorders>
              <w:top w:val="single" w:color="auto" w:sz="6" w:space="0"/>
              <w:left w:val="single" w:color="auto" w:sz="6" w:space="0"/>
              <w:bottom w:val="single" w:color="auto" w:sz="6" w:space="0"/>
              <w:right w:val="single" w:color="auto" w:sz="6" w:space="0"/>
              <w:tl2br w:val="nil"/>
              <w:tr2bl w:val="nil"/>
            </w:tcBorders>
          </w:tcPr>
          <w:p>
            <w:pPr>
              <w:jc w:val="left"/>
              <w:rPr>
                <w:rFonts w:eastAsia="Times New Roman"/>
                <w:kern w:val="0"/>
                <w:sz w:val="24"/>
              </w:rPr>
            </w:pPr>
          </w:p>
        </w:tc>
        <w:tc>
          <w:tcPr>
            <w:tcW w:w="2507" w:type="dxa"/>
            <w:tcBorders>
              <w:top w:val="single" w:color="auto" w:sz="6" w:space="0"/>
              <w:left w:val="single" w:color="auto" w:sz="6" w:space="0"/>
              <w:bottom w:val="single" w:color="auto" w:sz="6" w:space="0"/>
              <w:right w:val="single" w:color="auto" w:sz="6" w:space="0"/>
              <w:tl2br w:val="nil"/>
              <w:tr2bl w:val="nil"/>
            </w:tcBorders>
          </w:tcPr>
          <w:p>
            <w:pPr>
              <w:jc w:val="left"/>
              <w:rPr>
                <w:rFonts w:eastAsia="Times New Roman"/>
                <w:kern w:val="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616" w:type="dxa"/>
            <w:tcBorders>
              <w:top w:val="single" w:color="auto" w:sz="6" w:space="0"/>
              <w:left w:val="single" w:color="auto" w:sz="6" w:space="0"/>
              <w:bottom w:val="single" w:color="auto" w:sz="6" w:space="0"/>
              <w:right w:val="single" w:color="auto" w:sz="6" w:space="0"/>
              <w:tl2br w:val="nil"/>
              <w:tr2bl w:val="nil"/>
            </w:tcBorders>
          </w:tcPr>
          <w:p>
            <w:pPr>
              <w:jc w:val="left"/>
              <w:rPr>
                <w:rFonts w:eastAsia="Times New Roman"/>
                <w:kern w:val="0"/>
                <w:sz w:val="24"/>
              </w:rPr>
            </w:pPr>
            <w:r>
              <w:rPr>
                <w:rFonts w:hint="eastAsia" w:ascii="宋体" w:hAnsi="宋体"/>
                <w:kern w:val="0"/>
                <w:sz w:val="24"/>
              </w:rPr>
              <w:t>…</w:t>
            </w:r>
          </w:p>
        </w:tc>
        <w:tc>
          <w:tcPr>
            <w:tcW w:w="3240" w:type="dxa"/>
            <w:tcBorders>
              <w:top w:val="single" w:color="auto" w:sz="6" w:space="0"/>
              <w:left w:val="single" w:color="auto" w:sz="6" w:space="0"/>
              <w:bottom w:val="single" w:color="auto" w:sz="6" w:space="0"/>
              <w:right w:val="single" w:color="auto" w:sz="6" w:space="0"/>
              <w:tl2br w:val="nil"/>
              <w:tr2bl w:val="nil"/>
            </w:tcBorders>
          </w:tcPr>
          <w:p>
            <w:pPr>
              <w:jc w:val="left"/>
              <w:rPr>
                <w:rFonts w:eastAsia="Times New Roman"/>
                <w:kern w:val="0"/>
                <w:sz w:val="24"/>
              </w:rPr>
            </w:pPr>
          </w:p>
        </w:tc>
        <w:tc>
          <w:tcPr>
            <w:tcW w:w="2507" w:type="dxa"/>
            <w:tcBorders>
              <w:top w:val="single" w:color="auto" w:sz="6" w:space="0"/>
              <w:left w:val="single" w:color="auto" w:sz="6" w:space="0"/>
              <w:bottom w:val="single" w:color="auto" w:sz="6" w:space="0"/>
              <w:right w:val="single" w:color="auto" w:sz="6" w:space="0"/>
              <w:tl2br w:val="nil"/>
              <w:tr2bl w:val="nil"/>
            </w:tcBorders>
          </w:tcPr>
          <w:p>
            <w:pPr>
              <w:jc w:val="left"/>
              <w:rPr>
                <w:rFonts w:eastAsia="Times New Roman"/>
                <w:kern w:val="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616" w:type="dxa"/>
            <w:tcBorders>
              <w:top w:val="single" w:color="auto" w:sz="6" w:space="0"/>
              <w:left w:val="single" w:color="auto" w:sz="6" w:space="0"/>
              <w:bottom w:val="single" w:color="auto" w:sz="6" w:space="0"/>
              <w:right w:val="single" w:color="auto" w:sz="6" w:space="0"/>
              <w:tl2br w:val="nil"/>
              <w:tr2bl w:val="nil"/>
            </w:tcBorders>
          </w:tcPr>
          <w:p>
            <w:pPr>
              <w:jc w:val="left"/>
              <w:rPr>
                <w:rFonts w:eastAsia="Times New Roman"/>
                <w:kern w:val="0"/>
                <w:sz w:val="24"/>
              </w:rPr>
            </w:pPr>
          </w:p>
        </w:tc>
        <w:tc>
          <w:tcPr>
            <w:tcW w:w="3240" w:type="dxa"/>
            <w:tcBorders>
              <w:top w:val="single" w:color="auto" w:sz="6" w:space="0"/>
              <w:left w:val="single" w:color="auto" w:sz="6" w:space="0"/>
              <w:bottom w:val="single" w:color="auto" w:sz="6" w:space="0"/>
              <w:right w:val="single" w:color="auto" w:sz="6" w:space="0"/>
              <w:tl2br w:val="nil"/>
              <w:tr2bl w:val="nil"/>
            </w:tcBorders>
          </w:tcPr>
          <w:p>
            <w:pPr>
              <w:jc w:val="left"/>
              <w:rPr>
                <w:rFonts w:eastAsia="Times New Roman"/>
                <w:kern w:val="0"/>
                <w:sz w:val="24"/>
              </w:rPr>
            </w:pPr>
          </w:p>
        </w:tc>
        <w:tc>
          <w:tcPr>
            <w:tcW w:w="2507" w:type="dxa"/>
            <w:tcBorders>
              <w:top w:val="single" w:color="auto" w:sz="6" w:space="0"/>
              <w:left w:val="single" w:color="auto" w:sz="6" w:space="0"/>
              <w:bottom w:val="single" w:color="auto" w:sz="6" w:space="0"/>
              <w:right w:val="single" w:color="auto" w:sz="6" w:space="0"/>
              <w:tl2br w:val="nil"/>
              <w:tr2bl w:val="nil"/>
            </w:tcBorders>
          </w:tcPr>
          <w:p>
            <w:pPr>
              <w:jc w:val="left"/>
              <w:rPr>
                <w:rFonts w:eastAsia="Times New Roman"/>
                <w:kern w:val="0"/>
                <w:sz w:val="24"/>
              </w:rPr>
            </w:pPr>
          </w:p>
        </w:tc>
      </w:tr>
    </w:tbl>
    <w:p>
      <w:pPr>
        <w:shd w:val="clear" w:color="auto" w:fill="FFFFFF"/>
        <w:spacing w:line="520" w:lineRule="exact"/>
        <w:ind w:firstLine="480"/>
        <w:rPr>
          <w:rFonts w:eastAsia="Times New Roman"/>
          <w:kern w:val="0"/>
          <w:sz w:val="24"/>
        </w:rPr>
      </w:pPr>
    </w:p>
    <w:p>
      <w:pPr>
        <w:shd w:val="clear" w:color="auto" w:fill="FFFFFF"/>
        <w:spacing w:line="520" w:lineRule="exact"/>
        <w:ind w:firstLine="480"/>
        <w:rPr>
          <w:rFonts w:eastAsia="Times New Roman"/>
          <w:kern w:val="0"/>
          <w:sz w:val="24"/>
        </w:rPr>
      </w:pPr>
    </w:p>
    <w:p>
      <w:pPr>
        <w:shd w:val="clear" w:color="auto" w:fill="FFFFFF"/>
        <w:jc w:val="center"/>
        <w:rPr>
          <w:rFonts w:ascii="宋体" w:hAnsi="宋体"/>
          <w:b/>
          <w:kern w:val="0"/>
          <w:sz w:val="28"/>
        </w:rPr>
      </w:pPr>
      <w:r>
        <w:rPr>
          <w:rFonts w:hint="eastAsia" w:ascii="宋体" w:hAnsi="宋体"/>
          <w:b/>
          <w:kern w:val="0"/>
          <w:sz w:val="28"/>
        </w:rPr>
        <w:t>第二部分 新疆昌吉州奇台县督查办公室2018年度部门决算情况说明</w:t>
      </w:r>
    </w:p>
    <w:p>
      <w:pPr>
        <w:shd w:val="clear" w:color="auto" w:fill="FFFFFF"/>
        <w:jc w:val="center"/>
        <w:rPr>
          <w:rFonts w:eastAsiaTheme="minorEastAsia"/>
          <w:kern w:val="0"/>
          <w:sz w:val="28"/>
        </w:rPr>
      </w:pPr>
    </w:p>
    <w:p>
      <w:pPr>
        <w:shd w:val="clear" w:color="auto" w:fill="FFFFFF"/>
        <w:rPr>
          <w:rFonts w:ascii="宋体" w:hAnsi="宋体"/>
          <w:b/>
          <w:kern w:val="0"/>
          <w:sz w:val="24"/>
        </w:rPr>
      </w:pPr>
      <w:r>
        <w:rPr>
          <w:rFonts w:hint="eastAsia" w:ascii="宋体" w:hAnsi="宋体"/>
          <w:b/>
          <w:kern w:val="0"/>
          <w:sz w:val="24"/>
        </w:rPr>
        <w:t>一、部门收支总体情况</w:t>
      </w:r>
    </w:p>
    <w:p>
      <w:pPr>
        <w:shd w:val="clear" w:color="auto" w:fill="FFFFFF"/>
        <w:rPr>
          <w:rFonts w:eastAsia="Times New Roman"/>
          <w:b/>
          <w:kern w:val="0"/>
          <w:sz w:val="24"/>
        </w:rPr>
      </w:pPr>
    </w:p>
    <w:p>
      <w:pPr>
        <w:shd w:val="clear" w:color="auto" w:fill="FFFFFF"/>
        <w:rPr>
          <w:rFonts w:eastAsia="Times New Roman"/>
          <w:b/>
          <w:kern w:val="0"/>
          <w:sz w:val="24"/>
        </w:rPr>
      </w:pPr>
      <w:r>
        <w:rPr>
          <w:rFonts w:hint="eastAsia" w:ascii="宋体" w:hAnsi="宋体"/>
          <w:b/>
          <w:kern w:val="0"/>
          <w:sz w:val="24"/>
        </w:rPr>
        <w:t>(一)部门收入支出决算总体情况说明</w:t>
      </w:r>
    </w:p>
    <w:p>
      <w:pPr>
        <w:spacing w:line="520" w:lineRule="exact"/>
        <w:ind w:firstLine="480"/>
        <w:rPr>
          <w:rFonts w:eastAsia="Times New Roman"/>
          <w:kern w:val="0"/>
          <w:sz w:val="24"/>
        </w:rPr>
      </w:pPr>
      <w:r>
        <w:rPr>
          <w:rFonts w:hint="eastAsia" w:ascii="宋体" w:hAnsi="宋体"/>
          <w:kern w:val="0"/>
          <w:sz w:val="24"/>
        </w:rPr>
        <w:t>2018年度收入114.4万元，与上年相比，</w:t>
      </w:r>
      <w:r>
        <w:rPr>
          <w:rFonts w:hint="eastAsia" w:ascii="宋体" w:hAnsi="宋体"/>
          <w:color w:val="000000"/>
          <w:kern w:val="0"/>
          <w:sz w:val="24"/>
        </w:rPr>
        <w:t>增加</w:t>
      </w:r>
      <w:r>
        <w:rPr>
          <w:rFonts w:hint="eastAsia" w:ascii="宋体" w:hAnsi="宋体"/>
          <w:kern w:val="0"/>
          <w:sz w:val="24"/>
        </w:rPr>
        <w:t>7.78万元，</w:t>
      </w:r>
      <w:r>
        <w:rPr>
          <w:rFonts w:hint="eastAsia" w:ascii="宋体" w:hAnsi="宋体"/>
          <w:color w:val="000000"/>
          <w:kern w:val="0"/>
          <w:sz w:val="24"/>
        </w:rPr>
        <w:t>增长</w:t>
      </w:r>
      <w:r>
        <w:rPr>
          <w:rFonts w:hint="eastAsia" w:ascii="宋体" w:hAnsi="宋体"/>
          <w:kern w:val="0"/>
          <w:sz w:val="24"/>
        </w:rPr>
        <w:t>7.3%，增减变化主要原因是</w:t>
      </w:r>
      <w:r>
        <w:rPr>
          <w:rFonts w:hint="eastAsia" w:ascii="宋体"/>
          <w:color w:val="000000"/>
          <w:kern w:val="0"/>
          <w:sz w:val="24"/>
        </w:rPr>
        <w:t>工资调标、各类社保基数调整</w:t>
      </w:r>
      <w:r>
        <w:rPr>
          <w:rFonts w:hint="eastAsia" w:ascii="宋体" w:hAnsi="宋体"/>
          <w:kern w:val="0"/>
          <w:sz w:val="24"/>
        </w:rPr>
        <w:t>；支出114.4万元，与上年相比，</w:t>
      </w:r>
      <w:r>
        <w:rPr>
          <w:rFonts w:hint="eastAsia" w:ascii="宋体" w:hAnsi="宋体"/>
          <w:color w:val="000000"/>
          <w:kern w:val="0"/>
          <w:sz w:val="24"/>
        </w:rPr>
        <w:t>增加</w:t>
      </w:r>
      <w:r>
        <w:rPr>
          <w:rFonts w:hint="eastAsia" w:ascii="宋体" w:hAnsi="宋体"/>
          <w:kern w:val="0"/>
          <w:sz w:val="24"/>
        </w:rPr>
        <w:t>7.78万元，</w:t>
      </w:r>
      <w:r>
        <w:rPr>
          <w:rFonts w:hint="eastAsia" w:ascii="宋体" w:hAnsi="宋体"/>
          <w:color w:val="000000"/>
          <w:kern w:val="0"/>
          <w:sz w:val="24"/>
        </w:rPr>
        <w:t>增长</w:t>
      </w:r>
      <w:r>
        <w:rPr>
          <w:rFonts w:hint="eastAsia" w:ascii="宋体" w:hAnsi="宋体"/>
          <w:kern w:val="0"/>
          <w:sz w:val="24"/>
        </w:rPr>
        <w:t>7.3%，增减变化主要原因是</w:t>
      </w:r>
      <w:r>
        <w:rPr>
          <w:rFonts w:hint="eastAsia" w:ascii="宋体"/>
          <w:color w:val="000000"/>
          <w:kern w:val="0"/>
          <w:sz w:val="24"/>
        </w:rPr>
        <w:t>工资调标、各类社保基数调整</w:t>
      </w:r>
      <w:r>
        <w:rPr>
          <w:rFonts w:hint="eastAsia" w:ascii="宋体" w:hAnsi="宋体"/>
          <w:kern w:val="0"/>
          <w:sz w:val="24"/>
        </w:rPr>
        <w:t>；结余0万元，与上年相比，</w:t>
      </w:r>
      <w:r>
        <w:rPr>
          <w:rFonts w:hint="eastAsia" w:ascii="宋体" w:hAnsi="宋体"/>
          <w:color w:val="000000"/>
          <w:kern w:val="0"/>
          <w:sz w:val="24"/>
        </w:rPr>
        <w:t>增加</w:t>
      </w:r>
      <w:r>
        <w:rPr>
          <w:rFonts w:hint="eastAsia" w:ascii="宋体" w:hAnsi="宋体"/>
          <w:kern w:val="0"/>
          <w:sz w:val="24"/>
        </w:rPr>
        <w:t>0万元，</w:t>
      </w:r>
      <w:r>
        <w:rPr>
          <w:rFonts w:hint="eastAsia" w:ascii="宋体" w:hAnsi="宋体"/>
          <w:color w:val="000000"/>
          <w:kern w:val="0"/>
          <w:sz w:val="24"/>
        </w:rPr>
        <w:t>增长</w:t>
      </w:r>
      <w:r>
        <w:rPr>
          <w:rFonts w:hint="eastAsia" w:ascii="宋体" w:hAnsi="宋体"/>
          <w:kern w:val="0"/>
          <w:sz w:val="24"/>
        </w:rPr>
        <w:t>0%，增减变化主要原因</w:t>
      </w:r>
      <w:r>
        <w:rPr>
          <w:rFonts w:hint="eastAsia" w:ascii="宋体" w:hAnsi="宋体"/>
          <w:sz w:val="24"/>
          <w:szCs w:val="24"/>
        </w:rPr>
        <w:t>是本年度与上年度相比无变化</w:t>
      </w:r>
      <w:r>
        <w:rPr>
          <w:rFonts w:hint="eastAsia" w:ascii="宋体" w:hAnsi="宋体"/>
          <w:kern w:val="0"/>
          <w:sz w:val="24"/>
        </w:rPr>
        <w:t>。</w:t>
      </w:r>
    </w:p>
    <w:p>
      <w:pPr>
        <w:shd w:val="clear" w:color="auto" w:fill="FFFFFF"/>
        <w:jc w:val="left"/>
        <w:rPr>
          <w:rFonts w:ascii="宋体" w:hAnsi="宋体"/>
          <w:kern w:val="0"/>
          <w:sz w:val="24"/>
        </w:rPr>
      </w:pPr>
    </w:p>
    <w:p>
      <w:pPr>
        <w:shd w:val="clear" w:color="auto" w:fill="FFFFFF"/>
        <w:jc w:val="left"/>
        <w:rPr>
          <w:rFonts w:eastAsia="Times New Roman"/>
          <w:kern w:val="0"/>
          <w:sz w:val="24"/>
        </w:rPr>
      </w:pPr>
      <w:r>
        <w:rPr>
          <w:rFonts w:hint="eastAsia" w:ascii="宋体" w:hAnsi="宋体"/>
          <w:b/>
          <w:kern w:val="0"/>
          <w:sz w:val="24"/>
        </w:rPr>
        <w:t>（二）部门收入总体情况说明</w:t>
      </w:r>
    </w:p>
    <w:p>
      <w:pPr>
        <w:shd w:val="clear" w:color="auto" w:fill="FFFFFF"/>
        <w:spacing w:line="520" w:lineRule="exact"/>
        <w:ind w:firstLine="480"/>
        <w:rPr>
          <w:rFonts w:ascii="宋体" w:hAnsi="宋体"/>
          <w:kern w:val="0"/>
          <w:sz w:val="24"/>
        </w:rPr>
      </w:pPr>
      <w:r>
        <w:rPr>
          <w:rFonts w:hint="eastAsia" w:ascii="宋体" w:hAnsi="宋体"/>
          <w:kern w:val="0"/>
          <w:sz w:val="24"/>
        </w:rPr>
        <w:t>本年收入合计114.4万元，其中：财政拨款收入114.35万元，占99.96%；上级补助收入0万元，占0%；事业收入0万元，占0%；经营收入0万元，占0%；附属单位缴款0万元，占0%；其他收入0.04万元，占0.04%。</w:t>
      </w:r>
    </w:p>
    <w:p>
      <w:pPr>
        <w:shd w:val="clear" w:color="auto" w:fill="FFFFFF"/>
        <w:spacing w:line="520" w:lineRule="exact"/>
        <w:ind w:firstLine="480"/>
        <w:rPr>
          <w:rFonts w:eastAsia="Times New Roman"/>
          <w:kern w:val="0"/>
          <w:sz w:val="24"/>
        </w:rPr>
      </w:pPr>
      <w:r>
        <w:rPr>
          <w:rFonts w:hint="eastAsia" w:ascii="宋体" w:hAnsi="宋体"/>
          <w:kern w:val="0"/>
          <w:sz w:val="24"/>
        </w:rPr>
        <w:t>与年初预算数相比情况：本年收入年初预算数124.72万元，决算数114.4万元，预决算差异率-8.28%。差异主要原因是</w:t>
      </w:r>
      <w:r>
        <w:rPr>
          <w:rFonts w:hint="eastAsia" w:ascii="宋体"/>
          <w:color w:val="000000"/>
          <w:kern w:val="0"/>
          <w:sz w:val="24"/>
        </w:rPr>
        <w:t>办公经费缩减</w:t>
      </w:r>
      <w:r>
        <w:rPr>
          <w:rFonts w:hint="eastAsia" w:ascii="宋体" w:hAnsi="宋体"/>
          <w:kern w:val="0"/>
          <w:sz w:val="24"/>
        </w:rPr>
        <w:t>。</w:t>
      </w:r>
    </w:p>
    <w:p>
      <w:pPr>
        <w:shd w:val="clear" w:color="auto" w:fill="FFFFFF"/>
        <w:jc w:val="left"/>
        <w:rPr>
          <w:rFonts w:ascii="宋体" w:hAnsi="宋体"/>
          <w:kern w:val="0"/>
          <w:sz w:val="24"/>
        </w:rPr>
      </w:pPr>
    </w:p>
    <w:p>
      <w:pPr>
        <w:shd w:val="clear" w:color="auto" w:fill="FFFFFF"/>
        <w:jc w:val="left"/>
        <w:rPr>
          <w:rFonts w:eastAsia="Times New Roman"/>
          <w:kern w:val="0"/>
          <w:sz w:val="24"/>
        </w:rPr>
      </w:pPr>
      <w:r>
        <w:rPr>
          <w:rFonts w:hint="eastAsia" w:ascii="宋体" w:hAnsi="宋体"/>
          <w:b/>
          <w:kern w:val="0"/>
          <w:sz w:val="24"/>
        </w:rPr>
        <w:t>（三）部门支出总体情况说明</w:t>
      </w:r>
    </w:p>
    <w:p>
      <w:pPr>
        <w:shd w:val="clear" w:color="auto" w:fill="FFFFFF"/>
        <w:spacing w:line="520" w:lineRule="exact"/>
        <w:ind w:firstLine="480"/>
        <w:rPr>
          <w:rFonts w:eastAsia="Times New Roman"/>
          <w:kern w:val="0"/>
          <w:sz w:val="24"/>
        </w:rPr>
      </w:pPr>
      <w:r>
        <w:rPr>
          <w:rFonts w:hint="eastAsia" w:ascii="宋体" w:hAnsi="宋体"/>
          <w:kern w:val="0"/>
          <w:sz w:val="24"/>
        </w:rPr>
        <w:t>本年支出合计114.4万元，其中，基本支出114.4万元，占100%；项目支出0万元</w:t>
      </w:r>
      <w:r>
        <w:rPr>
          <w:rFonts w:eastAsia="Times New Roman"/>
          <w:kern w:val="0"/>
          <w:sz w:val="24"/>
        </w:rPr>
        <w:t>,</w:t>
      </w:r>
      <w:r>
        <w:rPr>
          <w:rFonts w:hint="eastAsia" w:ascii="宋体" w:hAnsi="宋体"/>
          <w:kern w:val="0"/>
          <w:sz w:val="24"/>
        </w:rPr>
        <w:t>占0%；上缴上级支出0万元，占0%；经营支出0万元，占0%；对附属单位补助支出0万元，占0%。</w:t>
      </w:r>
    </w:p>
    <w:p>
      <w:pPr>
        <w:spacing w:line="520" w:lineRule="exact"/>
        <w:ind w:firstLine="480"/>
        <w:rPr>
          <w:rFonts w:ascii="宋体" w:hAnsi="宋体"/>
          <w:kern w:val="0"/>
          <w:sz w:val="24"/>
        </w:rPr>
      </w:pPr>
      <w:r>
        <w:rPr>
          <w:rFonts w:hint="eastAsia" w:ascii="宋体" w:hAnsi="宋体"/>
          <w:kern w:val="0"/>
          <w:sz w:val="24"/>
        </w:rPr>
        <w:t>与年初预算数相比情况：本年支出年初预算数124.72万元，决算数114.4万元，预决算差异率-8.28%。差异主要原因是</w:t>
      </w:r>
      <w:r>
        <w:rPr>
          <w:rFonts w:hint="eastAsia" w:ascii="宋体"/>
          <w:color w:val="000000"/>
          <w:kern w:val="0"/>
          <w:sz w:val="24"/>
        </w:rPr>
        <w:t>办公经费缩减</w:t>
      </w:r>
      <w:r>
        <w:rPr>
          <w:rFonts w:hint="eastAsia" w:ascii="宋体" w:hAnsi="宋体"/>
          <w:kern w:val="0"/>
          <w:sz w:val="24"/>
        </w:rPr>
        <w:t>。</w:t>
      </w:r>
    </w:p>
    <w:p>
      <w:pPr>
        <w:shd w:val="clear" w:color="auto" w:fill="FFFFFF"/>
        <w:jc w:val="left"/>
        <w:rPr>
          <w:rFonts w:ascii="宋体" w:hAnsi="宋体"/>
          <w:kern w:val="0"/>
          <w:sz w:val="24"/>
        </w:rPr>
      </w:pPr>
    </w:p>
    <w:p>
      <w:pPr>
        <w:shd w:val="clear" w:color="auto" w:fill="FFFFFF"/>
        <w:jc w:val="left"/>
        <w:rPr>
          <w:rFonts w:ascii="宋体" w:hAnsi="宋体"/>
          <w:b/>
          <w:kern w:val="0"/>
          <w:sz w:val="24"/>
        </w:rPr>
      </w:pPr>
      <w:r>
        <w:rPr>
          <w:rFonts w:hint="eastAsia" w:ascii="宋体" w:hAnsi="宋体"/>
          <w:b/>
          <w:kern w:val="0"/>
          <w:sz w:val="24"/>
        </w:rPr>
        <w:t>二、部门财政拨款收支情况</w:t>
      </w:r>
    </w:p>
    <w:p>
      <w:pPr>
        <w:shd w:val="clear" w:color="auto" w:fill="FFFFFF"/>
        <w:jc w:val="left"/>
        <w:rPr>
          <w:rFonts w:eastAsia="Times New Roman"/>
          <w:b/>
          <w:kern w:val="0"/>
          <w:sz w:val="24"/>
        </w:rPr>
      </w:pPr>
    </w:p>
    <w:p>
      <w:pPr>
        <w:shd w:val="clear" w:color="auto" w:fill="FFFFFF"/>
        <w:jc w:val="left"/>
        <w:rPr>
          <w:rFonts w:eastAsia="Times New Roman"/>
          <w:b/>
          <w:kern w:val="0"/>
          <w:sz w:val="24"/>
        </w:rPr>
      </w:pPr>
      <w:r>
        <w:rPr>
          <w:rFonts w:hint="eastAsia" w:ascii="宋体" w:hAnsi="宋体"/>
          <w:b/>
          <w:kern w:val="0"/>
          <w:sz w:val="24"/>
        </w:rPr>
        <w:t>（一）财政拨款收支总体情况说明</w:t>
      </w:r>
    </w:p>
    <w:p>
      <w:pPr>
        <w:shd w:val="clear" w:color="auto" w:fill="FFFFFF"/>
        <w:spacing w:line="520" w:lineRule="exact"/>
        <w:ind w:firstLine="480"/>
        <w:rPr>
          <w:rFonts w:eastAsia="Times New Roman"/>
          <w:sz w:val="24"/>
        </w:rPr>
      </w:pPr>
      <w:r>
        <w:rPr>
          <w:rFonts w:hint="eastAsia" w:ascii="宋体" w:hAnsi="宋体"/>
          <w:kern w:val="0"/>
          <w:sz w:val="24"/>
        </w:rPr>
        <w:t>2018年度财政拨款收入114.35万元，与上年相比，</w:t>
      </w:r>
      <w:r>
        <w:rPr>
          <w:rFonts w:hint="eastAsia" w:ascii="宋体" w:hAnsi="宋体"/>
          <w:color w:val="000000"/>
          <w:kern w:val="0"/>
          <w:sz w:val="24"/>
        </w:rPr>
        <w:t>增加</w:t>
      </w:r>
      <w:r>
        <w:rPr>
          <w:rFonts w:hint="eastAsia" w:ascii="宋体" w:hAnsi="宋体"/>
          <w:kern w:val="0"/>
          <w:sz w:val="24"/>
        </w:rPr>
        <w:t>7.74万元，</w:t>
      </w:r>
      <w:r>
        <w:rPr>
          <w:rFonts w:hint="eastAsia" w:ascii="宋体" w:hAnsi="宋体"/>
          <w:color w:val="000000"/>
          <w:kern w:val="0"/>
          <w:sz w:val="24"/>
        </w:rPr>
        <w:t>增长</w:t>
      </w:r>
      <w:r>
        <w:rPr>
          <w:rFonts w:hint="eastAsia" w:ascii="宋体" w:hAnsi="宋体"/>
          <w:kern w:val="0"/>
          <w:sz w:val="24"/>
        </w:rPr>
        <w:t>7.26%，增减变化主要原因是</w:t>
      </w:r>
      <w:r>
        <w:rPr>
          <w:rFonts w:hint="eastAsia" w:ascii="宋体"/>
          <w:color w:val="000000"/>
          <w:kern w:val="0"/>
          <w:sz w:val="24"/>
        </w:rPr>
        <w:t>工资调标、各类社保基数调整</w:t>
      </w:r>
      <w:r>
        <w:rPr>
          <w:rFonts w:hint="eastAsia" w:ascii="宋体" w:hAnsi="宋体"/>
          <w:kern w:val="0"/>
          <w:sz w:val="24"/>
        </w:rPr>
        <w:t>。财政拨款支出114.35万元，与上年相比，</w:t>
      </w:r>
      <w:r>
        <w:rPr>
          <w:rFonts w:hint="eastAsia" w:ascii="宋体" w:hAnsi="宋体"/>
          <w:color w:val="000000"/>
          <w:kern w:val="0"/>
          <w:sz w:val="24"/>
        </w:rPr>
        <w:t>增加</w:t>
      </w:r>
      <w:r>
        <w:rPr>
          <w:rFonts w:hint="eastAsia" w:ascii="宋体" w:hAnsi="宋体"/>
          <w:kern w:val="0"/>
          <w:sz w:val="24"/>
        </w:rPr>
        <w:t>7.74万元，</w:t>
      </w:r>
      <w:r>
        <w:rPr>
          <w:rFonts w:hint="eastAsia" w:ascii="宋体" w:hAnsi="宋体"/>
          <w:color w:val="000000"/>
          <w:kern w:val="0"/>
          <w:sz w:val="24"/>
        </w:rPr>
        <w:t>增长</w:t>
      </w:r>
      <w:r>
        <w:rPr>
          <w:rFonts w:hint="eastAsia" w:ascii="宋体" w:hAnsi="宋体"/>
          <w:kern w:val="0"/>
          <w:sz w:val="24"/>
        </w:rPr>
        <w:t>7.26%。增减变化主要原因</w:t>
      </w:r>
      <w:r>
        <w:rPr>
          <w:rFonts w:hint="eastAsia" w:ascii="宋体" w:hAnsi="宋体"/>
          <w:kern w:val="0"/>
          <w:sz w:val="24"/>
          <w:lang w:eastAsia="zh-CN"/>
        </w:rPr>
        <w:t>是</w:t>
      </w:r>
      <w:r>
        <w:rPr>
          <w:rFonts w:hint="eastAsia" w:ascii="宋体"/>
          <w:color w:val="000000"/>
          <w:kern w:val="0"/>
          <w:sz w:val="24"/>
        </w:rPr>
        <w:t>工资调标、各类社保基数调整</w:t>
      </w:r>
      <w:r>
        <w:rPr>
          <w:rFonts w:hint="eastAsia" w:ascii="宋体" w:hAnsi="宋体"/>
          <w:kern w:val="0"/>
          <w:sz w:val="24"/>
        </w:rPr>
        <w:t>。其中：基本支出114.35万元，项目支出0万元。财政拨款结转结余0万元，与上年相比，</w:t>
      </w:r>
      <w:r>
        <w:rPr>
          <w:rFonts w:hint="eastAsia" w:ascii="宋体" w:hAnsi="宋体"/>
          <w:color w:val="000000"/>
          <w:kern w:val="0"/>
          <w:sz w:val="24"/>
        </w:rPr>
        <w:t>增加</w:t>
      </w:r>
      <w:r>
        <w:rPr>
          <w:rFonts w:hint="eastAsia" w:ascii="宋体" w:hAnsi="宋体"/>
          <w:kern w:val="0"/>
          <w:sz w:val="24"/>
        </w:rPr>
        <w:t>0万元，</w:t>
      </w:r>
      <w:r>
        <w:rPr>
          <w:rFonts w:hint="eastAsia" w:ascii="宋体" w:hAnsi="宋体"/>
          <w:color w:val="000000"/>
          <w:kern w:val="0"/>
          <w:sz w:val="24"/>
        </w:rPr>
        <w:t>增长</w:t>
      </w:r>
      <w:r>
        <w:rPr>
          <w:rFonts w:hint="eastAsia" w:ascii="宋体" w:hAnsi="宋体"/>
          <w:kern w:val="0"/>
          <w:sz w:val="24"/>
        </w:rPr>
        <w:t>0%，增减变化主要原因</w:t>
      </w:r>
      <w:r>
        <w:rPr>
          <w:rFonts w:hint="eastAsia" w:ascii="宋体" w:hAnsi="宋体"/>
          <w:sz w:val="24"/>
          <w:szCs w:val="24"/>
        </w:rPr>
        <w:t>是本年度与上年度相比无变化。</w:t>
      </w:r>
    </w:p>
    <w:p>
      <w:pPr>
        <w:shd w:val="clear" w:color="auto" w:fill="FFFFFF"/>
        <w:spacing w:line="520" w:lineRule="exact"/>
        <w:ind w:firstLine="480"/>
        <w:jc w:val="left"/>
        <w:rPr>
          <w:rFonts w:eastAsia="Times New Roman"/>
          <w:kern w:val="0"/>
          <w:sz w:val="24"/>
        </w:rPr>
      </w:pPr>
      <w:r>
        <w:rPr>
          <w:rFonts w:hint="eastAsia" w:ascii="宋体" w:hAnsi="宋体"/>
          <w:kern w:val="0"/>
          <w:sz w:val="24"/>
        </w:rPr>
        <w:t>与年初预算数相比情况:</w:t>
      </w:r>
      <w:r>
        <w:rPr>
          <w:rFonts w:hint="eastAsia" w:ascii="宋体" w:hAnsi="宋体"/>
          <w:kern w:val="0"/>
          <w:sz w:val="24"/>
          <w:lang w:val="zh-CN"/>
        </w:rPr>
        <w:t>财政拨款收入年初预算数</w:t>
      </w:r>
      <w:r>
        <w:rPr>
          <w:rFonts w:hint="eastAsia" w:ascii="宋体" w:hAnsi="宋体"/>
          <w:kern w:val="0"/>
          <w:sz w:val="24"/>
        </w:rPr>
        <w:t>124.72</w:t>
      </w:r>
      <w:r>
        <w:rPr>
          <w:rFonts w:hint="eastAsia" w:ascii="宋体" w:hAnsi="宋体"/>
          <w:kern w:val="0"/>
          <w:sz w:val="24"/>
          <w:lang w:val="zh-CN"/>
        </w:rPr>
        <w:t>万元</w:t>
      </w:r>
      <w:r>
        <w:rPr>
          <w:rFonts w:eastAsia="Times New Roman"/>
          <w:kern w:val="0"/>
          <w:sz w:val="24"/>
        </w:rPr>
        <w:t>,</w:t>
      </w:r>
      <w:r>
        <w:rPr>
          <w:rFonts w:hint="eastAsia" w:ascii="宋体" w:hAnsi="宋体"/>
          <w:kern w:val="0"/>
          <w:sz w:val="24"/>
        </w:rPr>
        <w:t>决算数</w:t>
      </w:r>
      <w:r>
        <w:rPr>
          <w:rFonts w:eastAsia="Times New Roman"/>
          <w:kern w:val="0"/>
          <w:sz w:val="24"/>
        </w:rPr>
        <w:t>114.35</w:t>
      </w:r>
      <w:r>
        <w:rPr>
          <w:rFonts w:hint="eastAsia" w:ascii="宋体" w:hAnsi="宋体"/>
          <w:kern w:val="0"/>
          <w:sz w:val="24"/>
        </w:rPr>
        <w:t>万元，预决算差异率-8.31%；差异主要原因是</w:t>
      </w:r>
      <w:r>
        <w:rPr>
          <w:rFonts w:hint="eastAsia" w:ascii="宋体"/>
          <w:color w:val="000000"/>
          <w:kern w:val="0"/>
          <w:sz w:val="24"/>
        </w:rPr>
        <w:t>办公经费缩减</w:t>
      </w:r>
      <w:r>
        <w:rPr>
          <w:rFonts w:hint="eastAsia" w:ascii="宋体" w:hAnsi="宋体"/>
          <w:kern w:val="0"/>
          <w:sz w:val="24"/>
        </w:rPr>
        <w:t>。</w:t>
      </w:r>
      <w:r>
        <w:rPr>
          <w:rFonts w:hint="eastAsia" w:ascii="宋体" w:hAnsi="宋体"/>
          <w:kern w:val="0"/>
          <w:sz w:val="24"/>
          <w:lang w:val="zh-CN"/>
        </w:rPr>
        <w:t>财政拨款支出年初预算数</w:t>
      </w:r>
      <w:r>
        <w:rPr>
          <w:rFonts w:hint="eastAsia" w:ascii="宋体" w:hAnsi="宋体"/>
          <w:kern w:val="0"/>
          <w:sz w:val="24"/>
        </w:rPr>
        <w:t>124.72</w:t>
      </w:r>
      <w:r>
        <w:rPr>
          <w:rFonts w:hint="eastAsia" w:ascii="宋体" w:hAnsi="宋体"/>
          <w:kern w:val="0"/>
          <w:sz w:val="24"/>
          <w:lang w:val="zh-CN"/>
        </w:rPr>
        <w:t>万元</w:t>
      </w:r>
      <w:r>
        <w:rPr>
          <w:rFonts w:hint="eastAsia" w:ascii="宋体" w:hAnsi="宋体"/>
          <w:kern w:val="0"/>
          <w:sz w:val="24"/>
        </w:rPr>
        <w:t>，决算数114.35万元。预决算差异率-8.31%</w:t>
      </w:r>
      <w:r>
        <w:rPr>
          <w:rFonts w:hint="eastAsia" w:ascii="宋体" w:hAnsi="宋体"/>
          <w:kern w:val="0"/>
          <w:sz w:val="24"/>
          <w:lang w:val="zh-CN"/>
        </w:rPr>
        <w:t>。</w:t>
      </w:r>
      <w:r>
        <w:rPr>
          <w:rFonts w:hint="eastAsia" w:ascii="宋体" w:hAnsi="宋体"/>
          <w:kern w:val="0"/>
          <w:sz w:val="24"/>
        </w:rPr>
        <w:t>差异主要原因是办公经费缩减</w:t>
      </w:r>
      <w:r>
        <w:rPr>
          <w:rFonts w:hint="eastAsia" w:ascii="宋体" w:hAnsi="宋体"/>
          <w:kern w:val="0"/>
          <w:sz w:val="24"/>
          <w:lang w:val="zh-CN"/>
        </w:rPr>
        <w:t>。</w:t>
      </w:r>
    </w:p>
    <w:p>
      <w:pPr>
        <w:shd w:val="clear" w:color="auto" w:fill="FFFFFF"/>
        <w:spacing w:line="520" w:lineRule="exact"/>
        <w:ind w:firstLine="480"/>
        <w:rPr>
          <w:rFonts w:eastAsia="Times New Roman"/>
          <w:kern w:val="0"/>
          <w:sz w:val="24"/>
        </w:rPr>
      </w:pPr>
    </w:p>
    <w:p>
      <w:pPr>
        <w:shd w:val="clear" w:color="auto" w:fill="FFFFFF"/>
        <w:jc w:val="left"/>
        <w:rPr>
          <w:rFonts w:eastAsia="Times New Roman"/>
          <w:b/>
          <w:kern w:val="0"/>
          <w:sz w:val="24"/>
        </w:rPr>
      </w:pPr>
      <w:r>
        <w:rPr>
          <w:rFonts w:hint="eastAsia" w:ascii="宋体" w:hAnsi="宋体"/>
          <w:b/>
          <w:kern w:val="0"/>
          <w:sz w:val="24"/>
        </w:rPr>
        <w:t>（二）一般公共预算收支决算情况说明</w:t>
      </w:r>
    </w:p>
    <w:p>
      <w:pPr>
        <w:spacing w:line="520" w:lineRule="exact"/>
        <w:ind w:firstLine="480"/>
        <w:rPr>
          <w:rFonts w:eastAsia="Times New Roman"/>
          <w:highlight w:val="white"/>
        </w:rPr>
      </w:pPr>
      <w:r>
        <w:rPr>
          <w:rFonts w:hint="eastAsia" w:ascii="宋体" w:hAnsi="宋体"/>
          <w:kern w:val="0"/>
          <w:sz w:val="24"/>
          <w:highlight w:val="white"/>
        </w:rPr>
        <w:t>2018年度一般公共预算财政拨款收入114.35万元，与上年相比，增加7.74万元，增长7.26%。增减变化的主要原因是：是工资调标、各类社保基数调整。一般公共预算财政拨款支出114.35万元，与上年相比，增加7.74万元，增长7.26%。增减变化主要原因</w:t>
      </w:r>
      <w:r>
        <w:rPr>
          <w:rFonts w:hint="eastAsia" w:ascii="宋体" w:hAnsi="宋体"/>
          <w:kern w:val="0"/>
          <w:sz w:val="24"/>
          <w:highlight w:val="white"/>
          <w:lang w:eastAsia="zh-CN"/>
        </w:rPr>
        <w:t>是</w:t>
      </w:r>
      <w:r>
        <w:rPr>
          <w:rFonts w:hint="eastAsia" w:ascii="宋体" w:hAnsi="宋体"/>
          <w:kern w:val="0"/>
          <w:sz w:val="24"/>
          <w:highlight w:val="white"/>
        </w:rPr>
        <w:t>工资调标、各类社保基数调整</w:t>
      </w:r>
      <w:r>
        <w:rPr>
          <w:rFonts w:hint="eastAsia" w:ascii="宋体" w:hAnsi="宋体"/>
          <w:kern w:val="0"/>
          <w:sz w:val="24"/>
          <w:highlight w:val="white"/>
          <w:lang w:val="zh-CN"/>
        </w:rPr>
        <w:t>。</w:t>
      </w:r>
      <w:r>
        <w:rPr>
          <w:rFonts w:hint="eastAsia" w:ascii="宋体" w:hAnsi="宋体"/>
          <w:kern w:val="0"/>
          <w:sz w:val="24"/>
          <w:highlight w:val="white"/>
        </w:rPr>
        <w:t>其中：按功能分类科目(按类级科目公开)。201类 一般公共服务支出:88.2</w:t>
      </w:r>
      <w:r>
        <w:rPr>
          <w:rFonts w:ascii="宋体" w:hAnsi="宋体"/>
          <w:kern w:val="0"/>
          <w:sz w:val="24"/>
          <w:highlight w:val="white"/>
        </w:rPr>
        <w:t>5</w:t>
      </w:r>
      <w:r>
        <w:rPr>
          <w:rFonts w:hint="eastAsia" w:ascii="宋体" w:hAnsi="宋体"/>
          <w:kern w:val="0"/>
          <w:sz w:val="24"/>
          <w:highlight w:val="white"/>
        </w:rPr>
        <w:t>万元，208类 社会保障和就业支出10.59万元，210类 医疗卫生和计划生育支出:6.24万元，221类 住房保障支出9.27万元。按经济分类科目(按类级科目公开)，工资福利支出112.85万元，商品和服务支出1.5万元</w:t>
      </w:r>
      <w:r>
        <w:rPr>
          <w:rFonts w:eastAsia="Times New Roman"/>
          <w:kern w:val="0"/>
          <w:sz w:val="24"/>
          <w:highlight w:val="white"/>
        </w:rPr>
        <w:t>,</w:t>
      </w:r>
      <w:r>
        <w:rPr>
          <w:rFonts w:hint="eastAsia" w:ascii="宋体" w:hAnsi="宋体"/>
          <w:kern w:val="0"/>
          <w:sz w:val="24"/>
          <w:highlight w:val="white"/>
        </w:rPr>
        <w:t>对个人和家庭的补助0万元</w:t>
      </w:r>
      <w:r>
        <w:rPr>
          <w:rFonts w:eastAsia="Times New Roman"/>
          <w:kern w:val="0"/>
          <w:sz w:val="24"/>
          <w:highlight w:val="white"/>
        </w:rPr>
        <w:t>,</w:t>
      </w:r>
      <w:r>
        <w:rPr>
          <w:rFonts w:hint="eastAsia" w:ascii="宋体" w:hAnsi="宋体"/>
          <w:kern w:val="0"/>
          <w:sz w:val="24"/>
          <w:highlight w:val="white"/>
        </w:rPr>
        <w:t>债务利息及费用支出0万元</w:t>
      </w:r>
      <w:r>
        <w:rPr>
          <w:rFonts w:eastAsia="Times New Roman"/>
          <w:kern w:val="0"/>
          <w:sz w:val="24"/>
          <w:highlight w:val="white"/>
        </w:rPr>
        <w:t>,</w:t>
      </w:r>
      <w:r>
        <w:rPr>
          <w:rFonts w:hint="eastAsia" w:ascii="宋体" w:hAnsi="宋体"/>
          <w:kern w:val="0"/>
          <w:sz w:val="24"/>
          <w:highlight w:val="white"/>
        </w:rPr>
        <w:t>资本性支出（基本建设）0万元</w:t>
      </w:r>
      <w:r>
        <w:rPr>
          <w:rFonts w:eastAsia="Times New Roman"/>
          <w:kern w:val="0"/>
          <w:sz w:val="24"/>
          <w:highlight w:val="white"/>
        </w:rPr>
        <w:t>,</w:t>
      </w:r>
      <w:r>
        <w:rPr>
          <w:rFonts w:hint="eastAsia" w:ascii="宋体" w:hAnsi="宋体"/>
          <w:kern w:val="0"/>
          <w:sz w:val="24"/>
          <w:highlight w:val="white"/>
        </w:rPr>
        <w:t>资本性支出0万元</w:t>
      </w:r>
      <w:r>
        <w:rPr>
          <w:rFonts w:eastAsia="Times New Roman"/>
          <w:kern w:val="0"/>
          <w:sz w:val="24"/>
          <w:highlight w:val="white"/>
        </w:rPr>
        <w:t>,</w:t>
      </w:r>
      <w:r>
        <w:rPr>
          <w:rFonts w:hint="eastAsia" w:ascii="宋体" w:hAnsi="宋体"/>
          <w:kern w:val="0"/>
          <w:sz w:val="24"/>
          <w:highlight w:val="white"/>
        </w:rPr>
        <w:t>对企业补助（基本建设）0万元</w:t>
      </w:r>
      <w:r>
        <w:rPr>
          <w:rFonts w:eastAsia="Times New Roman"/>
          <w:kern w:val="0"/>
          <w:sz w:val="24"/>
          <w:highlight w:val="white"/>
        </w:rPr>
        <w:t>,</w:t>
      </w:r>
      <w:r>
        <w:rPr>
          <w:rFonts w:hint="eastAsia" w:ascii="宋体" w:hAnsi="宋体"/>
          <w:kern w:val="0"/>
          <w:sz w:val="24"/>
          <w:highlight w:val="white"/>
        </w:rPr>
        <w:t>对企业补助0万元，对社会保障基金补助0万元，其他支出0万元。</w:t>
      </w:r>
    </w:p>
    <w:p>
      <w:pPr>
        <w:shd w:val="clear" w:color="auto" w:fill="FFFFFF"/>
        <w:spacing w:line="520" w:lineRule="exact"/>
        <w:ind w:firstLine="480"/>
        <w:jc w:val="left"/>
        <w:rPr>
          <w:rFonts w:eastAsia="Times New Roman"/>
          <w:kern w:val="0"/>
          <w:sz w:val="24"/>
        </w:rPr>
      </w:pPr>
      <w:r>
        <w:rPr>
          <w:rFonts w:hint="eastAsia" w:ascii="宋体" w:hAnsi="宋体"/>
          <w:kern w:val="0"/>
          <w:sz w:val="24"/>
        </w:rPr>
        <w:t>与年初预算数相比情况:</w:t>
      </w:r>
      <w:r>
        <w:rPr>
          <w:rFonts w:hint="eastAsia" w:ascii="宋体" w:hAnsi="宋体"/>
          <w:kern w:val="0"/>
          <w:sz w:val="24"/>
          <w:lang w:val="zh-CN"/>
        </w:rPr>
        <w:t>一般公共预算财政拨款收入年初预算数</w:t>
      </w:r>
      <w:r>
        <w:rPr>
          <w:rFonts w:hint="eastAsia" w:ascii="宋体" w:hAnsi="宋体"/>
          <w:kern w:val="0"/>
          <w:sz w:val="24"/>
        </w:rPr>
        <w:t>124.72万元，决算数114.35万元，预决算差异率-8.31% ，增减变化主要原因</w:t>
      </w:r>
      <w:r>
        <w:rPr>
          <w:rFonts w:hint="eastAsia" w:ascii="宋体" w:hAnsi="宋体"/>
          <w:kern w:val="0"/>
          <w:sz w:val="24"/>
          <w:lang w:eastAsia="zh-CN"/>
        </w:rPr>
        <w:t>是</w:t>
      </w:r>
      <w:r>
        <w:rPr>
          <w:rFonts w:hint="eastAsia" w:ascii="宋体"/>
          <w:color w:val="000000"/>
          <w:kern w:val="0"/>
          <w:sz w:val="24"/>
        </w:rPr>
        <w:t>工资调标、各类社保基数调整</w:t>
      </w:r>
      <w:r>
        <w:rPr>
          <w:rFonts w:hint="eastAsia" w:ascii="宋体" w:hAnsi="宋体"/>
          <w:kern w:val="0"/>
          <w:sz w:val="24"/>
          <w:lang w:val="zh-CN"/>
        </w:rPr>
        <w:t>。一般公共预算财政拨款支出年初预算数</w:t>
      </w:r>
      <w:r>
        <w:rPr>
          <w:rFonts w:hint="eastAsia" w:ascii="宋体" w:hAnsi="宋体"/>
          <w:kern w:val="0"/>
          <w:sz w:val="24"/>
        </w:rPr>
        <w:t>124.72</w:t>
      </w:r>
      <w:r>
        <w:rPr>
          <w:rFonts w:hint="eastAsia" w:ascii="宋体" w:hAnsi="宋体"/>
          <w:kern w:val="0"/>
          <w:sz w:val="24"/>
          <w:lang w:val="zh-CN"/>
        </w:rPr>
        <w:t>万元</w:t>
      </w:r>
      <w:r>
        <w:rPr>
          <w:rFonts w:hint="eastAsia" w:ascii="宋体" w:hAnsi="宋体"/>
          <w:kern w:val="0"/>
          <w:sz w:val="24"/>
        </w:rPr>
        <w:t>，决算数114.35万元，预决算差异率-8.31%，差异主要原因是办公经费缩减</w:t>
      </w:r>
      <w:r>
        <w:rPr>
          <w:rFonts w:hint="eastAsia" w:ascii="宋体" w:hAnsi="宋体"/>
          <w:kern w:val="0"/>
          <w:sz w:val="24"/>
          <w:lang w:val="zh-CN"/>
        </w:rPr>
        <w:t>。</w:t>
      </w:r>
    </w:p>
    <w:p>
      <w:pPr>
        <w:shd w:val="clear" w:color="auto" w:fill="FFFFFF"/>
        <w:jc w:val="left"/>
        <w:rPr>
          <w:rFonts w:ascii="宋体" w:hAnsi="宋体"/>
          <w:kern w:val="0"/>
          <w:sz w:val="24"/>
        </w:rPr>
      </w:pPr>
    </w:p>
    <w:p>
      <w:pPr>
        <w:shd w:val="clear" w:color="auto" w:fill="FFFFFF"/>
        <w:jc w:val="left"/>
        <w:rPr>
          <w:rFonts w:eastAsia="Times New Roman"/>
          <w:b/>
          <w:kern w:val="0"/>
          <w:sz w:val="24"/>
        </w:rPr>
      </w:pPr>
      <w:r>
        <w:rPr>
          <w:rFonts w:hint="eastAsia" w:ascii="宋体" w:hAnsi="宋体"/>
          <w:b/>
          <w:kern w:val="0"/>
          <w:sz w:val="24"/>
        </w:rPr>
        <w:t>（三）政府性基金预算收支决算情况说明</w:t>
      </w:r>
    </w:p>
    <w:p>
      <w:pPr>
        <w:shd w:val="clear" w:color="auto" w:fill="FFFFFF"/>
        <w:spacing w:before="100" w:line="520" w:lineRule="exact"/>
        <w:ind w:firstLine="480"/>
        <w:rPr>
          <w:rFonts w:ascii="宋体" w:hAnsi="宋体"/>
          <w:sz w:val="24"/>
          <w:szCs w:val="24"/>
        </w:rPr>
      </w:pPr>
      <w:r>
        <w:rPr>
          <w:rFonts w:ascii="宋体" w:hAnsi="宋体"/>
          <w:sz w:val="24"/>
          <w:szCs w:val="24"/>
        </w:rPr>
        <w:t>2018</w:t>
      </w:r>
      <w:r>
        <w:rPr>
          <w:rFonts w:hint="eastAsia" w:ascii="宋体" w:hAnsi="宋体"/>
          <w:sz w:val="24"/>
          <w:szCs w:val="24"/>
        </w:rPr>
        <w:t>年度政府性基金预算财政拨款收入</w:t>
      </w:r>
      <w:r>
        <w:rPr>
          <w:rFonts w:ascii="宋体" w:hAnsi="宋体"/>
          <w:sz w:val="24"/>
          <w:szCs w:val="24"/>
        </w:rPr>
        <w:t>0</w:t>
      </w:r>
      <w:r>
        <w:rPr>
          <w:rFonts w:hint="eastAsia" w:ascii="宋体" w:hAnsi="宋体"/>
          <w:sz w:val="24"/>
          <w:szCs w:val="24"/>
        </w:rPr>
        <w:t>万元，与上年相比，增加</w:t>
      </w:r>
      <w:r>
        <w:rPr>
          <w:rFonts w:ascii="宋体" w:hAnsi="宋体"/>
          <w:sz w:val="24"/>
          <w:szCs w:val="24"/>
        </w:rPr>
        <w:t>0</w:t>
      </w:r>
      <w:r>
        <w:rPr>
          <w:rFonts w:hint="eastAsia" w:ascii="宋体" w:hAnsi="宋体"/>
          <w:sz w:val="24"/>
          <w:szCs w:val="24"/>
        </w:rPr>
        <w:t>万元，增长</w:t>
      </w:r>
      <w:r>
        <w:rPr>
          <w:rFonts w:ascii="宋体" w:hAnsi="宋体"/>
          <w:sz w:val="24"/>
          <w:szCs w:val="24"/>
        </w:rPr>
        <w:t>0%</w:t>
      </w:r>
      <w:r>
        <w:rPr>
          <w:rFonts w:hint="eastAsia" w:ascii="宋体" w:hAnsi="宋体"/>
          <w:sz w:val="24"/>
          <w:szCs w:val="24"/>
        </w:rPr>
        <w:t>。增减变化的主要原因是：我单位</w:t>
      </w:r>
      <w:r>
        <w:rPr>
          <w:rFonts w:ascii="宋体" w:hAnsi="宋体"/>
          <w:sz w:val="24"/>
          <w:szCs w:val="24"/>
        </w:rPr>
        <w:t>2018</w:t>
      </w:r>
      <w:r>
        <w:rPr>
          <w:rFonts w:hint="eastAsia" w:ascii="宋体" w:hAnsi="宋体"/>
          <w:sz w:val="24"/>
          <w:szCs w:val="24"/>
        </w:rPr>
        <w:t>年无政府性基金收入，与上年相比无变化。政府性基金预算财政拨款支出</w:t>
      </w:r>
      <w:r>
        <w:rPr>
          <w:rFonts w:ascii="宋体" w:hAnsi="宋体"/>
          <w:sz w:val="24"/>
          <w:szCs w:val="24"/>
        </w:rPr>
        <w:t>0</w:t>
      </w:r>
      <w:r>
        <w:rPr>
          <w:rFonts w:hint="eastAsia" w:ascii="宋体" w:hAnsi="宋体"/>
          <w:sz w:val="24"/>
          <w:szCs w:val="24"/>
        </w:rPr>
        <w:t>万元，与上年相比，增加</w:t>
      </w:r>
      <w:r>
        <w:rPr>
          <w:rFonts w:ascii="宋体" w:hAnsi="宋体"/>
          <w:sz w:val="24"/>
          <w:szCs w:val="24"/>
        </w:rPr>
        <w:t>0</w:t>
      </w:r>
      <w:r>
        <w:rPr>
          <w:rFonts w:hint="eastAsia" w:ascii="宋体" w:hAnsi="宋体"/>
          <w:sz w:val="24"/>
          <w:szCs w:val="24"/>
        </w:rPr>
        <w:t>万元，增长</w:t>
      </w:r>
      <w:r>
        <w:rPr>
          <w:rFonts w:ascii="宋体" w:hAnsi="宋体"/>
          <w:sz w:val="24"/>
          <w:szCs w:val="24"/>
        </w:rPr>
        <w:t>0%</w:t>
      </w:r>
      <w:r>
        <w:rPr>
          <w:rFonts w:hint="eastAsia" w:ascii="宋体" w:hAnsi="宋体"/>
          <w:sz w:val="24"/>
          <w:szCs w:val="24"/>
        </w:rPr>
        <w:t>。增减变化的主要原因是：我单位</w:t>
      </w:r>
      <w:r>
        <w:rPr>
          <w:rFonts w:ascii="宋体" w:hAnsi="宋体"/>
          <w:sz w:val="24"/>
          <w:szCs w:val="24"/>
        </w:rPr>
        <w:t>2018</w:t>
      </w:r>
      <w:r>
        <w:rPr>
          <w:rFonts w:hint="eastAsia" w:ascii="宋体" w:hAnsi="宋体"/>
          <w:sz w:val="24"/>
          <w:szCs w:val="24"/>
        </w:rPr>
        <w:t>年无政府性基金支出，与上年相比无变化。其中：按功能分类科目(按类级科目公开)，本单位本年度无政府性基金支出；按经济分类科目</w:t>
      </w:r>
      <w:r>
        <w:rPr>
          <w:rFonts w:ascii="宋体" w:hAnsi="宋体"/>
          <w:sz w:val="24"/>
          <w:szCs w:val="24"/>
        </w:rPr>
        <w:t>(</w:t>
      </w:r>
      <w:r>
        <w:rPr>
          <w:rFonts w:hint="eastAsia" w:ascii="宋体" w:hAnsi="宋体"/>
          <w:sz w:val="24"/>
          <w:szCs w:val="24"/>
        </w:rPr>
        <w:t>按类级科目公开</w:t>
      </w:r>
      <w:r>
        <w:rPr>
          <w:rFonts w:ascii="宋体" w:hAnsi="宋体"/>
          <w:sz w:val="24"/>
          <w:szCs w:val="24"/>
        </w:rPr>
        <w:t>)</w:t>
      </w:r>
      <w:r>
        <w:rPr>
          <w:rFonts w:hint="eastAsia" w:ascii="宋体" w:hAnsi="宋体"/>
          <w:sz w:val="24"/>
          <w:szCs w:val="24"/>
        </w:rPr>
        <w:t>，工资福利支出</w:t>
      </w:r>
      <w:r>
        <w:rPr>
          <w:rFonts w:ascii="宋体" w:hAnsi="宋体"/>
          <w:sz w:val="24"/>
          <w:szCs w:val="24"/>
        </w:rPr>
        <w:t>0</w:t>
      </w:r>
      <w:r>
        <w:rPr>
          <w:rFonts w:hint="eastAsia" w:ascii="宋体" w:hAnsi="宋体"/>
          <w:sz w:val="24"/>
          <w:szCs w:val="24"/>
        </w:rPr>
        <w:t>万元，商品和服务支出</w:t>
      </w:r>
      <w:r>
        <w:rPr>
          <w:rFonts w:ascii="宋体" w:hAnsi="宋体"/>
          <w:sz w:val="24"/>
          <w:szCs w:val="24"/>
        </w:rPr>
        <w:t>0</w:t>
      </w:r>
      <w:r>
        <w:rPr>
          <w:rFonts w:hint="eastAsia" w:ascii="宋体" w:hAnsi="宋体"/>
          <w:sz w:val="24"/>
          <w:szCs w:val="24"/>
        </w:rPr>
        <w:t>万元</w:t>
      </w:r>
      <w:r>
        <w:rPr>
          <w:rFonts w:ascii="宋体" w:hAnsi="宋体"/>
          <w:sz w:val="24"/>
          <w:szCs w:val="24"/>
        </w:rPr>
        <w:t>,</w:t>
      </w:r>
      <w:r>
        <w:rPr>
          <w:rFonts w:hint="eastAsia" w:ascii="宋体" w:hAnsi="宋体"/>
          <w:sz w:val="24"/>
          <w:szCs w:val="24"/>
        </w:rPr>
        <w:t>对个人和家庭的补助</w:t>
      </w:r>
      <w:r>
        <w:rPr>
          <w:rFonts w:ascii="宋体" w:hAnsi="宋体"/>
          <w:sz w:val="24"/>
          <w:szCs w:val="24"/>
        </w:rPr>
        <w:t>0</w:t>
      </w:r>
      <w:r>
        <w:rPr>
          <w:rFonts w:hint="eastAsia" w:ascii="宋体" w:hAnsi="宋体"/>
          <w:sz w:val="24"/>
          <w:szCs w:val="24"/>
        </w:rPr>
        <w:t>万元</w:t>
      </w:r>
      <w:r>
        <w:rPr>
          <w:rFonts w:ascii="宋体" w:hAnsi="宋体"/>
          <w:sz w:val="24"/>
          <w:szCs w:val="24"/>
        </w:rPr>
        <w:t>,</w:t>
      </w:r>
      <w:r>
        <w:rPr>
          <w:rFonts w:hint="eastAsia" w:ascii="宋体" w:hAnsi="宋体"/>
          <w:sz w:val="24"/>
          <w:szCs w:val="24"/>
        </w:rPr>
        <w:t>债务利息及费用支出</w:t>
      </w:r>
      <w:r>
        <w:rPr>
          <w:rFonts w:ascii="宋体" w:hAnsi="宋体"/>
          <w:sz w:val="24"/>
          <w:szCs w:val="24"/>
        </w:rPr>
        <w:t>0</w:t>
      </w:r>
      <w:r>
        <w:rPr>
          <w:rFonts w:hint="eastAsia" w:ascii="宋体" w:hAnsi="宋体"/>
          <w:sz w:val="24"/>
          <w:szCs w:val="24"/>
        </w:rPr>
        <w:t>万元</w:t>
      </w:r>
      <w:r>
        <w:rPr>
          <w:rFonts w:ascii="宋体" w:hAnsi="宋体"/>
          <w:sz w:val="24"/>
          <w:szCs w:val="24"/>
        </w:rPr>
        <w:t>,</w:t>
      </w:r>
      <w:r>
        <w:rPr>
          <w:rFonts w:hint="eastAsia" w:ascii="宋体" w:hAnsi="宋体"/>
          <w:sz w:val="24"/>
          <w:szCs w:val="24"/>
        </w:rPr>
        <w:t>资本性支出（基本建设）</w:t>
      </w:r>
      <w:r>
        <w:rPr>
          <w:rFonts w:ascii="宋体" w:hAnsi="宋体"/>
          <w:sz w:val="24"/>
          <w:szCs w:val="24"/>
        </w:rPr>
        <w:t>0</w:t>
      </w:r>
      <w:r>
        <w:rPr>
          <w:rFonts w:hint="eastAsia" w:ascii="宋体" w:hAnsi="宋体"/>
          <w:sz w:val="24"/>
          <w:szCs w:val="24"/>
        </w:rPr>
        <w:t>万元</w:t>
      </w:r>
      <w:r>
        <w:rPr>
          <w:rFonts w:ascii="宋体" w:hAnsi="宋体"/>
          <w:sz w:val="24"/>
          <w:szCs w:val="24"/>
        </w:rPr>
        <w:t>,</w:t>
      </w:r>
      <w:r>
        <w:rPr>
          <w:rFonts w:hint="eastAsia" w:ascii="宋体" w:hAnsi="宋体"/>
          <w:sz w:val="24"/>
          <w:szCs w:val="24"/>
        </w:rPr>
        <w:t>资本性支出</w:t>
      </w:r>
      <w:r>
        <w:rPr>
          <w:rFonts w:ascii="宋体" w:hAnsi="宋体"/>
          <w:sz w:val="24"/>
          <w:szCs w:val="24"/>
        </w:rPr>
        <w:t>0</w:t>
      </w:r>
      <w:r>
        <w:rPr>
          <w:rFonts w:hint="eastAsia" w:ascii="宋体" w:hAnsi="宋体"/>
          <w:sz w:val="24"/>
          <w:szCs w:val="24"/>
        </w:rPr>
        <w:t>万元</w:t>
      </w:r>
      <w:r>
        <w:rPr>
          <w:rFonts w:ascii="宋体" w:hAnsi="宋体"/>
          <w:sz w:val="24"/>
          <w:szCs w:val="24"/>
        </w:rPr>
        <w:t>,</w:t>
      </w:r>
      <w:r>
        <w:rPr>
          <w:rFonts w:hint="eastAsia" w:ascii="宋体" w:hAnsi="宋体"/>
          <w:sz w:val="24"/>
          <w:szCs w:val="24"/>
        </w:rPr>
        <w:t>对企业补助（基本建设）</w:t>
      </w:r>
      <w:r>
        <w:rPr>
          <w:rFonts w:ascii="宋体" w:hAnsi="宋体"/>
          <w:sz w:val="24"/>
          <w:szCs w:val="24"/>
        </w:rPr>
        <w:t>0</w:t>
      </w:r>
      <w:r>
        <w:rPr>
          <w:rFonts w:hint="eastAsia" w:ascii="宋体" w:hAnsi="宋体"/>
          <w:sz w:val="24"/>
          <w:szCs w:val="24"/>
        </w:rPr>
        <w:t>万元</w:t>
      </w:r>
      <w:r>
        <w:rPr>
          <w:rFonts w:ascii="宋体" w:hAnsi="宋体"/>
          <w:sz w:val="24"/>
          <w:szCs w:val="24"/>
        </w:rPr>
        <w:t>,</w:t>
      </w:r>
      <w:r>
        <w:rPr>
          <w:rFonts w:hint="eastAsia" w:ascii="宋体" w:hAnsi="宋体"/>
          <w:sz w:val="24"/>
          <w:szCs w:val="24"/>
        </w:rPr>
        <w:t>对企业补助</w:t>
      </w:r>
      <w:r>
        <w:rPr>
          <w:rFonts w:ascii="宋体" w:hAnsi="宋体"/>
          <w:sz w:val="24"/>
          <w:szCs w:val="24"/>
        </w:rPr>
        <w:t>0</w:t>
      </w:r>
      <w:r>
        <w:rPr>
          <w:rFonts w:hint="eastAsia" w:ascii="宋体" w:hAnsi="宋体"/>
          <w:sz w:val="24"/>
          <w:szCs w:val="24"/>
        </w:rPr>
        <w:t>万元，对社会保障基金补助</w:t>
      </w:r>
      <w:r>
        <w:rPr>
          <w:rFonts w:ascii="宋体" w:hAnsi="宋体"/>
          <w:sz w:val="24"/>
          <w:szCs w:val="24"/>
        </w:rPr>
        <w:t>0</w:t>
      </w:r>
      <w:r>
        <w:rPr>
          <w:rFonts w:hint="eastAsia" w:ascii="宋体" w:hAnsi="宋体"/>
          <w:sz w:val="24"/>
          <w:szCs w:val="24"/>
        </w:rPr>
        <w:t>万元，其他支出</w:t>
      </w:r>
      <w:r>
        <w:rPr>
          <w:rFonts w:ascii="宋体" w:hAnsi="宋体"/>
          <w:sz w:val="24"/>
          <w:szCs w:val="24"/>
        </w:rPr>
        <w:t>0</w:t>
      </w:r>
      <w:r>
        <w:rPr>
          <w:rFonts w:hint="eastAsia" w:ascii="宋体" w:hAnsi="宋体"/>
          <w:sz w:val="24"/>
          <w:szCs w:val="24"/>
        </w:rPr>
        <w:t>万元。</w:t>
      </w:r>
    </w:p>
    <w:p>
      <w:pPr>
        <w:shd w:val="clear" w:color="auto" w:fill="FFFFFF"/>
        <w:spacing w:before="100" w:line="520" w:lineRule="exact"/>
        <w:ind w:firstLine="480"/>
        <w:rPr>
          <w:rFonts w:ascii="宋体" w:hAnsi="宋体"/>
          <w:sz w:val="24"/>
          <w:szCs w:val="24"/>
        </w:rPr>
      </w:pPr>
      <w:r>
        <w:rPr>
          <w:rFonts w:hint="eastAsia" w:ascii="宋体" w:hAnsi="宋体"/>
          <w:sz w:val="24"/>
          <w:szCs w:val="24"/>
        </w:rPr>
        <w:t>与年初预算数相比情况</w:t>
      </w:r>
      <w:r>
        <w:rPr>
          <w:rFonts w:ascii="宋体" w:hAnsi="宋体"/>
          <w:sz w:val="24"/>
          <w:szCs w:val="24"/>
        </w:rPr>
        <w:t>:</w:t>
      </w:r>
      <w:r>
        <w:rPr>
          <w:rFonts w:hint="eastAsia" w:ascii="宋体" w:hAnsi="宋体"/>
          <w:sz w:val="24"/>
          <w:szCs w:val="24"/>
        </w:rPr>
        <w:t>政府性基金预算财政拨款收入年初预算数</w:t>
      </w:r>
      <w:r>
        <w:rPr>
          <w:rFonts w:ascii="宋体" w:hAnsi="宋体"/>
          <w:sz w:val="24"/>
          <w:szCs w:val="24"/>
        </w:rPr>
        <w:t>0</w:t>
      </w:r>
      <w:r>
        <w:rPr>
          <w:rFonts w:hint="eastAsia" w:ascii="宋体" w:hAnsi="宋体"/>
          <w:sz w:val="24"/>
          <w:szCs w:val="24"/>
        </w:rPr>
        <w:t>万元，决算数</w:t>
      </w:r>
      <w:r>
        <w:rPr>
          <w:rFonts w:ascii="宋体" w:hAnsi="宋体"/>
          <w:sz w:val="24"/>
          <w:szCs w:val="24"/>
        </w:rPr>
        <w:t>0</w:t>
      </w:r>
      <w:r>
        <w:rPr>
          <w:rFonts w:hint="eastAsia" w:ascii="宋体" w:hAnsi="宋体"/>
          <w:sz w:val="24"/>
          <w:szCs w:val="24"/>
        </w:rPr>
        <w:t>万元，预决算差异率</w:t>
      </w:r>
      <w:r>
        <w:rPr>
          <w:rFonts w:ascii="宋体" w:hAnsi="宋体"/>
          <w:sz w:val="24"/>
          <w:szCs w:val="24"/>
        </w:rPr>
        <w:t>0%</w:t>
      </w:r>
      <w:r>
        <w:rPr>
          <w:rFonts w:hint="eastAsia" w:ascii="宋体" w:hAnsi="宋体"/>
          <w:sz w:val="24"/>
          <w:szCs w:val="24"/>
        </w:rPr>
        <w:t>。差异主要原因是我单位</w:t>
      </w:r>
      <w:r>
        <w:rPr>
          <w:rFonts w:ascii="宋体" w:hAnsi="宋体"/>
          <w:sz w:val="24"/>
          <w:szCs w:val="24"/>
        </w:rPr>
        <w:t>2018</w:t>
      </w:r>
      <w:r>
        <w:rPr>
          <w:rFonts w:hint="eastAsia" w:ascii="宋体" w:hAnsi="宋体"/>
          <w:sz w:val="24"/>
          <w:szCs w:val="24"/>
        </w:rPr>
        <w:t>年无政府性基金支出，与年初预算数相比无变化。政府性基金预算财政拨款支出年初预算数</w:t>
      </w:r>
      <w:r>
        <w:rPr>
          <w:rFonts w:ascii="宋体" w:hAnsi="宋体"/>
          <w:sz w:val="24"/>
          <w:szCs w:val="24"/>
        </w:rPr>
        <w:t>0</w:t>
      </w:r>
      <w:r>
        <w:rPr>
          <w:rFonts w:hint="eastAsia" w:ascii="宋体" w:hAnsi="宋体"/>
          <w:sz w:val="24"/>
          <w:szCs w:val="24"/>
        </w:rPr>
        <w:t>万元，决算数</w:t>
      </w:r>
      <w:r>
        <w:rPr>
          <w:rFonts w:ascii="宋体" w:hAnsi="宋体"/>
          <w:sz w:val="24"/>
          <w:szCs w:val="24"/>
        </w:rPr>
        <w:t>0</w:t>
      </w:r>
      <w:r>
        <w:rPr>
          <w:rFonts w:hint="eastAsia" w:ascii="宋体" w:hAnsi="宋体"/>
          <w:sz w:val="24"/>
          <w:szCs w:val="24"/>
        </w:rPr>
        <w:t>万元，预决算差异率</w:t>
      </w:r>
      <w:r>
        <w:rPr>
          <w:rFonts w:ascii="宋体" w:hAnsi="宋体"/>
          <w:sz w:val="24"/>
          <w:szCs w:val="24"/>
        </w:rPr>
        <w:t>0%</w:t>
      </w:r>
      <w:r>
        <w:rPr>
          <w:rFonts w:hint="eastAsia" w:ascii="宋体" w:hAnsi="宋体"/>
          <w:sz w:val="24"/>
          <w:szCs w:val="24"/>
        </w:rPr>
        <w:t>。差异主要原因是</w:t>
      </w:r>
      <w:r>
        <w:rPr>
          <w:rFonts w:ascii="宋体" w:hAnsi="宋体"/>
          <w:sz w:val="24"/>
          <w:szCs w:val="24"/>
        </w:rPr>
        <w:t>2018</w:t>
      </w:r>
      <w:r>
        <w:rPr>
          <w:rFonts w:hint="eastAsia" w:ascii="宋体" w:hAnsi="宋体"/>
          <w:sz w:val="24"/>
          <w:szCs w:val="24"/>
        </w:rPr>
        <w:t>年我单位无政府性基金预算。与年初预算数相比无变化。</w:t>
      </w:r>
    </w:p>
    <w:p>
      <w:pPr>
        <w:spacing w:line="520" w:lineRule="exact"/>
        <w:ind w:firstLine="480"/>
        <w:rPr>
          <w:rFonts w:eastAsia="Times New Roman"/>
          <w:kern w:val="0"/>
          <w:sz w:val="24"/>
        </w:rPr>
      </w:pPr>
    </w:p>
    <w:p>
      <w:pPr>
        <w:shd w:val="clear" w:color="auto" w:fill="FFFFFF"/>
        <w:jc w:val="left"/>
        <w:rPr>
          <w:rFonts w:eastAsia="Times New Roman"/>
          <w:b/>
          <w:kern w:val="0"/>
          <w:sz w:val="24"/>
        </w:rPr>
      </w:pPr>
      <w:r>
        <w:rPr>
          <w:rFonts w:hint="eastAsia" w:ascii="宋体" w:hAnsi="宋体"/>
          <w:b/>
          <w:kern w:val="0"/>
          <w:sz w:val="24"/>
        </w:rPr>
        <w:t>三、部门结转结余情况</w:t>
      </w:r>
    </w:p>
    <w:p>
      <w:pPr>
        <w:shd w:val="clear" w:color="auto" w:fill="FFFFFF"/>
        <w:spacing w:line="520" w:lineRule="exact"/>
        <w:ind w:firstLine="480"/>
        <w:rPr>
          <w:rFonts w:eastAsia="Times New Roman"/>
          <w:kern w:val="0"/>
          <w:sz w:val="24"/>
        </w:rPr>
      </w:pPr>
      <w:r>
        <w:rPr>
          <w:rFonts w:hint="eastAsia" w:ascii="宋体" w:hAnsi="宋体"/>
          <w:kern w:val="0"/>
          <w:sz w:val="24"/>
        </w:rPr>
        <w:t>年末结转结余0万元。与上年相比，</w:t>
      </w:r>
      <w:r>
        <w:rPr>
          <w:rFonts w:hint="eastAsia" w:ascii="宋体" w:hAnsi="宋体"/>
          <w:color w:val="000000"/>
          <w:kern w:val="0"/>
          <w:sz w:val="24"/>
        </w:rPr>
        <w:t>增加</w:t>
      </w:r>
      <w:r>
        <w:rPr>
          <w:rFonts w:hint="eastAsia" w:ascii="宋体" w:hAnsi="宋体"/>
          <w:kern w:val="0"/>
          <w:sz w:val="24"/>
        </w:rPr>
        <w:t>0万元，</w:t>
      </w:r>
      <w:r>
        <w:rPr>
          <w:rFonts w:hint="eastAsia" w:ascii="宋体" w:hAnsi="宋体"/>
          <w:color w:val="000000"/>
          <w:kern w:val="0"/>
          <w:sz w:val="24"/>
        </w:rPr>
        <w:t>增长</w:t>
      </w:r>
      <w:r>
        <w:rPr>
          <w:rFonts w:hint="eastAsia" w:ascii="宋体" w:hAnsi="宋体"/>
          <w:kern w:val="0"/>
          <w:sz w:val="24"/>
        </w:rPr>
        <w:t>0%。</w:t>
      </w:r>
    </w:p>
    <w:p>
      <w:pPr>
        <w:shd w:val="clear" w:color="auto" w:fill="FFFFFF"/>
        <w:spacing w:line="520" w:lineRule="exact"/>
        <w:ind w:firstLine="480"/>
        <w:rPr>
          <w:rFonts w:eastAsia="Times New Roman"/>
          <w:kern w:val="0"/>
          <w:sz w:val="24"/>
        </w:rPr>
      </w:pPr>
      <w:r>
        <w:rPr>
          <w:rFonts w:hint="eastAsia" w:ascii="宋体" w:hAnsi="宋体"/>
          <w:kern w:val="0"/>
          <w:sz w:val="24"/>
        </w:rPr>
        <w:t>其中财政拨款结转结余0万元。与上年相比，</w:t>
      </w:r>
      <w:r>
        <w:rPr>
          <w:rFonts w:hint="eastAsia" w:ascii="宋体" w:hAnsi="宋体"/>
          <w:color w:val="000000"/>
          <w:kern w:val="0"/>
          <w:sz w:val="24"/>
        </w:rPr>
        <w:t>增加</w:t>
      </w:r>
      <w:r>
        <w:rPr>
          <w:rFonts w:hint="eastAsia" w:ascii="宋体" w:hAnsi="宋体"/>
          <w:kern w:val="0"/>
          <w:sz w:val="24"/>
        </w:rPr>
        <w:t>0万元，</w:t>
      </w:r>
      <w:r>
        <w:rPr>
          <w:rFonts w:hint="eastAsia" w:ascii="宋体" w:hAnsi="宋体"/>
          <w:color w:val="000000"/>
          <w:kern w:val="0"/>
          <w:sz w:val="24"/>
        </w:rPr>
        <w:t>增长</w:t>
      </w:r>
      <w:r>
        <w:rPr>
          <w:rFonts w:hint="eastAsia" w:ascii="宋体" w:hAnsi="宋体"/>
          <w:kern w:val="0"/>
          <w:sz w:val="24"/>
        </w:rPr>
        <w:t>0%,</w:t>
      </w:r>
      <w:r>
        <w:rPr>
          <w:rFonts w:hint="eastAsia" w:ascii="宋体" w:hAnsi="宋体"/>
          <w:color w:val="000000"/>
          <w:kern w:val="0"/>
          <w:sz w:val="24"/>
        </w:rPr>
        <w:t>增加</w:t>
      </w:r>
      <w:r>
        <w:rPr>
          <w:rFonts w:hint="eastAsia" w:ascii="宋体" w:hAnsi="宋体"/>
          <w:kern w:val="0"/>
          <w:sz w:val="24"/>
          <w:highlight w:val="white"/>
        </w:rPr>
        <w:t>。</w:t>
      </w:r>
    </w:p>
    <w:p>
      <w:pPr>
        <w:shd w:val="clear" w:color="auto" w:fill="FFFFFF"/>
        <w:spacing w:line="520" w:lineRule="exact"/>
        <w:ind w:firstLine="480"/>
        <w:rPr>
          <w:rFonts w:eastAsia="Times New Roman"/>
          <w:kern w:val="0"/>
          <w:sz w:val="24"/>
        </w:rPr>
      </w:pPr>
    </w:p>
    <w:p>
      <w:pPr>
        <w:shd w:val="clear" w:color="auto" w:fill="FFFFFF"/>
        <w:jc w:val="left"/>
        <w:rPr>
          <w:rFonts w:eastAsia="Times New Roman"/>
          <w:b/>
          <w:kern w:val="0"/>
          <w:sz w:val="24"/>
        </w:rPr>
      </w:pPr>
      <w:r>
        <w:rPr>
          <w:rFonts w:hint="eastAsia" w:ascii="宋体" w:hAnsi="宋体"/>
          <w:b/>
          <w:kern w:val="0"/>
          <w:sz w:val="24"/>
        </w:rPr>
        <w:t>四、一般公共预算</w:t>
      </w:r>
      <w:r>
        <w:rPr>
          <w:rFonts w:eastAsia="Times New Roman"/>
          <w:b/>
          <w:kern w:val="0"/>
          <w:sz w:val="24"/>
        </w:rPr>
        <w:t>“</w:t>
      </w:r>
      <w:r>
        <w:rPr>
          <w:rFonts w:hint="eastAsia" w:ascii="宋体" w:hAnsi="宋体"/>
          <w:b/>
          <w:kern w:val="0"/>
          <w:sz w:val="24"/>
        </w:rPr>
        <w:t>三公</w:t>
      </w:r>
      <w:r>
        <w:rPr>
          <w:rFonts w:eastAsia="Times New Roman"/>
          <w:b/>
          <w:kern w:val="0"/>
          <w:sz w:val="24"/>
        </w:rPr>
        <w:t>”</w:t>
      </w:r>
      <w:r>
        <w:rPr>
          <w:rFonts w:hint="eastAsia" w:ascii="宋体" w:hAnsi="宋体"/>
          <w:b/>
          <w:kern w:val="0"/>
          <w:sz w:val="24"/>
        </w:rPr>
        <w:t>经费支出情况</w:t>
      </w:r>
    </w:p>
    <w:p>
      <w:pPr>
        <w:shd w:val="clear" w:color="auto" w:fill="FFFFFF"/>
        <w:spacing w:line="520" w:lineRule="exact"/>
        <w:ind w:firstLine="480"/>
        <w:rPr>
          <w:rFonts w:eastAsia="Times New Roman"/>
          <w:kern w:val="0"/>
          <w:sz w:val="24"/>
        </w:rPr>
      </w:pPr>
      <w:r>
        <w:rPr>
          <w:rFonts w:hint="eastAsia" w:ascii="宋体" w:hAnsi="宋体"/>
          <w:kern w:val="0"/>
          <w:sz w:val="24"/>
        </w:rPr>
        <w:t>2018年度，</w:t>
      </w:r>
      <w:r>
        <w:rPr>
          <w:rFonts w:hint="eastAsia" w:ascii="宋体" w:hAnsi="宋体"/>
          <w:b/>
          <w:kern w:val="0"/>
          <w:sz w:val="24"/>
        </w:rPr>
        <w:t>一</w:t>
      </w:r>
      <w:r>
        <w:rPr>
          <w:rFonts w:hint="eastAsia" w:ascii="宋体" w:hAnsi="宋体"/>
          <w:kern w:val="0"/>
          <w:sz w:val="24"/>
        </w:rPr>
        <w:t>般公共预算</w:t>
      </w:r>
      <w:r>
        <w:rPr>
          <w:rFonts w:eastAsia="Times New Roman"/>
          <w:kern w:val="0"/>
          <w:sz w:val="24"/>
        </w:rPr>
        <w:t>“</w:t>
      </w:r>
      <w:r>
        <w:rPr>
          <w:rFonts w:hint="eastAsia" w:ascii="宋体" w:hAnsi="宋体"/>
          <w:kern w:val="0"/>
          <w:sz w:val="24"/>
        </w:rPr>
        <w:t>三公</w:t>
      </w:r>
      <w:r>
        <w:rPr>
          <w:rFonts w:eastAsia="Times New Roman"/>
          <w:kern w:val="0"/>
          <w:sz w:val="24"/>
        </w:rPr>
        <w:t>”</w:t>
      </w:r>
      <w:r>
        <w:rPr>
          <w:rFonts w:hint="eastAsia" w:ascii="宋体" w:hAnsi="宋体"/>
          <w:kern w:val="0"/>
          <w:sz w:val="24"/>
        </w:rPr>
        <w:t>经费支出决算0.3万元，比上年</w:t>
      </w:r>
      <w:r>
        <w:rPr>
          <w:rFonts w:hint="eastAsia" w:ascii="宋体" w:hAnsi="宋体"/>
          <w:color w:val="000000"/>
          <w:kern w:val="0"/>
          <w:sz w:val="24"/>
        </w:rPr>
        <w:t>减少</w:t>
      </w:r>
      <w:r>
        <w:rPr>
          <w:rFonts w:hint="eastAsia" w:ascii="宋体" w:hAnsi="宋体"/>
          <w:kern w:val="0"/>
          <w:sz w:val="24"/>
        </w:rPr>
        <w:t>2.1万元，</w:t>
      </w:r>
      <w:r>
        <w:rPr>
          <w:rFonts w:hint="eastAsia" w:ascii="宋体" w:hAnsi="宋体"/>
          <w:color w:val="000000"/>
          <w:kern w:val="0"/>
          <w:sz w:val="24"/>
        </w:rPr>
        <w:t>降低</w:t>
      </w:r>
      <w:r>
        <w:rPr>
          <w:rFonts w:hint="eastAsia" w:ascii="宋体" w:hAnsi="宋体"/>
          <w:kern w:val="0"/>
          <w:sz w:val="24"/>
        </w:rPr>
        <w:t>87.48%。</w:t>
      </w:r>
      <w:r>
        <w:rPr>
          <w:rFonts w:hint="eastAsia" w:ascii="宋体" w:hAnsi="宋体"/>
          <w:color w:val="000000"/>
          <w:kern w:val="0"/>
          <w:sz w:val="24"/>
        </w:rPr>
        <w:t>减少</w:t>
      </w:r>
      <w:r>
        <w:rPr>
          <w:rFonts w:hint="eastAsia" w:ascii="宋体" w:hAnsi="宋体"/>
          <w:kern w:val="0"/>
          <w:sz w:val="24"/>
        </w:rPr>
        <w:t>原因是厉行节约，本年减少燃油费，维修费等。其中，因公出国（境）费支出0万元，占0%，比上年</w:t>
      </w:r>
      <w:r>
        <w:rPr>
          <w:rFonts w:hint="eastAsia" w:ascii="宋体" w:hAnsi="宋体"/>
          <w:color w:val="000000"/>
          <w:kern w:val="0"/>
          <w:sz w:val="24"/>
        </w:rPr>
        <w:t>增加</w:t>
      </w:r>
      <w:r>
        <w:rPr>
          <w:rFonts w:hint="eastAsia" w:ascii="宋体" w:hAnsi="宋体"/>
          <w:kern w:val="0"/>
          <w:sz w:val="24"/>
        </w:rPr>
        <w:t>0万元，</w:t>
      </w:r>
      <w:r>
        <w:rPr>
          <w:rFonts w:hint="eastAsia" w:ascii="宋体" w:hAnsi="宋体"/>
          <w:color w:val="000000"/>
          <w:kern w:val="0"/>
          <w:sz w:val="24"/>
        </w:rPr>
        <w:t>增长</w:t>
      </w:r>
      <w:r>
        <w:rPr>
          <w:rFonts w:hint="eastAsia" w:ascii="宋体" w:hAnsi="宋体"/>
          <w:kern w:val="0"/>
          <w:sz w:val="24"/>
        </w:rPr>
        <w:t>0%。</w:t>
      </w:r>
      <w:r>
        <w:rPr>
          <w:rFonts w:hint="eastAsia" w:ascii="宋体" w:hAnsi="宋体"/>
          <w:color w:val="000000"/>
          <w:kern w:val="0"/>
          <w:sz w:val="24"/>
        </w:rPr>
        <w:t>增加</w:t>
      </w:r>
      <w:r>
        <w:rPr>
          <w:rFonts w:hint="eastAsia" w:ascii="宋体" w:hAnsi="宋体"/>
          <w:kern w:val="0"/>
          <w:sz w:val="24"/>
        </w:rPr>
        <w:t>原因</w:t>
      </w:r>
      <w:r>
        <w:rPr>
          <w:rFonts w:hint="eastAsia" w:ascii="宋体"/>
          <w:kern w:val="0"/>
          <w:sz w:val="24"/>
          <w:szCs w:val="24"/>
        </w:rPr>
        <w:t>是；本年度无因公出国（境）费支出，与上年相比无变化；</w:t>
      </w:r>
      <w:r>
        <w:rPr>
          <w:rFonts w:hint="eastAsia" w:ascii="宋体" w:hAnsi="宋体"/>
          <w:kern w:val="0"/>
          <w:sz w:val="24"/>
        </w:rPr>
        <w:t>公务用车购置及运行维护费支出0.3万元，占100%，比上年</w:t>
      </w:r>
      <w:r>
        <w:rPr>
          <w:rFonts w:hint="eastAsia" w:ascii="宋体" w:hAnsi="宋体"/>
          <w:color w:val="000000"/>
          <w:kern w:val="0"/>
          <w:sz w:val="24"/>
        </w:rPr>
        <w:t>减少</w:t>
      </w:r>
      <w:r>
        <w:rPr>
          <w:rFonts w:hint="eastAsia" w:ascii="宋体" w:hAnsi="宋体"/>
          <w:kern w:val="0"/>
          <w:sz w:val="24"/>
        </w:rPr>
        <w:t>2.1万元，</w:t>
      </w:r>
      <w:r>
        <w:rPr>
          <w:rFonts w:hint="eastAsia" w:ascii="宋体" w:hAnsi="宋体"/>
          <w:color w:val="000000"/>
          <w:kern w:val="0"/>
          <w:sz w:val="24"/>
        </w:rPr>
        <w:t>降低</w:t>
      </w:r>
      <w:r>
        <w:rPr>
          <w:rFonts w:hint="eastAsia" w:ascii="宋体" w:hAnsi="宋体"/>
          <w:kern w:val="0"/>
          <w:sz w:val="24"/>
        </w:rPr>
        <w:t>87.48%。</w:t>
      </w:r>
      <w:r>
        <w:rPr>
          <w:rFonts w:hint="eastAsia" w:ascii="宋体" w:hAnsi="宋体"/>
          <w:color w:val="000000"/>
          <w:kern w:val="0"/>
          <w:sz w:val="24"/>
        </w:rPr>
        <w:t>减少</w:t>
      </w:r>
      <w:r>
        <w:rPr>
          <w:rFonts w:hint="eastAsia" w:ascii="宋体" w:hAnsi="宋体"/>
          <w:kern w:val="0"/>
          <w:sz w:val="24"/>
        </w:rPr>
        <w:t>原因是厉行节约，本年减少燃油费，维修费等；公务接待费0万元，占0%，比上年</w:t>
      </w:r>
      <w:r>
        <w:rPr>
          <w:rFonts w:hint="eastAsia" w:ascii="宋体" w:hAnsi="宋体"/>
          <w:color w:val="000000"/>
          <w:kern w:val="0"/>
          <w:sz w:val="24"/>
        </w:rPr>
        <w:t>增加</w:t>
      </w:r>
      <w:r>
        <w:rPr>
          <w:rFonts w:hint="eastAsia" w:ascii="宋体" w:hAnsi="宋体"/>
          <w:kern w:val="0"/>
          <w:sz w:val="24"/>
        </w:rPr>
        <w:t>0万元，</w:t>
      </w:r>
      <w:r>
        <w:rPr>
          <w:rFonts w:hint="eastAsia" w:ascii="宋体" w:hAnsi="宋体"/>
          <w:color w:val="000000"/>
          <w:kern w:val="0"/>
          <w:sz w:val="24"/>
        </w:rPr>
        <w:t>增长</w:t>
      </w:r>
      <w:r>
        <w:rPr>
          <w:rFonts w:hint="eastAsia" w:ascii="宋体" w:hAnsi="宋体"/>
          <w:kern w:val="0"/>
          <w:sz w:val="24"/>
        </w:rPr>
        <w:t>0%。</w:t>
      </w:r>
      <w:r>
        <w:rPr>
          <w:rFonts w:hint="eastAsia" w:ascii="宋体" w:hAnsi="宋体"/>
          <w:color w:val="000000"/>
          <w:kern w:val="0"/>
          <w:sz w:val="24"/>
        </w:rPr>
        <w:t>增加</w:t>
      </w:r>
      <w:r>
        <w:rPr>
          <w:rFonts w:hint="eastAsia" w:ascii="宋体" w:hAnsi="宋体"/>
          <w:kern w:val="0"/>
          <w:sz w:val="24"/>
        </w:rPr>
        <w:t>原因</w:t>
      </w:r>
      <w:r>
        <w:rPr>
          <w:rFonts w:hint="eastAsia" w:ascii="宋体"/>
          <w:kern w:val="0"/>
          <w:sz w:val="24"/>
          <w:szCs w:val="24"/>
        </w:rPr>
        <w:t>是；本年度无公务接待费支出，与上年相比无变化；</w:t>
      </w:r>
      <w:r>
        <w:rPr>
          <w:rFonts w:hint="eastAsia" w:ascii="宋体" w:hAnsi="宋体"/>
          <w:kern w:val="0"/>
          <w:sz w:val="24"/>
        </w:rPr>
        <w:t>具体情况如下：</w:t>
      </w:r>
    </w:p>
    <w:p>
      <w:pPr>
        <w:shd w:val="clear" w:color="auto" w:fill="FFFFFF"/>
        <w:spacing w:line="520" w:lineRule="exact"/>
        <w:ind w:firstLine="480"/>
        <w:rPr>
          <w:rFonts w:eastAsia="Times New Roman"/>
          <w:kern w:val="0"/>
          <w:sz w:val="24"/>
        </w:rPr>
      </w:pPr>
      <w:r>
        <w:rPr>
          <w:rFonts w:hint="eastAsia" w:ascii="宋体" w:hAnsi="宋体"/>
          <w:kern w:val="0"/>
          <w:sz w:val="24"/>
        </w:rPr>
        <w:t>因公出国（境）费支出0万元，新疆昌吉州奇台县督查办公室单位全年使用一般公共预算财政拨款安排的出国（境）团组0个，累积0人次。开支内容包括：本年度无因公出国（境）费支出 。</w:t>
      </w:r>
    </w:p>
    <w:p>
      <w:pPr>
        <w:shd w:val="clear" w:color="auto" w:fill="FFFFFF"/>
        <w:spacing w:line="520" w:lineRule="exact"/>
        <w:ind w:firstLine="480"/>
        <w:rPr>
          <w:rFonts w:eastAsia="Times New Roman"/>
          <w:kern w:val="0"/>
          <w:sz w:val="24"/>
        </w:rPr>
      </w:pPr>
      <w:r>
        <w:rPr>
          <w:rFonts w:hint="eastAsia" w:ascii="宋体" w:hAnsi="宋体"/>
          <w:kern w:val="0"/>
          <w:sz w:val="24"/>
        </w:rPr>
        <w:t>公务用车购置及运行维护费0.3万元，其中，公务用车购置0万元，公务用车运行维护费0.3万元。主要用于公务用车燃油费，维修费等。2018年，单位一般公共财政拨款安排的公务用车购置量0辆，保有量为1辆。</w:t>
      </w:r>
    </w:p>
    <w:p>
      <w:pPr>
        <w:shd w:val="clear" w:color="auto" w:fill="FFFFFF"/>
        <w:spacing w:line="520" w:lineRule="exact"/>
        <w:ind w:firstLine="480"/>
        <w:rPr>
          <w:rFonts w:eastAsia="Times New Roman"/>
          <w:kern w:val="0"/>
          <w:sz w:val="24"/>
        </w:rPr>
      </w:pPr>
      <w:r>
        <w:rPr>
          <w:rFonts w:hint="eastAsia" w:ascii="宋体" w:hAnsi="宋体"/>
          <w:kern w:val="0"/>
          <w:sz w:val="24"/>
        </w:rPr>
        <w:t>公务接待费0万元。具体是：国内公务接待支出0万元，</w:t>
      </w:r>
      <w:r>
        <w:rPr>
          <w:rFonts w:hint="eastAsia" w:ascii="宋体"/>
          <w:kern w:val="0"/>
          <w:sz w:val="24"/>
          <w:szCs w:val="24"/>
        </w:rPr>
        <w:t>本年度无国内公务接待支出。</w:t>
      </w:r>
      <w:r>
        <w:rPr>
          <w:rFonts w:hint="eastAsia" w:ascii="宋体" w:hAnsi="宋体"/>
          <w:kern w:val="0"/>
          <w:sz w:val="24"/>
        </w:rPr>
        <w:t>新疆昌吉州奇台县督查办公室单位国内公务接待0批次，0人次。</w:t>
      </w:r>
    </w:p>
    <w:p>
      <w:pPr>
        <w:spacing w:line="520" w:lineRule="exact"/>
        <w:ind w:firstLine="480"/>
        <w:rPr>
          <w:rFonts w:ascii="宋体"/>
          <w:sz w:val="24"/>
          <w:szCs w:val="24"/>
        </w:rPr>
      </w:pPr>
      <w:r>
        <w:rPr>
          <w:rFonts w:hint="eastAsia" w:ascii="宋体" w:hAnsi="宋体"/>
          <w:kern w:val="0"/>
          <w:sz w:val="24"/>
        </w:rPr>
        <w:t>与年初预算数相比情况:一般公共预算</w:t>
      </w:r>
      <w:r>
        <w:rPr>
          <w:rFonts w:ascii="宋体" w:hAnsi="宋体"/>
          <w:kern w:val="0"/>
          <w:sz w:val="24"/>
        </w:rPr>
        <w:t>“</w:t>
      </w:r>
      <w:r>
        <w:rPr>
          <w:rFonts w:hint="eastAsia" w:ascii="宋体" w:hAnsi="宋体"/>
          <w:kern w:val="0"/>
          <w:sz w:val="24"/>
        </w:rPr>
        <w:t>三公</w:t>
      </w:r>
      <w:r>
        <w:rPr>
          <w:rFonts w:ascii="宋体" w:hAnsi="宋体"/>
          <w:kern w:val="0"/>
          <w:sz w:val="24"/>
        </w:rPr>
        <w:t>”</w:t>
      </w:r>
      <w:r>
        <w:rPr>
          <w:rFonts w:hint="eastAsia" w:ascii="宋体" w:hAnsi="宋体"/>
          <w:kern w:val="0"/>
          <w:sz w:val="24"/>
        </w:rPr>
        <w:t>经费支出年初预算数2万元，决算数0.3万元，预决算差异率-85%，差异主要原因办公经费缩减。其中：</w:t>
      </w:r>
      <w:r>
        <w:rPr>
          <w:rFonts w:hint="eastAsia" w:ascii="宋体" w:hAnsi="宋体"/>
          <w:kern w:val="0"/>
          <w:sz w:val="24"/>
          <w:lang w:val="zh-CN"/>
        </w:rPr>
        <w:t>因公出国</w:t>
      </w:r>
      <w:r>
        <w:rPr>
          <w:rFonts w:hint="eastAsia" w:ascii="宋体" w:hAnsi="宋体"/>
          <w:kern w:val="0"/>
          <w:sz w:val="24"/>
        </w:rPr>
        <w:t>（</w:t>
      </w:r>
      <w:r>
        <w:rPr>
          <w:rFonts w:hint="eastAsia" w:ascii="宋体" w:hAnsi="宋体"/>
          <w:kern w:val="0"/>
          <w:sz w:val="24"/>
          <w:lang w:val="zh-CN"/>
        </w:rPr>
        <w:t>境</w:t>
      </w:r>
      <w:r>
        <w:rPr>
          <w:rFonts w:hint="eastAsia" w:ascii="宋体" w:hAnsi="宋体"/>
          <w:kern w:val="0"/>
          <w:sz w:val="24"/>
        </w:rPr>
        <w:t>）</w:t>
      </w:r>
      <w:r>
        <w:rPr>
          <w:rFonts w:hint="eastAsia" w:ascii="宋体" w:hAnsi="宋体"/>
          <w:kern w:val="0"/>
          <w:sz w:val="24"/>
          <w:lang w:val="zh-CN"/>
        </w:rPr>
        <w:t>费支出预算数</w:t>
      </w:r>
      <w:r>
        <w:rPr>
          <w:rFonts w:hint="eastAsia" w:ascii="宋体" w:hAnsi="宋体"/>
          <w:kern w:val="0"/>
          <w:sz w:val="24"/>
        </w:rPr>
        <w:t>0</w:t>
      </w:r>
      <w:r>
        <w:rPr>
          <w:rFonts w:hint="eastAsia" w:ascii="宋体" w:hAnsi="宋体"/>
          <w:kern w:val="0"/>
          <w:sz w:val="24"/>
          <w:lang w:val="zh-CN"/>
        </w:rPr>
        <w:t>万元</w:t>
      </w:r>
      <w:r>
        <w:rPr>
          <w:rFonts w:hint="eastAsia" w:ascii="宋体" w:hAnsi="宋体"/>
          <w:kern w:val="0"/>
          <w:sz w:val="24"/>
        </w:rPr>
        <w:t>，</w:t>
      </w:r>
      <w:r>
        <w:rPr>
          <w:rFonts w:hint="eastAsia" w:ascii="宋体" w:hAnsi="宋体"/>
          <w:sz w:val="24"/>
        </w:rPr>
        <w:t>决算数</w:t>
      </w:r>
      <w:r>
        <w:rPr>
          <w:rFonts w:hint="eastAsia" w:ascii="宋体" w:hAnsi="宋体"/>
          <w:kern w:val="0"/>
          <w:sz w:val="24"/>
        </w:rPr>
        <w:t>0</w:t>
      </w:r>
      <w:r>
        <w:rPr>
          <w:rFonts w:hint="eastAsia" w:ascii="宋体" w:hAnsi="宋体"/>
          <w:sz w:val="24"/>
        </w:rPr>
        <w:t>万元，预决算差异率</w:t>
      </w:r>
      <w:r>
        <w:rPr>
          <w:rFonts w:hint="eastAsia" w:ascii="宋体" w:hAnsi="宋体"/>
          <w:kern w:val="0"/>
          <w:sz w:val="24"/>
        </w:rPr>
        <w:t>0</w:t>
      </w:r>
      <w:r>
        <w:rPr>
          <w:rFonts w:hint="eastAsia" w:ascii="宋体" w:hAnsi="宋体"/>
          <w:sz w:val="24"/>
        </w:rPr>
        <w:t>%，差异主要</w:t>
      </w:r>
      <w:r>
        <w:rPr>
          <w:rFonts w:hint="eastAsia" w:ascii="宋体" w:hAnsi="宋体"/>
          <w:kern w:val="0"/>
          <w:sz w:val="24"/>
          <w:szCs w:val="24"/>
          <w:lang w:val="zh-CN"/>
        </w:rPr>
        <w:t>是：本年度无因公出国（境）费支出，与年初预算数相比无变化；公务用车购置费预算数</w:t>
      </w:r>
      <w:r>
        <w:rPr>
          <w:rFonts w:ascii="宋体" w:hAnsi="宋体"/>
          <w:kern w:val="0"/>
          <w:sz w:val="24"/>
          <w:szCs w:val="24"/>
          <w:lang w:val="zh-CN"/>
        </w:rPr>
        <w:t>0</w:t>
      </w:r>
      <w:r>
        <w:rPr>
          <w:rFonts w:hint="eastAsia" w:ascii="宋体" w:hAnsi="宋体"/>
          <w:kern w:val="0"/>
          <w:sz w:val="24"/>
          <w:szCs w:val="24"/>
          <w:lang w:val="zh-CN"/>
        </w:rPr>
        <w:t>万元，决算数</w:t>
      </w:r>
      <w:r>
        <w:rPr>
          <w:rFonts w:ascii="宋体" w:hAnsi="宋体"/>
          <w:kern w:val="0"/>
          <w:sz w:val="24"/>
          <w:szCs w:val="24"/>
          <w:lang w:val="zh-CN"/>
        </w:rPr>
        <w:t>0</w:t>
      </w:r>
      <w:r>
        <w:rPr>
          <w:rFonts w:hint="eastAsia" w:ascii="宋体" w:hAnsi="宋体"/>
          <w:kern w:val="0"/>
          <w:sz w:val="24"/>
          <w:szCs w:val="24"/>
          <w:lang w:val="zh-CN"/>
        </w:rPr>
        <w:t>万元，预决算差异率</w:t>
      </w:r>
      <w:r>
        <w:rPr>
          <w:rFonts w:ascii="宋体" w:hAnsi="宋体"/>
          <w:kern w:val="0"/>
          <w:sz w:val="24"/>
          <w:szCs w:val="24"/>
          <w:lang w:val="zh-CN"/>
        </w:rPr>
        <w:t>0%</w:t>
      </w:r>
      <w:r>
        <w:rPr>
          <w:rFonts w:hint="eastAsia" w:ascii="宋体" w:hAnsi="宋体"/>
          <w:kern w:val="0"/>
          <w:sz w:val="24"/>
          <w:szCs w:val="24"/>
          <w:lang w:val="zh-CN"/>
        </w:rPr>
        <w:t>，差异主要原因是：本年度无公务用车购置费，与年初预算数相比无变化；</w:t>
      </w:r>
      <w:r>
        <w:rPr>
          <w:rFonts w:hint="eastAsia" w:ascii="宋体" w:hAnsi="宋体"/>
          <w:kern w:val="0"/>
          <w:sz w:val="24"/>
        </w:rPr>
        <w:t>公务用车运行费</w:t>
      </w:r>
      <w:r>
        <w:rPr>
          <w:rFonts w:hint="eastAsia" w:ascii="宋体" w:hAnsi="宋体"/>
          <w:sz w:val="24"/>
        </w:rPr>
        <w:t>预算数</w:t>
      </w:r>
      <w:r>
        <w:rPr>
          <w:rFonts w:hint="eastAsia" w:ascii="宋体" w:hAnsi="宋体"/>
          <w:kern w:val="0"/>
          <w:sz w:val="24"/>
        </w:rPr>
        <w:t>2</w:t>
      </w:r>
      <w:r>
        <w:rPr>
          <w:rFonts w:hint="eastAsia" w:ascii="宋体" w:hAnsi="宋体"/>
          <w:sz w:val="24"/>
        </w:rPr>
        <w:t>万元，决算数</w:t>
      </w:r>
      <w:r>
        <w:rPr>
          <w:rFonts w:hint="eastAsia" w:ascii="宋体" w:hAnsi="宋体"/>
          <w:kern w:val="0"/>
          <w:sz w:val="24"/>
        </w:rPr>
        <w:t>0.3</w:t>
      </w:r>
      <w:r>
        <w:rPr>
          <w:rFonts w:hint="eastAsia" w:ascii="宋体" w:hAnsi="宋体"/>
          <w:sz w:val="24"/>
        </w:rPr>
        <w:t>万元，预决算差异率-</w:t>
      </w:r>
      <w:r>
        <w:rPr>
          <w:rFonts w:hint="eastAsia" w:ascii="宋体" w:hAnsi="宋体"/>
          <w:kern w:val="0"/>
          <w:sz w:val="24"/>
        </w:rPr>
        <w:t>85</w:t>
      </w:r>
      <w:r>
        <w:rPr>
          <w:rFonts w:hint="eastAsia" w:ascii="宋体" w:hAnsi="宋体"/>
          <w:sz w:val="24"/>
        </w:rPr>
        <w:t>%，差异主要原因办公经费缩减；</w:t>
      </w:r>
      <w:r>
        <w:rPr>
          <w:rFonts w:hint="eastAsia" w:ascii="宋体" w:hAnsi="宋体"/>
          <w:kern w:val="0"/>
          <w:sz w:val="24"/>
          <w:lang w:val="zh-CN"/>
        </w:rPr>
        <w:t>公务接待费预算数</w:t>
      </w:r>
      <w:r>
        <w:rPr>
          <w:rFonts w:hint="eastAsia" w:ascii="宋体" w:hAnsi="宋体"/>
          <w:kern w:val="0"/>
          <w:sz w:val="24"/>
        </w:rPr>
        <w:t>0</w:t>
      </w:r>
      <w:r>
        <w:rPr>
          <w:rFonts w:hint="eastAsia" w:ascii="宋体" w:hAnsi="宋体"/>
          <w:kern w:val="0"/>
          <w:sz w:val="24"/>
          <w:lang w:val="zh-CN"/>
        </w:rPr>
        <w:t>万元</w:t>
      </w:r>
      <w:r>
        <w:rPr>
          <w:rFonts w:hint="eastAsia" w:ascii="宋体" w:hAnsi="宋体"/>
          <w:kern w:val="0"/>
          <w:sz w:val="24"/>
        </w:rPr>
        <w:t>，</w:t>
      </w:r>
      <w:r>
        <w:rPr>
          <w:rFonts w:hint="eastAsia" w:ascii="宋体" w:hAnsi="宋体"/>
          <w:sz w:val="24"/>
        </w:rPr>
        <w:t>决算数</w:t>
      </w:r>
      <w:r>
        <w:rPr>
          <w:rFonts w:hint="eastAsia" w:ascii="宋体" w:hAnsi="宋体"/>
          <w:kern w:val="0"/>
          <w:sz w:val="24"/>
        </w:rPr>
        <w:t>0</w:t>
      </w:r>
      <w:r>
        <w:rPr>
          <w:rFonts w:hint="eastAsia" w:ascii="宋体" w:hAnsi="宋体"/>
          <w:sz w:val="24"/>
        </w:rPr>
        <w:t>万元，预决算差异率</w:t>
      </w:r>
      <w:r>
        <w:rPr>
          <w:rFonts w:hint="eastAsia" w:ascii="宋体" w:hAnsi="宋体"/>
          <w:kern w:val="0"/>
          <w:sz w:val="24"/>
        </w:rPr>
        <w:t>0</w:t>
      </w:r>
      <w:r>
        <w:rPr>
          <w:rFonts w:hint="eastAsia" w:ascii="宋体" w:hAnsi="宋体"/>
          <w:sz w:val="24"/>
        </w:rPr>
        <w:t>%，差异主要原因</w:t>
      </w:r>
      <w:r>
        <w:rPr>
          <w:rFonts w:hint="eastAsia" w:ascii="宋体"/>
          <w:sz w:val="24"/>
          <w:szCs w:val="24"/>
        </w:rPr>
        <w:t>：本年度无公务接待费，与年初预算数相比无变化。</w:t>
      </w:r>
    </w:p>
    <w:p>
      <w:pPr>
        <w:spacing w:line="520" w:lineRule="exact"/>
        <w:ind w:firstLine="480"/>
        <w:rPr>
          <w:rFonts w:eastAsia="Times New Roman"/>
          <w:kern w:val="0"/>
          <w:sz w:val="24"/>
        </w:rPr>
      </w:pPr>
    </w:p>
    <w:p>
      <w:pPr>
        <w:shd w:val="clear" w:color="auto" w:fill="FFFFFF"/>
        <w:jc w:val="left"/>
        <w:rPr>
          <w:rFonts w:eastAsia="Times New Roman"/>
          <w:b/>
          <w:kern w:val="0"/>
          <w:sz w:val="24"/>
        </w:rPr>
      </w:pPr>
      <w:r>
        <w:rPr>
          <w:rFonts w:hint="eastAsia" w:ascii="宋体" w:hAnsi="宋体"/>
          <w:b/>
          <w:kern w:val="0"/>
          <w:sz w:val="24"/>
        </w:rPr>
        <w:t>五、机关运行经费支出情况</w:t>
      </w:r>
    </w:p>
    <w:p>
      <w:pPr>
        <w:shd w:val="clear" w:color="auto" w:fill="FFFFFF"/>
        <w:spacing w:line="520" w:lineRule="exact"/>
        <w:ind w:firstLine="480"/>
        <w:rPr>
          <w:rFonts w:ascii="宋体" w:hAnsi="宋体"/>
          <w:kern w:val="0"/>
          <w:sz w:val="24"/>
        </w:rPr>
      </w:pPr>
      <w:r>
        <w:rPr>
          <w:rFonts w:hint="eastAsia" w:ascii="宋体" w:hAnsi="宋体"/>
          <w:kern w:val="0"/>
          <w:sz w:val="24"/>
        </w:rPr>
        <w:t>2018年度新疆昌吉州奇台县督查办公室单位（行政单位和参照公务员法管理事业单位）机关运行经费支出1.5万元，比上年</w:t>
      </w:r>
      <w:r>
        <w:rPr>
          <w:rFonts w:hint="eastAsia" w:ascii="宋体" w:hAnsi="宋体"/>
          <w:color w:val="000000"/>
          <w:kern w:val="0"/>
          <w:sz w:val="24"/>
        </w:rPr>
        <w:t>减少</w:t>
      </w:r>
      <w:r>
        <w:rPr>
          <w:rFonts w:hint="eastAsia" w:ascii="宋体" w:hAnsi="宋体"/>
          <w:kern w:val="0"/>
          <w:sz w:val="24"/>
        </w:rPr>
        <w:t>8.25万元，</w:t>
      </w:r>
      <w:r>
        <w:rPr>
          <w:rFonts w:hint="eastAsia" w:ascii="宋体" w:hAnsi="宋体"/>
          <w:color w:val="000000"/>
          <w:kern w:val="0"/>
          <w:sz w:val="24"/>
        </w:rPr>
        <w:t>降低</w:t>
      </w:r>
      <w:r>
        <w:rPr>
          <w:rFonts w:hint="eastAsia" w:ascii="宋体" w:hAnsi="宋体"/>
          <w:kern w:val="0"/>
          <w:sz w:val="24"/>
        </w:rPr>
        <w:t>84.62%。主要原因是财政压缩公用经费 。</w:t>
      </w:r>
    </w:p>
    <w:p>
      <w:pPr>
        <w:shd w:val="clear" w:color="auto" w:fill="FFFFFF"/>
        <w:spacing w:line="520" w:lineRule="exact"/>
        <w:ind w:firstLine="480"/>
        <w:rPr>
          <w:rFonts w:eastAsia="Times New Roman"/>
          <w:kern w:val="0"/>
          <w:sz w:val="24"/>
        </w:rPr>
      </w:pPr>
    </w:p>
    <w:p>
      <w:pPr>
        <w:shd w:val="clear" w:color="auto" w:fill="FFFFFF"/>
        <w:jc w:val="left"/>
        <w:rPr>
          <w:rFonts w:eastAsia="Times New Roman"/>
          <w:b/>
          <w:kern w:val="0"/>
          <w:sz w:val="24"/>
        </w:rPr>
      </w:pPr>
      <w:r>
        <w:rPr>
          <w:rFonts w:hint="eastAsia" w:ascii="宋体" w:hAnsi="宋体"/>
          <w:b/>
          <w:kern w:val="0"/>
          <w:sz w:val="24"/>
        </w:rPr>
        <w:t>六、政府采购情况</w:t>
      </w:r>
    </w:p>
    <w:p>
      <w:pPr>
        <w:shd w:val="clear" w:color="auto" w:fill="FFFFFF"/>
        <w:spacing w:line="520" w:lineRule="exact"/>
        <w:ind w:firstLine="480"/>
        <w:rPr>
          <w:rFonts w:eastAsia="Times New Roman"/>
          <w:kern w:val="0"/>
          <w:sz w:val="24"/>
          <w:highlight w:val="white"/>
        </w:rPr>
      </w:pPr>
      <w:r>
        <w:rPr>
          <w:rFonts w:hint="eastAsia" w:ascii="宋体" w:hAnsi="宋体"/>
          <w:kern w:val="0"/>
          <w:sz w:val="24"/>
          <w:highlight w:val="white"/>
        </w:rPr>
        <w:t>新疆昌吉州奇台县督查办公室单位2018年度政府采购计划0.57万元，其中：政府采购货物支出0.32万元，政府采购工程支出0万元，政府采购服务支出0.25万元；</w:t>
      </w:r>
    </w:p>
    <w:p>
      <w:pPr>
        <w:shd w:val="clear" w:color="auto" w:fill="FFFFFF"/>
        <w:spacing w:line="520" w:lineRule="exact"/>
        <w:ind w:firstLine="480"/>
        <w:rPr>
          <w:rFonts w:eastAsia="Times New Roman"/>
          <w:kern w:val="0"/>
          <w:sz w:val="24"/>
        </w:rPr>
      </w:pPr>
      <w:r>
        <w:rPr>
          <w:rFonts w:hint="eastAsia" w:ascii="宋体" w:hAnsi="宋体"/>
          <w:kern w:val="0"/>
          <w:sz w:val="24"/>
        </w:rPr>
        <w:t>2018年度政府实际采购支出总额为0.55万元，其中：政府采购货物支出0.31万元，政府采购工程支出0万元，政府采购服务</w:t>
      </w:r>
      <w:r>
        <w:rPr>
          <w:rFonts w:hint="eastAsia" w:ascii="宋体" w:hAnsi="宋体"/>
          <w:kern w:val="0"/>
          <w:sz w:val="24"/>
          <w:lang w:val="zh-CN"/>
        </w:rPr>
        <w:t>支</w:t>
      </w:r>
      <w:r>
        <w:rPr>
          <w:rFonts w:hint="eastAsia" w:ascii="宋体" w:hAnsi="宋体"/>
          <w:kern w:val="0"/>
          <w:sz w:val="24"/>
        </w:rPr>
        <w:t>出0.24万元。</w:t>
      </w:r>
    </w:p>
    <w:p>
      <w:pPr>
        <w:shd w:val="clear" w:color="auto" w:fill="FFFFFF"/>
        <w:jc w:val="left"/>
        <w:rPr>
          <w:rFonts w:ascii="宋体" w:hAnsi="宋体"/>
          <w:kern w:val="0"/>
          <w:sz w:val="24"/>
        </w:rPr>
      </w:pPr>
    </w:p>
    <w:p>
      <w:pPr>
        <w:shd w:val="clear" w:color="auto" w:fill="FFFFFF"/>
        <w:jc w:val="left"/>
        <w:rPr>
          <w:rFonts w:ascii="宋体" w:hAnsi="宋体"/>
          <w:b/>
          <w:kern w:val="0"/>
          <w:sz w:val="24"/>
        </w:rPr>
      </w:pPr>
      <w:r>
        <w:rPr>
          <w:rFonts w:hint="eastAsia" w:ascii="宋体" w:hAnsi="宋体"/>
          <w:b/>
          <w:kern w:val="0"/>
          <w:sz w:val="24"/>
        </w:rPr>
        <w:t>七、其他重要事项的情况</w:t>
      </w:r>
    </w:p>
    <w:p>
      <w:pPr>
        <w:shd w:val="clear" w:color="auto" w:fill="FFFFFF"/>
        <w:jc w:val="left"/>
        <w:rPr>
          <w:rFonts w:eastAsia="Times New Roman"/>
          <w:b/>
          <w:kern w:val="0"/>
          <w:sz w:val="24"/>
        </w:rPr>
      </w:pPr>
    </w:p>
    <w:p>
      <w:pPr>
        <w:shd w:val="clear" w:color="auto" w:fill="FFFFFF"/>
        <w:jc w:val="left"/>
        <w:rPr>
          <w:rFonts w:eastAsia="Times New Roman"/>
          <w:b/>
          <w:kern w:val="0"/>
          <w:sz w:val="24"/>
        </w:rPr>
      </w:pPr>
      <w:r>
        <w:rPr>
          <w:rFonts w:hint="eastAsia" w:ascii="宋体" w:hAnsi="宋体"/>
          <w:b/>
          <w:kern w:val="0"/>
          <w:sz w:val="24"/>
        </w:rPr>
        <w:t>（一）国有资产占用情况说明</w:t>
      </w:r>
    </w:p>
    <w:p>
      <w:pPr>
        <w:shd w:val="clear" w:color="auto" w:fill="FFFFFF"/>
        <w:spacing w:line="520" w:lineRule="exact"/>
        <w:ind w:left="118" w:firstLine="480"/>
        <w:rPr>
          <w:rFonts w:eastAsia="Times New Roman"/>
          <w:kern w:val="0"/>
          <w:sz w:val="24"/>
          <w:highlight w:val="white"/>
        </w:rPr>
      </w:pPr>
      <w:r>
        <w:rPr>
          <w:rFonts w:hint="eastAsia" w:ascii="宋体" w:hAnsi="宋体"/>
          <w:kern w:val="0"/>
          <w:sz w:val="24"/>
        </w:rPr>
        <w:t>截至2018年12月31日，</w:t>
      </w:r>
      <w:r>
        <w:rPr>
          <w:rFonts w:hint="eastAsia" w:ascii="宋体" w:hAnsi="宋体"/>
          <w:kern w:val="0"/>
          <w:sz w:val="24"/>
          <w:highlight w:val="white"/>
        </w:rPr>
        <w:t>资产总计48.79万元，其中：流动资产13.89万元，固定资产34.91万元，其中：房屋0（平方米），价值0万元，共</w:t>
      </w:r>
      <w:r>
        <w:rPr>
          <w:rFonts w:hint="eastAsia" w:ascii="宋体" w:hAnsi="宋体"/>
          <w:kern w:val="0"/>
          <w:sz w:val="24"/>
        </w:rPr>
        <w:t>有车辆1辆，价值15.88万元，其中：副部（省）级领导干部用车0辆、主要领导干部用车0辆、机要通信用车0辆、应急保障用车0辆、执法执勤用车0、特种专业技术用车0辆、离退休干部用车0辆、其他用车1辆，（其他用车主要是办公室接送文件车辆）：单位价值5</w:t>
      </w:r>
      <w:r>
        <w:rPr>
          <w:rFonts w:eastAsia="Times New Roman"/>
          <w:kern w:val="0"/>
          <w:sz w:val="24"/>
        </w:rPr>
        <w:t>0</w:t>
      </w:r>
      <w:r>
        <w:rPr>
          <w:rFonts w:hint="eastAsia" w:ascii="宋体" w:hAnsi="宋体"/>
          <w:kern w:val="0"/>
          <w:sz w:val="24"/>
        </w:rPr>
        <w:t>万元以上通用设备0台（套），单位价值1</w:t>
      </w:r>
      <w:r>
        <w:rPr>
          <w:rFonts w:eastAsia="Times New Roman"/>
          <w:kern w:val="0"/>
          <w:sz w:val="24"/>
        </w:rPr>
        <w:t>00</w:t>
      </w:r>
      <w:r>
        <w:rPr>
          <w:rFonts w:hint="eastAsia" w:ascii="宋体" w:hAnsi="宋体"/>
          <w:kern w:val="0"/>
          <w:sz w:val="24"/>
        </w:rPr>
        <w:t>万元以上专用设备0台（套），</w:t>
      </w:r>
      <w:r>
        <w:rPr>
          <w:rFonts w:hint="eastAsia" w:ascii="宋体" w:hAnsi="宋体"/>
          <w:kern w:val="0"/>
          <w:sz w:val="24"/>
          <w:highlight w:val="white"/>
        </w:rPr>
        <w:t>其他固定资产价值19.03万元。</w:t>
      </w:r>
    </w:p>
    <w:p>
      <w:pPr>
        <w:shd w:val="clear" w:color="auto" w:fill="FFFFFF"/>
        <w:jc w:val="left"/>
        <w:rPr>
          <w:rFonts w:ascii="宋体" w:hAnsi="宋体"/>
          <w:b/>
          <w:kern w:val="0"/>
          <w:sz w:val="24"/>
        </w:rPr>
      </w:pPr>
    </w:p>
    <w:p>
      <w:pPr>
        <w:shd w:val="clear" w:color="auto" w:fill="FFFFFF"/>
        <w:jc w:val="left"/>
        <w:rPr>
          <w:rFonts w:eastAsia="Times New Roman"/>
          <w:b/>
          <w:kern w:val="0"/>
          <w:sz w:val="24"/>
        </w:rPr>
      </w:pPr>
      <w:r>
        <w:rPr>
          <w:rFonts w:hint="eastAsia" w:ascii="宋体" w:hAnsi="宋体"/>
          <w:b/>
          <w:kern w:val="0"/>
          <w:sz w:val="24"/>
        </w:rPr>
        <w:t>（二）预算绩效情况的说明</w:t>
      </w:r>
    </w:p>
    <w:p>
      <w:pPr>
        <w:shd w:val="clear" w:color="auto" w:fill="FFFFFF"/>
        <w:spacing w:line="520" w:lineRule="exact"/>
        <w:ind w:left="118" w:firstLine="480"/>
        <w:rPr>
          <w:rFonts w:ascii="宋体" w:hAnsi="宋体"/>
          <w:kern w:val="0"/>
          <w:sz w:val="24"/>
        </w:rPr>
      </w:pPr>
      <w:r>
        <w:rPr>
          <w:rFonts w:hint="eastAsia" w:ascii="宋体" w:hAnsi="宋体"/>
          <w:kern w:val="0"/>
          <w:sz w:val="24"/>
        </w:rPr>
        <w:t>2018年度，本部门单位预算绩效自评情况：自述有关预算绩效管理和绩效自评开展情况。</w:t>
      </w:r>
      <w:r>
        <w:rPr>
          <w:rFonts w:hint="eastAsia" w:ascii="宋体" w:hAnsi="宋体"/>
          <w:kern w:val="0"/>
          <w:sz w:val="24"/>
        </w:rPr>
        <w:br w:type="textWrapping"/>
      </w:r>
      <w:r>
        <w:rPr>
          <w:rFonts w:hint="eastAsia" w:ascii="宋体" w:hAnsi="宋体"/>
          <w:kern w:val="0"/>
          <w:sz w:val="24"/>
        </w:rPr>
        <w:t>2018年本单位无项目支出，无项目绩效评价。</w:t>
      </w:r>
    </w:p>
    <w:p>
      <w:pPr>
        <w:spacing w:line="540" w:lineRule="exact"/>
        <w:ind w:firstLine="480"/>
        <w:rPr>
          <w:rFonts w:ascii="宋体" w:hAnsi="宋体"/>
          <w:kern w:val="0"/>
          <w:sz w:val="24"/>
          <w:highlight w:val="yellow"/>
        </w:rPr>
      </w:pPr>
    </w:p>
    <w:p>
      <w:pPr>
        <w:shd w:val="clear" w:color="auto" w:fill="FFFFFF"/>
        <w:spacing w:line="520" w:lineRule="exact"/>
        <w:ind w:firstLine="480"/>
        <w:rPr>
          <w:rFonts w:eastAsia="Times New Roman"/>
          <w:kern w:val="0"/>
          <w:sz w:val="24"/>
        </w:rPr>
      </w:pPr>
    </w:p>
    <w:p>
      <w:pPr>
        <w:shd w:val="clear" w:color="auto" w:fill="FFFFFF"/>
        <w:jc w:val="center"/>
        <w:rPr>
          <w:rFonts w:eastAsia="Times New Roman"/>
          <w:b/>
          <w:kern w:val="0"/>
          <w:sz w:val="24"/>
        </w:rPr>
      </w:pPr>
      <w:r>
        <w:rPr>
          <w:rFonts w:hint="eastAsia" w:ascii="宋体" w:hAnsi="宋体"/>
          <w:b/>
          <w:kern w:val="0"/>
          <w:sz w:val="24"/>
        </w:rPr>
        <w:t>第三部分 专业名词解释</w:t>
      </w:r>
    </w:p>
    <w:p>
      <w:pPr>
        <w:shd w:val="clear" w:color="auto" w:fill="FFFFFF"/>
        <w:spacing w:line="520" w:lineRule="exact"/>
        <w:rPr>
          <w:rFonts w:eastAsia="Times New Roman"/>
          <w:kern w:val="0"/>
          <w:sz w:val="24"/>
        </w:rPr>
      </w:pPr>
      <w:r>
        <w:rPr>
          <w:rFonts w:hint="eastAsia" w:ascii="宋体" w:hAnsi="宋体"/>
          <w:kern w:val="0"/>
          <w:sz w:val="24"/>
        </w:rPr>
        <w:t>1</w:t>
      </w:r>
      <w:r>
        <w:rPr>
          <w:rFonts w:eastAsia="Times New Roman"/>
          <w:kern w:val="0"/>
          <w:sz w:val="24"/>
        </w:rPr>
        <w:t>.</w:t>
      </w:r>
      <w:r>
        <w:rPr>
          <w:rFonts w:hint="eastAsia" w:ascii="宋体" w:hAnsi="宋体"/>
          <w:kern w:val="0"/>
          <w:sz w:val="24"/>
        </w:rPr>
        <w:t>财政拨款收入：指同级财政当年拨付的资金。</w:t>
      </w:r>
    </w:p>
    <w:p>
      <w:pPr>
        <w:shd w:val="clear" w:color="auto" w:fill="FFFFFF"/>
        <w:spacing w:line="520" w:lineRule="exact"/>
        <w:rPr>
          <w:rFonts w:eastAsia="Times New Roman"/>
          <w:kern w:val="0"/>
          <w:sz w:val="24"/>
        </w:rPr>
      </w:pPr>
      <w:r>
        <w:rPr>
          <w:rFonts w:hint="eastAsia" w:ascii="宋体" w:hAnsi="宋体"/>
          <w:kern w:val="0"/>
          <w:sz w:val="24"/>
        </w:rPr>
        <w:t>2.上级补助收入：指事业单位从主管部门和上级单位取得的非财政补助收入。</w:t>
      </w:r>
    </w:p>
    <w:p>
      <w:pPr>
        <w:shd w:val="clear" w:color="auto" w:fill="FFFFFF"/>
        <w:spacing w:line="520" w:lineRule="exact"/>
        <w:rPr>
          <w:rFonts w:eastAsia="Times New Roman"/>
          <w:kern w:val="0"/>
          <w:sz w:val="24"/>
        </w:rPr>
      </w:pPr>
      <w:r>
        <w:rPr>
          <w:rFonts w:hint="eastAsia" w:ascii="宋体" w:hAnsi="宋体"/>
          <w:kern w:val="0"/>
          <w:sz w:val="24"/>
        </w:rPr>
        <w:t>3</w:t>
      </w:r>
      <w:r>
        <w:rPr>
          <w:rFonts w:eastAsia="Times New Roman"/>
          <w:kern w:val="0"/>
          <w:sz w:val="24"/>
        </w:rPr>
        <w:t>.</w:t>
      </w:r>
      <w:r>
        <w:rPr>
          <w:rFonts w:hint="eastAsia" w:ascii="宋体" w:hAnsi="宋体"/>
          <w:kern w:val="0"/>
          <w:sz w:val="24"/>
        </w:rPr>
        <w:t>事业收入：指事业单位开展专业业务活动及其辅助活动所取得的收入。</w:t>
      </w:r>
    </w:p>
    <w:p>
      <w:pPr>
        <w:shd w:val="clear" w:color="auto" w:fill="FFFFFF"/>
        <w:spacing w:line="520" w:lineRule="exact"/>
        <w:rPr>
          <w:rFonts w:eastAsia="Times New Roman"/>
          <w:kern w:val="0"/>
          <w:sz w:val="24"/>
        </w:rPr>
      </w:pPr>
      <w:r>
        <w:rPr>
          <w:rFonts w:hint="eastAsia" w:ascii="宋体" w:hAnsi="宋体"/>
          <w:kern w:val="0"/>
          <w:sz w:val="24"/>
        </w:rPr>
        <w:t>4</w:t>
      </w:r>
      <w:r>
        <w:rPr>
          <w:rFonts w:eastAsia="Times New Roman"/>
          <w:kern w:val="0"/>
          <w:sz w:val="24"/>
        </w:rPr>
        <w:t>.</w:t>
      </w:r>
      <w:r>
        <w:rPr>
          <w:rFonts w:hint="eastAsia" w:ascii="宋体" w:hAnsi="宋体"/>
          <w:kern w:val="0"/>
          <w:sz w:val="24"/>
        </w:rPr>
        <w:t>经营收入：指事业单位在专业业务活动及其辅助活动之外开展非独立核算经营活动取得的收入。</w:t>
      </w:r>
    </w:p>
    <w:p>
      <w:pPr>
        <w:shd w:val="clear" w:color="auto" w:fill="FFFFFF"/>
        <w:spacing w:line="520" w:lineRule="exact"/>
        <w:rPr>
          <w:rFonts w:eastAsia="Times New Roman"/>
          <w:kern w:val="0"/>
          <w:sz w:val="24"/>
        </w:rPr>
      </w:pPr>
      <w:r>
        <w:rPr>
          <w:rFonts w:hint="eastAsia" w:ascii="宋体" w:hAnsi="宋体"/>
          <w:kern w:val="0"/>
          <w:sz w:val="24"/>
        </w:rPr>
        <w:t>5</w:t>
      </w:r>
      <w:r>
        <w:rPr>
          <w:rFonts w:eastAsia="Times New Roman"/>
          <w:kern w:val="0"/>
          <w:sz w:val="24"/>
        </w:rPr>
        <w:t>.</w:t>
      </w:r>
      <w:r>
        <w:rPr>
          <w:rFonts w:hint="eastAsia" w:ascii="宋体" w:hAnsi="宋体"/>
          <w:kern w:val="0"/>
          <w:sz w:val="24"/>
        </w:rPr>
        <w:t>附属单位上缴收入：指事业单位附属的独立核算单位按有关规定上缴的收入。</w:t>
      </w:r>
    </w:p>
    <w:p>
      <w:pPr>
        <w:shd w:val="clear" w:color="auto" w:fill="FFFFFF"/>
        <w:spacing w:line="520" w:lineRule="exact"/>
        <w:rPr>
          <w:rFonts w:eastAsia="Times New Roman"/>
          <w:kern w:val="0"/>
          <w:sz w:val="24"/>
        </w:rPr>
      </w:pPr>
      <w:r>
        <w:rPr>
          <w:rFonts w:hint="eastAsia" w:ascii="宋体" w:hAnsi="宋体"/>
          <w:kern w:val="0"/>
          <w:sz w:val="24"/>
        </w:rPr>
        <w:t>6</w:t>
      </w:r>
      <w:r>
        <w:rPr>
          <w:rFonts w:eastAsia="Times New Roman"/>
          <w:kern w:val="0"/>
          <w:sz w:val="24"/>
        </w:rPr>
        <w:t>.</w:t>
      </w:r>
      <w:r>
        <w:rPr>
          <w:rFonts w:hint="eastAsia" w:ascii="宋体" w:hAnsi="宋体"/>
          <w:kern w:val="0"/>
          <w:sz w:val="24"/>
        </w:rPr>
        <w:t>其他收入：指除上述</w:t>
      </w:r>
      <w:r>
        <w:rPr>
          <w:rFonts w:ascii="宋体" w:hAnsi="宋体"/>
          <w:kern w:val="0"/>
          <w:sz w:val="24"/>
        </w:rPr>
        <w:t>“</w:t>
      </w:r>
      <w:r>
        <w:rPr>
          <w:rFonts w:hint="eastAsia" w:ascii="宋体" w:hAnsi="宋体"/>
          <w:kern w:val="0"/>
          <w:sz w:val="24"/>
        </w:rPr>
        <w:t>财政拨款收入</w:t>
      </w:r>
      <w:r>
        <w:rPr>
          <w:rFonts w:ascii="宋体" w:hAnsi="宋体"/>
          <w:kern w:val="0"/>
          <w:sz w:val="24"/>
        </w:rPr>
        <w:t>”</w:t>
      </w:r>
      <w:r>
        <w:rPr>
          <w:rFonts w:hint="eastAsia" w:ascii="宋体" w:hAnsi="宋体"/>
          <w:kern w:val="0"/>
          <w:sz w:val="24"/>
        </w:rPr>
        <w:t>、</w:t>
      </w:r>
      <w:r>
        <w:rPr>
          <w:rFonts w:ascii="宋体" w:hAnsi="宋体"/>
          <w:kern w:val="0"/>
          <w:sz w:val="24"/>
        </w:rPr>
        <w:t>“</w:t>
      </w:r>
      <w:r>
        <w:rPr>
          <w:rFonts w:hint="eastAsia" w:ascii="宋体" w:hAnsi="宋体"/>
          <w:kern w:val="0"/>
          <w:sz w:val="24"/>
        </w:rPr>
        <w:t>事业收入</w:t>
      </w:r>
      <w:r>
        <w:rPr>
          <w:rFonts w:ascii="宋体" w:hAnsi="宋体"/>
          <w:kern w:val="0"/>
          <w:sz w:val="24"/>
        </w:rPr>
        <w:t>”</w:t>
      </w:r>
      <w:r>
        <w:rPr>
          <w:rFonts w:hint="eastAsia" w:ascii="宋体" w:hAnsi="宋体"/>
          <w:kern w:val="0"/>
          <w:sz w:val="24"/>
        </w:rPr>
        <w:t>、</w:t>
      </w:r>
      <w:r>
        <w:rPr>
          <w:rFonts w:ascii="宋体" w:hAnsi="宋体"/>
          <w:kern w:val="0"/>
          <w:sz w:val="24"/>
        </w:rPr>
        <w:t>“</w:t>
      </w:r>
      <w:r>
        <w:rPr>
          <w:rFonts w:hint="eastAsia" w:ascii="宋体" w:hAnsi="宋体"/>
          <w:kern w:val="0"/>
          <w:sz w:val="24"/>
        </w:rPr>
        <w:t>经营收入</w:t>
      </w:r>
      <w:r>
        <w:rPr>
          <w:rFonts w:ascii="宋体" w:hAnsi="宋体"/>
          <w:kern w:val="0"/>
          <w:sz w:val="24"/>
        </w:rPr>
        <w:t>”</w:t>
      </w:r>
      <w:r>
        <w:rPr>
          <w:rFonts w:hint="eastAsia" w:ascii="宋体" w:hAnsi="宋体"/>
          <w:kern w:val="0"/>
          <w:sz w:val="24"/>
        </w:rPr>
        <w:t>、</w:t>
      </w:r>
      <w:r>
        <w:rPr>
          <w:rFonts w:ascii="宋体" w:hAnsi="宋体"/>
          <w:kern w:val="0"/>
          <w:sz w:val="24"/>
        </w:rPr>
        <w:t>“</w:t>
      </w:r>
      <w:r>
        <w:rPr>
          <w:rFonts w:hint="eastAsia" w:ascii="宋体" w:hAnsi="宋体"/>
          <w:kern w:val="0"/>
          <w:sz w:val="24"/>
        </w:rPr>
        <w:t>附属单位上缴收入</w:t>
      </w:r>
      <w:r>
        <w:rPr>
          <w:rFonts w:ascii="宋体" w:hAnsi="宋体"/>
          <w:kern w:val="0"/>
          <w:sz w:val="24"/>
        </w:rPr>
        <w:t>”</w:t>
      </w:r>
      <w:r>
        <w:rPr>
          <w:rFonts w:hint="eastAsia" w:ascii="宋体" w:hAnsi="宋体"/>
          <w:kern w:val="0"/>
          <w:sz w:val="24"/>
        </w:rPr>
        <w:t>等之外取得的收入。</w:t>
      </w:r>
    </w:p>
    <w:p>
      <w:pPr>
        <w:shd w:val="clear" w:color="auto" w:fill="FFFFFF"/>
        <w:spacing w:line="520" w:lineRule="exact"/>
        <w:rPr>
          <w:rFonts w:eastAsia="Times New Roman"/>
          <w:kern w:val="0"/>
          <w:sz w:val="24"/>
        </w:rPr>
      </w:pPr>
      <w:r>
        <w:rPr>
          <w:rFonts w:hint="eastAsia" w:ascii="宋体" w:hAnsi="宋体"/>
          <w:kern w:val="0"/>
          <w:sz w:val="24"/>
        </w:rPr>
        <w:t>7</w:t>
      </w:r>
      <w:r>
        <w:rPr>
          <w:rFonts w:eastAsia="Times New Roman"/>
          <w:kern w:val="0"/>
          <w:sz w:val="24"/>
        </w:rPr>
        <w:t>.</w:t>
      </w:r>
      <w:r>
        <w:rPr>
          <w:rFonts w:hint="eastAsia" w:ascii="宋体" w:hAnsi="宋体"/>
          <w:kern w:val="0"/>
          <w:sz w:val="24"/>
        </w:rPr>
        <w:t>用事业基金弥补收支差额：指事业单位在当年的</w:t>
      </w:r>
      <w:r>
        <w:rPr>
          <w:rFonts w:ascii="宋体" w:hAnsi="宋体"/>
          <w:kern w:val="0"/>
          <w:sz w:val="24"/>
        </w:rPr>
        <w:t>“</w:t>
      </w:r>
      <w:r>
        <w:rPr>
          <w:rFonts w:hint="eastAsia" w:ascii="宋体" w:hAnsi="宋体"/>
          <w:kern w:val="0"/>
          <w:sz w:val="24"/>
        </w:rPr>
        <w:t>财政拨款收入</w:t>
      </w:r>
      <w:r>
        <w:rPr>
          <w:rFonts w:ascii="宋体" w:hAnsi="宋体"/>
          <w:kern w:val="0"/>
          <w:sz w:val="24"/>
        </w:rPr>
        <w:t>”</w:t>
      </w:r>
      <w:r>
        <w:rPr>
          <w:rFonts w:hint="eastAsia" w:ascii="宋体" w:hAnsi="宋体"/>
          <w:kern w:val="0"/>
          <w:sz w:val="24"/>
        </w:rPr>
        <w:t>、</w:t>
      </w:r>
      <w:r>
        <w:rPr>
          <w:rFonts w:ascii="宋体" w:hAnsi="宋体"/>
          <w:kern w:val="0"/>
          <w:sz w:val="24"/>
        </w:rPr>
        <w:t>“</w:t>
      </w:r>
      <w:r>
        <w:rPr>
          <w:rFonts w:hint="eastAsia" w:ascii="宋体" w:hAnsi="宋体"/>
          <w:kern w:val="0"/>
          <w:sz w:val="24"/>
        </w:rPr>
        <w:t>财政拨款结转和结余资金</w:t>
      </w:r>
      <w:r>
        <w:rPr>
          <w:rFonts w:ascii="宋体" w:hAnsi="宋体"/>
          <w:kern w:val="0"/>
          <w:sz w:val="24"/>
        </w:rPr>
        <w:t>”</w:t>
      </w:r>
      <w:r>
        <w:rPr>
          <w:rFonts w:hint="eastAsia" w:ascii="宋体" w:hAnsi="宋体"/>
          <w:kern w:val="0"/>
          <w:sz w:val="24"/>
        </w:rPr>
        <w:t>、</w:t>
      </w:r>
      <w:r>
        <w:rPr>
          <w:rFonts w:ascii="宋体" w:hAnsi="宋体"/>
          <w:kern w:val="0"/>
          <w:sz w:val="24"/>
        </w:rPr>
        <w:t>“</w:t>
      </w:r>
      <w:r>
        <w:rPr>
          <w:rFonts w:hint="eastAsia" w:ascii="宋体" w:hAnsi="宋体"/>
          <w:kern w:val="0"/>
          <w:sz w:val="24"/>
        </w:rPr>
        <w:t>事业收入</w:t>
      </w:r>
      <w:r>
        <w:rPr>
          <w:rFonts w:ascii="宋体" w:hAnsi="宋体"/>
          <w:kern w:val="0"/>
          <w:sz w:val="24"/>
        </w:rPr>
        <w:t>”</w:t>
      </w:r>
      <w:r>
        <w:rPr>
          <w:rFonts w:hint="eastAsia" w:ascii="宋体" w:hAnsi="宋体"/>
          <w:kern w:val="0"/>
          <w:sz w:val="24"/>
        </w:rPr>
        <w:t>、</w:t>
      </w:r>
      <w:r>
        <w:rPr>
          <w:rFonts w:ascii="宋体" w:hAnsi="宋体"/>
          <w:kern w:val="0"/>
          <w:sz w:val="24"/>
        </w:rPr>
        <w:t>“</w:t>
      </w:r>
      <w:r>
        <w:rPr>
          <w:rFonts w:hint="eastAsia" w:ascii="宋体" w:hAnsi="宋体"/>
          <w:kern w:val="0"/>
          <w:sz w:val="24"/>
        </w:rPr>
        <w:t>事业单位经营收入</w:t>
      </w:r>
      <w:r>
        <w:rPr>
          <w:rFonts w:ascii="宋体" w:hAnsi="宋体"/>
          <w:kern w:val="0"/>
          <w:sz w:val="24"/>
        </w:rPr>
        <w:t>”</w:t>
      </w:r>
      <w:r>
        <w:rPr>
          <w:rFonts w:hint="eastAsia" w:ascii="宋体" w:hAnsi="宋体"/>
          <w:kern w:val="0"/>
          <w:sz w:val="24"/>
        </w:rPr>
        <w:t>、</w:t>
      </w:r>
      <w:r>
        <w:rPr>
          <w:rFonts w:ascii="宋体" w:hAnsi="宋体"/>
          <w:kern w:val="0"/>
          <w:sz w:val="24"/>
        </w:rPr>
        <w:t>“</w:t>
      </w:r>
      <w:r>
        <w:rPr>
          <w:rFonts w:hint="eastAsia" w:ascii="宋体" w:hAnsi="宋体"/>
          <w:kern w:val="0"/>
          <w:sz w:val="24"/>
        </w:rPr>
        <w:t>其他收入</w:t>
      </w:r>
      <w:r>
        <w:rPr>
          <w:rFonts w:ascii="宋体" w:hAnsi="宋体"/>
          <w:kern w:val="0"/>
          <w:sz w:val="24"/>
        </w:rPr>
        <w:t>”</w:t>
      </w:r>
      <w:r>
        <w:rPr>
          <w:rFonts w:hint="eastAsia" w:ascii="宋体" w:hAnsi="宋体"/>
          <w:kern w:val="0"/>
          <w:sz w:val="24"/>
        </w:rPr>
        <w:t>不足以安排当年支出的情况下，使用以前年度积累的事业基金（即事业单位当年收支相抵后按国家规定提取、用于弥补以后年度收支差额的基金）弥补本年度收支缺口的资金。</w:t>
      </w:r>
    </w:p>
    <w:p>
      <w:pPr>
        <w:shd w:val="clear" w:color="auto" w:fill="FFFFFF"/>
        <w:spacing w:line="520" w:lineRule="exact"/>
        <w:rPr>
          <w:rFonts w:eastAsia="Times New Roman"/>
          <w:kern w:val="0"/>
          <w:sz w:val="24"/>
        </w:rPr>
      </w:pPr>
      <w:r>
        <w:rPr>
          <w:rFonts w:hint="eastAsia" w:ascii="宋体" w:hAnsi="宋体"/>
          <w:kern w:val="0"/>
          <w:sz w:val="24"/>
        </w:rPr>
        <w:t>8</w:t>
      </w:r>
      <w:r>
        <w:rPr>
          <w:rFonts w:eastAsia="Times New Roman"/>
          <w:kern w:val="0"/>
          <w:sz w:val="24"/>
        </w:rPr>
        <w:t>.</w:t>
      </w:r>
      <w:r>
        <w:rPr>
          <w:rFonts w:hint="eastAsia" w:ascii="宋体" w:hAnsi="宋体"/>
          <w:kern w:val="0"/>
          <w:sz w:val="24"/>
        </w:rPr>
        <w:t>上年结转和结余：指以前年度支出预算因客观条件变化未执行完毕、结转到本年度按有关规定继续使用的资金，既包括财政拨款结转和结余，也包括事业收入、经营收入、其他收入的结转和结余。</w:t>
      </w:r>
    </w:p>
    <w:p>
      <w:pPr>
        <w:shd w:val="clear" w:color="auto" w:fill="FFFFFF"/>
        <w:spacing w:line="520" w:lineRule="exact"/>
        <w:rPr>
          <w:rFonts w:eastAsia="Times New Roman"/>
          <w:kern w:val="0"/>
          <w:sz w:val="24"/>
        </w:rPr>
      </w:pPr>
      <w:r>
        <w:rPr>
          <w:rFonts w:hint="eastAsia" w:ascii="宋体" w:hAnsi="宋体"/>
          <w:kern w:val="0"/>
          <w:sz w:val="24"/>
        </w:rPr>
        <w:t>9</w:t>
      </w:r>
      <w:r>
        <w:rPr>
          <w:rFonts w:eastAsia="Times New Roman"/>
          <w:kern w:val="0"/>
          <w:sz w:val="24"/>
        </w:rPr>
        <w:t>.</w:t>
      </w:r>
      <w:r>
        <w:rPr>
          <w:rFonts w:hint="eastAsia" w:ascii="宋体" w:hAnsi="宋体"/>
          <w:kern w:val="0"/>
          <w:sz w:val="24"/>
        </w:rPr>
        <w:t>结余分配：反映单位当年结余的分配情况。</w:t>
      </w:r>
    </w:p>
    <w:p>
      <w:pPr>
        <w:shd w:val="clear" w:color="auto" w:fill="FFFFFF"/>
        <w:spacing w:line="520" w:lineRule="exact"/>
        <w:rPr>
          <w:rFonts w:eastAsia="Times New Roman"/>
          <w:kern w:val="0"/>
          <w:sz w:val="24"/>
        </w:rPr>
      </w:pPr>
      <w:r>
        <w:rPr>
          <w:rFonts w:hint="eastAsia" w:ascii="宋体" w:hAnsi="宋体"/>
          <w:kern w:val="0"/>
          <w:sz w:val="24"/>
        </w:rPr>
        <w:t>1</w:t>
      </w:r>
      <w:r>
        <w:rPr>
          <w:rFonts w:eastAsia="Times New Roman"/>
          <w:kern w:val="0"/>
          <w:sz w:val="24"/>
        </w:rPr>
        <w:t>0.</w:t>
      </w:r>
      <w:r>
        <w:rPr>
          <w:rFonts w:hint="eastAsia" w:ascii="宋体" w:hAnsi="宋体"/>
          <w:kern w:val="0"/>
          <w:sz w:val="24"/>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shd w:val="clear" w:color="auto" w:fill="FFFFFF"/>
        <w:spacing w:line="520" w:lineRule="exact"/>
        <w:rPr>
          <w:rFonts w:eastAsia="Times New Roman"/>
          <w:kern w:val="0"/>
          <w:sz w:val="24"/>
        </w:rPr>
      </w:pPr>
      <w:r>
        <w:rPr>
          <w:rFonts w:hint="eastAsia" w:ascii="宋体" w:hAnsi="宋体"/>
          <w:kern w:val="0"/>
          <w:sz w:val="24"/>
        </w:rPr>
        <w:t>11.基本支出：指为保障机构正常运转、完成日常工作任务而发生的人员支出和公用支出。</w:t>
      </w:r>
    </w:p>
    <w:p>
      <w:pPr>
        <w:shd w:val="clear" w:color="auto" w:fill="FFFFFF"/>
        <w:spacing w:line="520" w:lineRule="exact"/>
        <w:rPr>
          <w:rFonts w:eastAsia="Times New Roman"/>
          <w:kern w:val="0"/>
          <w:sz w:val="24"/>
        </w:rPr>
      </w:pPr>
      <w:r>
        <w:rPr>
          <w:rFonts w:hint="eastAsia" w:ascii="宋体" w:hAnsi="宋体"/>
          <w:kern w:val="0"/>
          <w:sz w:val="24"/>
        </w:rPr>
        <w:t>12.项目支出：指在基本支出之外为完成特定行政任务和事业发展目标所发生的支出。</w:t>
      </w:r>
    </w:p>
    <w:p>
      <w:pPr>
        <w:shd w:val="clear" w:color="auto" w:fill="FFFFFF"/>
        <w:spacing w:line="520" w:lineRule="exact"/>
        <w:rPr>
          <w:rFonts w:eastAsia="Times New Roman"/>
          <w:kern w:val="0"/>
          <w:sz w:val="24"/>
        </w:rPr>
      </w:pPr>
      <w:r>
        <w:rPr>
          <w:rFonts w:hint="eastAsia" w:ascii="宋体" w:hAnsi="宋体"/>
          <w:kern w:val="0"/>
          <w:sz w:val="24"/>
        </w:rPr>
        <w:t>13.经营支出：指事业单位在专业业务活动及其辅助活动之外开展非独立核算经营活动发生的支出。</w:t>
      </w:r>
    </w:p>
    <w:p>
      <w:pPr>
        <w:shd w:val="clear" w:color="auto" w:fill="FFFFFF"/>
        <w:spacing w:line="520" w:lineRule="exact"/>
        <w:rPr>
          <w:rFonts w:eastAsia="Times New Roman"/>
          <w:kern w:val="0"/>
          <w:sz w:val="24"/>
        </w:rPr>
      </w:pPr>
      <w:r>
        <w:rPr>
          <w:rFonts w:hint="eastAsia" w:ascii="宋体" w:hAnsi="宋体"/>
          <w:kern w:val="0"/>
          <w:sz w:val="24"/>
        </w:rPr>
        <w:t>14.对附属单位补助支出：指事业单位发生的用非财政预算资金对附属单位的补助支出。</w:t>
      </w:r>
    </w:p>
    <w:p>
      <w:pPr>
        <w:shd w:val="clear" w:color="auto" w:fill="FFFFFF"/>
        <w:spacing w:line="520" w:lineRule="exact"/>
        <w:rPr>
          <w:rFonts w:eastAsia="Times New Roman"/>
          <w:kern w:val="0"/>
          <w:sz w:val="24"/>
        </w:rPr>
      </w:pPr>
      <w:r>
        <w:rPr>
          <w:rFonts w:hint="eastAsia" w:ascii="宋体" w:hAnsi="宋体"/>
          <w:kern w:val="0"/>
          <w:sz w:val="24"/>
        </w:rPr>
        <w:t>15.</w:t>
      </w:r>
      <w:r>
        <w:rPr>
          <w:rFonts w:ascii="宋体" w:hAnsi="宋体"/>
          <w:kern w:val="0"/>
          <w:sz w:val="24"/>
        </w:rPr>
        <w:t>“</w:t>
      </w:r>
      <w:r>
        <w:rPr>
          <w:rFonts w:hint="eastAsia" w:ascii="宋体" w:hAnsi="宋体"/>
          <w:kern w:val="0"/>
          <w:sz w:val="24"/>
        </w:rPr>
        <w:t>三公</w:t>
      </w:r>
      <w:r>
        <w:rPr>
          <w:rFonts w:ascii="宋体" w:hAnsi="宋体"/>
          <w:kern w:val="0"/>
          <w:sz w:val="24"/>
        </w:rPr>
        <w:t>”</w:t>
      </w:r>
      <w:r>
        <w:rPr>
          <w:rFonts w:hint="eastAsia" w:ascii="宋体" w:hAnsi="宋体"/>
          <w:kern w:val="0"/>
          <w:sz w:val="24"/>
        </w:rPr>
        <w:t>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hd w:val="clear" w:color="auto" w:fill="FFFFFF"/>
        <w:spacing w:line="520" w:lineRule="exact"/>
        <w:rPr>
          <w:rFonts w:eastAsia="Times New Roman"/>
          <w:kern w:val="0"/>
          <w:sz w:val="24"/>
        </w:rPr>
      </w:pPr>
      <w:r>
        <w:rPr>
          <w:rFonts w:hint="eastAsia" w:ascii="宋体" w:hAnsi="宋体"/>
          <w:kern w:val="0"/>
          <w:sz w:val="24"/>
        </w:rPr>
        <w:t>16.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hd w:val="clear" w:color="auto" w:fill="FFFFFF"/>
        <w:autoSpaceDE w:val="0"/>
        <w:autoSpaceDN w:val="0"/>
        <w:adjustRightInd w:val="0"/>
        <w:spacing w:before="100" w:line="520" w:lineRule="exact"/>
        <w:rPr>
          <w:rFonts w:ascii="宋体" w:cs="宋体"/>
          <w:kern w:val="0"/>
          <w:sz w:val="24"/>
          <w:szCs w:val="24"/>
        </w:rPr>
      </w:pPr>
      <w:r>
        <w:rPr>
          <w:rFonts w:ascii="宋体" w:cs="宋体"/>
          <w:kern w:val="0"/>
          <w:sz w:val="24"/>
          <w:szCs w:val="24"/>
        </w:rPr>
        <w:t>17.</w:t>
      </w:r>
      <w:r>
        <w:rPr>
          <w:rFonts w:hint="eastAsia" w:ascii="宋体" w:cs="宋体"/>
          <w:kern w:val="0"/>
          <w:sz w:val="24"/>
          <w:szCs w:val="24"/>
        </w:rPr>
        <w:t>本单位支出功能分类说明。</w:t>
      </w:r>
    </w:p>
    <w:p>
      <w:pPr>
        <w:shd w:val="clear" w:color="auto" w:fill="FFFFFF"/>
        <w:autoSpaceDE w:val="0"/>
        <w:autoSpaceDN w:val="0"/>
        <w:adjustRightInd w:val="0"/>
        <w:spacing w:before="100" w:line="520" w:lineRule="exact"/>
        <w:rPr>
          <w:rFonts w:ascii="宋体" w:cs="宋体"/>
          <w:kern w:val="0"/>
          <w:sz w:val="24"/>
          <w:szCs w:val="24"/>
        </w:rPr>
      </w:pPr>
      <w:r>
        <w:rPr>
          <w:rFonts w:ascii="宋体" w:cs="宋体"/>
          <w:kern w:val="0"/>
          <w:sz w:val="24"/>
          <w:szCs w:val="24"/>
        </w:rPr>
        <w:t>201(</w:t>
      </w:r>
      <w:r>
        <w:rPr>
          <w:rFonts w:hint="eastAsia" w:ascii="宋体" w:cs="宋体"/>
          <w:kern w:val="0"/>
          <w:sz w:val="24"/>
          <w:szCs w:val="24"/>
        </w:rPr>
        <w:t>类</w:t>
      </w:r>
      <w:r>
        <w:rPr>
          <w:rFonts w:ascii="宋体" w:cs="宋体"/>
          <w:kern w:val="0"/>
          <w:sz w:val="24"/>
          <w:szCs w:val="24"/>
        </w:rPr>
        <w:t>)31(</w:t>
      </w:r>
      <w:r>
        <w:rPr>
          <w:rFonts w:hint="eastAsia" w:ascii="宋体" w:cs="宋体"/>
          <w:kern w:val="0"/>
          <w:sz w:val="24"/>
          <w:szCs w:val="24"/>
        </w:rPr>
        <w:t>款</w:t>
      </w:r>
      <w:r>
        <w:rPr>
          <w:rFonts w:ascii="宋体" w:cs="宋体"/>
          <w:kern w:val="0"/>
          <w:sz w:val="24"/>
          <w:szCs w:val="24"/>
        </w:rPr>
        <w:t>)01(</w:t>
      </w:r>
      <w:r>
        <w:rPr>
          <w:rFonts w:hint="eastAsia" w:ascii="宋体" w:cs="宋体"/>
          <w:kern w:val="0"/>
          <w:sz w:val="24"/>
          <w:szCs w:val="24"/>
        </w:rPr>
        <w:t>项</w:t>
      </w:r>
      <w:r>
        <w:rPr>
          <w:rFonts w:ascii="宋体" w:cs="宋体"/>
          <w:kern w:val="0"/>
          <w:sz w:val="24"/>
          <w:szCs w:val="24"/>
        </w:rPr>
        <w:t>)</w:t>
      </w:r>
      <w:r>
        <w:rPr>
          <w:rFonts w:hint="eastAsia" w:ascii="宋体" w:cs="宋体"/>
          <w:kern w:val="0"/>
          <w:sz w:val="24"/>
          <w:szCs w:val="24"/>
        </w:rPr>
        <w:t>行政运行：指反映行政单位</w:t>
      </w:r>
      <w:r>
        <w:rPr>
          <w:rFonts w:ascii="宋体" w:cs="宋体"/>
          <w:kern w:val="0"/>
          <w:sz w:val="24"/>
          <w:szCs w:val="24"/>
        </w:rPr>
        <w:t xml:space="preserve"> </w:t>
      </w:r>
      <w:r>
        <w:rPr>
          <w:rFonts w:hint="eastAsia" w:ascii="宋体" w:cs="宋体"/>
          <w:kern w:val="0"/>
          <w:sz w:val="24"/>
          <w:szCs w:val="24"/>
        </w:rPr>
        <w:t>（</w:t>
      </w:r>
      <w:r>
        <w:rPr>
          <w:rFonts w:ascii="宋体" w:cs="宋体"/>
          <w:kern w:val="0"/>
          <w:sz w:val="24"/>
          <w:szCs w:val="24"/>
        </w:rPr>
        <w:t xml:space="preserve"> </w:t>
      </w:r>
      <w:r>
        <w:rPr>
          <w:rFonts w:hint="eastAsia" w:ascii="宋体" w:cs="宋体"/>
          <w:kern w:val="0"/>
          <w:sz w:val="24"/>
          <w:szCs w:val="24"/>
        </w:rPr>
        <w:t>包括实行公务员管理的事业单位）</w:t>
      </w:r>
      <w:r>
        <w:rPr>
          <w:rFonts w:ascii="宋体" w:cs="宋体"/>
          <w:kern w:val="0"/>
          <w:sz w:val="24"/>
          <w:szCs w:val="24"/>
        </w:rPr>
        <w:t xml:space="preserve"> </w:t>
      </w:r>
      <w:r>
        <w:rPr>
          <w:rFonts w:hint="eastAsia" w:ascii="宋体" w:cs="宋体"/>
          <w:kern w:val="0"/>
          <w:sz w:val="24"/>
          <w:szCs w:val="24"/>
        </w:rPr>
        <w:t>的基本支出。</w:t>
      </w:r>
    </w:p>
    <w:p>
      <w:pPr>
        <w:shd w:val="clear" w:color="auto" w:fill="FFFFFF"/>
        <w:autoSpaceDE w:val="0"/>
        <w:autoSpaceDN w:val="0"/>
        <w:adjustRightInd w:val="0"/>
        <w:spacing w:before="100" w:line="520" w:lineRule="exact"/>
        <w:rPr>
          <w:rFonts w:ascii="宋体" w:cs="宋体"/>
          <w:kern w:val="0"/>
          <w:sz w:val="24"/>
          <w:szCs w:val="24"/>
        </w:rPr>
      </w:pPr>
      <w:r>
        <w:rPr>
          <w:rFonts w:ascii="宋体" w:cs="宋体"/>
          <w:kern w:val="0"/>
          <w:sz w:val="24"/>
          <w:szCs w:val="24"/>
        </w:rPr>
        <w:t>208(</w:t>
      </w:r>
      <w:r>
        <w:rPr>
          <w:rFonts w:hint="eastAsia" w:ascii="宋体" w:cs="宋体"/>
          <w:kern w:val="0"/>
          <w:sz w:val="24"/>
          <w:szCs w:val="24"/>
        </w:rPr>
        <w:t>类</w:t>
      </w:r>
      <w:r>
        <w:rPr>
          <w:rFonts w:ascii="宋体" w:cs="宋体"/>
          <w:kern w:val="0"/>
          <w:sz w:val="24"/>
          <w:szCs w:val="24"/>
        </w:rPr>
        <w:t>)05(</w:t>
      </w:r>
      <w:r>
        <w:rPr>
          <w:rFonts w:hint="eastAsia" w:ascii="宋体" w:cs="宋体"/>
          <w:kern w:val="0"/>
          <w:sz w:val="24"/>
          <w:szCs w:val="24"/>
        </w:rPr>
        <w:t>款</w:t>
      </w:r>
      <w:r>
        <w:rPr>
          <w:rFonts w:ascii="宋体" w:cs="宋体"/>
          <w:kern w:val="0"/>
          <w:sz w:val="24"/>
          <w:szCs w:val="24"/>
        </w:rPr>
        <w:t>)05(</w:t>
      </w:r>
      <w:r>
        <w:rPr>
          <w:rFonts w:hint="eastAsia" w:ascii="宋体" w:cs="宋体"/>
          <w:kern w:val="0"/>
          <w:sz w:val="24"/>
          <w:szCs w:val="24"/>
        </w:rPr>
        <w:t>项</w:t>
      </w:r>
      <w:r>
        <w:rPr>
          <w:rFonts w:ascii="宋体" w:cs="宋体"/>
          <w:kern w:val="0"/>
          <w:sz w:val="24"/>
          <w:szCs w:val="24"/>
        </w:rPr>
        <w:t>)</w:t>
      </w:r>
      <w:r>
        <w:rPr>
          <w:rFonts w:hint="eastAsia" w:ascii="宋体" w:cs="宋体"/>
          <w:kern w:val="0"/>
          <w:sz w:val="24"/>
          <w:szCs w:val="24"/>
        </w:rPr>
        <w:t>机关事业单位基本养老保险缴费支出：指反映机关事业单位实施养老保险制度由单位缴纳的基本养老保险费支出</w:t>
      </w:r>
      <w:r>
        <w:rPr>
          <w:rFonts w:ascii="宋体" w:cs="宋体"/>
          <w:kern w:val="0"/>
          <w:sz w:val="24"/>
          <w:szCs w:val="24"/>
        </w:rPr>
        <w:t xml:space="preserve"> </w:t>
      </w:r>
      <w:r>
        <w:rPr>
          <w:rFonts w:hint="eastAsia" w:ascii="宋体" w:cs="宋体"/>
          <w:kern w:val="0"/>
          <w:sz w:val="24"/>
          <w:szCs w:val="24"/>
        </w:rPr>
        <w:t>。</w:t>
      </w:r>
    </w:p>
    <w:p>
      <w:pPr>
        <w:shd w:val="clear" w:color="auto" w:fill="FFFFFF"/>
        <w:autoSpaceDE w:val="0"/>
        <w:autoSpaceDN w:val="0"/>
        <w:adjustRightInd w:val="0"/>
        <w:spacing w:before="100" w:line="520" w:lineRule="exact"/>
        <w:rPr>
          <w:rFonts w:ascii="宋体" w:cs="宋体"/>
          <w:kern w:val="0"/>
          <w:sz w:val="24"/>
          <w:szCs w:val="24"/>
        </w:rPr>
      </w:pPr>
      <w:r>
        <w:rPr>
          <w:rFonts w:ascii="宋体" w:cs="宋体"/>
          <w:kern w:val="0"/>
          <w:sz w:val="24"/>
          <w:szCs w:val="24"/>
        </w:rPr>
        <w:t>210(</w:t>
      </w:r>
      <w:r>
        <w:rPr>
          <w:rFonts w:hint="eastAsia" w:ascii="宋体" w:cs="宋体"/>
          <w:kern w:val="0"/>
          <w:sz w:val="24"/>
          <w:szCs w:val="24"/>
        </w:rPr>
        <w:t>类</w:t>
      </w:r>
      <w:r>
        <w:rPr>
          <w:rFonts w:ascii="宋体" w:cs="宋体"/>
          <w:kern w:val="0"/>
          <w:sz w:val="24"/>
          <w:szCs w:val="24"/>
        </w:rPr>
        <w:t>)11(</w:t>
      </w:r>
      <w:r>
        <w:rPr>
          <w:rFonts w:hint="eastAsia" w:ascii="宋体" w:cs="宋体"/>
          <w:kern w:val="0"/>
          <w:sz w:val="24"/>
          <w:szCs w:val="24"/>
        </w:rPr>
        <w:t>款</w:t>
      </w:r>
      <w:r>
        <w:rPr>
          <w:rFonts w:ascii="宋体" w:cs="宋体"/>
          <w:kern w:val="0"/>
          <w:sz w:val="24"/>
          <w:szCs w:val="24"/>
        </w:rPr>
        <w:t>)01(</w:t>
      </w:r>
      <w:r>
        <w:rPr>
          <w:rFonts w:hint="eastAsia" w:ascii="宋体" w:cs="宋体"/>
          <w:kern w:val="0"/>
          <w:sz w:val="24"/>
          <w:szCs w:val="24"/>
        </w:rPr>
        <w:t>项</w:t>
      </w:r>
      <w:r>
        <w:rPr>
          <w:rFonts w:ascii="宋体" w:cs="宋体"/>
          <w:kern w:val="0"/>
          <w:sz w:val="24"/>
          <w:szCs w:val="24"/>
        </w:rPr>
        <w:t>)</w:t>
      </w:r>
      <w:r>
        <w:rPr>
          <w:rFonts w:hint="eastAsia" w:ascii="宋体" w:cs="宋体"/>
          <w:kern w:val="0"/>
          <w:sz w:val="24"/>
          <w:szCs w:val="24"/>
        </w:rPr>
        <w:t>行政单位医疗：指反映财政部门集中安排的行政单位基本医疗保险缴费经费，未参加医疗保险的行政单位的公费医疗经费，按国家规定享受离休人员、红军老战士待遇人员的医疗经费。</w:t>
      </w:r>
    </w:p>
    <w:p>
      <w:pPr>
        <w:shd w:val="clear" w:color="auto" w:fill="FFFFFF"/>
        <w:autoSpaceDE w:val="0"/>
        <w:autoSpaceDN w:val="0"/>
        <w:adjustRightInd w:val="0"/>
        <w:spacing w:before="100" w:line="520" w:lineRule="exact"/>
        <w:rPr>
          <w:rFonts w:ascii="宋体" w:cs="宋体"/>
          <w:kern w:val="0"/>
          <w:sz w:val="24"/>
          <w:szCs w:val="24"/>
        </w:rPr>
      </w:pPr>
      <w:r>
        <w:rPr>
          <w:rFonts w:ascii="宋体" w:cs="宋体"/>
          <w:kern w:val="0"/>
          <w:sz w:val="24"/>
          <w:szCs w:val="24"/>
        </w:rPr>
        <w:t>210(</w:t>
      </w:r>
      <w:r>
        <w:rPr>
          <w:rFonts w:hint="eastAsia" w:ascii="宋体" w:cs="宋体"/>
          <w:kern w:val="0"/>
          <w:sz w:val="24"/>
          <w:szCs w:val="24"/>
        </w:rPr>
        <w:t>类</w:t>
      </w:r>
      <w:r>
        <w:rPr>
          <w:rFonts w:ascii="宋体" w:cs="宋体"/>
          <w:kern w:val="0"/>
          <w:sz w:val="24"/>
          <w:szCs w:val="24"/>
        </w:rPr>
        <w:t>)11(</w:t>
      </w:r>
      <w:r>
        <w:rPr>
          <w:rFonts w:hint="eastAsia" w:ascii="宋体" w:cs="宋体"/>
          <w:kern w:val="0"/>
          <w:sz w:val="24"/>
          <w:szCs w:val="24"/>
        </w:rPr>
        <w:t>款</w:t>
      </w:r>
      <w:r>
        <w:rPr>
          <w:rFonts w:ascii="宋体" w:cs="宋体"/>
          <w:kern w:val="0"/>
          <w:sz w:val="24"/>
          <w:szCs w:val="24"/>
        </w:rPr>
        <w:t>)03(</w:t>
      </w:r>
      <w:r>
        <w:rPr>
          <w:rFonts w:hint="eastAsia" w:ascii="宋体" w:cs="宋体"/>
          <w:kern w:val="0"/>
          <w:sz w:val="24"/>
          <w:szCs w:val="24"/>
        </w:rPr>
        <w:t>项</w:t>
      </w:r>
      <w:r>
        <w:rPr>
          <w:rFonts w:ascii="宋体" w:cs="宋体"/>
          <w:kern w:val="0"/>
          <w:sz w:val="24"/>
          <w:szCs w:val="24"/>
        </w:rPr>
        <w:t>)</w:t>
      </w:r>
      <w:r>
        <w:rPr>
          <w:rFonts w:hint="eastAsia" w:ascii="宋体" w:cs="宋体"/>
          <w:kern w:val="0"/>
          <w:sz w:val="24"/>
          <w:szCs w:val="24"/>
        </w:rPr>
        <w:t>公务员医疗补助：指反映财政部门集中安排的公务员医疗补助经费。</w:t>
      </w:r>
    </w:p>
    <w:p>
      <w:pPr>
        <w:shd w:val="clear" w:color="auto" w:fill="FFFFFF"/>
        <w:autoSpaceDE w:val="0"/>
        <w:autoSpaceDN w:val="0"/>
        <w:adjustRightInd w:val="0"/>
        <w:spacing w:before="100" w:line="520" w:lineRule="exact"/>
        <w:rPr>
          <w:rFonts w:ascii="宋体" w:cs="宋体"/>
          <w:kern w:val="0"/>
          <w:sz w:val="24"/>
          <w:szCs w:val="24"/>
        </w:rPr>
      </w:pPr>
      <w:r>
        <w:rPr>
          <w:rFonts w:ascii="宋体" w:cs="宋体"/>
          <w:kern w:val="0"/>
          <w:sz w:val="24"/>
          <w:szCs w:val="24"/>
        </w:rPr>
        <w:t>221(</w:t>
      </w:r>
      <w:r>
        <w:rPr>
          <w:rFonts w:hint="eastAsia" w:ascii="宋体" w:cs="宋体"/>
          <w:kern w:val="0"/>
          <w:sz w:val="24"/>
          <w:szCs w:val="24"/>
        </w:rPr>
        <w:t>类</w:t>
      </w:r>
      <w:r>
        <w:rPr>
          <w:rFonts w:ascii="宋体" w:cs="宋体"/>
          <w:kern w:val="0"/>
          <w:sz w:val="24"/>
          <w:szCs w:val="24"/>
        </w:rPr>
        <w:t>)02(</w:t>
      </w:r>
      <w:r>
        <w:rPr>
          <w:rFonts w:hint="eastAsia" w:ascii="宋体" w:cs="宋体"/>
          <w:kern w:val="0"/>
          <w:sz w:val="24"/>
          <w:szCs w:val="24"/>
        </w:rPr>
        <w:t>款</w:t>
      </w:r>
      <w:r>
        <w:rPr>
          <w:rFonts w:ascii="宋体" w:cs="宋体"/>
          <w:kern w:val="0"/>
          <w:sz w:val="24"/>
          <w:szCs w:val="24"/>
        </w:rPr>
        <w:t>)01(</w:t>
      </w:r>
      <w:r>
        <w:rPr>
          <w:rFonts w:hint="eastAsia" w:ascii="宋体" w:cs="宋体"/>
          <w:kern w:val="0"/>
          <w:sz w:val="24"/>
          <w:szCs w:val="24"/>
        </w:rPr>
        <w:t>项</w:t>
      </w:r>
      <w:r>
        <w:rPr>
          <w:rFonts w:ascii="宋体" w:cs="宋体"/>
          <w:kern w:val="0"/>
          <w:sz w:val="24"/>
          <w:szCs w:val="24"/>
        </w:rPr>
        <w:t>)</w:t>
      </w:r>
      <w:r>
        <w:rPr>
          <w:rFonts w:hint="eastAsia" w:ascii="宋体" w:cs="宋体"/>
          <w:kern w:val="0"/>
          <w:sz w:val="24"/>
          <w:szCs w:val="24"/>
        </w:rPr>
        <w:t>住房公积金：指反映行政事业单位按人力资源和社会保障部、财政部规定的基本工资和津贴补贴以及规定比例为职工缴纳的住房公积金。</w:t>
      </w:r>
    </w:p>
    <w:p>
      <w:pPr>
        <w:shd w:val="clear" w:color="auto" w:fill="FFFFFF"/>
        <w:autoSpaceDE w:val="0"/>
        <w:autoSpaceDN w:val="0"/>
        <w:adjustRightInd w:val="0"/>
        <w:spacing w:before="100" w:line="520" w:lineRule="exact"/>
        <w:rPr>
          <w:kern w:val="0"/>
          <w:sz w:val="24"/>
          <w:szCs w:val="24"/>
          <w:highlight w:val="yellow"/>
        </w:rPr>
      </w:pPr>
    </w:p>
    <w:p>
      <w:pPr>
        <w:shd w:val="clear" w:color="auto" w:fill="FFFFFF"/>
        <w:spacing w:line="520" w:lineRule="exact"/>
        <w:rPr>
          <w:rFonts w:ascii="宋体" w:hAnsi="宋体"/>
          <w:kern w:val="0"/>
          <w:sz w:val="24"/>
        </w:rPr>
      </w:pPr>
      <w:r>
        <w:rPr>
          <w:rFonts w:hint="eastAsia" w:ascii="宋体" w:hAnsi="宋体"/>
          <w:kern w:val="0"/>
          <w:sz w:val="24"/>
        </w:rPr>
        <w:t xml:space="preserve">    其他有关说明内容:无</w:t>
      </w:r>
    </w:p>
    <w:p>
      <w:pPr>
        <w:shd w:val="clear" w:color="auto" w:fill="FFFFFF"/>
        <w:jc w:val="left"/>
        <w:rPr>
          <w:rFonts w:eastAsia="Times New Roman"/>
          <w:kern w:val="0"/>
          <w:sz w:val="24"/>
        </w:rPr>
      </w:pPr>
    </w:p>
    <w:p>
      <w:pPr>
        <w:shd w:val="clear" w:color="auto" w:fill="FFFFFF"/>
        <w:jc w:val="center"/>
        <w:rPr>
          <w:rFonts w:eastAsia="Times New Roman"/>
          <w:b/>
          <w:kern w:val="0"/>
          <w:sz w:val="28"/>
        </w:rPr>
      </w:pPr>
      <w:r>
        <w:rPr>
          <w:rFonts w:hint="eastAsia" w:ascii="宋体" w:hAnsi="宋体"/>
          <w:b/>
          <w:kern w:val="0"/>
          <w:sz w:val="28"/>
        </w:rPr>
        <w:t>第四部分  部门决算公开的8张报表（见附表）</w:t>
      </w:r>
    </w:p>
    <w:p>
      <w:pPr>
        <w:spacing w:line="540" w:lineRule="exact"/>
        <w:ind w:firstLine="480"/>
        <w:rPr>
          <w:rFonts w:eastAsia="Times New Roman"/>
          <w:kern w:val="0"/>
          <w:sz w:val="24"/>
        </w:rPr>
      </w:pPr>
      <w:r>
        <w:rPr>
          <w:rFonts w:hint="eastAsia" w:ascii="宋体" w:hAnsi="宋体"/>
          <w:kern w:val="0"/>
          <w:sz w:val="24"/>
        </w:rPr>
        <w:t>一、《收入支出决算总表》</w:t>
      </w:r>
    </w:p>
    <w:p>
      <w:pPr>
        <w:spacing w:line="540" w:lineRule="exact"/>
        <w:ind w:firstLine="480"/>
        <w:rPr>
          <w:rFonts w:eastAsia="Times New Roman"/>
          <w:kern w:val="0"/>
          <w:sz w:val="24"/>
        </w:rPr>
      </w:pPr>
      <w:r>
        <w:rPr>
          <w:rFonts w:hint="eastAsia" w:ascii="宋体" w:hAnsi="宋体"/>
          <w:kern w:val="0"/>
          <w:sz w:val="24"/>
        </w:rPr>
        <w:t>二、《收入决算表》</w:t>
      </w:r>
    </w:p>
    <w:p>
      <w:pPr>
        <w:spacing w:line="540" w:lineRule="exact"/>
        <w:ind w:firstLine="480"/>
        <w:rPr>
          <w:rFonts w:eastAsia="Times New Roman"/>
          <w:kern w:val="0"/>
          <w:sz w:val="24"/>
        </w:rPr>
      </w:pPr>
      <w:r>
        <w:rPr>
          <w:rFonts w:hint="eastAsia" w:ascii="宋体" w:hAnsi="宋体"/>
          <w:kern w:val="0"/>
          <w:sz w:val="24"/>
        </w:rPr>
        <w:t>三、《支出决算表》</w:t>
      </w:r>
    </w:p>
    <w:p>
      <w:pPr>
        <w:spacing w:line="540" w:lineRule="exact"/>
        <w:ind w:firstLine="480"/>
        <w:rPr>
          <w:rFonts w:eastAsia="Times New Roman"/>
          <w:kern w:val="0"/>
          <w:sz w:val="24"/>
        </w:rPr>
      </w:pPr>
      <w:r>
        <w:rPr>
          <w:rFonts w:hint="eastAsia" w:ascii="宋体" w:hAnsi="宋体"/>
          <w:kern w:val="0"/>
          <w:sz w:val="24"/>
        </w:rPr>
        <w:t>四、《财政拨款收入支出决算总表》</w:t>
      </w:r>
    </w:p>
    <w:p>
      <w:pPr>
        <w:spacing w:line="540" w:lineRule="exact"/>
        <w:ind w:firstLine="480"/>
        <w:rPr>
          <w:rFonts w:eastAsia="Times New Roman"/>
          <w:kern w:val="0"/>
          <w:sz w:val="24"/>
        </w:rPr>
      </w:pPr>
      <w:r>
        <w:rPr>
          <w:rFonts w:hint="eastAsia" w:ascii="宋体" w:hAnsi="宋体"/>
          <w:kern w:val="0"/>
          <w:sz w:val="24"/>
        </w:rPr>
        <w:t>五、《一般公共预算财政拨款支出决算表》</w:t>
      </w:r>
    </w:p>
    <w:p>
      <w:pPr>
        <w:spacing w:line="540" w:lineRule="exact"/>
        <w:ind w:firstLine="480"/>
        <w:rPr>
          <w:rFonts w:eastAsia="Times New Roman"/>
          <w:kern w:val="0"/>
          <w:sz w:val="24"/>
        </w:rPr>
      </w:pPr>
      <w:r>
        <w:rPr>
          <w:rFonts w:hint="eastAsia" w:ascii="宋体" w:hAnsi="宋体"/>
          <w:kern w:val="0"/>
          <w:sz w:val="24"/>
        </w:rPr>
        <w:t>六、《一般公共预算财政拨款基本支出决算表》</w:t>
      </w:r>
    </w:p>
    <w:p>
      <w:pPr>
        <w:spacing w:line="540" w:lineRule="exact"/>
        <w:ind w:firstLine="480"/>
        <w:rPr>
          <w:rFonts w:eastAsia="Times New Roman"/>
          <w:kern w:val="0"/>
          <w:sz w:val="24"/>
        </w:rPr>
      </w:pPr>
      <w:r>
        <w:rPr>
          <w:rFonts w:hint="eastAsia" w:ascii="宋体" w:hAnsi="宋体"/>
          <w:kern w:val="0"/>
          <w:sz w:val="24"/>
        </w:rPr>
        <w:t>七、《一般公共预算财政拨款</w:t>
      </w:r>
      <w:r>
        <w:rPr>
          <w:rFonts w:ascii="宋体" w:hAnsi="宋体"/>
          <w:kern w:val="0"/>
          <w:sz w:val="24"/>
        </w:rPr>
        <w:t>“</w:t>
      </w:r>
      <w:r>
        <w:rPr>
          <w:rFonts w:hint="eastAsia" w:ascii="宋体" w:hAnsi="宋体"/>
          <w:kern w:val="0"/>
          <w:sz w:val="24"/>
        </w:rPr>
        <w:t>三公</w:t>
      </w:r>
      <w:r>
        <w:rPr>
          <w:rFonts w:ascii="宋体" w:hAnsi="宋体"/>
          <w:kern w:val="0"/>
          <w:sz w:val="24"/>
        </w:rPr>
        <w:t>”</w:t>
      </w:r>
      <w:r>
        <w:rPr>
          <w:rFonts w:hint="eastAsia" w:ascii="宋体" w:hAnsi="宋体"/>
          <w:kern w:val="0"/>
          <w:sz w:val="24"/>
        </w:rPr>
        <w:t>经费支出决算表》</w:t>
      </w:r>
    </w:p>
    <w:p>
      <w:pPr>
        <w:spacing w:line="540" w:lineRule="exact"/>
        <w:ind w:firstLine="480"/>
        <w:rPr>
          <w:rFonts w:eastAsia="Times New Roman"/>
          <w:kern w:val="0"/>
          <w:sz w:val="24"/>
          <w:szCs w:val="24"/>
        </w:rPr>
      </w:pPr>
      <w:r>
        <w:rPr>
          <w:rFonts w:hint="eastAsia" w:ascii="宋体" w:hAnsi="宋体"/>
          <w:kern w:val="0"/>
          <w:sz w:val="24"/>
        </w:rPr>
        <w:t>八、《政府性基金预算财政拨款收入支出决算表》</w:t>
      </w:r>
      <w:r>
        <w:rPr>
          <w:rFonts w:ascii="宋体" w:hAnsi="宋体"/>
          <w:kern w:val="0"/>
          <w:sz w:val="24"/>
          <w:szCs w:val="24"/>
        </w:rPr>
        <w:t>(</w:t>
      </w:r>
      <w:r>
        <w:rPr>
          <w:rFonts w:hint="eastAsia" w:ascii="宋体" w:hAnsi="宋体"/>
          <w:kern w:val="0"/>
          <w:sz w:val="24"/>
          <w:szCs w:val="24"/>
        </w:rPr>
        <w:t>本表为空表</w:t>
      </w:r>
      <w:r>
        <w:rPr>
          <w:rFonts w:ascii="宋体"/>
          <w:kern w:val="0"/>
          <w:sz w:val="24"/>
          <w:szCs w:val="24"/>
        </w:rPr>
        <w:t>,</w:t>
      </w:r>
      <w:r>
        <w:rPr>
          <w:rFonts w:hint="eastAsia" w:ascii="宋体" w:hAnsi="宋体"/>
          <w:kern w:val="0"/>
          <w:sz w:val="24"/>
          <w:szCs w:val="24"/>
        </w:rPr>
        <w:t>本单位无政府性基金收入</w:t>
      </w:r>
      <w:r>
        <w:rPr>
          <w:rFonts w:ascii="宋体" w:hAnsi="宋体"/>
          <w:kern w:val="0"/>
          <w:sz w:val="24"/>
          <w:szCs w:val="24"/>
        </w:rPr>
        <w:t>)</w:t>
      </w:r>
    </w:p>
    <w:p>
      <w:pPr>
        <w:spacing w:line="540" w:lineRule="exact"/>
        <w:ind w:firstLine="480"/>
        <w:rPr>
          <w:rFonts w:eastAsia="Times New Roman"/>
          <w:kern w:val="0"/>
          <w:sz w:val="24"/>
        </w:rPr>
      </w:pPr>
    </w:p>
    <w:p>
      <w:pPr>
        <w:rPr>
          <w:rFonts w:eastAsia="Times New Roman"/>
        </w:rPr>
      </w:pPr>
    </w:p>
    <w:p>
      <w:pPr>
        <w:jc w:val="left"/>
        <w:rPr>
          <w:rFonts w:ascii="宋体" w:hAnsi="宋体"/>
          <w:kern w:val="0"/>
          <w:sz w:val="18"/>
          <w:lang w:val="zh-CN"/>
        </w:rPr>
      </w:pP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drawingGridHorizontalSpacing w:val="120"/>
  <w:drawingGridVerticalSpacing w:val="120"/>
  <w:doNotUseMarginsForDrawingGridOrigin w:val="1"/>
  <w:drawingGridHorizontalOrigin w:val="1800"/>
  <w:drawingGridVerticalOrigin w:val="1440"/>
  <w:doNotShadeFormData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WZiOGZiYWVmZDhlOWI5MWU4OWZmOTU1MWVjZmE1NjcifQ=="/>
  </w:docVars>
  <w:rsids>
    <w:rsidRoot w:val="00172A27"/>
    <w:rsid w:val="00040260"/>
    <w:rsid w:val="0008731F"/>
    <w:rsid w:val="00172A27"/>
    <w:rsid w:val="001A5A44"/>
    <w:rsid w:val="00425C0E"/>
    <w:rsid w:val="00502A06"/>
    <w:rsid w:val="005365BC"/>
    <w:rsid w:val="007661AB"/>
    <w:rsid w:val="007914CF"/>
    <w:rsid w:val="00825242"/>
    <w:rsid w:val="022C1205"/>
    <w:rsid w:val="0EAA2305"/>
    <w:rsid w:val="162971CC"/>
    <w:rsid w:val="19EE591F"/>
    <w:rsid w:val="45A104CB"/>
    <w:rsid w:val="67547BFC"/>
    <w:rsid w:val="70386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99" w:semiHidden="0" w:name="heading 1"/>
    <w:lsdException w:uiPriority="99"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nhideWhenUsed="0" w:uiPriority="99" w:semiHidden="0" w:name="Strong"/>
    <w:lsdException w:unhideWhenUsed="0" w:uiPriority="99"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kern w:val="2"/>
      <w:sz w:val="21"/>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934</Words>
  <Characters>5329</Characters>
  <Lines>44</Lines>
  <Paragraphs>12</Paragraphs>
  <TotalTime>2</TotalTime>
  <ScaleCrop>false</ScaleCrop>
  <LinksUpToDate>false</LinksUpToDate>
  <CharactersWithSpaces>6251</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2019-07-11T04:42:00Z</dcterms:created>
  <dc:creator>Administrator</dc:creator>
  <cp:lastModifiedBy>Administrator</cp:lastModifiedBy>
  <dcterms:modified xsi:type="dcterms:W3CDTF">2024-03-22T08:38:07Z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8D4818D1837B4495B708D1D4EC365901_12</vt:lpwstr>
  </property>
</Properties>
</file>