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color w:val="auto"/>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color w:val="auto"/>
          <w:kern w:val="0"/>
          <w:sz w:val="36"/>
          <w:szCs w:val="36"/>
          <w:lang w:eastAsia="zh-CN"/>
        </w:rPr>
        <w:t>奇台县吉布库镇达坂河牧业村牧民定居点通油工程</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hint="eastAsia" w:ascii="黑体" w:hAnsi="黑体" w:eastAsia="黑体"/>
          <w:b w:val="0"/>
          <w:spacing w:val="-4"/>
          <w:sz w:val="32"/>
          <w:szCs w:val="32"/>
        </w:rPr>
      </w:pPr>
    </w:p>
    <w:p>
      <w:pPr>
        <w:spacing w:line="540" w:lineRule="exact"/>
        <w:rPr>
          <w:rStyle w:val="29"/>
          <w:rFonts w:hint="eastAsia" w:ascii="黑体" w:hAnsi="黑体" w:eastAsia="黑体"/>
          <w:b w:val="0"/>
          <w:spacing w:val="-4"/>
          <w:sz w:val="32"/>
          <w:szCs w:val="32"/>
        </w:rPr>
      </w:pPr>
    </w:p>
    <w:p>
      <w:pPr>
        <w:spacing w:line="540" w:lineRule="exact"/>
        <w:rPr>
          <w:rStyle w:val="29"/>
          <w:rFonts w:ascii="黑体" w:hAnsi="黑体" w:eastAsia="黑体"/>
          <w:b w:val="0"/>
          <w:spacing w:val="-4"/>
          <w:sz w:val="32"/>
          <w:szCs w:val="32"/>
        </w:rPr>
      </w:pPr>
      <w:r>
        <w:rPr>
          <w:rStyle w:val="29"/>
          <w:rFonts w:hint="eastAsia" w:ascii="黑体" w:hAnsi="黑体" w:eastAsia="黑体"/>
          <w:b w:val="0"/>
          <w:spacing w:val="-4"/>
          <w:sz w:val="32"/>
          <w:szCs w:val="32"/>
        </w:rPr>
        <w:t>一、项目概况</w:t>
      </w:r>
    </w:p>
    <w:p>
      <w:pPr>
        <w:spacing w:line="540" w:lineRule="exact"/>
        <w:ind w:firstLine="567"/>
        <w:rPr>
          <w:rStyle w:val="29"/>
          <w:rFonts w:ascii="楷体" w:hAnsi="楷体" w:eastAsia="楷体"/>
          <w:spacing w:val="-4"/>
          <w:sz w:val="32"/>
          <w:szCs w:val="32"/>
        </w:rPr>
      </w:pPr>
      <w:r>
        <w:rPr>
          <w:rStyle w:val="29"/>
          <w:rFonts w:hint="eastAsia" w:ascii="楷体" w:hAnsi="楷体" w:eastAsia="楷体"/>
          <w:spacing w:val="-4"/>
          <w:sz w:val="32"/>
          <w:szCs w:val="32"/>
        </w:rPr>
        <w:t>（一）项目单位基本情况</w:t>
      </w:r>
    </w:p>
    <w:p>
      <w:pPr>
        <w:ind w:firstLine="640" w:firstLineChars="200"/>
        <w:rPr>
          <w:rStyle w:val="29"/>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29"/>
          <w:rFonts w:hint="eastAsia" w:ascii="楷体" w:hAnsi="楷体" w:eastAsia="楷体"/>
          <w:b w:val="0"/>
          <w:bCs w:val="0"/>
          <w:spacing w:val="-4"/>
          <w:sz w:val="32"/>
          <w:szCs w:val="32"/>
          <w:highlight w:val="none"/>
          <w:lang w:eastAsia="zh-CN"/>
        </w:rPr>
        <w:t>　</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（二）项目预算</w:t>
      </w:r>
      <w:r>
        <w:rPr>
          <w:rStyle w:val="29"/>
          <w:rFonts w:ascii="楷体" w:hAnsi="楷体" w:eastAsia="楷体"/>
          <w:spacing w:val="-4"/>
          <w:sz w:val="32"/>
          <w:szCs w:val="32"/>
        </w:rPr>
        <w:t>绩效目标</w:t>
      </w:r>
      <w:r>
        <w:rPr>
          <w:rStyle w:val="29"/>
          <w:rFonts w:hint="eastAsia" w:ascii="楷体" w:hAnsi="楷体" w:eastAsia="楷体"/>
          <w:spacing w:val="-4"/>
          <w:sz w:val="32"/>
          <w:szCs w:val="32"/>
        </w:rPr>
        <w:t>设定情况</w:t>
      </w:r>
    </w:p>
    <w:p>
      <w:pPr>
        <w:spacing w:line="700" w:lineRule="exact"/>
        <w:jc w:val="left"/>
        <w:rPr>
          <w:rStyle w:val="29"/>
          <w:rFonts w:hint="eastAsia" w:ascii="仿宋" w:hAnsi="仿宋" w:eastAsia="仿宋"/>
          <w:b w:val="0"/>
          <w:spacing w:val="-4"/>
          <w:sz w:val="32"/>
          <w:szCs w:val="32"/>
          <w:highlight w:val="none"/>
          <w:lang w:val="en-US" w:eastAsia="zh-CN"/>
        </w:rPr>
      </w:pPr>
      <w:r>
        <w:rPr>
          <w:rFonts w:hint="eastAsia" w:hAnsi="宋体" w:eastAsia="仿宋_GB2312" w:cs="宋体"/>
          <w:color w:val="auto"/>
          <w:kern w:val="0"/>
          <w:sz w:val="32"/>
          <w:szCs w:val="32"/>
          <w:lang w:val="en-US" w:eastAsia="zh-CN"/>
        </w:rPr>
        <w:t xml:space="preserve">    </w:t>
      </w:r>
      <w:r>
        <w:rPr>
          <w:rFonts w:hint="eastAsia" w:hAnsi="宋体" w:eastAsia="仿宋_GB2312" w:cs="宋体"/>
          <w:color w:val="auto"/>
          <w:kern w:val="0"/>
          <w:sz w:val="32"/>
          <w:szCs w:val="32"/>
          <w:lang w:eastAsia="zh-CN"/>
        </w:rPr>
        <w:t>奇台县吉布库镇达坂河牧业村牧民定居点通油工程</w:t>
      </w:r>
      <w:r>
        <w:rPr>
          <w:rStyle w:val="29"/>
          <w:rFonts w:hint="eastAsia" w:ascii="仿宋" w:hAnsi="仿宋" w:eastAsia="仿宋"/>
          <w:b w:val="0"/>
          <w:spacing w:val="-4"/>
          <w:sz w:val="32"/>
          <w:szCs w:val="32"/>
          <w:highlight w:val="none"/>
          <w:lang w:val="en-US" w:eastAsia="zh-CN"/>
        </w:rPr>
        <w:t>项目资金主要用于</w:t>
      </w:r>
      <w:r>
        <w:rPr>
          <w:rFonts w:hint="eastAsia" w:hAnsi="宋体" w:eastAsia="仿宋_GB2312" w:cs="宋体"/>
          <w:color w:val="auto"/>
          <w:kern w:val="0"/>
          <w:sz w:val="32"/>
          <w:szCs w:val="32"/>
          <w:lang w:eastAsia="zh-CN"/>
        </w:rPr>
        <w:t>吉布库镇达坂河牧业村牧民定居点</w:t>
      </w:r>
      <w:r>
        <w:rPr>
          <w:rFonts w:hint="eastAsia" w:hAnsi="宋体" w:eastAsia="仿宋_GB2312" w:cs="宋体"/>
          <w:color w:val="auto"/>
          <w:kern w:val="0"/>
          <w:sz w:val="32"/>
          <w:szCs w:val="32"/>
          <w:lang w:val="en-US" w:eastAsia="zh-CN"/>
        </w:rPr>
        <w:t>6.82公里道路的修建。</w:t>
      </w:r>
      <w:r>
        <w:rPr>
          <w:rStyle w:val="29"/>
          <w:rFonts w:hint="eastAsia" w:ascii="仿宋" w:hAnsi="仿宋" w:eastAsia="仿宋"/>
          <w:b w:val="0"/>
          <w:spacing w:val="-4"/>
          <w:sz w:val="32"/>
          <w:szCs w:val="32"/>
          <w:highlight w:val="none"/>
          <w:lang w:val="en-US" w:eastAsia="zh-CN"/>
        </w:rPr>
        <w:t>该项目2015年7月起实施，8月底完成工程进度100%，该项目主要用于改建</w:t>
      </w:r>
      <w:r>
        <w:rPr>
          <w:rFonts w:hint="eastAsia" w:hAnsi="宋体" w:eastAsia="仿宋_GB2312" w:cs="宋体"/>
          <w:color w:val="auto"/>
          <w:kern w:val="0"/>
          <w:sz w:val="32"/>
          <w:szCs w:val="32"/>
          <w:lang w:eastAsia="zh-CN"/>
        </w:rPr>
        <w:t>达坂河牧业村</w:t>
      </w:r>
      <w:r>
        <w:rPr>
          <w:rStyle w:val="29"/>
          <w:rFonts w:hint="eastAsia" w:ascii="仿宋" w:hAnsi="仿宋" w:eastAsia="仿宋"/>
          <w:b w:val="0"/>
          <w:spacing w:val="-4"/>
          <w:sz w:val="32"/>
          <w:szCs w:val="32"/>
          <w:highlight w:val="none"/>
          <w:lang w:val="en-US" w:eastAsia="zh-CN"/>
        </w:rPr>
        <w:t>居民点道路路基路面及桥涵。</w:t>
      </w:r>
    </w:p>
    <w:p>
      <w:pPr>
        <w:ind w:firstLine="624" w:firstLineChars="200"/>
        <w:jc w:val="left"/>
        <w:rPr>
          <w:rStyle w:val="29"/>
          <w:rFonts w:ascii="黑体" w:hAnsi="黑体" w:eastAsia="黑体"/>
          <w:b w:val="0"/>
          <w:spacing w:val="-4"/>
          <w:sz w:val="32"/>
          <w:szCs w:val="32"/>
        </w:rPr>
      </w:pPr>
      <w:r>
        <w:rPr>
          <w:rStyle w:val="29"/>
          <w:rFonts w:hint="eastAsia" w:ascii="黑体" w:hAnsi="黑体" w:eastAsia="黑体"/>
          <w:b w:val="0"/>
          <w:spacing w:val="-4"/>
          <w:sz w:val="32"/>
          <w:szCs w:val="32"/>
        </w:rPr>
        <w:t>二、项目资金使用及管理情况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（一）项目资金安排落实、总投入等情况分析</w:t>
      </w:r>
    </w:p>
    <w:p>
      <w:pPr>
        <w:spacing w:line="700" w:lineRule="exact"/>
        <w:jc w:val="left"/>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color w:val="auto"/>
          <w:spacing w:val="-4"/>
          <w:sz w:val="32"/>
          <w:szCs w:val="32"/>
          <w:highlight w:val="none"/>
          <w:lang w:val="en-US" w:eastAsia="zh-CN"/>
        </w:rPr>
        <w:t xml:space="preserve">    </w:t>
      </w:r>
      <w:r>
        <w:rPr>
          <w:rStyle w:val="29"/>
          <w:rFonts w:hint="eastAsia" w:ascii="仿宋" w:hAnsi="仿宋" w:eastAsia="仿宋"/>
          <w:b w:val="0"/>
          <w:color w:val="auto"/>
          <w:spacing w:val="-4"/>
          <w:sz w:val="32"/>
          <w:szCs w:val="32"/>
          <w:highlight w:val="none"/>
          <w:lang w:eastAsia="zh-CN"/>
        </w:rPr>
        <w:t>奇台县吉布库镇达坂河牧业村牧民定居点通油工程，该项目总投入</w:t>
      </w:r>
      <w:r>
        <w:rPr>
          <w:rStyle w:val="29"/>
          <w:rFonts w:hint="eastAsia" w:ascii="仿宋" w:hAnsi="仿宋" w:eastAsia="仿宋"/>
          <w:b w:val="0"/>
          <w:spacing w:val="-4"/>
          <w:sz w:val="32"/>
          <w:szCs w:val="32"/>
          <w:highlight w:val="none"/>
          <w:lang w:val="en-US" w:eastAsia="zh-CN"/>
        </w:rPr>
        <w:t>391</w:t>
      </w:r>
      <w:r>
        <w:rPr>
          <w:rStyle w:val="29"/>
          <w:rFonts w:hint="eastAsia" w:ascii="仿宋" w:hAnsi="仿宋" w:eastAsia="仿宋"/>
          <w:b w:val="0"/>
          <w:color w:val="auto"/>
          <w:spacing w:val="-4"/>
          <w:sz w:val="32"/>
          <w:szCs w:val="32"/>
          <w:highlight w:val="none"/>
          <w:lang w:val="en-US" w:eastAsia="zh-CN"/>
        </w:rPr>
        <w:t>万元，其中县财政拨款安排250万元。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（二）项目资金实际使用情况分析</w:t>
      </w:r>
    </w:p>
    <w:p>
      <w:pPr>
        <w:spacing w:line="540" w:lineRule="exact"/>
        <w:rPr>
          <w:rStyle w:val="29"/>
          <w:rFonts w:hint="eastAsia" w:ascii="仿宋" w:hAnsi="仿宋" w:eastAsia="仿宋"/>
          <w:b w:val="0"/>
          <w:color w:val="auto"/>
          <w:spacing w:val="-4"/>
          <w:sz w:val="32"/>
          <w:szCs w:val="32"/>
          <w:highlight w:val="none"/>
          <w:lang w:val="en-US" w:eastAsia="zh-CN"/>
        </w:rPr>
      </w:pPr>
      <w:r>
        <w:rPr>
          <w:rStyle w:val="29"/>
          <w:rFonts w:hint="eastAsia" w:ascii="仿宋" w:hAnsi="仿宋" w:eastAsia="仿宋"/>
          <w:b w:val="0"/>
          <w:color w:val="auto"/>
          <w:spacing w:val="-4"/>
          <w:sz w:val="32"/>
          <w:szCs w:val="32"/>
          <w:highlight w:val="none"/>
          <w:lang w:val="en-US" w:eastAsia="zh-CN"/>
        </w:rPr>
        <w:t xml:space="preserve">     </w:t>
      </w:r>
      <w:r>
        <w:rPr>
          <w:rStyle w:val="29"/>
          <w:rFonts w:hint="eastAsia" w:ascii="仿宋" w:hAnsi="仿宋" w:eastAsia="仿宋"/>
          <w:b w:val="0"/>
          <w:color w:val="auto"/>
          <w:spacing w:val="-4"/>
          <w:sz w:val="32"/>
          <w:szCs w:val="32"/>
          <w:highlight w:val="none"/>
          <w:lang w:eastAsia="zh-CN"/>
        </w:rPr>
        <w:t>该项目资金</w:t>
      </w:r>
      <w:r>
        <w:rPr>
          <w:rStyle w:val="29"/>
          <w:rFonts w:hint="eastAsia" w:ascii="仿宋" w:hAnsi="仿宋" w:eastAsia="仿宋"/>
          <w:b w:val="0"/>
          <w:spacing w:val="-4"/>
          <w:sz w:val="32"/>
          <w:szCs w:val="32"/>
          <w:highlight w:val="none"/>
          <w:lang w:val="en-US" w:eastAsia="zh-CN"/>
        </w:rPr>
        <w:t>250</w:t>
      </w:r>
      <w:r>
        <w:rPr>
          <w:rStyle w:val="29"/>
          <w:rFonts w:hint="eastAsia" w:ascii="仿宋" w:hAnsi="仿宋" w:eastAsia="仿宋"/>
          <w:b w:val="0"/>
          <w:color w:val="auto"/>
          <w:spacing w:val="-4"/>
          <w:sz w:val="32"/>
          <w:szCs w:val="32"/>
          <w:highlight w:val="none"/>
          <w:lang w:val="en-US" w:eastAsia="zh-CN"/>
        </w:rPr>
        <w:t>万元，全部用于</w:t>
      </w:r>
      <w:r>
        <w:rPr>
          <w:rStyle w:val="29"/>
          <w:rFonts w:hint="eastAsia" w:ascii="仿宋" w:hAnsi="仿宋" w:eastAsia="仿宋"/>
          <w:b w:val="0"/>
          <w:color w:val="auto"/>
          <w:spacing w:val="-4"/>
          <w:sz w:val="32"/>
          <w:szCs w:val="32"/>
          <w:highlight w:val="none"/>
          <w:lang w:eastAsia="zh-CN"/>
        </w:rPr>
        <w:t>吉布库镇达坂河牧业村牧民定居点通油工程建设</w:t>
      </w:r>
      <w:r>
        <w:rPr>
          <w:rStyle w:val="29"/>
          <w:rFonts w:hint="eastAsia" w:ascii="仿宋" w:hAnsi="仿宋" w:eastAsia="仿宋"/>
          <w:b w:val="0"/>
          <w:color w:val="auto"/>
          <w:spacing w:val="-4"/>
          <w:sz w:val="32"/>
          <w:szCs w:val="32"/>
          <w:highlight w:val="none"/>
          <w:lang w:val="en-US" w:eastAsia="zh-CN"/>
        </w:rPr>
        <w:t>。</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（三）项目资金管理情况分析</w:t>
      </w:r>
    </w:p>
    <w:p>
      <w:pPr>
        <w:spacing w:line="540" w:lineRule="exact"/>
        <w:ind w:firstLine="624" w:firstLineChars="200"/>
        <w:rPr>
          <w:rStyle w:val="29"/>
          <w:rFonts w:hint="eastAsia" w:ascii="仿宋" w:hAnsi="仿宋" w:eastAsia="仿宋"/>
          <w:b w:val="0"/>
          <w:spacing w:val="-4"/>
          <w:sz w:val="32"/>
          <w:szCs w:val="32"/>
          <w:highlight w:val="yellow"/>
        </w:rPr>
      </w:pPr>
      <w:r>
        <w:rPr>
          <w:rStyle w:val="29"/>
          <w:rFonts w:hint="eastAsia" w:ascii="仿宋" w:hAnsi="仿宋" w:eastAsia="仿宋"/>
          <w:b w:val="0"/>
          <w:spacing w:val="-4"/>
          <w:sz w:val="32"/>
          <w:szCs w:val="32"/>
          <w:highlight w:val="none"/>
          <w:lang w:eastAsia="zh-CN"/>
        </w:rPr>
        <w:t>该项目资金管理严格按照奇台县政府投资项目资金拨付审批管理制度执行。</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三、项目组织实施情况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（一）项目组织情况分析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该项目于</w:t>
      </w:r>
      <w:r>
        <w:rPr>
          <w:rStyle w:val="29"/>
          <w:rFonts w:hint="eastAsia" w:ascii="仿宋" w:hAnsi="仿宋" w:eastAsia="仿宋"/>
          <w:b w:val="0"/>
          <w:spacing w:val="-4"/>
          <w:sz w:val="32"/>
          <w:szCs w:val="32"/>
          <w:highlight w:val="none"/>
          <w:lang w:val="en-US" w:eastAsia="zh-CN"/>
        </w:rPr>
        <w:t>2015年7月完成工程招投标工作，中标单位为：新疆昌吉建设（集团）有限责任公司，中标价3581816.89元；该项目于2015年8月13日竣工，目前已完成验收审计工作。</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（二）项目管理情况分析</w:t>
      </w:r>
    </w:p>
    <w:p>
      <w:pPr>
        <w:spacing w:line="540" w:lineRule="exact"/>
        <w:ind w:firstLine="64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该项目由新疆天正工程项目管理有限公司实施工程监理，工程完工后由建设单位、监理单位、施工单位三方进行验收，验收合格移交建设单位管理。</w:t>
      </w:r>
    </w:p>
    <w:p>
      <w:pPr>
        <w:spacing w:line="540" w:lineRule="exact"/>
        <w:ind w:firstLine="640"/>
        <w:rPr>
          <w:rStyle w:val="29"/>
          <w:rFonts w:ascii="黑体" w:hAnsi="黑体" w:eastAsia="黑体"/>
        </w:rPr>
      </w:pPr>
      <w:r>
        <w:rPr>
          <w:rStyle w:val="29"/>
          <w:rFonts w:hint="eastAsia" w:ascii="黑体" w:hAnsi="黑体" w:eastAsia="黑体"/>
          <w:b w:val="0"/>
          <w:spacing w:val="-4"/>
          <w:sz w:val="32"/>
          <w:szCs w:val="32"/>
        </w:rPr>
        <w:t>四、项目绩效情况</w:t>
      </w:r>
      <w:r>
        <w:rPr>
          <w:rStyle w:val="2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Style w:val="29"/>
          <w:rFonts w:ascii="仿宋" w:hAnsi="仿宋" w:eastAsia="仿宋"/>
          <w:b w:val="0"/>
          <w:color w:val="auto"/>
          <w:spacing w:val="-4"/>
          <w:sz w:val="32"/>
          <w:szCs w:val="32"/>
          <w:highlight w:val="none"/>
        </w:rPr>
      </w:pPr>
      <w:r>
        <w:rPr>
          <w:rStyle w:val="29"/>
          <w:rFonts w:hint="eastAsia" w:ascii="仿宋" w:hAnsi="仿宋" w:eastAsia="仿宋"/>
          <w:b w:val="0"/>
          <w:color w:val="auto"/>
          <w:spacing w:val="-4"/>
          <w:sz w:val="32"/>
          <w:szCs w:val="32"/>
          <w:highlight w:val="none"/>
          <w:lang w:eastAsia="zh-CN"/>
        </w:rPr>
        <w:t>奇台县吉布库镇达坂河牧业村牧民定居点通油工程</w:t>
      </w:r>
      <w:r>
        <w:rPr>
          <w:rStyle w:val="29"/>
          <w:rFonts w:hint="eastAsia" w:ascii="仿宋" w:hAnsi="仿宋" w:eastAsia="仿宋"/>
          <w:b w:val="0"/>
          <w:color w:val="auto"/>
          <w:spacing w:val="-4"/>
          <w:sz w:val="32"/>
          <w:szCs w:val="32"/>
          <w:highlight w:val="none"/>
          <w:lang w:val="en-US" w:eastAsia="zh-CN"/>
        </w:rPr>
        <w:t>，总长度为6.82公里，项目属于公益性建设项目，无收益。项目建设完成后为本示范村的居民出行提供了便利</w:t>
      </w:r>
      <w:r>
        <w:rPr>
          <w:rStyle w:val="29"/>
          <w:rFonts w:hint="eastAsia" w:ascii="仿宋" w:hAnsi="仿宋" w:eastAsia="仿宋"/>
          <w:b w:val="0"/>
          <w:color w:val="auto"/>
          <w:spacing w:val="-4"/>
          <w:sz w:val="32"/>
          <w:szCs w:val="32"/>
          <w:highlight w:val="none"/>
          <w:lang w:eastAsia="zh-CN"/>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该项目在实施过程中，由建设、监理方实施监管，严把工程质量，确保工程按期保质完工。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29"/>
          <w:rFonts w:hint="eastAsia" w:ascii="黑体" w:hAnsi="黑体" w:eastAsia="黑体"/>
          <w:b w:val="0"/>
          <w:spacing w:val="-4"/>
          <w:sz w:val="32"/>
          <w:szCs w:val="32"/>
        </w:rPr>
      </w:pPr>
      <w:r>
        <w:rPr>
          <w:rStyle w:val="29"/>
          <w:rFonts w:hint="eastAsia" w:ascii="黑体" w:hAnsi="黑体" w:eastAsia="黑体"/>
          <w:b w:val="0"/>
          <w:spacing w:val="-4"/>
          <w:sz w:val="32"/>
          <w:szCs w:val="32"/>
        </w:rPr>
        <w:t>项目评价工作情况</w:t>
      </w:r>
    </w:p>
    <w:p>
      <w:pPr>
        <w:numPr>
          <w:numId w:val="0"/>
        </w:numPr>
        <w:spacing w:line="540" w:lineRule="exact"/>
        <w:rPr>
          <w:rStyle w:val="29"/>
          <w:rFonts w:hint="eastAsia" w:ascii="黑体" w:hAnsi="黑体" w:eastAsia="黑体"/>
          <w:b w:val="0"/>
          <w:spacing w:val="-4"/>
          <w:sz w:val="32"/>
          <w:szCs w:val="32"/>
          <w:lang w:val="en-US" w:eastAsia="zh-CN"/>
        </w:rPr>
      </w:pPr>
      <w:r>
        <w:rPr>
          <w:rStyle w:val="29"/>
          <w:rFonts w:hint="eastAsia" w:ascii="黑体" w:hAnsi="黑体" w:eastAsia="黑体"/>
          <w:b w:val="0"/>
          <w:spacing w:val="-4"/>
          <w:sz w:val="32"/>
          <w:szCs w:val="32"/>
          <w:lang w:val="en-US" w:eastAsia="zh-CN"/>
        </w:rPr>
        <w:t xml:space="preserve">   </w:t>
      </w:r>
      <w:r>
        <w:rPr>
          <w:rStyle w:val="29"/>
          <w:rFonts w:hint="eastAsia" w:ascii="仿宋" w:hAnsi="仿宋" w:eastAsia="仿宋"/>
          <w:b w:val="0"/>
          <w:color w:val="auto"/>
          <w:spacing w:val="-4"/>
          <w:sz w:val="32"/>
          <w:szCs w:val="32"/>
          <w:highlight w:val="none"/>
          <w:lang w:val="en-US" w:eastAsia="zh-CN"/>
        </w:rPr>
        <w:t xml:space="preserve"> 该项目由奇台县发展和改革委员会奇发改【2015】607号文件下达批复建设，项目在实施过程中，由建设、监理及审计方实施监管，项目达到预期效果，资金使用合理。</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七、附表</w:t>
      </w:r>
    </w:p>
    <w:p>
      <w:pPr>
        <w:spacing w:line="540" w:lineRule="exact"/>
        <w:ind w:firstLine="567"/>
        <w:rPr>
          <w:rStyle w:val="29"/>
          <w:rFonts w:ascii="仿宋" w:hAnsi="仿宋" w:eastAsia="仿宋"/>
          <w:b w:val="0"/>
          <w:spacing w:val="-4"/>
          <w:sz w:val="32"/>
          <w:szCs w:val="32"/>
        </w:rPr>
      </w:pPr>
      <w:r>
        <w:rPr>
          <w:rStyle w:val="29"/>
          <w:rFonts w:hint="eastAsia" w:ascii="仿宋" w:hAnsi="仿宋" w:eastAsia="仿宋"/>
          <w:b w:val="0"/>
          <w:spacing w:val="-4"/>
          <w:sz w:val="32"/>
          <w:szCs w:val="32"/>
        </w:rPr>
        <w:t>《自治州财政项目支出绩效自评表》</w:t>
      </w: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2017</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奇台县吉布库镇达坂河牧业村牧民定居点通油工程</w:t>
            </w:r>
            <w:r>
              <w:rPr>
                <w:rFonts w:hint="eastAsia" w:ascii="宋体" w:hAnsi="宋体" w:cs="宋体"/>
                <w:kern w:val="0"/>
                <w:sz w:val="20"/>
                <w:szCs w:val="20"/>
                <w:lang w:val="en-US" w:eastAsia="zh-CN"/>
              </w:rPr>
              <w:t>项目</w:t>
            </w:r>
          </w:p>
        </w:tc>
      </w:tr>
      <w:tr>
        <w:trPr>
          <w:trHeight w:val="35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奇台县交通运输局</w:t>
            </w:r>
            <w:r>
              <w:rPr>
                <w:rFonts w:hint="eastAsia" w:ascii="宋体" w:hAnsi="宋体" w:cs="宋体"/>
                <w:kern w:val="0"/>
                <w:sz w:val="20"/>
                <w:szCs w:val="20"/>
              </w:rPr>
              <w:t>　</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250万元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250万元</w:t>
            </w:r>
            <w:r>
              <w:rPr>
                <w:rFonts w:hint="eastAsia" w:ascii="宋体" w:hAnsi="宋体" w:cs="宋体"/>
                <w:kern w:val="0"/>
                <w:sz w:val="20"/>
                <w:szCs w:val="20"/>
              </w:rPr>
              <w:t>　</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250万元</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250万元</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FF0000"/>
                <w:kern w:val="0"/>
                <w:sz w:val="20"/>
                <w:szCs w:val="20"/>
              </w:rPr>
            </w:pPr>
            <w:r>
              <w:rPr>
                <w:rFonts w:hint="eastAsia" w:ascii="宋体" w:hAnsi="宋体" w:cs="宋体"/>
                <w:kern w:val="0"/>
                <w:sz w:val="20"/>
                <w:szCs w:val="20"/>
              </w:rPr>
              <w:t>　</w:t>
            </w:r>
            <w:r>
              <w:rPr>
                <w:rFonts w:hint="eastAsia" w:ascii="宋体" w:hAnsi="宋体" w:cs="宋体"/>
                <w:color w:val="FF0000"/>
                <w:kern w:val="0"/>
                <w:sz w:val="20"/>
                <w:szCs w:val="20"/>
              </w:rPr>
              <w:t>　</w:t>
            </w:r>
          </w:p>
          <w:p>
            <w:pPr>
              <w:widowControl/>
              <w:jc w:val="left"/>
              <w:rPr>
                <w:rFonts w:ascii="宋体" w:hAnsi="宋体" w:cs="宋体"/>
                <w:kern w:val="0"/>
                <w:sz w:val="20"/>
                <w:szCs w:val="20"/>
              </w:rPr>
            </w:pPr>
            <w:r>
              <w:rPr>
                <w:rFonts w:hint="eastAsia" w:ascii="宋体" w:hAnsi="宋体" w:eastAsia="宋体" w:cs="宋体"/>
                <w:color w:val="auto"/>
                <w:kern w:val="0"/>
                <w:sz w:val="20"/>
                <w:szCs w:val="20"/>
                <w:lang w:eastAsia="zh-CN"/>
              </w:rPr>
              <w:t>计划完成吉布库镇达坂河牧业村牧民定居点</w:t>
            </w:r>
            <w:r>
              <w:rPr>
                <w:rFonts w:hint="eastAsia" w:ascii="宋体" w:hAnsi="宋体" w:eastAsia="宋体" w:cs="宋体"/>
                <w:color w:val="auto"/>
                <w:kern w:val="0"/>
                <w:sz w:val="20"/>
                <w:szCs w:val="20"/>
                <w:lang w:val="en-US" w:eastAsia="zh-CN"/>
              </w:rPr>
              <w:t>6.82公里道路的修建</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auto"/>
                <w:kern w:val="0"/>
                <w:sz w:val="20"/>
                <w:szCs w:val="20"/>
                <w:lang w:val="en-US" w:eastAsia="zh-CN"/>
              </w:rPr>
            </w:pP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按期</w:t>
            </w:r>
            <w:r>
              <w:rPr>
                <w:rFonts w:hint="eastAsia" w:ascii="宋体" w:hAnsi="宋体" w:eastAsia="宋体" w:cs="宋体"/>
                <w:color w:val="auto"/>
                <w:kern w:val="0"/>
                <w:sz w:val="20"/>
                <w:szCs w:val="20"/>
                <w:lang w:eastAsia="zh-CN"/>
              </w:rPr>
              <w:t>完成吉布库镇达坂河牧业村牧民定居点</w:t>
            </w:r>
            <w:r>
              <w:rPr>
                <w:rFonts w:hint="eastAsia" w:ascii="宋体" w:hAnsi="宋体" w:eastAsia="宋体" w:cs="宋体"/>
                <w:color w:val="auto"/>
                <w:kern w:val="0"/>
                <w:sz w:val="20"/>
                <w:szCs w:val="20"/>
                <w:lang w:val="en-US" w:eastAsia="zh-CN"/>
              </w:rPr>
              <w:t>6.82公里道路的修建</w:t>
            </w:r>
            <w:r>
              <w:rPr>
                <w:rFonts w:hint="eastAsia" w:ascii="宋体" w:hAnsi="宋体" w:cs="宋体"/>
                <w:color w:val="auto"/>
                <w:kern w:val="0"/>
                <w:sz w:val="20"/>
                <w:szCs w:val="20"/>
                <w:lang w:val="en-US" w:eastAsia="zh-CN"/>
              </w:rPr>
              <w:t>，完成目标100%。</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完成公里数</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color w:val="auto"/>
                <w:kern w:val="0"/>
                <w:sz w:val="20"/>
                <w:szCs w:val="20"/>
                <w:lang w:val="en-US" w:eastAsia="zh-CN"/>
              </w:rPr>
              <w:t>6.82公里</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工程合格率≥</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bl>
    <w:p>
      <w:pPr>
        <w:spacing w:line="540" w:lineRule="exact"/>
        <w:rPr>
          <w:rStyle w:val="29"/>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
    <w:altName w:val="仿宋_GB2312"/>
    <w:panose1 w:val="02010609060101010101"/>
    <w:charset w:val="86"/>
    <w:family w:val="auto"/>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1"/>
      <w:jc w:val="center"/>
    </w:pPr>
    <w:r>
      <w:fldChar w:fldCharType="begin"/>
    </w:r>
    <w:r>
      <w:instrText xml:space="preserve">PAGE   \* MERGEFORMAT</w:instrText>
    </w:r>
    <w:r>
      <w:fldChar w:fldCharType="separate"/>
    </w:r>
    <w:r>
      <w:rPr>
        <w:lang w:val="zh-CN"/>
      </w:rPr>
      <w:t>4</w:t>
    </w:r>
    <w:r>
      <w:fldChar w:fldCharType="end"/>
    </w:r>
  </w:p>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6">
    <w:nsid w:val="00000006"/>
    <w:multiLevelType w:val="singleLevel"/>
    <w:tmpl w:val="00000006"/>
    <w:lvl w:ilvl="0" w:tentative="1">
      <w:start w:val="6"/>
      <w:numFmt w:val="chineseCounting"/>
      <w:suff w:val="nothing"/>
      <w:lvlText w:val="%1、"/>
      <w:lvlJc w:val="left"/>
    </w:lvl>
  </w:abstractNum>
  <w:num w:numId="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footer"/>
    <w:basedOn w:val="1"/>
    <w:link w:val="22"/>
    <w:pPr>
      <w:tabs>
        <w:tab w:val="center" w:pos="4153"/>
        <w:tab w:val="right" w:pos="8306"/>
      </w:tabs>
      <w:snapToGrid w:val="0"/>
      <w:jc w:val="left"/>
    </w:pPr>
    <w:rPr>
      <w:rFonts w:ascii="Calibri" w:hAnsi="Calibri" w:eastAsia="宋体"/>
      <w:kern w:val="2"/>
      <w:sz w:val="18"/>
      <w:szCs w:val="18"/>
    </w:rPr>
  </w:style>
  <w:style w:type="character" w:customStyle="1" w:styleId="22">
    <w:name w:val="页脚 Char"/>
    <w:basedOn w:val="4"/>
    <w:link w:val="21"/>
    <w:semiHidden/>
    <w:rPr>
      <w:rFonts w:ascii="Calibri" w:hAnsi="Calibri" w:eastAsia="宋体"/>
      <w:kern w:val="2"/>
      <w:sz w:val="18"/>
      <w:szCs w:val="18"/>
    </w:rPr>
  </w:style>
  <w:style w:type="paragraph" w:styleId="23">
    <w:name w:val="header"/>
    <w:basedOn w:val="1"/>
    <w:link w:val="24"/>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4">
    <w:name w:val="页眉 Char"/>
    <w:basedOn w:val="4"/>
    <w:link w:val="23"/>
    <w:semiHidden/>
    <w:rPr>
      <w:rFonts w:ascii="Calibri" w:hAnsi="Calibri" w:eastAsia="宋体"/>
      <w:kern w:val="2"/>
      <w:sz w:val="18"/>
      <w:szCs w:val="18"/>
    </w:rPr>
  </w:style>
  <w:style w:type="paragraph" w:styleId="25">
    <w:name w:val="Subtitle"/>
    <w:basedOn w:val="1"/>
    <w:next w:val="1"/>
    <w:link w:val="26"/>
    <w:pPr>
      <w:widowControl/>
      <w:spacing w:after="60"/>
      <w:jc w:val="center"/>
      <w:outlineLvl w:val="1"/>
    </w:pPr>
    <w:rPr>
      <w:rFonts w:ascii="Cambria" w:hAnsi="Cambria" w:eastAsia="宋体"/>
      <w:sz w:val="24"/>
      <w:szCs w:val="24"/>
    </w:rPr>
  </w:style>
  <w:style w:type="character" w:customStyle="1" w:styleId="26">
    <w:name w:val="副标题 Char"/>
    <w:basedOn w:val="4"/>
    <w:link w:val="25"/>
    <w:semiHidden/>
    <w:rPr>
      <w:rFonts w:ascii="Cambria" w:hAnsi="Cambria" w:eastAsia="宋体"/>
      <w:sz w:val="24"/>
      <w:szCs w:val="24"/>
    </w:rPr>
  </w:style>
  <w:style w:type="paragraph" w:styleId="27">
    <w:name w:val="Title"/>
    <w:basedOn w:val="1"/>
    <w:next w:val="1"/>
    <w:link w:val="28"/>
    <w:pPr>
      <w:widowControl/>
      <w:spacing w:before="240" w:after="60"/>
      <w:jc w:val="center"/>
      <w:outlineLvl w:val="0"/>
    </w:pPr>
    <w:rPr>
      <w:rFonts w:ascii="Cambria" w:hAnsi="Cambria" w:eastAsia="宋体"/>
      <w:b/>
      <w:bCs/>
      <w:kern w:val="28"/>
      <w:sz w:val="32"/>
      <w:szCs w:val="32"/>
    </w:rPr>
  </w:style>
  <w:style w:type="character" w:customStyle="1" w:styleId="28">
    <w:name w:val="标题 Char"/>
    <w:basedOn w:val="4"/>
    <w:link w:val="27"/>
    <w:semiHidden/>
    <w:rPr>
      <w:rFonts w:ascii="Cambria" w:hAnsi="Cambria" w:eastAsia="宋体"/>
      <w:b/>
      <w:bCs/>
      <w:kern w:val="28"/>
      <w:sz w:val="32"/>
      <w:szCs w:val="32"/>
    </w:rPr>
  </w:style>
  <w:style w:type="character" w:styleId="29">
    <w:name w:val="Strong"/>
    <w:basedOn w:val="4"/>
    <w:rPr>
      <w:b/>
      <w:bCs/>
    </w:rPr>
  </w:style>
  <w:style w:type="character" w:styleId="30">
    <w:name w:val="Emphasis"/>
    <w:basedOn w:val="4"/>
    <w:rPr>
      <w:rFonts w:ascii="Calibri" w:hAnsi="Calibri"/>
      <w:b/>
      <w:i/>
      <w:iCs/>
    </w:rPr>
  </w:style>
  <w:style w:type="paragraph" w:customStyle="1" w:styleId="31">
    <w:name w:val="批注框文本 Char Char"/>
    <w:basedOn w:val="1"/>
    <w:link w:val="37"/>
    <w:rPr>
      <w:rFonts w:ascii="Times New Roman" w:hAnsi="Times New Roman" w:eastAsia="宋体"/>
      <w:kern w:val="2"/>
      <w:sz w:val="18"/>
      <w:szCs w:val="18"/>
    </w:rPr>
  </w:style>
  <w:style w:type="paragraph" w:customStyle="1" w:styleId="32">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3">
    <w:name w:val="List Paragraph"/>
    <w:basedOn w:val="1"/>
    <w:pPr>
      <w:widowControl/>
      <w:ind w:left="720"/>
      <w:contextualSpacing/>
      <w:jc w:val="left"/>
    </w:pPr>
    <w:rPr>
      <w:rFonts w:ascii="Calibri" w:hAnsi="Calibri" w:eastAsia="宋体"/>
      <w:kern w:val="0"/>
      <w:sz w:val="24"/>
      <w:lang w:eastAsia="en-US" w:bidi="en-US"/>
    </w:rPr>
  </w:style>
  <w:style w:type="paragraph" w:customStyle="1" w:styleId="34">
    <w:name w:val="Quote"/>
    <w:basedOn w:val="1"/>
    <w:next w:val="1"/>
    <w:link w:val="38"/>
    <w:pPr>
      <w:widowControl/>
      <w:jc w:val="left"/>
    </w:pPr>
    <w:rPr>
      <w:i/>
      <w:sz w:val="24"/>
      <w:szCs w:val="24"/>
    </w:rPr>
  </w:style>
  <w:style w:type="paragraph" w:customStyle="1" w:styleId="35">
    <w:name w:val="Intense Quote"/>
    <w:basedOn w:val="1"/>
    <w:next w:val="1"/>
    <w:link w:val="39"/>
    <w:pPr>
      <w:widowControl/>
      <w:ind w:left="720" w:right="720"/>
      <w:jc w:val="left"/>
    </w:pPr>
    <w:rPr>
      <w:b/>
      <w:i/>
      <w:sz w:val="24"/>
    </w:rPr>
  </w:style>
  <w:style w:type="paragraph" w:customStyle="1" w:styleId="36">
    <w:name w:val="TOC Heading"/>
    <w:basedOn w:val="2"/>
    <w:next w:val="1"/>
    <w:pPr>
      <w:outlineLvl w:val="9"/>
    </w:pPr>
    <w:rPr>
      <w:lang w:eastAsia="en-US" w:bidi="en-US"/>
    </w:rPr>
  </w:style>
  <w:style w:type="character" w:customStyle="1" w:styleId="37">
    <w:name w:val="批注框文本 Char Char Char Char"/>
    <w:basedOn w:val="4"/>
    <w:link w:val="31"/>
    <w:semiHidden/>
    <w:rPr>
      <w:rFonts w:ascii="Times New Roman" w:hAnsi="Times New Roman" w:eastAsia="宋体"/>
      <w:kern w:val="2"/>
      <w:sz w:val="18"/>
      <w:szCs w:val="18"/>
    </w:rPr>
  </w:style>
  <w:style w:type="character" w:customStyle="1" w:styleId="38">
    <w:name w:val="引用 Char"/>
    <w:basedOn w:val="4"/>
    <w:link w:val="34"/>
    <w:semiHidden/>
    <w:rPr>
      <w:i/>
      <w:sz w:val="24"/>
      <w:szCs w:val="24"/>
    </w:rPr>
  </w:style>
  <w:style w:type="character" w:customStyle="1" w:styleId="39">
    <w:name w:val="明显引用 Char"/>
    <w:basedOn w:val="4"/>
    <w:link w:val="35"/>
    <w:semiHidden/>
    <w:rPr>
      <w:b/>
      <w:i/>
      <w:sz w:val="24"/>
    </w:rPr>
  </w:style>
  <w:style w:type="character" w:customStyle="1" w:styleId="40">
    <w:name w:val="Subtle Emphasis"/>
    <w:rPr>
      <w:i/>
      <w:color w:val="565656"/>
    </w:rPr>
  </w:style>
  <w:style w:type="character" w:customStyle="1" w:styleId="41">
    <w:name w:val="Intense Emphasis"/>
    <w:basedOn w:val="4"/>
    <w:rPr>
      <w:b/>
      <w:i/>
      <w:sz w:val="24"/>
      <w:szCs w:val="24"/>
      <w:u w:val="single"/>
    </w:rPr>
  </w:style>
  <w:style w:type="character" w:customStyle="1" w:styleId="42">
    <w:name w:val="Subtle Reference"/>
    <w:basedOn w:val="4"/>
    <w:rPr>
      <w:sz w:val="24"/>
      <w:szCs w:val="24"/>
      <w:u w:val="single"/>
    </w:rPr>
  </w:style>
  <w:style w:type="character" w:customStyle="1" w:styleId="43">
    <w:name w:val="Intense Reference"/>
    <w:basedOn w:val="4"/>
    <w:rPr>
      <w:b/>
      <w:sz w:val="24"/>
      <w:u w:val="single"/>
    </w:rPr>
  </w:style>
  <w:style w:type="character" w:customStyle="1" w:styleId="44">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2018-08-16T18:06:00Z</dcterms:created>
  <dc:creator>赵 恺（预算处）</dc:creator>
  <cp:lastPrinted>2019-01-15T04:20:00Z</cp:lastPrinted>
  <dcterms:modified xsi:type="dcterms:W3CDTF">2019-01-24T12:37:02Z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