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城乡居民基本养老保险补助基金项目支出</w:t>
      </w:r>
    </w:p>
    <w:p>
      <w:pPr>
        <w:ind w:firstLine="803"/>
        <w:jc w:val="center"/>
        <w:rPr>
          <w:b/>
          <w:bCs/>
          <w:sz w:val="40"/>
          <w:szCs w:val="40"/>
        </w:rPr>
      </w:pPr>
      <w:r>
        <w:rPr>
          <w:rFonts w:hint="eastAsia"/>
          <w:b/>
          <w:bCs/>
          <w:sz w:val="40"/>
          <w:szCs w:val="40"/>
        </w:rPr>
        <w:t>绩效评价报告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项目名称：城乡居民基本养老保险补助基金</w:t>
      </w:r>
    </w:p>
    <w:p>
      <w:pPr>
        <w:ind w:firstLine="562"/>
        <w:rPr>
          <w:b/>
        </w:rPr>
      </w:pPr>
      <w:r>
        <w:rPr>
          <w:rFonts w:hint="eastAsia"/>
          <w:b/>
        </w:rPr>
        <w:t>实施单位：奇台县社会保险管理局</w:t>
      </w:r>
    </w:p>
    <w:p>
      <w:pPr>
        <w:ind w:firstLine="562"/>
        <w:rPr>
          <w:b/>
        </w:rPr>
      </w:pPr>
      <w:r>
        <w:rPr>
          <w:rFonts w:hint="eastAsia"/>
          <w:b/>
        </w:rPr>
        <w:t>主管部门：奇台县社会保险管理局</w:t>
      </w:r>
    </w:p>
    <w:p>
      <w:pPr>
        <w:pStyle w:val="2"/>
        <w:ind w:firstLine="562"/>
        <w:rPr>
          <w:rFonts w:ascii="宋体" w:hAnsi="宋体" w:cs="宋体"/>
          <w:sz w:val="28"/>
          <w:szCs w:val="28"/>
        </w:rPr>
      </w:pPr>
    </w:p>
    <w:p>
      <w:pPr>
        <w:ind w:firstLine="560"/>
        <w:sectPr>
          <w:pgSz w:w="11906" w:h="16838"/>
          <w:pgMar w:top="1928" w:right="1531" w:bottom="1701" w:left="1531" w:header="737" w:footer="851" w:gutter="0"/>
          <w:cols w:space="720" w:num="1"/>
          <w:docGrid w:type="lines" w:linePitch="408" w:charSpace="0"/>
        </w:sectPr>
      </w:pPr>
    </w:p>
    <w:p>
      <w:pPr>
        <w:ind w:firstLine="803"/>
        <w:jc w:val="center"/>
        <w:rPr>
          <w:b/>
          <w:bCs/>
          <w:sz w:val="36"/>
          <w:szCs w:val="36"/>
        </w:rPr>
      </w:pPr>
      <w:r>
        <w:rPr>
          <w:rFonts w:hint="eastAsia"/>
          <w:b/>
          <w:bCs/>
          <w:sz w:val="40"/>
          <w:szCs w:val="40"/>
        </w:rPr>
        <w:t>城乡居民基本养老保险补助</w:t>
      </w:r>
      <w:r>
        <w:rPr>
          <w:rFonts w:hint="eastAsia"/>
          <w:b/>
          <w:bCs/>
          <w:sz w:val="36"/>
          <w:szCs w:val="36"/>
        </w:rPr>
        <w:t>项目基金支出</w:t>
      </w:r>
    </w:p>
    <w:p>
      <w:pPr>
        <w:jc w:val="center"/>
        <w:rPr>
          <w:b/>
          <w:bCs/>
        </w:rPr>
      </w:pPr>
      <w:r>
        <w:rPr>
          <w:rFonts w:hint="eastAsia"/>
          <w:b/>
          <w:bCs/>
          <w:sz w:val="36"/>
          <w:szCs w:val="36"/>
        </w:rPr>
        <w:t>绩效评价报告</w:t>
      </w:r>
    </w:p>
    <w:p>
      <w:pPr>
        <w:pStyle w:val="3"/>
        <w:spacing w:line="360" w:lineRule="auto"/>
        <w:ind w:firstLine="643"/>
        <w:rPr>
          <w:rFonts w:ascii="宋体" w:hAnsi="宋体" w:eastAsia="宋体"/>
          <w:b/>
          <w:bCs/>
        </w:rPr>
      </w:pPr>
      <w:r>
        <w:rPr>
          <w:rFonts w:hint="eastAsia" w:ascii="宋体" w:hAnsi="宋体" w:eastAsia="宋体"/>
          <w:b/>
          <w:bCs/>
        </w:rPr>
        <w:t>一、基本情况</w:t>
      </w:r>
    </w:p>
    <w:p>
      <w:pPr>
        <w:pStyle w:val="4"/>
        <w:spacing w:line="360" w:lineRule="auto"/>
        <w:ind w:firstLine="643"/>
        <w:rPr>
          <w:rFonts w:ascii="宋体" w:hAnsi="宋体" w:eastAsia="宋体"/>
        </w:rPr>
      </w:pPr>
      <w:r>
        <w:rPr>
          <w:rFonts w:hint="eastAsia" w:ascii="宋体" w:hAnsi="宋体" w:eastAsia="宋体"/>
        </w:rPr>
        <w:t>（一）项目概况</w:t>
      </w:r>
    </w:p>
    <w:p>
      <w:pPr>
        <w:pStyle w:val="5"/>
        <w:spacing w:line="360" w:lineRule="auto"/>
        <w:ind w:firstLine="562"/>
        <w:rPr>
          <w:rFonts w:ascii="宋体" w:hAnsi="宋体" w:eastAsia="宋体"/>
        </w:rPr>
      </w:pPr>
      <w:r>
        <w:rPr>
          <w:rFonts w:hint="eastAsia" w:ascii="宋体" w:hAnsi="宋体" w:eastAsia="宋体"/>
        </w:rPr>
        <w:t>1.项目背景</w:t>
      </w:r>
    </w:p>
    <w:p>
      <w:pPr>
        <w:ind w:firstLine="560"/>
      </w:pPr>
      <w:r>
        <w:rPr>
          <w:rFonts w:hint="eastAsia"/>
        </w:rPr>
        <w:t>按照加快建立覆盖城乡居民的社会保障体系要求，要逐步解决农村居民和城镇无养老保障居民老有所养的问题。我县于2009年和2011年分别启动了新型农村养老保险和城镇居民社会养老保险两项制度试点工作。2014年6月1日起，按照《国务院关于建立统一的城乡居民基本养老保险制度的意见》（国发〔2014〕8号）文件的要求，我县将两项制度合并实施，建立起全县统一的城乡居民基本养老保险制度。</w:t>
      </w:r>
    </w:p>
    <w:p>
      <w:pPr>
        <w:pStyle w:val="5"/>
        <w:spacing w:line="360" w:lineRule="auto"/>
        <w:ind w:firstLine="562"/>
        <w:rPr>
          <w:rFonts w:ascii="宋体" w:hAnsi="宋体" w:eastAsia="宋体"/>
        </w:rPr>
      </w:pPr>
      <w:r>
        <w:rPr>
          <w:rFonts w:hint="eastAsia" w:ascii="宋体" w:hAnsi="宋体" w:eastAsia="宋体"/>
        </w:rPr>
        <w:t>2.主要内容及实施情况</w:t>
      </w:r>
    </w:p>
    <w:p>
      <w:pPr>
        <w:ind w:firstLine="560"/>
      </w:pPr>
      <w:r>
        <w:rPr>
          <w:rFonts w:hint="eastAsia"/>
        </w:rPr>
        <w:t>主要内容：城乡居民基本养老保险按照“保基本、广覆盖、有弹性、可持续”的方针，全面推进和不断完善覆盖全体城乡居民的基本养老保险制度，坚持和完善社会统筹和个人账户相结合的制度模式，巩固和拓宽个人缴费、集体缴费、政府补贴相结合的资金筹集渠道。我县城乡居民养老保险基金属于县级统筹资金。</w:t>
      </w:r>
    </w:p>
    <w:p>
      <w:pPr>
        <w:ind w:firstLine="560"/>
      </w:pPr>
      <w:r>
        <w:rPr>
          <w:rFonts w:hint="eastAsia"/>
        </w:rPr>
        <w:t>组织实施：根据昌州财社【2021】95号、昌州财社【2021】96号文件精神要求，奇台县社会保险管理局领导高度重视，安排专人负责落实，由城乡居民养老科室工作人员负责将待遇补助金补助资金核定到享受待遇人员个人工资构成中，由基金财务管理科工作人员负责按月发放到人。</w:t>
      </w: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城乡居民基本养老保险补助基金项目预算安排总额为3324万元，其中财政资金3324万元，其他资金0万元，2022年实际收到预算资金3324万元，预算资金到位率为100%。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城乡居民基本养老保险补助基金项目实际支付资金3324万元，预算执行率100%。结转结余资金0万元，已上缴国库。项目资金主要用于2022年我县城乡居民基本养老保险享受待遇人员25243人的基础养老金支出的补助。</w:t>
      </w:r>
    </w:p>
    <w:p>
      <w:pPr>
        <w:pStyle w:val="4"/>
        <w:numPr>
          <w:ilvl w:val="0"/>
          <w:numId w:val="1"/>
        </w:numPr>
        <w:spacing w:line="360" w:lineRule="auto"/>
        <w:ind w:firstLine="643"/>
        <w:rPr>
          <w:rFonts w:ascii="宋体" w:hAnsi="宋体" w:eastAsia="宋体"/>
        </w:rPr>
      </w:pPr>
      <w:r>
        <w:rPr>
          <w:rFonts w:hint="eastAsia" w:ascii="宋体" w:hAnsi="宋体" w:eastAsia="宋体"/>
        </w:rPr>
        <w:t>项目绩效目标</w:t>
      </w:r>
    </w:p>
    <w:p>
      <w:pPr>
        <w:pStyle w:val="5"/>
        <w:spacing w:line="360" w:lineRule="auto"/>
        <w:ind w:firstLine="562"/>
        <w:rPr>
          <w:rFonts w:ascii="宋体" w:hAnsi="宋体" w:eastAsia="宋体"/>
        </w:rPr>
      </w:pPr>
      <w:r>
        <w:rPr>
          <w:rFonts w:hint="eastAsia" w:ascii="宋体" w:hAnsi="宋体" w:eastAsia="宋体"/>
        </w:rPr>
        <w:t>1.总体目标</w:t>
      </w:r>
    </w:p>
    <w:p>
      <w:pPr>
        <w:ind w:firstLine="560"/>
      </w:pPr>
      <w:r>
        <w:rPr>
          <w:rFonts w:hint="eastAsia"/>
        </w:rPr>
        <w:t>2022年，我县城乡居民基本养老保险目标任务为:符合条件的城乡老年居民按时发放率、足额发放率均为100%，城乡居民享受待遇人员生存认证率达到100%，城乡居民养老保险政策宣传普及率达到95%，基础养老金发放到位率达到100%，享受城乡居民养老待遇人员满意度达到95%。</w:t>
      </w:r>
    </w:p>
    <w:p>
      <w:pPr>
        <w:pStyle w:val="5"/>
        <w:spacing w:line="360" w:lineRule="auto"/>
        <w:ind w:firstLine="562"/>
        <w:rPr>
          <w:rFonts w:ascii="宋体" w:hAnsi="宋体" w:eastAsia="宋体"/>
        </w:rPr>
      </w:pPr>
      <w:r>
        <w:rPr>
          <w:rFonts w:hint="eastAsia" w:ascii="宋体" w:hAnsi="宋体" w:eastAsia="宋体"/>
        </w:rPr>
        <w:t>2.阶段性目标</w:t>
      </w:r>
    </w:p>
    <w:p>
      <w:pPr>
        <w:ind w:firstLine="560"/>
        <w:rPr>
          <w:b/>
          <w:bCs/>
          <w:kern w:val="0"/>
          <w:szCs w:val="32"/>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“符合条件的城乡老年居民按时发放率”指标，预期指标值为=100%；</w:t>
      </w:r>
    </w:p>
    <w:p>
      <w:pPr>
        <w:pStyle w:val="2"/>
        <w:ind w:firstLine="560"/>
        <w:rPr>
          <w:rFonts w:ascii="宋体" w:hAnsi="宋体" w:cs="宋体"/>
          <w:b w:val="0"/>
          <w:bCs w:val="0"/>
          <w:sz w:val="28"/>
          <w:szCs w:val="28"/>
        </w:rPr>
      </w:pPr>
      <w:r>
        <w:rPr>
          <w:rFonts w:hint="eastAsia" w:ascii="宋体" w:hAnsi="宋体" w:cs="宋体"/>
          <w:b w:val="0"/>
          <w:bCs w:val="0"/>
          <w:sz w:val="28"/>
          <w:szCs w:val="28"/>
        </w:rPr>
        <w:t>“符合条件的城乡老年居民足额发放率”指标，预期指标值为=100%；</w:t>
      </w:r>
    </w:p>
    <w:p>
      <w:pPr>
        <w:ind w:firstLine="560"/>
      </w:pPr>
      <w:r>
        <w:rPr>
          <w:rFonts w:hint="eastAsia"/>
        </w:rPr>
        <w:t>②质量指标</w:t>
      </w:r>
    </w:p>
    <w:p>
      <w:pPr>
        <w:ind w:firstLine="560"/>
      </w:pPr>
      <w:r>
        <w:rPr>
          <w:rFonts w:hint="eastAsia"/>
        </w:rPr>
        <w:t>“基础养老金标准”指标，预期指标值为=160元/人/月；</w:t>
      </w:r>
    </w:p>
    <w:p>
      <w:pPr>
        <w:pStyle w:val="2"/>
        <w:ind w:firstLine="560"/>
        <w:rPr>
          <w:rFonts w:ascii="宋体" w:hAnsi="宋体" w:cs="宋体"/>
          <w:b w:val="0"/>
          <w:bCs w:val="0"/>
          <w:sz w:val="28"/>
          <w:szCs w:val="28"/>
        </w:rPr>
      </w:pPr>
      <w:r>
        <w:rPr>
          <w:rFonts w:hint="eastAsia" w:ascii="宋体" w:hAnsi="宋体" w:cs="宋体"/>
          <w:b w:val="0"/>
          <w:bCs w:val="0"/>
          <w:sz w:val="28"/>
          <w:szCs w:val="28"/>
        </w:rPr>
        <w:t>“城乡居民享受待遇人员生存认证率”指标，预期指标值为=100%；</w:t>
      </w:r>
    </w:p>
    <w:p>
      <w:pPr>
        <w:ind w:firstLine="560"/>
      </w:pPr>
      <w:r>
        <w:rPr>
          <w:rFonts w:hint="eastAsia"/>
        </w:rPr>
        <w:t>“城乡居民养老保险政策宣传普及率”指标，预期指标值为</w:t>
      </w:r>
      <w:r>
        <w:rPr>
          <w:rFonts w:ascii="Arial" w:hAnsi="Arial" w:cs="Arial"/>
        </w:rPr>
        <w:t>≥</w:t>
      </w:r>
      <w:r>
        <w:rPr>
          <w:rFonts w:hint="eastAsia"/>
        </w:rPr>
        <w:t>90%；</w:t>
      </w:r>
    </w:p>
    <w:p>
      <w:pPr>
        <w:ind w:firstLine="560"/>
      </w:pPr>
      <w:r>
        <w:rPr>
          <w:rFonts w:hint="eastAsia"/>
        </w:rPr>
        <w:t>③时效指标</w:t>
      </w:r>
    </w:p>
    <w:p>
      <w:pPr>
        <w:ind w:firstLine="560"/>
      </w:pPr>
      <w:r>
        <w:rPr>
          <w:rFonts w:hint="eastAsia"/>
        </w:rPr>
        <w:t>“在规定时限内拨付符合城乡老年居民待遇资金率”指标，预期指标值为=100%；</w:t>
      </w:r>
    </w:p>
    <w:p>
      <w:pPr>
        <w:ind w:firstLine="560"/>
      </w:pPr>
      <w:r>
        <w:rPr>
          <w:rFonts w:hint="eastAsia"/>
        </w:rPr>
        <w:t>“基础养老金发放到位率”指标，预期指标值为=100%；</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“对实现社会稳定长治久安总目标的作用”指标，预期指标值为持续推动；</w:t>
      </w:r>
    </w:p>
    <w:p>
      <w:pPr>
        <w:ind w:firstLine="560"/>
      </w:pPr>
      <w:r>
        <w:rPr>
          <w:rFonts w:hint="eastAsia"/>
        </w:rPr>
        <w:t>③生态效益指标</w:t>
      </w:r>
    </w:p>
    <w:p>
      <w:pPr>
        <w:ind w:firstLine="560"/>
      </w:pPr>
      <w:r>
        <w:rPr>
          <w:rFonts w:hint="eastAsia"/>
        </w:rPr>
        <w:t>本项目不存在生态效益；</w:t>
      </w:r>
    </w:p>
    <w:p>
      <w:pPr>
        <w:ind w:firstLine="560"/>
      </w:pPr>
      <w:r>
        <w:rPr>
          <w:rFonts w:hint="eastAsia"/>
        </w:rPr>
        <w:t>④可持续影响</w:t>
      </w:r>
    </w:p>
    <w:p>
      <w:pPr>
        <w:ind w:firstLine="560"/>
      </w:pPr>
      <w:r>
        <w:rPr>
          <w:rFonts w:hint="eastAsia"/>
        </w:rPr>
        <w:t>“对城乡居民养老保险制度可持续发展”指标，预期指标值为有效推动；</w:t>
      </w:r>
    </w:p>
    <w:p>
      <w:pPr>
        <w:ind w:firstLine="560"/>
      </w:pPr>
      <w:r>
        <w:rPr>
          <w:rFonts w:hint="eastAsia"/>
        </w:rPr>
        <w:t>⑤满意度指标</w:t>
      </w:r>
    </w:p>
    <w:p>
      <w:pPr>
        <w:ind w:firstLine="560"/>
      </w:pPr>
      <w:r>
        <w:rPr>
          <w:rFonts w:hint="eastAsia"/>
        </w:rPr>
        <w:t>“享受城乡居民养老待遇人员满意度”指标，预期指标值为</w:t>
      </w:r>
      <w:r>
        <w:rPr>
          <w:rFonts w:ascii="Arial" w:hAnsi="Arial" w:cs="Arial"/>
        </w:rPr>
        <w:t>≥</w:t>
      </w:r>
      <w:r>
        <w:rPr>
          <w:rFonts w:hint="eastAsia"/>
        </w:rPr>
        <w:t>93%。</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22169_WPSOffice_Level2"/>
      <w:bookmarkStart w:id="1" w:name="_Toc22922"/>
      <w:bookmarkStart w:id="2" w:name="_Toc480473081"/>
      <w:bookmarkStart w:id="3" w:name="_Toc5258"/>
      <w:bookmarkStart w:id="4" w:name="_Toc5462343"/>
      <w:bookmarkStart w:id="5" w:name="_Toc26632"/>
      <w:bookmarkStart w:id="6" w:name="_Toc12868"/>
      <w:bookmarkStart w:id="7" w:name="_Toc21664"/>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此次我单位根据《财政支出绩效评价管理暂行办法》（财预〔2020〕10号）文件要求对2022年度我单位实施的城乡居民基本养老保险补助基金项目开展部门绩效评价。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城乡居民基本养老保险补助基金项目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419984722"/>
      <w:bookmarkStart w:id="9" w:name="_Toc428278230"/>
      <w:bookmarkStart w:id="10" w:name="_Toc1913"/>
      <w:bookmarkStart w:id="11" w:name="_Toc26131"/>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rPr>
          <w:b/>
          <w:bCs/>
          <w:lang w:val="zh-TW" w:eastAsia="zh-TW"/>
        </w:rPr>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10"/>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本次绩效评价采用的方法比较法、因素分析法、公众评判法对项目绩效目标预期指标值与实施情况进行比较，以及采取公众问卷及抽样调查等方式进行评判的方法对城乡居民基本养老保险补助基金项目进行评价。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城乡居民基本养老保险补助基金项目实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rPr>
        <w:t>城乡居民基本养老保险补助基金项目</w:t>
      </w:r>
      <w:r>
        <w:rPr>
          <w:rFonts w:hint="eastAsia"/>
          <w:lang w:val="zh-TW" w:eastAsia="zh-TW"/>
        </w:rPr>
        <w:t>绩效进行客观评价，最终评分结果：总分为</w:t>
      </w:r>
      <w:r>
        <w:rPr>
          <w:rFonts w:hint="eastAsia"/>
        </w:rPr>
        <w:t>99.4</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10"/>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表3-1：城乡居民基本养老保险补助基金项目得分表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99.4</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99.4%</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项目决策由3个二级指标和6个三级指标构成，权重分20分，实际得分19.4分，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10"/>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2.4</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19.4</w:t>
            </w:r>
          </w:p>
        </w:tc>
      </w:tr>
    </w:tbl>
    <w:p>
      <w:pPr>
        <w:ind w:firstLine="0" w:firstLineChars="0"/>
        <w:rPr>
          <w:b/>
          <w:bCs/>
        </w:rPr>
      </w:pPr>
    </w:p>
    <w:p>
      <w:pPr>
        <w:ind w:firstLine="562"/>
        <w:rPr>
          <w:b/>
          <w:bCs/>
        </w:rPr>
      </w:pPr>
      <w:r>
        <w:rPr>
          <w:rFonts w:hint="eastAsia"/>
          <w:b/>
          <w:bCs/>
        </w:rPr>
        <w:t>1.立项依据充分性</w:t>
      </w:r>
    </w:p>
    <w:p>
      <w:pPr>
        <w:ind w:firstLine="560"/>
      </w:pPr>
      <w:r>
        <w:rPr>
          <w:rFonts w:hint="eastAsia"/>
        </w:rPr>
        <w:t>①依据《人力资源社会保障部 财政部关于印发&lt;城乡养老保险保险制度衔接暂行办法&gt;的通知》（人社部发[2014]17号）；《人力资源社会保障部 关于建立城乡居民基本养老保险待遇确定和基础养老金正常调整机制的指导意见》（人社部发[2018]21号）文件精神，该项目资金用途为：中央、自治区对享受城乡居民基本养老保险待遇人员的基础型养老金给予3324万元补助。</w:t>
      </w:r>
    </w:p>
    <w:p>
      <w:pPr>
        <w:ind w:firstLine="560"/>
      </w:pPr>
      <w:r>
        <w:rPr>
          <w:rFonts w:hint="eastAsia"/>
        </w:rPr>
        <w:t>②项目立项符合行业发展规划和政策要求；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③事前经过必要的绩效评估、集体决策，但未经过必要的可行性研究、专家论证、风险评估。</w:t>
      </w:r>
    </w:p>
    <w:p>
      <w:pPr>
        <w:ind w:firstLine="562"/>
      </w:pPr>
      <w:r>
        <w:rPr>
          <w:rFonts w:hint="eastAsia"/>
          <w:b/>
          <w:bCs/>
        </w:rPr>
        <w:t>综上，该项指标满分3分，得分2.4分。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19</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10"/>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资金到位率=（3324/3324）×100%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预算执行率=（3324/3324）×100%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①关于提前下达2022年中央财政城乡居民基本养老保险补助资金的通知》（昌州财社〔2021〕56号）；</w:t>
      </w:r>
    </w:p>
    <w:p>
      <w:pPr>
        <w:ind w:firstLine="560"/>
      </w:pPr>
      <w:r>
        <w:rPr>
          <w:rFonts w:hint="eastAsia"/>
        </w:rPr>
        <w:t>②《关于提前下达2022年自治区财政城乡居民基本养老保险补助资金的通知》（昌州财社〔2021〕69号）；</w:t>
      </w:r>
    </w:p>
    <w:p>
      <w:pPr>
        <w:ind w:firstLine="560"/>
      </w:pPr>
      <w:r>
        <w:rPr>
          <w:rFonts w:hint="eastAsia"/>
        </w:rPr>
        <w:t>③已制定《奇台县社会保险管理局预算管理内部控制制度》、《奇台县社会保险管理局收支管理内部控制制度》、《奇台县社会保险管理局货币资金管理制度》、《奇台县社会保险管理局城乡居民养老科职责》《奇台县社会保险管理局基金财务科职责》《奇台县社会保险管理局养老保险待遇管理科职责》《奇台县社会保险管理局稽核科职责》；</w:t>
      </w:r>
    </w:p>
    <w:p>
      <w:pPr>
        <w:ind w:firstLine="560"/>
      </w:pPr>
      <w:r>
        <w:rPr>
          <w:rFonts w:hint="eastAsia"/>
        </w:rPr>
        <w:t>④财务和业务管理制度合法、合规、完整。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①严格遵守相关法律法规和相关管理规定；</w:t>
      </w:r>
    </w:p>
    <w:p>
      <w:pPr>
        <w:ind w:firstLine="560"/>
      </w:pPr>
      <w:r>
        <w:rPr>
          <w:rFonts w:hint="eastAsia"/>
        </w:rPr>
        <w:t>②项目调整及支出调整手续完备；</w:t>
      </w:r>
    </w:p>
    <w:p>
      <w:pPr>
        <w:ind w:firstLine="560"/>
      </w:pPr>
      <w:r>
        <w:rPr>
          <w:rFonts w:hint="eastAsia"/>
        </w:rPr>
        <w:t>③本项目无需项目合同书、验收报告、技术鉴定等资料；</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7</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4-3</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10"/>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符合条件的城乡老年居民按时发放率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符合条件的城乡老年居民足额发放率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基础养老金标准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=160元/人/月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=160元/人/月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城乡居民享受待遇人员生存认证率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城乡居民养老保险政策宣传普及率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rFonts w:ascii="Arial" w:hAnsi="Arial" w:cs="Arial"/>
                <w:kern w:val="0"/>
                <w:sz w:val="20"/>
                <w:szCs w:val="20"/>
              </w:rPr>
              <w:t>≥</w:t>
            </w:r>
            <w:r>
              <w:rPr>
                <w:kern w:val="0"/>
                <w:sz w:val="20"/>
                <w:szCs w:val="20"/>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在规定时限内拨付符合城乡老年居民待遇资金</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基础养老金发放到位率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snapToGrid w:val="0"/>
              <w:spacing w:line="240" w:lineRule="auto"/>
              <w:ind w:firstLine="0" w:firstLineChars="0"/>
              <w:jc w:val="center"/>
              <w:rPr>
                <w:kern w:val="0"/>
                <w:sz w:val="20"/>
                <w:szCs w:val="20"/>
              </w:rPr>
            </w:pPr>
            <w:r>
              <w:rPr>
                <w:kern w:val="0"/>
                <w:sz w:val="20"/>
                <w:szCs w:val="20"/>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rPr>
          <w:b/>
          <w:bCs/>
        </w:rPr>
      </w:pPr>
      <w:r>
        <w:rPr>
          <w:rFonts w:hint="eastAsia"/>
          <w:b/>
          <w:bCs/>
        </w:rPr>
        <w:t>1.项目完成数量</w:t>
      </w:r>
    </w:p>
    <w:p>
      <w:pPr>
        <w:ind w:firstLine="560"/>
      </w:pPr>
      <w:r>
        <w:rPr>
          <w:rFonts w:hint="eastAsia"/>
        </w:rPr>
        <w:t>“符合条件的城乡老年居民按时发放率”指标，预期指标值为100%；实际完成为100%。实际完成率=（100/100）×100%=100%。</w:t>
      </w:r>
    </w:p>
    <w:p>
      <w:pPr>
        <w:ind w:firstLine="560"/>
      </w:pPr>
      <w:r>
        <w:rPr>
          <w:rFonts w:hint="eastAsia"/>
        </w:rPr>
        <w:t>“符合条件的城乡老年居民足额发放率”指标，预期指标值为100%；实际完成为100%。实际完成率=（100/100）×100%=100%。</w:t>
      </w:r>
    </w:p>
    <w:p>
      <w:pPr>
        <w:ind w:firstLine="562"/>
      </w:pPr>
      <w:r>
        <w:rPr>
          <w:rFonts w:hint="eastAsia"/>
          <w:b/>
          <w:bCs/>
        </w:rPr>
        <w:t>综上，该项指标满分10分，得分10分。</w:t>
      </w:r>
    </w:p>
    <w:p>
      <w:pPr>
        <w:ind w:firstLine="562"/>
        <w:rPr>
          <w:b/>
          <w:bCs/>
        </w:rPr>
      </w:pPr>
      <w:r>
        <w:rPr>
          <w:rFonts w:hint="eastAsia"/>
          <w:b/>
          <w:bCs/>
        </w:rPr>
        <w:t>2.项目完成质量</w:t>
      </w:r>
    </w:p>
    <w:p>
      <w:pPr>
        <w:ind w:firstLine="560"/>
      </w:pPr>
      <w:r>
        <w:rPr>
          <w:rFonts w:hint="eastAsia"/>
        </w:rPr>
        <w:t>“基础养老金标准”指标，预期指标值为160元/人/月；实际完成为160元/人/月。</w:t>
      </w:r>
    </w:p>
    <w:p>
      <w:pPr>
        <w:ind w:firstLine="560"/>
      </w:pPr>
      <w:r>
        <w:rPr>
          <w:rFonts w:hint="eastAsia"/>
        </w:rPr>
        <w:t>“城乡居民享受待遇人员生存认证率”指标，预期指标值为100%；实际完成为100%。</w:t>
      </w:r>
    </w:p>
    <w:p>
      <w:pPr>
        <w:ind w:firstLine="560"/>
      </w:pPr>
      <w:r>
        <w:rPr>
          <w:rFonts w:hint="eastAsia"/>
        </w:rPr>
        <w:t>“城乡居民养老保险政策宣传普及率”指标，预期指标值为</w:t>
      </w:r>
      <w:r>
        <w:rPr>
          <w:rFonts w:ascii="Arial" w:hAnsi="Arial" w:cs="Arial"/>
        </w:rPr>
        <w:t>≥</w:t>
      </w:r>
      <w:r>
        <w:rPr>
          <w:rFonts w:hint="eastAsia"/>
        </w:rPr>
        <w:t>90%；实际完成为95%。</w:t>
      </w:r>
    </w:p>
    <w:p>
      <w:pPr>
        <w:ind w:firstLine="562"/>
      </w:pPr>
      <w:r>
        <w:rPr>
          <w:rFonts w:hint="eastAsia"/>
          <w:b/>
          <w:bCs/>
        </w:rPr>
        <w:t>综上，该项指标满分12分，得分12分。</w:t>
      </w:r>
    </w:p>
    <w:p>
      <w:pPr>
        <w:ind w:firstLine="562"/>
        <w:rPr>
          <w:b/>
          <w:bCs/>
        </w:rPr>
      </w:pPr>
      <w:r>
        <w:rPr>
          <w:rFonts w:hint="eastAsia"/>
          <w:b/>
          <w:bCs/>
        </w:rPr>
        <w:t>3.项目完成时效</w:t>
      </w:r>
    </w:p>
    <w:p>
      <w:pPr>
        <w:ind w:firstLine="560"/>
      </w:pPr>
      <w:r>
        <w:rPr>
          <w:rFonts w:hint="eastAsia"/>
        </w:rPr>
        <w:t>“在规定时限内拨付符合城乡老年居民待遇资金率”指标，预期指标值为100%，实际完成为100%。</w:t>
      </w:r>
    </w:p>
    <w:p>
      <w:pPr>
        <w:ind w:firstLine="560"/>
      </w:pPr>
      <w:r>
        <w:rPr>
          <w:rFonts w:hint="eastAsia"/>
        </w:rPr>
        <w:t>“基础养老金发放到位率”指标，预期指标值为100%，实际完成为100%。</w:t>
      </w:r>
    </w:p>
    <w:p>
      <w:pPr>
        <w:ind w:firstLine="562"/>
      </w:pPr>
      <w:r>
        <w:rPr>
          <w:rFonts w:hint="eastAsia"/>
          <w:b/>
          <w:bCs/>
        </w:rPr>
        <w:t>综上，该项指标满分8分，得分8分。</w:t>
      </w:r>
    </w:p>
    <w:p>
      <w:pPr>
        <w:numPr>
          <w:ilvl w:val="0"/>
          <w:numId w:val="4"/>
        </w:numPr>
        <w:ind w:firstLine="562"/>
        <w:rPr>
          <w:b/>
          <w:bCs/>
        </w:rPr>
      </w:pPr>
      <w:r>
        <w:rPr>
          <w:rFonts w:hint="eastAsia"/>
          <w:b/>
          <w:bCs/>
        </w:rPr>
        <w:t>项目完成成本</w:t>
      </w:r>
    </w:p>
    <w:p>
      <w:pPr>
        <w:ind w:firstLine="560"/>
      </w:pPr>
      <w:r>
        <w:rPr>
          <w:rFonts w:hint="eastAsia"/>
        </w:rPr>
        <w:t>本项目无此项指标</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效益</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10"/>
        <w:tblW w:w="8372" w:type="dxa"/>
        <w:jc w:val="center"/>
        <w:tblInd w:w="0" w:type="dxa"/>
        <w:tblLayout w:type="fixed"/>
        <w:tblCellMar>
          <w:top w:w="0" w:type="dxa"/>
          <w:left w:w="0" w:type="dxa"/>
          <w:bottom w:w="0" w:type="dxa"/>
          <w:right w:w="0" w:type="dxa"/>
        </w:tblCellMar>
      </w:tblPr>
      <w:tblGrid>
        <w:gridCol w:w="685"/>
        <w:gridCol w:w="1590"/>
        <w:gridCol w:w="2879"/>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590"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87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59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87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对实现社会稳定长治久安总目标的作用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持续推动</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590"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87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对城乡居民养老保险制度可持续发展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有效推动</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5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享受城乡居民养老待遇人员满意度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&gt;=93%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left="560" w:firstLine="0" w:firstLineChars="0"/>
        <w:rPr>
          <w:b/>
          <w:bCs/>
        </w:rPr>
      </w:pPr>
      <w:r>
        <w:rPr>
          <w:rFonts w:hint="eastAsia"/>
          <w:b/>
          <w:bCs/>
        </w:rPr>
        <w:t>1.经济效益指标</w:t>
      </w:r>
    </w:p>
    <w:p>
      <w:pPr>
        <w:pStyle w:val="2"/>
        <w:ind w:firstLine="482"/>
      </w:pPr>
      <w:r>
        <w:rPr>
          <w:rFonts w:hint="eastAsia"/>
        </w:rPr>
        <w:t>本项目未设置经济效益指标。</w:t>
      </w:r>
    </w:p>
    <w:p>
      <w:pPr>
        <w:ind w:firstLine="562"/>
        <w:rPr>
          <w:b/>
          <w:bCs/>
        </w:rPr>
      </w:pPr>
      <w:r>
        <w:rPr>
          <w:rFonts w:hint="eastAsia"/>
          <w:b/>
          <w:bCs/>
        </w:rPr>
        <w:t>2.社会效益指标</w:t>
      </w:r>
    </w:p>
    <w:p>
      <w:pPr>
        <w:ind w:firstLine="560"/>
        <w:rPr>
          <w:b/>
          <w:bCs/>
        </w:rPr>
      </w:pPr>
      <w:r>
        <w:rPr>
          <w:rFonts w:hint="eastAsia"/>
        </w:rPr>
        <w:t>“对实现社会稳定长治久安总目标的作用”指标，预期指标值为持续推动，实际完成为=100%。</w:t>
      </w:r>
    </w:p>
    <w:p>
      <w:pPr>
        <w:ind w:firstLine="560"/>
      </w:pPr>
      <w:r>
        <w:rPr>
          <w:rFonts w:hint="eastAsia"/>
        </w:rPr>
        <w:t>通过项目的实施，参加城乡居民基本养老保险人员的待遇得到保障，能够按时、足额发放到位，减少社会不稳定因素，对我县社会稳定和长治久安总目标具有一定的推动作用。</w:t>
      </w:r>
    </w:p>
    <w:p>
      <w:pPr>
        <w:ind w:firstLine="562"/>
        <w:rPr>
          <w:b/>
          <w:bCs/>
        </w:rPr>
      </w:pPr>
      <w:r>
        <w:rPr>
          <w:rFonts w:hint="eastAsia"/>
          <w:b/>
          <w:bCs/>
        </w:rPr>
        <w:t>综上，该项指标满分10分，得分10分。</w:t>
      </w:r>
    </w:p>
    <w:p>
      <w:pPr>
        <w:pStyle w:val="2"/>
        <w:ind w:firstLine="482"/>
      </w:pPr>
      <w:r>
        <w:rPr>
          <w:rFonts w:hint="eastAsia"/>
        </w:rPr>
        <w:t>3.生态效益指标</w:t>
      </w:r>
    </w:p>
    <w:p>
      <w:pPr>
        <w:pStyle w:val="2"/>
        <w:ind w:firstLine="482"/>
      </w:pPr>
      <w:r>
        <w:rPr>
          <w:rFonts w:hint="eastAsia"/>
        </w:rPr>
        <w:t>本项目未设置生态效益指标。</w:t>
      </w:r>
    </w:p>
    <w:p>
      <w:pPr>
        <w:ind w:firstLine="562"/>
        <w:rPr>
          <w:b/>
          <w:bCs/>
        </w:rPr>
      </w:pPr>
      <w:r>
        <w:rPr>
          <w:rFonts w:hint="eastAsia"/>
          <w:b/>
          <w:bCs/>
        </w:rPr>
        <w:t>4.可持续影响指标</w:t>
      </w:r>
    </w:p>
    <w:p>
      <w:pPr>
        <w:ind w:firstLine="560"/>
      </w:pPr>
      <w:r>
        <w:rPr>
          <w:rFonts w:hint="eastAsia"/>
        </w:rPr>
        <w:t>“对城乡居民养老保险制度可持续发展”指标，预期指标值为有效推动，实际完成为=100%。</w:t>
      </w:r>
    </w:p>
    <w:p>
      <w:pPr>
        <w:ind w:firstLine="560"/>
      </w:pPr>
      <w:r>
        <w:rPr>
          <w:rFonts w:hint="eastAsia"/>
        </w:rPr>
        <w:t>通过项目的实施，中央、自治区对我县参加城乡居民基本养老保险享受待遇人员的基础性养老金给予定额补贴，基础性养老金达到160元/人/月，使我县城乡居民感受到党的温暖、政府的关怀，有效推动城乡居民养老保险制度可持续发展。</w:t>
      </w:r>
    </w:p>
    <w:p>
      <w:pPr>
        <w:ind w:firstLine="562"/>
      </w:pPr>
      <w:r>
        <w:rPr>
          <w:rFonts w:hint="eastAsia"/>
          <w:b/>
          <w:bCs/>
        </w:rPr>
        <w:t>综上，该项指标满分10分，得分10分。</w:t>
      </w:r>
    </w:p>
    <w:p>
      <w:pPr>
        <w:ind w:firstLine="562"/>
        <w:rPr>
          <w:b/>
          <w:bCs/>
        </w:rPr>
      </w:pPr>
      <w:r>
        <w:rPr>
          <w:rFonts w:hint="eastAsia"/>
          <w:b/>
          <w:bCs/>
        </w:rPr>
        <w:t>5.满意度指标</w:t>
      </w:r>
    </w:p>
    <w:p>
      <w:pPr>
        <w:ind w:firstLine="560"/>
        <w:rPr>
          <w:b/>
          <w:bCs/>
        </w:rPr>
      </w:pPr>
      <w:r>
        <w:rPr>
          <w:rFonts w:hint="eastAsia"/>
        </w:rPr>
        <w:t>“享受城乡居民养老待遇人员满意度”指标，预期指标值为大于等于93%，实际完成为95%。</w:t>
      </w:r>
    </w:p>
    <w:p>
      <w:pPr>
        <w:ind w:firstLine="562"/>
        <w:rPr>
          <w:b/>
          <w:bCs/>
        </w:rPr>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1921"/>
      <w:bookmarkStart w:id="13" w:name="_Toc28290"/>
      <w:r>
        <w:rPr>
          <w:rFonts w:hint="eastAsia"/>
          <w:b/>
          <w:bCs/>
        </w:rPr>
        <w:t>（一）主要经验及做法</w:t>
      </w:r>
    </w:p>
    <w:p>
      <w:pPr>
        <w:ind w:firstLine="560"/>
      </w:pPr>
      <w:r>
        <w:rPr>
          <w:rFonts w:hint="eastAsia"/>
        </w:rPr>
        <w:t>城乡居民基本养老保险补助基金项目2022年预算数为3324万元，截至2022年12月31日共支出3324万元，预算执行率为100%。</w:t>
      </w:r>
    </w:p>
    <w:p>
      <w:pPr>
        <w:ind w:firstLine="560"/>
      </w:pPr>
      <w:r>
        <w:rPr>
          <w:rFonts w:hint="eastAsia"/>
        </w:rPr>
        <w:t>奇台县社会保险管理局建立健全了预算管理规章制度，各部门严格按预算编制的原则和要求做好当年预算编制工作，在预算绩效管理工作中，做到合理安排各项资金，重点保障基本支出，按轻重缓急顺序原则，优先安排了奇台县社会保险管理局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一是在项目运行中，工作周期内享受待遇人员生存认证工作速度较缓慢；由于我县享受城乡居民基本养老保险待遇人员基数较大，人员分布范围较大，生存认证工作进度缓慢。</w:t>
      </w:r>
    </w:p>
    <w:p>
      <w:pPr>
        <w:ind w:firstLine="560"/>
      </w:pPr>
      <w:r>
        <w:rPr>
          <w:rFonts w:hint="eastAsia"/>
        </w:rPr>
        <w:t>二是城乡居民基本养老保险补助资金属于社保基金类补助，为财政对人员补助类项目，属县级统筹项目，还存在补助资金是否按时下拨问题。</w:t>
      </w:r>
    </w:p>
    <w:p>
      <w:pPr>
        <w:pStyle w:val="3"/>
        <w:spacing w:line="360" w:lineRule="auto"/>
        <w:ind w:firstLine="643"/>
        <w:rPr>
          <w:rFonts w:ascii="宋体" w:hAnsi="宋体" w:eastAsia="宋体"/>
          <w:b/>
          <w:bCs/>
        </w:rPr>
      </w:pPr>
      <w:r>
        <w:rPr>
          <w:rFonts w:hint="eastAsia" w:ascii="宋体" w:hAnsi="宋体" w:eastAsia="宋体"/>
          <w:b/>
          <w:bCs/>
        </w:rPr>
        <w:t>六、有关建议</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一是城乡居民基本养老待遇生存资格认证，不能只仅仅依靠社保经办机构开展，要依靠上级有关部门协调，需乡镇共同联动，共同配合，以便按时完成认证工作。</w:t>
      </w:r>
    </w:p>
    <w:p>
      <w:pPr>
        <w:ind w:firstLine="560"/>
      </w:pPr>
      <w:r>
        <w:rPr>
          <w:rFonts w:hint="eastAsia"/>
        </w:rPr>
        <w:t>二是财政及社保经办机构相关领导共同重视，相关科室及时沟通联系，保证城乡居民基本养老保险补助资金及时下拨到位，按时依规做好相关业务处理工作。</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10"/>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附件一             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 2022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城乡居民基本养老保险补助资金</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奇台县社会保险管理局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奇台县社会保险管理局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p>
          <w:p>
            <w:pPr>
              <w:widowControl/>
              <w:spacing w:line="240" w:lineRule="exact"/>
              <w:ind w:firstLine="0" w:firstLineChars="0"/>
              <w:jc w:val="center"/>
              <w:rPr>
                <w:kern w:val="0"/>
                <w:sz w:val="18"/>
                <w:szCs w:val="18"/>
              </w:rPr>
            </w:pP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3324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2683"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rPr>
                <w:kern w:val="0"/>
                <w:sz w:val="18"/>
                <w:szCs w:val="18"/>
              </w:rPr>
            </w:pPr>
            <w:bookmarkStart w:id="14" w:name="_GoBack"/>
            <w:bookmarkEnd w:id="14"/>
            <w:r>
              <w:rPr>
                <w:rFonts w:hint="eastAsia"/>
                <w:kern w:val="0"/>
                <w:sz w:val="18"/>
                <w:szCs w:val="18"/>
              </w:rPr>
              <w:t>推动城乡居民基本养老保险待遇水平随经济发展而逐步提高，确保参保居民共享经济社会发展成果，促进城乡居民基本养老保险制度健康发展，不断增强参保居民的获得感、幸福感、安全感，2022年参保率达到95%以上。</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360"/>
              <w:jc w:val="left"/>
              <w:rPr>
                <w:kern w:val="0"/>
                <w:sz w:val="18"/>
                <w:szCs w:val="18"/>
              </w:rPr>
            </w:pPr>
            <w:r>
              <w:rPr>
                <w:rFonts w:hint="eastAsia"/>
                <w:kern w:val="0"/>
                <w:sz w:val="18"/>
                <w:szCs w:val="18"/>
              </w:rPr>
              <w:t>截止2022年底，本项目实际完成符合条件的城乡老年居民按时发放达到到100%、额发放率达到100%，城乡居民享受待遇人员生存认证率100%，按时拨付该项目资金，基础养老金发放到位率达到100%，城乡居民养老保险政策宣传普及率达到95%。确保参保居民共享经济社会发展成果，促进城乡居民基本养老保险制度健康发展，不断增强参保居民的获得感、幸福感、安全感。</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p>
          <w:p>
            <w:pPr>
              <w:widowControl/>
              <w:spacing w:line="240" w:lineRule="exact"/>
              <w:ind w:firstLine="0" w:firstLineChars="0"/>
              <w:jc w:val="center"/>
              <w:rPr>
                <w:kern w:val="0"/>
                <w:sz w:val="18"/>
                <w:szCs w:val="18"/>
              </w:rPr>
            </w:pPr>
            <w:r>
              <w:rPr>
                <w:rFonts w:hint="eastAsia"/>
                <w:kern w:val="0"/>
                <w:sz w:val="18"/>
                <w:szCs w:val="18"/>
              </w:rPr>
              <w:t>效</w:t>
            </w:r>
          </w:p>
          <w:p>
            <w:pPr>
              <w:widowControl/>
              <w:spacing w:line="240" w:lineRule="exact"/>
              <w:ind w:firstLine="0" w:firstLineChars="0"/>
              <w:jc w:val="center"/>
              <w:rPr>
                <w:kern w:val="0"/>
                <w:sz w:val="18"/>
                <w:szCs w:val="18"/>
              </w:rPr>
            </w:pPr>
            <w:r>
              <w:rPr>
                <w:rFonts w:hint="eastAsia"/>
                <w:kern w:val="0"/>
                <w:sz w:val="18"/>
                <w:szCs w:val="18"/>
              </w:rPr>
              <w:t>指</w:t>
            </w:r>
          </w:p>
          <w:p>
            <w:pPr>
              <w:widowControl/>
              <w:spacing w:line="240" w:lineRule="exact"/>
              <w:ind w:firstLine="0" w:firstLineChars="0"/>
              <w:jc w:val="center"/>
              <w:rPr>
                <w:kern w:val="0"/>
                <w:sz w:val="18"/>
                <w:szCs w:val="18"/>
              </w:rPr>
            </w:pP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53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指标1：符合条件的城乡老年居民按时发放率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73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指标2：符合条件的城乡老年居民足额发放率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53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指标1：基础养老金标准</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160元/人/月</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160元/人/月</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63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指标2：城乡居民享受待遇人员生存认证率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51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指标3：城乡居民养老保险政策宣传普及率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51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指标1：在规定时限内拨付符合城乡老年居民待遇资金</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指标2：基础养老金发放到位率</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56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指标1：对实现社会稳定长治久安总目标的作用</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持续推动</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16</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7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指标1：对城乡居民养老保险制度可持续发展</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有效推动</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14</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86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满意度</w:t>
            </w:r>
          </w:p>
          <w:p>
            <w:pPr>
              <w:widowControl/>
              <w:spacing w:line="240" w:lineRule="exact"/>
              <w:ind w:firstLine="0" w:firstLineChars="0"/>
              <w:jc w:val="center"/>
              <w:rPr>
                <w:kern w:val="0"/>
                <w:sz w:val="18"/>
                <w:szCs w:val="18"/>
              </w:rPr>
            </w:pPr>
            <w:r>
              <w:rPr>
                <w:rFonts w:hint="eastAsia"/>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指标1：享受城乡居民养老待遇人员满意度</w:t>
            </w:r>
          </w:p>
        </w:tc>
        <w:tc>
          <w:tcPr>
            <w:tcW w:w="85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&gt;=93%</w:t>
            </w:r>
          </w:p>
        </w:tc>
        <w:tc>
          <w:tcPr>
            <w:tcW w:w="85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无</w:t>
            </w:r>
          </w:p>
        </w:tc>
      </w:tr>
      <w:tr>
        <w:tblPrEx>
          <w:tblLayout w:type="fixed"/>
          <w:tblCellMar>
            <w:top w:w="0" w:type="dxa"/>
            <w:left w:w="108" w:type="dxa"/>
            <w:bottom w:w="0" w:type="dxa"/>
            <w:right w:w="108" w:type="dxa"/>
          </w:tblCellMar>
        </w:tblPrEx>
        <w:trPr>
          <w:trHeight w:val="484"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3"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10"/>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①项目立项是否符合国家法律法规、国民经济发展规划和相关政策；</w:t>
            </w:r>
          </w:p>
          <w:p>
            <w:pPr>
              <w:widowControl/>
              <w:spacing w:line="0" w:lineRule="atLeast"/>
              <w:ind w:firstLine="0" w:firstLineChars="0"/>
              <w:jc w:val="left"/>
              <w:rPr>
                <w:kern w:val="0"/>
                <w:sz w:val="22"/>
                <w:szCs w:val="22"/>
              </w:rPr>
            </w:pPr>
            <w:r>
              <w:rPr>
                <w:rFonts w:hint="eastAsia"/>
                <w:kern w:val="0"/>
                <w:sz w:val="22"/>
                <w:szCs w:val="22"/>
              </w:rPr>
              <w:t>②项目立项是否符合行业发展规划和政策要求；</w:t>
            </w:r>
          </w:p>
          <w:p>
            <w:pPr>
              <w:widowControl/>
              <w:spacing w:line="0" w:lineRule="atLeast"/>
              <w:ind w:firstLine="0" w:firstLineChars="0"/>
              <w:jc w:val="left"/>
              <w:rPr>
                <w:kern w:val="0"/>
                <w:sz w:val="22"/>
                <w:szCs w:val="22"/>
              </w:rPr>
            </w:pPr>
            <w:r>
              <w:rPr>
                <w:rFonts w:hint="eastAsia"/>
                <w:kern w:val="0"/>
                <w:sz w:val="22"/>
                <w:szCs w:val="22"/>
              </w:rPr>
              <w:t>③项目立项是否与部门职责范围相符，属于部门履职所需；</w:t>
            </w:r>
          </w:p>
          <w:p>
            <w:pPr>
              <w:widowControl/>
              <w:spacing w:line="0" w:lineRule="atLeast"/>
              <w:ind w:firstLine="0" w:firstLineChars="0"/>
              <w:jc w:val="left"/>
              <w:rPr>
                <w:kern w:val="0"/>
                <w:sz w:val="22"/>
                <w:szCs w:val="22"/>
              </w:rPr>
            </w:pPr>
            <w:r>
              <w:rPr>
                <w:rFonts w:hint="eastAsia"/>
                <w:kern w:val="0"/>
                <w:sz w:val="22"/>
                <w:szCs w:val="22"/>
              </w:rPr>
              <w:t>④项目是否属于公共财政支持范围，是否符合中央、地方事权支出责任划分原则；</w:t>
            </w:r>
          </w:p>
          <w:p>
            <w:pPr>
              <w:widowControl/>
              <w:spacing w:line="0" w:lineRule="atLeast"/>
              <w:ind w:firstLine="0" w:firstLineChars="0"/>
              <w:jc w:val="left"/>
              <w:rPr>
                <w:kern w:val="0"/>
                <w:sz w:val="22"/>
                <w:szCs w:val="22"/>
              </w:rPr>
            </w:pP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①项目是否按照规定的程序申请设立；</w:t>
            </w:r>
          </w:p>
          <w:p>
            <w:pPr>
              <w:widowControl/>
              <w:spacing w:line="0" w:lineRule="atLeast"/>
              <w:ind w:firstLine="0" w:firstLineChars="0"/>
              <w:jc w:val="left"/>
              <w:rPr>
                <w:kern w:val="0"/>
                <w:sz w:val="22"/>
                <w:szCs w:val="22"/>
              </w:rPr>
            </w:pPr>
            <w:r>
              <w:rPr>
                <w:rFonts w:hint="eastAsia"/>
                <w:kern w:val="0"/>
                <w:sz w:val="22"/>
                <w:szCs w:val="22"/>
              </w:rPr>
              <w:t>②审批文件、材料是否符合相关要求；</w:t>
            </w:r>
          </w:p>
          <w:p>
            <w:pPr>
              <w:widowControl/>
              <w:spacing w:line="0" w:lineRule="atLeast"/>
              <w:ind w:firstLine="0" w:firstLineChars="0"/>
              <w:jc w:val="left"/>
              <w:rPr>
                <w:kern w:val="0"/>
                <w:sz w:val="22"/>
                <w:szCs w:val="22"/>
              </w:rPr>
            </w:pP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p>
          <w:p>
            <w:pPr>
              <w:widowControl/>
              <w:spacing w:line="0" w:lineRule="atLeast"/>
              <w:ind w:firstLine="0" w:firstLineChars="0"/>
              <w:jc w:val="left"/>
              <w:rPr>
                <w:kern w:val="0"/>
                <w:sz w:val="22"/>
                <w:szCs w:val="22"/>
              </w:rPr>
            </w:pPr>
            <w:r>
              <w:rPr>
                <w:rFonts w:hint="eastAsia"/>
                <w:kern w:val="0"/>
                <w:sz w:val="22"/>
                <w:szCs w:val="22"/>
              </w:rPr>
              <w:t>（如未设定预算绩效目标，也可考核其他工作任务目标）</w:t>
            </w:r>
          </w:p>
          <w:p>
            <w:pPr>
              <w:widowControl/>
              <w:spacing w:line="0" w:lineRule="atLeast"/>
              <w:ind w:firstLine="0" w:firstLineChars="0"/>
              <w:jc w:val="left"/>
              <w:rPr>
                <w:kern w:val="0"/>
                <w:sz w:val="22"/>
                <w:szCs w:val="22"/>
              </w:rPr>
            </w:pPr>
            <w:r>
              <w:rPr>
                <w:rFonts w:hint="eastAsia"/>
                <w:kern w:val="0"/>
                <w:sz w:val="22"/>
                <w:szCs w:val="22"/>
              </w:rPr>
              <w:t>①项目是否有绩效目标；</w:t>
            </w:r>
          </w:p>
          <w:p>
            <w:pPr>
              <w:widowControl/>
              <w:spacing w:line="0" w:lineRule="atLeast"/>
              <w:ind w:firstLine="0" w:firstLineChars="0"/>
              <w:jc w:val="left"/>
              <w:rPr>
                <w:kern w:val="0"/>
                <w:sz w:val="22"/>
                <w:szCs w:val="22"/>
              </w:rPr>
            </w:pPr>
            <w:r>
              <w:rPr>
                <w:rFonts w:hint="eastAsia"/>
                <w:kern w:val="0"/>
                <w:sz w:val="22"/>
                <w:szCs w:val="22"/>
              </w:rPr>
              <w:t>②项目绩效目标与实际工作内容是否具有相关性；</w:t>
            </w:r>
          </w:p>
          <w:p>
            <w:pPr>
              <w:widowControl/>
              <w:spacing w:line="0" w:lineRule="atLeast"/>
              <w:ind w:firstLine="0" w:firstLineChars="0"/>
              <w:jc w:val="left"/>
              <w:rPr>
                <w:kern w:val="0"/>
                <w:sz w:val="22"/>
                <w:szCs w:val="22"/>
              </w:rPr>
            </w:pP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①是否将项目绩效目标细化分解为具体的绩效指标；</w:t>
            </w:r>
          </w:p>
          <w:p>
            <w:pPr>
              <w:widowControl/>
              <w:spacing w:line="0" w:lineRule="atLeast"/>
              <w:ind w:firstLine="0" w:firstLineChars="0"/>
              <w:rPr>
                <w:kern w:val="0"/>
                <w:sz w:val="22"/>
                <w:szCs w:val="22"/>
              </w:rPr>
            </w:pPr>
            <w:r>
              <w:rPr>
                <w:rFonts w:hint="eastAsia"/>
                <w:kern w:val="0"/>
                <w:sz w:val="22"/>
                <w:szCs w:val="22"/>
              </w:rPr>
              <w:t>②是否通过清晰、可衡量的指标值予以体现；</w:t>
            </w:r>
          </w:p>
          <w:p>
            <w:pPr>
              <w:widowControl/>
              <w:spacing w:line="0" w:lineRule="atLeast"/>
              <w:ind w:firstLine="0" w:firstLineChars="0"/>
              <w:rPr>
                <w:kern w:val="0"/>
                <w:sz w:val="22"/>
                <w:szCs w:val="22"/>
              </w:rPr>
            </w:pPr>
            <w:r>
              <w:rPr>
                <w:rFonts w:hint="eastAsia"/>
                <w:kern w:val="0"/>
                <w:sz w:val="22"/>
                <w:szCs w:val="22"/>
              </w:rPr>
              <w:t>③是否与项目目标任务数或计划数相对应。</w:t>
            </w:r>
          </w:p>
          <w:p>
            <w:pPr>
              <w:pStyle w:val="2"/>
              <w:ind w:firstLine="482"/>
            </w:pP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①预算编制是否经过科学论证；</w:t>
            </w:r>
          </w:p>
          <w:p>
            <w:pPr>
              <w:widowControl/>
              <w:spacing w:line="0" w:lineRule="atLeast"/>
              <w:ind w:firstLine="0" w:firstLineChars="0"/>
              <w:rPr>
                <w:kern w:val="0"/>
                <w:sz w:val="22"/>
                <w:szCs w:val="22"/>
              </w:rPr>
            </w:pPr>
            <w:r>
              <w:rPr>
                <w:rFonts w:hint="eastAsia"/>
                <w:kern w:val="0"/>
                <w:sz w:val="22"/>
                <w:szCs w:val="22"/>
              </w:rPr>
              <w:t>②预算内容与项目内容是否匹配；</w:t>
            </w:r>
          </w:p>
          <w:p>
            <w:pPr>
              <w:widowControl/>
              <w:spacing w:line="0" w:lineRule="atLeast"/>
              <w:ind w:firstLine="0" w:firstLineChars="0"/>
              <w:rPr>
                <w:kern w:val="0"/>
                <w:sz w:val="22"/>
                <w:szCs w:val="22"/>
              </w:rPr>
            </w:pPr>
            <w:r>
              <w:rPr>
                <w:rFonts w:hint="eastAsia"/>
                <w:kern w:val="0"/>
                <w:sz w:val="22"/>
                <w:szCs w:val="22"/>
              </w:rPr>
              <w:t>③预算额度测算依据是否充分，是否按照标准编制；</w:t>
            </w:r>
          </w:p>
          <w:p>
            <w:pPr>
              <w:widowControl/>
              <w:spacing w:line="0" w:lineRule="atLeast"/>
              <w:ind w:firstLine="0" w:firstLineChars="0"/>
              <w:rPr>
                <w:kern w:val="0"/>
                <w:sz w:val="22"/>
                <w:szCs w:val="22"/>
              </w:rPr>
            </w:pP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①预算资金分配依据是否充分；</w:t>
            </w:r>
          </w:p>
          <w:p>
            <w:pPr>
              <w:widowControl/>
              <w:spacing w:line="0" w:lineRule="atLeast"/>
              <w:ind w:firstLine="0" w:firstLineChars="0"/>
              <w:rPr>
                <w:kern w:val="0"/>
                <w:sz w:val="22"/>
                <w:szCs w:val="22"/>
              </w:rPr>
            </w:pP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p>
          <w:p>
            <w:pPr>
              <w:widowControl/>
              <w:spacing w:line="0" w:lineRule="atLeast"/>
              <w:ind w:firstLine="0" w:firstLineChars="0"/>
              <w:rPr>
                <w:kern w:val="0"/>
                <w:sz w:val="22"/>
                <w:szCs w:val="22"/>
              </w:rPr>
            </w:pP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①是否符合国家财经法规和财务管理制度以及有关专项资金管理办法的规定；</w:t>
            </w:r>
          </w:p>
          <w:p>
            <w:pPr>
              <w:widowControl/>
              <w:spacing w:line="0" w:lineRule="atLeast"/>
              <w:ind w:firstLine="0" w:firstLineChars="0"/>
              <w:rPr>
                <w:kern w:val="0"/>
                <w:sz w:val="22"/>
                <w:szCs w:val="22"/>
              </w:rPr>
            </w:pPr>
            <w:r>
              <w:rPr>
                <w:rFonts w:hint="eastAsia"/>
                <w:kern w:val="0"/>
                <w:sz w:val="22"/>
                <w:szCs w:val="22"/>
              </w:rPr>
              <w:t>②资金的拨付是否有完整的审批程序和手续；</w:t>
            </w:r>
          </w:p>
          <w:p>
            <w:pPr>
              <w:widowControl/>
              <w:spacing w:line="0" w:lineRule="atLeast"/>
              <w:ind w:firstLine="0" w:firstLineChars="0"/>
              <w:rPr>
                <w:kern w:val="0"/>
                <w:sz w:val="22"/>
                <w:szCs w:val="22"/>
              </w:rPr>
            </w:pPr>
            <w:r>
              <w:rPr>
                <w:rFonts w:hint="eastAsia"/>
                <w:kern w:val="0"/>
                <w:sz w:val="22"/>
                <w:szCs w:val="22"/>
              </w:rPr>
              <w:t>③是否符合项目预算批复或合同规定的用途；</w:t>
            </w:r>
          </w:p>
          <w:p>
            <w:pPr>
              <w:widowControl/>
              <w:spacing w:line="0" w:lineRule="atLeast"/>
              <w:ind w:firstLine="0" w:firstLineChars="0"/>
              <w:rPr>
                <w:kern w:val="0"/>
                <w:sz w:val="22"/>
                <w:szCs w:val="22"/>
              </w:rPr>
            </w:pP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①是否已制定或具有相应的财务和业务管理制度；</w:t>
            </w:r>
          </w:p>
          <w:p>
            <w:pPr>
              <w:widowControl/>
              <w:spacing w:line="0" w:lineRule="atLeast"/>
              <w:ind w:firstLine="0" w:firstLineChars="0"/>
              <w:rPr>
                <w:kern w:val="0"/>
                <w:sz w:val="22"/>
                <w:szCs w:val="22"/>
              </w:rPr>
            </w:pP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p>
          <w:p>
            <w:pPr>
              <w:widowControl/>
              <w:spacing w:line="0" w:lineRule="atLeast"/>
              <w:ind w:firstLine="0" w:firstLineChars="0"/>
              <w:rPr>
                <w:kern w:val="0"/>
                <w:sz w:val="22"/>
                <w:szCs w:val="22"/>
              </w:rPr>
            </w:pPr>
            <w:r>
              <w:rPr>
                <w:rFonts w:hint="eastAsia"/>
                <w:kern w:val="0"/>
                <w:sz w:val="22"/>
                <w:szCs w:val="22"/>
              </w:rPr>
              <w:t>①是否遵守相关法律法规和相关管理规定；</w:t>
            </w:r>
          </w:p>
          <w:p>
            <w:pPr>
              <w:widowControl/>
              <w:spacing w:line="0" w:lineRule="atLeast"/>
              <w:ind w:firstLine="0" w:firstLineChars="0"/>
              <w:rPr>
                <w:kern w:val="0"/>
                <w:sz w:val="22"/>
                <w:szCs w:val="22"/>
              </w:rPr>
            </w:pPr>
            <w:r>
              <w:rPr>
                <w:rFonts w:hint="eastAsia"/>
                <w:kern w:val="0"/>
                <w:sz w:val="22"/>
                <w:szCs w:val="22"/>
              </w:rPr>
              <w:t>②项目调整及支出调整手续是否完备；</w:t>
            </w:r>
          </w:p>
          <w:p>
            <w:pPr>
              <w:widowControl/>
              <w:spacing w:line="0" w:lineRule="atLeast"/>
              <w:ind w:firstLine="0" w:firstLineChars="0"/>
              <w:rPr>
                <w:kern w:val="0"/>
                <w:sz w:val="22"/>
                <w:szCs w:val="22"/>
              </w:rPr>
            </w:pPr>
            <w:r>
              <w:rPr>
                <w:rFonts w:hint="eastAsia"/>
                <w:kern w:val="0"/>
                <w:sz w:val="22"/>
                <w:szCs w:val="22"/>
              </w:rPr>
              <w:t>③项目合同书、验收报告、技术鉴定等资料是否齐全并及时归档；</w:t>
            </w:r>
          </w:p>
          <w:p>
            <w:pPr>
              <w:widowControl/>
              <w:spacing w:line="0" w:lineRule="atLeast"/>
              <w:ind w:firstLine="0" w:firstLineChars="0"/>
              <w:rPr>
                <w:kern w:val="0"/>
                <w:sz w:val="22"/>
                <w:szCs w:val="22"/>
              </w:rPr>
            </w:pP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p>
          <w:p>
            <w:pPr>
              <w:widowControl/>
              <w:spacing w:line="0" w:lineRule="atLeast"/>
              <w:ind w:firstLine="0" w:firstLineChars="0"/>
              <w:rPr>
                <w:kern w:val="0"/>
                <w:sz w:val="22"/>
                <w:szCs w:val="22"/>
              </w:rPr>
            </w:pPr>
            <w:r>
              <w:rPr>
                <w:rFonts w:hint="eastAsia"/>
                <w:kern w:val="0"/>
                <w:sz w:val="22"/>
                <w:szCs w:val="22"/>
              </w:rPr>
              <w:t>实际产出数：一定时期（本年度或项目期）内项目实际产出的产品或提供的服务数量。</w:t>
            </w:r>
          </w:p>
          <w:p>
            <w:pPr>
              <w:widowControl/>
              <w:spacing w:line="0" w:lineRule="atLeast"/>
              <w:ind w:firstLine="0" w:firstLineChars="0"/>
              <w:rPr>
                <w:kern w:val="0"/>
                <w:sz w:val="22"/>
                <w:szCs w:val="22"/>
              </w:rPr>
            </w:pP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12</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p>
          <w:p>
            <w:pPr>
              <w:widowControl/>
              <w:spacing w:line="0" w:lineRule="atLeast"/>
              <w:ind w:firstLine="0" w:firstLineChars="0"/>
              <w:rPr>
                <w:kern w:val="0"/>
                <w:sz w:val="22"/>
                <w:szCs w:val="22"/>
              </w:rPr>
            </w:pP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p>
          <w:p>
            <w:pPr>
              <w:widowControl/>
              <w:spacing w:line="0" w:lineRule="atLeast"/>
              <w:ind w:firstLine="0" w:firstLineChars="0"/>
              <w:rPr>
                <w:kern w:val="0"/>
                <w:sz w:val="22"/>
                <w:szCs w:val="22"/>
              </w:rPr>
            </w:pPr>
            <w:r>
              <w:rPr>
                <w:rFonts w:hint="eastAsia"/>
                <w:kern w:val="0"/>
                <w:sz w:val="22"/>
                <w:szCs w:val="22"/>
              </w:rPr>
              <w:t>成本节约率=[（计划成本-实际成本）/计划成本]×100%。</w:t>
            </w:r>
          </w:p>
          <w:p>
            <w:pPr>
              <w:widowControl/>
              <w:spacing w:line="0" w:lineRule="atLeast"/>
              <w:ind w:firstLine="0" w:firstLineChars="0"/>
              <w:rPr>
                <w:kern w:val="0"/>
                <w:sz w:val="22"/>
                <w:szCs w:val="22"/>
              </w:rPr>
            </w:pPr>
            <w:r>
              <w:rPr>
                <w:rFonts w:hint="eastAsia"/>
                <w:kern w:val="0"/>
                <w:sz w:val="22"/>
                <w:szCs w:val="22"/>
              </w:rPr>
              <w:t>实际成本：项目实施单位如期、保质、保量完成既定工作目标实际所耗费的支出。</w:t>
            </w:r>
          </w:p>
          <w:p>
            <w:pPr>
              <w:widowControl/>
              <w:spacing w:line="0" w:lineRule="atLeast"/>
              <w:ind w:firstLine="0" w:firstLineChars="0"/>
              <w:rPr>
                <w:kern w:val="0"/>
                <w:sz w:val="22"/>
                <w:szCs w:val="22"/>
              </w:rPr>
            </w:pP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50A3E57"/>
    <w:multiLevelType w:val="singleLevel"/>
    <w:tmpl w:val="F50A3E57"/>
    <w:lvl w:ilvl="0" w:tentative="0">
      <w:start w:val="4"/>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zZjMwMGI2ZGE0ODRmZjk1NjMxOTE1MzdlYTY0MjgifQ=="/>
  </w:docVars>
  <w:rsids>
    <w:rsidRoot w:val="68291A1A"/>
    <w:rsid w:val="003F12D0"/>
    <w:rsid w:val="008E1ABC"/>
    <w:rsid w:val="00AF03BE"/>
    <w:rsid w:val="00C07648"/>
    <w:rsid w:val="00D411FC"/>
    <w:rsid w:val="00D47C72"/>
    <w:rsid w:val="00FD50B4"/>
    <w:rsid w:val="01470C4C"/>
    <w:rsid w:val="02200440"/>
    <w:rsid w:val="02284B43"/>
    <w:rsid w:val="02B015E2"/>
    <w:rsid w:val="03375C69"/>
    <w:rsid w:val="039C3BA0"/>
    <w:rsid w:val="03A845BB"/>
    <w:rsid w:val="04D63993"/>
    <w:rsid w:val="053E33E3"/>
    <w:rsid w:val="05C03EE3"/>
    <w:rsid w:val="071A07E1"/>
    <w:rsid w:val="07890F4F"/>
    <w:rsid w:val="083B01E6"/>
    <w:rsid w:val="09781BD6"/>
    <w:rsid w:val="0A9019D1"/>
    <w:rsid w:val="0D4452F3"/>
    <w:rsid w:val="0D980A0E"/>
    <w:rsid w:val="0F5E5042"/>
    <w:rsid w:val="10510571"/>
    <w:rsid w:val="11F311DB"/>
    <w:rsid w:val="11FA6155"/>
    <w:rsid w:val="12CF0947"/>
    <w:rsid w:val="12F1313F"/>
    <w:rsid w:val="136C678E"/>
    <w:rsid w:val="13EB2FF5"/>
    <w:rsid w:val="142F79E5"/>
    <w:rsid w:val="15B67AAF"/>
    <w:rsid w:val="165825BC"/>
    <w:rsid w:val="176F36D7"/>
    <w:rsid w:val="18456B1E"/>
    <w:rsid w:val="1B080A85"/>
    <w:rsid w:val="1C1171C5"/>
    <w:rsid w:val="1D3223D2"/>
    <w:rsid w:val="1DA41A79"/>
    <w:rsid w:val="1DF53469"/>
    <w:rsid w:val="1E58492F"/>
    <w:rsid w:val="1E5B6757"/>
    <w:rsid w:val="1ED10AC6"/>
    <w:rsid w:val="1FC0575D"/>
    <w:rsid w:val="205133C1"/>
    <w:rsid w:val="21B00C1D"/>
    <w:rsid w:val="221D7E58"/>
    <w:rsid w:val="22E364D2"/>
    <w:rsid w:val="23031BEB"/>
    <w:rsid w:val="23917691"/>
    <w:rsid w:val="244D65B8"/>
    <w:rsid w:val="245E1E24"/>
    <w:rsid w:val="26654176"/>
    <w:rsid w:val="27661469"/>
    <w:rsid w:val="27900EAD"/>
    <w:rsid w:val="279B538A"/>
    <w:rsid w:val="286F545C"/>
    <w:rsid w:val="29314FBC"/>
    <w:rsid w:val="2C927671"/>
    <w:rsid w:val="2D7C5CD6"/>
    <w:rsid w:val="2E483E7E"/>
    <w:rsid w:val="2F454B19"/>
    <w:rsid w:val="30B75383"/>
    <w:rsid w:val="31E3230A"/>
    <w:rsid w:val="33356F64"/>
    <w:rsid w:val="33944516"/>
    <w:rsid w:val="34086204"/>
    <w:rsid w:val="34B62907"/>
    <w:rsid w:val="35B5261A"/>
    <w:rsid w:val="375B6966"/>
    <w:rsid w:val="38782EDD"/>
    <w:rsid w:val="3B42664A"/>
    <w:rsid w:val="3BB4389B"/>
    <w:rsid w:val="3D836A4E"/>
    <w:rsid w:val="3FBE0BC5"/>
    <w:rsid w:val="3FF26416"/>
    <w:rsid w:val="4048103A"/>
    <w:rsid w:val="435241E2"/>
    <w:rsid w:val="439E3FA7"/>
    <w:rsid w:val="44B32266"/>
    <w:rsid w:val="44FC64F4"/>
    <w:rsid w:val="45F51C78"/>
    <w:rsid w:val="467F4585"/>
    <w:rsid w:val="470628CB"/>
    <w:rsid w:val="47555BD4"/>
    <w:rsid w:val="47ED7701"/>
    <w:rsid w:val="48E12B50"/>
    <w:rsid w:val="499441BE"/>
    <w:rsid w:val="4A2138F0"/>
    <w:rsid w:val="4A583887"/>
    <w:rsid w:val="4B9F6E02"/>
    <w:rsid w:val="4D936FA3"/>
    <w:rsid w:val="4E6E48A8"/>
    <w:rsid w:val="4EEC036B"/>
    <w:rsid w:val="501D2673"/>
    <w:rsid w:val="508C7613"/>
    <w:rsid w:val="51852833"/>
    <w:rsid w:val="53555F0F"/>
    <w:rsid w:val="57CE4E41"/>
    <w:rsid w:val="581F0BA2"/>
    <w:rsid w:val="583C7AE0"/>
    <w:rsid w:val="59034741"/>
    <w:rsid w:val="59216F96"/>
    <w:rsid w:val="5A20126D"/>
    <w:rsid w:val="5B9D2CCD"/>
    <w:rsid w:val="5CBD7917"/>
    <w:rsid w:val="5DA33F6C"/>
    <w:rsid w:val="5DD50480"/>
    <w:rsid w:val="67394C7D"/>
    <w:rsid w:val="68126B38"/>
    <w:rsid w:val="68291A1A"/>
    <w:rsid w:val="691B1594"/>
    <w:rsid w:val="691F4C25"/>
    <w:rsid w:val="6A17429C"/>
    <w:rsid w:val="6A567EA3"/>
    <w:rsid w:val="6AB15C84"/>
    <w:rsid w:val="6B4B4368"/>
    <w:rsid w:val="6B4F4012"/>
    <w:rsid w:val="6E557973"/>
    <w:rsid w:val="6F0D6C22"/>
    <w:rsid w:val="6F47657F"/>
    <w:rsid w:val="70670707"/>
    <w:rsid w:val="720E3691"/>
    <w:rsid w:val="732764B3"/>
    <w:rsid w:val="753011BC"/>
    <w:rsid w:val="754A1754"/>
    <w:rsid w:val="75E5007C"/>
    <w:rsid w:val="770F231F"/>
    <w:rsid w:val="77861774"/>
    <w:rsid w:val="78BF1080"/>
    <w:rsid w:val="79300B45"/>
    <w:rsid w:val="794D3E18"/>
    <w:rsid w:val="79F3729A"/>
    <w:rsid w:val="7ACB0498"/>
    <w:rsid w:val="7AED0B4D"/>
    <w:rsid w:val="7C1E4487"/>
    <w:rsid w:val="7C215E02"/>
    <w:rsid w:val="7CF23764"/>
    <w:rsid w:val="7ED62C94"/>
    <w:rsid w:val="7F681FEA"/>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alloon Text"/>
    <w:basedOn w:val="1"/>
    <w:link w:val="15"/>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2">
    <w:name w:val="annotation reference"/>
    <w:basedOn w:val="11"/>
    <w:qFormat/>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框文本 字符"/>
    <w:basedOn w:val="11"/>
    <w:link w:val="7"/>
    <w:qFormat/>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2151</Words>
  <Characters>12262</Characters>
  <Lines>102</Lines>
  <Paragraphs>28</Paragraphs>
  <TotalTime>7</TotalTime>
  <ScaleCrop>false</ScaleCrop>
  <LinksUpToDate>false</LinksUpToDate>
  <CharactersWithSpaces>14385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2024-05-22T11:01:33Z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A4D99B3F09294B05B10934290F25C948_13</vt:lpwstr>
  </property>
</Properties>
</file>