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奇台县2020年国家级电子商务进农村综合示范项目支出绩效评价报告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项目名称：奇台县2020年国家级电子商务进农村综合示范项目</w:t>
      </w:r>
    </w:p>
    <w:p>
      <w:pPr>
        <w:ind w:firstLine="562"/>
        <w:rPr>
          <w:b/>
        </w:rPr>
      </w:pPr>
      <w:r>
        <w:rPr>
          <w:rFonts w:hint="eastAsia"/>
          <w:b/>
        </w:rPr>
        <w:t>实施单位：奇台县商务和工业信息化局</w:t>
      </w:r>
    </w:p>
    <w:p>
      <w:pPr>
        <w:ind w:firstLine="562"/>
        <w:rPr>
          <w:b/>
        </w:rPr>
      </w:pPr>
      <w:r>
        <w:rPr>
          <w:rFonts w:hint="eastAsia"/>
          <w:b/>
        </w:rPr>
        <w:t>主管部门：经建科</w:t>
      </w:r>
    </w:p>
    <w:p>
      <w:pPr>
        <w:pStyle w:val="10"/>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jc w:val="center"/>
        <w:rPr>
          <w:b/>
          <w:bCs/>
        </w:rPr>
      </w:pPr>
      <w:r>
        <w:rPr>
          <w:rFonts w:hint="eastAsia"/>
          <w:b/>
          <w:bCs/>
          <w:sz w:val="36"/>
          <w:szCs w:val="36"/>
        </w:rPr>
        <w:t>奇台县2020年国家级电子商务进农村综合示范项目支出绩效评价报告</w:t>
      </w:r>
    </w:p>
    <w:p>
      <w:pPr>
        <w:pStyle w:val="4"/>
        <w:spacing w:line="360" w:lineRule="auto"/>
        <w:ind w:firstLine="643"/>
        <w:rPr>
          <w:rFonts w:ascii="宋体" w:hAnsi="宋体" w:eastAsia="宋体"/>
          <w:b/>
          <w:bCs/>
        </w:rPr>
      </w:pPr>
      <w:r>
        <w:rPr>
          <w:rFonts w:hint="eastAsia" w:ascii="宋体" w:hAnsi="宋体" w:eastAsia="宋体"/>
          <w:b/>
          <w:bCs/>
        </w:rPr>
        <w:t>一、基本情况</w:t>
      </w:r>
    </w:p>
    <w:p>
      <w:pPr>
        <w:pStyle w:val="5"/>
        <w:spacing w:line="360" w:lineRule="auto"/>
        <w:ind w:firstLine="643"/>
        <w:rPr>
          <w:rFonts w:ascii="宋体" w:hAnsi="宋体" w:eastAsia="宋体"/>
        </w:rPr>
      </w:pPr>
      <w:r>
        <w:rPr>
          <w:rFonts w:hint="eastAsia" w:ascii="宋体" w:hAnsi="宋体" w:eastAsia="宋体"/>
        </w:rPr>
        <w:t>（一）项目概况</w:t>
      </w:r>
    </w:p>
    <w:p>
      <w:pPr>
        <w:pStyle w:val="6"/>
        <w:spacing w:line="360" w:lineRule="auto"/>
        <w:ind w:firstLine="562"/>
        <w:rPr>
          <w:rFonts w:ascii="宋体" w:hAnsi="宋体" w:eastAsia="宋体"/>
        </w:rPr>
      </w:pPr>
      <w:r>
        <w:rPr>
          <w:rFonts w:hint="eastAsia" w:ascii="宋体" w:hAnsi="宋体" w:eastAsia="宋体"/>
        </w:rPr>
        <w:t>1.项目背景</w:t>
      </w:r>
    </w:p>
    <w:p>
      <w:pPr>
        <w:ind w:firstLine="600"/>
      </w:pPr>
      <w:r>
        <w:rPr>
          <w:rFonts w:hint="eastAsia" w:cs="仿宋"/>
          <w:sz w:val="30"/>
          <w:szCs w:val="30"/>
        </w:rPr>
        <w:t>奇台县是2020年国家电子商务进农村综合示范县。近年来，奇台县委、县人民政府始终把发展电子商务作为促进农民增收的重要抓手，着眼长远、高位推动，特别是自2020年奇台县被列为国家电子商务进农村综合示范县以来，抢抓机遇，紧紧围绕果蔬、特色农产品，主动开发区域市场、对接全国知名电商平台，全力拓展农村电商服务体系，促进了县域经济高质量发展，助推了脱贫攻坚取得实效。</w:t>
      </w:r>
    </w:p>
    <w:p>
      <w:pPr>
        <w:pStyle w:val="6"/>
        <w:spacing w:line="360" w:lineRule="auto"/>
        <w:ind w:firstLine="562"/>
        <w:rPr>
          <w:rFonts w:ascii="宋体" w:hAnsi="宋体" w:eastAsia="宋体"/>
        </w:rPr>
      </w:pPr>
      <w:r>
        <w:rPr>
          <w:rFonts w:hint="eastAsia" w:ascii="宋体" w:hAnsi="宋体" w:eastAsia="宋体"/>
        </w:rPr>
        <w:t>2.主要内容及实施情况</w:t>
      </w:r>
    </w:p>
    <w:p>
      <w:pPr>
        <w:ind w:firstLine="560"/>
      </w:pPr>
      <w:r>
        <w:rPr>
          <w:rFonts w:hint="eastAsia"/>
        </w:rPr>
        <w:t>主要内容：</w:t>
      </w:r>
      <w:r>
        <w:rPr>
          <w:rFonts w:hint="eastAsia" w:cs="仿宋"/>
          <w:sz w:val="30"/>
          <w:szCs w:val="30"/>
        </w:rPr>
        <w:t>根据《奇台县电子商务进农村综合示范项目实施方案》，示范项目建设总目标：通过项目建设，基本建成县级农村电子商务培训体系、农村电子商务公共服务中心（以下简称公共服务中心）、农村电子商务物流体系、农产品电子商务供应链管理体系、农村电子商务品牌营销体系和农村电子商务服务站体系。</w:t>
      </w:r>
    </w:p>
    <w:p>
      <w:pPr>
        <w:spacing w:line="520" w:lineRule="exact"/>
        <w:ind w:firstLine="560"/>
        <w:jc w:val="left"/>
      </w:pPr>
      <w:r>
        <w:rPr>
          <w:rFonts w:hint="eastAsia"/>
        </w:rPr>
        <w:t>组织实施：</w:t>
      </w:r>
      <w:r>
        <w:rPr>
          <w:rFonts w:hint="eastAsia" w:cs="仿宋"/>
          <w:sz w:val="30"/>
          <w:szCs w:val="30"/>
        </w:rPr>
        <w:t>为加强对电子商务进农村综合示范项目的组织领导，建立健全电商管理机构，奇台县成立了以县长任组长、分管副县长任副组长，各相关单位为成员的县电子商务进农村综合示范工作领导小组，电商领导小组下设办公室，办公室设在县商务和工业信息化局，下设电商大数据中心，具体成员由电商办工作人员和国有企业电商公司组成，负责协调落实领导小组部署的各项工作，有关会议筹备及各成员单位日常协调、沟通等工作。领导小组对照电商进农村综合示范工作要求，定期召开工作推进会、调度会，了解工作进展情况，分析存在的差距，解决农村电子商务发展中遇到的困难和问题，统筹各方力量形成加快推进奇台县电子商务工作发展合力。</w:t>
      </w:r>
    </w:p>
    <w:p>
      <w:pPr>
        <w:pStyle w:val="6"/>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奇台县2020年国家级电子商务进农村综合示范项目预算安排总额为1000.00万元，其中财政资金1000.00万元，其他资金0.00万元，2022年实际收到预算资金594.00万元，预算资金到位率为100%。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奇台县2020年国家级电子商务进农村综合示范项目实际支付资金572.76万元，预算执行率99.79%。结转结余资金1.24万元，已上缴国库。项目资金主要用于在奇台县打造电子商务公共服务中心，在农村电子商务在农产品上行、带动脱贫户就业增收、便民服务等方面取得有效进展，农村流通现代化水平明显提升，农产品网络零售额显著增长，扩大农村消费，助力乡村振兴等方面。</w:t>
      </w:r>
    </w:p>
    <w:p>
      <w:pPr>
        <w:pStyle w:val="5"/>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6"/>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奇台县2020年国家级电子商务进农村综合示范项目绩效总体目标为：在奇台县打造电子商务公共服务中心，在农村电子商务在农产品上行、带动脱贫户就业增收、便民服务等方面取得有效进展，农村流通现代化水平明显提升，农产品网络零售额显著增长，扩大农村消费，助力乡村振兴。</w:t>
      </w:r>
    </w:p>
    <w:p>
      <w:pPr>
        <w:pStyle w:val="6"/>
        <w:spacing w:line="360" w:lineRule="auto"/>
        <w:ind w:firstLine="562"/>
        <w:rPr>
          <w:rFonts w:ascii="宋体" w:hAnsi="宋体" w:eastAsia="宋体"/>
        </w:rPr>
      </w:pPr>
      <w:r>
        <w:rPr>
          <w:rFonts w:hint="eastAsia" w:ascii="宋体" w:hAnsi="宋体" w:eastAsia="宋体"/>
        </w:rPr>
        <w:t>2.阶段性目标</w:t>
      </w:r>
    </w:p>
    <w:p>
      <w:pPr>
        <w:ind w:firstLine="560"/>
        <w:rPr>
          <w:b/>
          <w:bCs/>
          <w:kern w:val="0"/>
          <w:szCs w:val="32"/>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指标1：“乡村站点电子商务服务点建设数”指标，预期指标值为=1个；</w:t>
      </w:r>
    </w:p>
    <w:p>
      <w:pPr>
        <w:ind w:firstLine="560"/>
      </w:pPr>
      <w:r>
        <w:rPr>
          <w:rFonts w:hint="eastAsia"/>
        </w:rPr>
        <w:t>指标2：“建设农村电子商务公共服务中心”指标，预期指标值为&gt;=500平米；</w:t>
      </w:r>
    </w:p>
    <w:p>
      <w:pPr>
        <w:ind w:firstLine="560"/>
      </w:pPr>
      <w:r>
        <w:rPr>
          <w:rFonts w:hint="eastAsia"/>
        </w:rPr>
        <w:t>指标3：“采购设施设备种类”指标，预期指标值为&gt;=4个；</w:t>
      </w:r>
    </w:p>
    <w:p>
      <w:pPr>
        <w:ind w:firstLine="560"/>
      </w:pPr>
      <w:r>
        <w:rPr>
          <w:rFonts w:hint="eastAsia"/>
        </w:rPr>
        <w:t>②质量指标</w:t>
      </w:r>
    </w:p>
    <w:p>
      <w:pPr>
        <w:ind w:firstLine="560"/>
      </w:pPr>
      <w:r>
        <w:rPr>
          <w:rFonts w:hint="eastAsia"/>
        </w:rPr>
        <w:t>指标1：“电子商务公共服务中心验收合格率”指标，预期指标值为&gt;=100%；</w:t>
      </w:r>
    </w:p>
    <w:p>
      <w:pPr>
        <w:ind w:firstLine="560"/>
      </w:pPr>
      <w:r>
        <w:rPr>
          <w:rFonts w:hint="eastAsia"/>
        </w:rPr>
        <w:t>③时效指标</w:t>
      </w:r>
    </w:p>
    <w:p>
      <w:pPr>
        <w:ind w:firstLine="560"/>
      </w:pPr>
      <w:r>
        <w:rPr>
          <w:rFonts w:hint="eastAsia"/>
        </w:rPr>
        <w:t>指标1：“电子商务公共服务中心建设完成时间”指标，预期指标值为2022年12月；</w:t>
      </w:r>
    </w:p>
    <w:p>
      <w:pPr>
        <w:ind w:firstLine="560"/>
      </w:pPr>
      <w:r>
        <w:rPr>
          <w:rFonts w:hint="eastAsia"/>
        </w:rPr>
        <w:t>④成本指标</w:t>
      </w:r>
    </w:p>
    <w:p>
      <w:pPr>
        <w:ind w:firstLine="560"/>
      </w:pPr>
      <w:r>
        <w:rPr>
          <w:rFonts w:hint="eastAsia"/>
        </w:rPr>
        <w:t>指标1：“服务中心装修”指标，预期指标值为=203万元；</w:t>
      </w:r>
    </w:p>
    <w:p>
      <w:pPr>
        <w:ind w:firstLine="560"/>
      </w:pPr>
      <w:r>
        <w:rPr>
          <w:rFonts w:hint="eastAsia"/>
        </w:rPr>
        <w:t>指标2：“设计费”指标，预期指标值为&lt;=7.80万元；</w:t>
      </w:r>
    </w:p>
    <w:p>
      <w:pPr>
        <w:ind w:firstLine="560"/>
      </w:pPr>
      <w:r>
        <w:rPr>
          <w:rFonts w:hint="eastAsia"/>
        </w:rPr>
        <w:t>指标3：“设备购置”指标，预期指标值为&lt;=84.50万元；</w:t>
      </w:r>
    </w:p>
    <w:p>
      <w:pPr>
        <w:ind w:firstLine="560"/>
      </w:pPr>
      <w:r>
        <w:rPr>
          <w:rFonts w:hint="eastAsia"/>
        </w:rPr>
        <w:t>（2）项目效益目标</w:t>
      </w:r>
    </w:p>
    <w:p>
      <w:pPr>
        <w:ind w:firstLine="560"/>
      </w:pPr>
      <w:r>
        <w:rPr>
          <w:rFonts w:hint="eastAsia"/>
        </w:rPr>
        <w:t>①经济效益指标</w:t>
      </w:r>
    </w:p>
    <w:p>
      <w:pPr>
        <w:ind w:firstLine="560"/>
      </w:pPr>
      <w:r>
        <w:rPr>
          <w:rFonts w:hint="eastAsia"/>
        </w:rPr>
        <w:t>指标1：“农产品网络零售额同比增长”指标，预期指标值为&gt;=20%；</w:t>
      </w:r>
    </w:p>
    <w:p>
      <w:pPr>
        <w:ind w:firstLine="560"/>
      </w:pPr>
      <w:r>
        <w:rPr>
          <w:rFonts w:hint="eastAsia"/>
        </w:rPr>
        <w:t>②社会效益指标</w:t>
      </w:r>
    </w:p>
    <w:p>
      <w:pPr>
        <w:ind w:firstLine="560"/>
      </w:pPr>
      <w:r>
        <w:rPr>
          <w:rFonts w:hint="eastAsia"/>
        </w:rPr>
        <w:t>指标1：“电商服务站点在行政村覆盖率”指标，预期指标值为&gt;=50%；</w:t>
      </w:r>
    </w:p>
    <w:p>
      <w:pPr>
        <w:ind w:firstLine="560"/>
      </w:pPr>
      <w:r>
        <w:rPr>
          <w:rFonts w:hint="eastAsia"/>
        </w:rPr>
        <w:t>指标2 ：“引导企业入驻率”指标，预期指标值为&gt;=80%；</w:t>
      </w:r>
    </w:p>
    <w:p>
      <w:pPr>
        <w:ind w:firstLine="560"/>
      </w:pPr>
      <w:r>
        <w:rPr>
          <w:rFonts w:hint="eastAsia"/>
        </w:rPr>
        <w:t>③生态效益指标</w:t>
      </w:r>
    </w:p>
    <w:p>
      <w:pPr>
        <w:ind w:firstLine="560"/>
      </w:pPr>
      <w:r>
        <w:rPr>
          <w:rFonts w:hint="eastAsia"/>
        </w:rPr>
        <w:t>本项目不涉及生态效益指标。</w:t>
      </w:r>
    </w:p>
    <w:p>
      <w:pPr>
        <w:ind w:firstLine="560"/>
      </w:pPr>
      <w:r>
        <w:rPr>
          <w:rFonts w:hint="eastAsia"/>
        </w:rPr>
        <w:t>④可持续影响</w:t>
      </w:r>
    </w:p>
    <w:p>
      <w:pPr>
        <w:ind w:firstLine="560"/>
      </w:pPr>
      <w:r>
        <w:rPr>
          <w:rFonts w:hint="eastAsia"/>
        </w:rPr>
        <w:t>指标1：“农村电子商务业务增长率”指标，预期指标值为&gt;=20%；</w:t>
      </w:r>
    </w:p>
    <w:p>
      <w:pPr>
        <w:ind w:firstLine="560"/>
      </w:pPr>
      <w:r>
        <w:rPr>
          <w:rFonts w:hint="eastAsia"/>
        </w:rPr>
        <w:t>⑤满意度指标</w:t>
      </w:r>
    </w:p>
    <w:p>
      <w:pPr>
        <w:ind w:firstLine="560"/>
      </w:pPr>
      <w:r>
        <w:rPr>
          <w:rFonts w:hint="eastAsia"/>
        </w:rPr>
        <w:t>指标1：“电商企业满意度”指标，预期指标值为&gt;=80%。</w:t>
      </w:r>
    </w:p>
    <w:p>
      <w:pPr>
        <w:pStyle w:val="4"/>
        <w:ind w:firstLine="643"/>
        <w:rPr>
          <w:rFonts w:ascii="宋体" w:hAnsi="宋体" w:eastAsia="宋体"/>
          <w:b/>
          <w:bCs/>
        </w:rPr>
      </w:pPr>
      <w:r>
        <w:rPr>
          <w:rFonts w:hint="eastAsia" w:ascii="宋体" w:hAnsi="宋体" w:eastAsia="宋体"/>
          <w:b/>
          <w:bCs/>
        </w:rPr>
        <w:t>二、绩效评价工作开展情况</w:t>
      </w:r>
    </w:p>
    <w:p>
      <w:pPr>
        <w:pStyle w:val="5"/>
        <w:numPr>
          <w:ilvl w:val="0"/>
          <w:numId w:val="2"/>
        </w:numPr>
        <w:spacing w:line="360" w:lineRule="auto"/>
        <w:ind w:firstLine="643"/>
        <w:rPr>
          <w:rFonts w:ascii="宋体" w:hAnsi="宋体" w:eastAsia="宋体"/>
          <w:szCs w:val="32"/>
        </w:rPr>
      </w:pPr>
      <w:bookmarkStart w:id="0" w:name="_Toc12868"/>
      <w:bookmarkStart w:id="1" w:name="_Toc21664"/>
      <w:bookmarkStart w:id="2" w:name="_Toc26632"/>
      <w:bookmarkStart w:id="3" w:name="_Toc5462343"/>
      <w:bookmarkStart w:id="4" w:name="_Toc22169_WPSOffice_Level2"/>
      <w:bookmarkStart w:id="5" w:name="_Toc480473081"/>
      <w:bookmarkStart w:id="6" w:name="_Toc5258"/>
      <w:bookmarkStart w:id="7" w:name="_Toc22922"/>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6"/>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6"/>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此次我单位根据《财政支出绩效评价管理暂行办法》（财预〔2020〕10号）文件要求对2022年度我单位实施的奇台县2020年国家级电子商务进农村综合示范项目开展部门绩效评价。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5"/>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6"/>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奇台县2020年国家级电子商务进农村综合示范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6"/>
        <w:spacing w:line="360" w:lineRule="auto"/>
        <w:ind w:firstLine="562"/>
        <w:rPr>
          <w:rFonts w:ascii="宋体" w:hAnsi="宋体" w:eastAsia="宋体"/>
        </w:rPr>
      </w:pPr>
      <w:bookmarkStart w:id="8" w:name="_Toc419984722"/>
      <w:bookmarkStart w:id="9" w:name="_Toc428278230"/>
      <w:bookmarkStart w:id="10" w:name="_Toc26131"/>
      <w:bookmarkStart w:id="11" w:name="_Toc1913"/>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6"/>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奇台县2020年国家级电子商务进农村综合示范项目进行评价。</w:t>
      </w:r>
    </w:p>
    <w:p>
      <w:pPr>
        <w:pStyle w:val="6"/>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6"/>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奇台县2020年国家级电子商务进农村综合示范项目实施内容、目标信息、预算信息以及其他的一些项目基本信息，有了初步了解，为制定绩效评价工作方案做好准备。</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10"/>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10"/>
        <w:spacing w:before="0" w:after="0"/>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10"/>
        <w:spacing w:before="0" w:after="0"/>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10"/>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4"/>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对奇台县2020年国家级电子商务进农村综合示范项目绩效进行客观评价，最终评分结果：总分为</w:t>
      </w:r>
      <w:r>
        <w:rPr>
          <w:rFonts w:hint="eastAsia"/>
        </w:rPr>
        <w:t>99.99</w:t>
      </w:r>
      <w:r>
        <w:rPr>
          <w:rFonts w:hint="eastAsia"/>
          <w:lang w:val="zh-TW" w:eastAsia="zh-TW"/>
        </w:rPr>
        <w:t>分，绩效评级为“</w:t>
      </w:r>
      <w:r>
        <w:rPr>
          <w:rFonts w:hint="eastAsia"/>
        </w:rPr>
        <w:t>优秀</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1"/>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pPr>
            <w:r>
              <w:rPr>
                <w:rFonts w:hint="eastAsia"/>
              </w:rPr>
              <w:t>表3-1：奇台县2020年国家级电子商务进农村综合示范项目得分表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19.99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99.99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99.95%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99.99%</w:t>
            </w:r>
          </w:p>
        </w:tc>
      </w:tr>
    </w:tbl>
    <w:p>
      <w:pPr>
        <w:pStyle w:val="4"/>
        <w:spacing w:line="360" w:lineRule="auto"/>
        <w:ind w:firstLine="643"/>
        <w:rPr>
          <w:rFonts w:ascii="宋体" w:hAnsi="宋体" w:eastAsia="宋体"/>
          <w:b/>
          <w:bCs/>
        </w:rPr>
      </w:pPr>
      <w:r>
        <w:rPr>
          <w:rFonts w:hint="eastAsia" w:ascii="宋体" w:hAnsi="宋体" w:eastAsia="宋体"/>
          <w:b/>
          <w:bCs/>
        </w:rPr>
        <w:t>四、绩效评价指标分析</w:t>
      </w:r>
    </w:p>
    <w:p>
      <w:pPr>
        <w:pStyle w:val="5"/>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项目决策由3个二级指标和6个三级指标构成，权重分20分，实际得分20分，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1.立项依据充分性</w:t>
      </w:r>
    </w:p>
    <w:p>
      <w:pPr>
        <w:ind w:firstLine="560"/>
      </w:pPr>
      <w:r>
        <w:rPr>
          <w:rFonts w:hint="eastAsia"/>
        </w:rPr>
        <w:t>财办建【2020】48号关于做好2020年电子商务进农村综合示范工作通知、2022电商工作计划、21-奇台县1000.00万元国家级电子商务进农村综合示范项目实施方案、奇台县电商示范县工作方案（定稿）、电商领导小组红头（监管工作方案）、电商领导小组红头（项目管理办法）。</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③事前经过必要的可行性研究、专家论证、风险评估、绩效评估、集体决策。</w:t>
      </w:r>
    </w:p>
    <w:p>
      <w:pPr>
        <w:ind w:firstLine="562"/>
      </w:pPr>
      <w:r>
        <w:rPr>
          <w:rFonts w:hint="eastAsia"/>
          <w:b/>
          <w:bCs/>
        </w:rPr>
        <w:t>综上，该项指标满分3分，得分3分。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5"/>
        <w:spacing w:line="360" w:lineRule="auto"/>
        <w:ind w:firstLine="643"/>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19.99</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3.99</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19.99</w:t>
            </w:r>
          </w:p>
        </w:tc>
      </w:tr>
    </w:tbl>
    <w:p>
      <w:pPr>
        <w:ind w:firstLine="562"/>
        <w:rPr>
          <w:b/>
          <w:bCs/>
        </w:rPr>
      </w:pPr>
      <w:r>
        <w:rPr>
          <w:rFonts w:hint="eastAsia"/>
          <w:b/>
          <w:bCs/>
        </w:rPr>
        <w:t>1.资金到位率</w:t>
      </w:r>
    </w:p>
    <w:p>
      <w:pPr>
        <w:ind w:firstLine="560"/>
        <w:rPr>
          <w:b/>
          <w:bCs/>
        </w:rPr>
      </w:pPr>
      <w:r>
        <w:rPr>
          <w:rFonts w:hint="eastAsia"/>
        </w:rPr>
        <w:t>资金到位率=（实际到位资金数/预算资金数）×100%=（594/594）=100%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预算执行率=（实际支出资金/预算资金数）×100%=（592.76/594）×100%=99.79%</w:t>
      </w:r>
    </w:p>
    <w:p>
      <w:pPr>
        <w:ind w:firstLine="562"/>
      </w:pPr>
      <w:r>
        <w:rPr>
          <w:rFonts w:hint="eastAsia"/>
          <w:b/>
          <w:bCs/>
        </w:rPr>
        <w:t>综上，该项指标满分4分，得分3.99分。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①已制定奇台县商务和工业信息化局财务管理制度以及21-奇台县1000万元国家级电子商务进农村综合示范项目实施方案；</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5"/>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8</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1"/>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vMerge w:val="restart"/>
            <w:tcBorders>
              <w:top w:val="single" w:color="000000" w:sz="4" w:space="0"/>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乡村站点电子商务服务点建设数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793"/>
              </w:tabs>
              <w:snapToGrid w:val="0"/>
              <w:spacing w:line="240" w:lineRule="auto"/>
              <w:ind w:firstLine="0" w:firstLineChars="0"/>
              <w:jc w:val="left"/>
              <w:rPr>
                <w:kern w:val="0"/>
                <w:sz w:val="20"/>
                <w:szCs w:val="20"/>
              </w:rPr>
            </w:pPr>
            <w:r>
              <w:rPr>
                <w:rFonts w:hint="eastAsia"/>
                <w:kern w:val="0"/>
                <w:sz w:val="20"/>
                <w:szCs w:val="20"/>
              </w:rPr>
              <w:t>建设农村电子商务公共服务中心</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599"/>
              </w:tabs>
              <w:snapToGrid w:val="0"/>
              <w:spacing w:line="240" w:lineRule="auto"/>
              <w:ind w:firstLine="0" w:firstLineChars="0"/>
              <w:jc w:val="center"/>
              <w:rPr>
                <w:kern w:val="0"/>
                <w:sz w:val="20"/>
                <w:szCs w:val="20"/>
              </w:rPr>
            </w:pPr>
            <w:r>
              <w:rPr>
                <w:rFonts w:hint="eastAsia"/>
                <w:kern w:val="0"/>
                <w:sz w:val="20"/>
                <w:szCs w:val="20"/>
              </w:rPr>
              <w:t>&gt;=500平米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=500平米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abs>
                <w:tab w:val="left" w:pos="431"/>
              </w:tabs>
              <w:snapToGrid w:val="0"/>
              <w:spacing w:line="240" w:lineRule="auto"/>
              <w:ind w:firstLine="0" w:firstLineChars="0"/>
              <w:jc w:val="left"/>
              <w:rPr>
                <w:kern w:val="0"/>
                <w:sz w:val="20"/>
                <w:szCs w:val="20"/>
              </w:rPr>
            </w:pPr>
            <w:r>
              <w:rPr>
                <w:rFonts w:hint="eastAsia"/>
                <w:kern w:val="0"/>
                <w:sz w:val="20"/>
                <w:szCs w:val="20"/>
              </w:rPr>
              <w:tab/>
            </w:r>
            <w:r>
              <w:rPr>
                <w:rFonts w:hint="eastAsia"/>
                <w:kern w:val="0"/>
                <w:sz w:val="20"/>
                <w:szCs w:val="20"/>
              </w:rPr>
              <w:t>采购设施设备种类</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&gt;=4个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电子商务公共服务中心验收合格率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电子商务公共服务中心建设完成时间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2022年12月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=2022年12月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服务中心装修</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=203万元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设计费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&lt;=7.80万元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=7.80万元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设备购置</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&lt;=84.50万元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=84.50万元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1.项目完成数量</w:t>
      </w:r>
    </w:p>
    <w:p>
      <w:pPr>
        <w:ind w:firstLine="560"/>
      </w:pPr>
      <w:r>
        <w:rPr>
          <w:rFonts w:hint="eastAsia"/>
        </w:rPr>
        <w:t>指标1：“乡村站点电子商务服务点建设数”指标，预期指标值为=1个，实际完成为1个。实际完成率=（1/1）×100%=100%。</w:t>
      </w:r>
    </w:p>
    <w:p>
      <w:pPr>
        <w:ind w:firstLine="560"/>
      </w:pPr>
      <w:r>
        <w:rPr>
          <w:rFonts w:hint="eastAsia"/>
        </w:rPr>
        <w:t>指标2：“建设农村电子商务公共服务中心”指标，预期指标值为&gt;=500平米，实际完成为500平米。实际完成率=（500/500）×100%=100%。</w:t>
      </w:r>
    </w:p>
    <w:p>
      <w:pPr>
        <w:ind w:firstLine="560"/>
      </w:pPr>
      <w:r>
        <w:rPr>
          <w:rFonts w:hint="eastAsia"/>
        </w:rPr>
        <w:t>指标3：“采购设施设备种类”指标，预期指标值为&gt;=4个，实际完成为4个。实际完成率=（4/4）×100%=100%。</w:t>
      </w:r>
    </w:p>
    <w:p>
      <w:pPr>
        <w:ind w:firstLine="562"/>
      </w:pPr>
      <w:r>
        <w:rPr>
          <w:rFonts w:hint="eastAsia"/>
          <w:b/>
          <w:bCs/>
        </w:rPr>
        <w:t>综上，该项指标满分11分，得分11分。</w:t>
      </w:r>
    </w:p>
    <w:p>
      <w:pPr>
        <w:ind w:firstLine="562"/>
        <w:rPr>
          <w:b/>
          <w:bCs/>
        </w:rPr>
      </w:pPr>
      <w:r>
        <w:rPr>
          <w:rFonts w:hint="eastAsia"/>
          <w:b/>
          <w:bCs/>
        </w:rPr>
        <w:t>2.项目完成质量</w:t>
      </w:r>
    </w:p>
    <w:p>
      <w:pPr>
        <w:ind w:firstLine="560"/>
      </w:pPr>
      <w:r>
        <w:rPr>
          <w:rFonts w:hint="eastAsia"/>
        </w:rPr>
        <w:t>指标1：“电子商务公共服务中心验收合格率”指标，预期指标值为&gt;=100%，实际完成为100%。</w:t>
      </w:r>
    </w:p>
    <w:p>
      <w:pPr>
        <w:ind w:firstLine="562"/>
      </w:pPr>
      <w:r>
        <w:rPr>
          <w:rFonts w:hint="eastAsia"/>
          <w:b/>
          <w:bCs/>
        </w:rPr>
        <w:t>综上，该项指标满分4分，得分4分。</w:t>
      </w:r>
    </w:p>
    <w:p>
      <w:pPr>
        <w:ind w:firstLine="562"/>
        <w:rPr>
          <w:b/>
          <w:bCs/>
        </w:rPr>
      </w:pPr>
      <w:r>
        <w:rPr>
          <w:rFonts w:hint="eastAsia"/>
          <w:b/>
          <w:bCs/>
        </w:rPr>
        <w:t>3.项目完成时效</w:t>
      </w:r>
    </w:p>
    <w:p>
      <w:pPr>
        <w:ind w:firstLine="560"/>
      </w:pPr>
      <w:r>
        <w:rPr>
          <w:rFonts w:hint="eastAsia"/>
        </w:rPr>
        <w:t>指标1：“电子商务公共服务中心建设完成时间”指标，预期指标值为2022年12月，实际完成为2022年12月。</w:t>
      </w:r>
    </w:p>
    <w:p>
      <w:pPr>
        <w:ind w:firstLine="562"/>
      </w:pPr>
      <w:r>
        <w:rPr>
          <w:rFonts w:hint="eastAsia"/>
          <w:b/>
          <w:bCs/>
        </w:rPr>
        <w:t>综上，该项指标满分3分，得分3分。</w:t>
      </w:r>
    </w:p>
    <w:p>
      <w:pPr>
        <w:ind w:firstLine="562"/>
        <w:rPr>
          <w:b/>
          <w:bCs/>
        </w:rPr>
      </w:pPr>
      <w:r>
        <w:rPr>
          <w:rFonts w:hint="eastAsia"/>
          <w:b/>
          <w:bCs/>
        </w:rPr>
        <w:t>4.项目完成成本</w:t>
      </w:r>
    </w:p>
    <w:p>
      <w:pPr>
        <w:ind w:firstLine="560"/>
      </w:pPr>
      <w:r>
        <w:rPr>
          <w:rFonts w:hint="eastAsia"/>
        </w:rPr>
        <w:t>指标1：“服务中心装修”指标，预期指标值为=203.00万元，实际完成为203.00万元。实际完成率=（203/203）×100%=100%。</w:t>
      </w:r>
    </w:p>
    <w:p>
      <w:pPr>
        <w:pStyle w:val="2"/>
        <w:ind w:firstLine="211"/>
        <w:rPr>
          <w:b w:val="0"/>
          <w:bCs w:val="0"/>
          <w:sz w:val="28"/>
        </w:rPr>
      </w:pPr>
      <w:r>
        <w:rPr>
          <w:rFonts w:hint="eastAsia"/>
        </w:rPr>
        <w:t xml:space="preserve">   </w:t>
      </w:r>
      <w:r>
        <w:rPr>
          <w:rFonts w:hint="eastAsia"/>
          <w:b w:val="0"/>
          <w:bCs w:val="0"/>
          <w:sz w:val="28"/>
        </w:rPr>
        <w:t>指标2： “设计费”指标，预期指标值为&lt;=7.80万元，实际完成为7.80万元。实际完成率=（7.80/7.80）×100%=100%。</w:t>
      </w:r>
    </w:p>
    <w:p>
      <w:pPr>
        <w:pStyle w:val="2"/>
        <w:ind w:firstLine="560" w:firstLineChars="200"/>
        <w:rPr>
          <w:b w:val="0"/>
          <w:bCs w:val="0"/>
          <w:sz w:val="28"/>
        </w:rPr>
      </w:pPr>
      <w:r>
        <w:rPr>
          <w:rFonts w:hint="eastAsia"/>
          <w:b w:val="0"/>
          <w:bCs w:val="0"/>
          <w:sz w:val="28"/>
        </w:rPr>
        <w:t>指标3：“设备购置”指标，预期指标值为&lt;=84.50万元，实际完成为84.50万元。实际完成率=（84.50/84.50）×100%=100%。</w:t>
      </w:r>
    </w:p>
    <w:p>
      <w:pPr>
        <w:ind w:firstLine="562"/>
      </w:pPr>
      <w:r>
        <w:rPr>
          <w:rFonts w:hint="eastAsia"/>
          <w:b/>
          <w:bCs/>
        </w:rPr>
        <w:t>综上，该项指标满分12分，得分12分。</w:t>
      </w:r>
    </w:p>
    <w:p>
      <w:pPr>
        <w:pStyle w:val="5"/>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1"/>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农产品网络零售额同比增长</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&gt;=20%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电商服务站点在行政村覆盖率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&gt;=50%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kern w:val="0"/>
                <w:sz w:val="20"/>
                <w:szCs w:val="20"/>
              </w:rPr>
              <w:t>引导企业入驻率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&gt;=80%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农村电子商务业务增长率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&gt;=20%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电商企业满意度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&gt;=80%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=98%</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6</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1.经济效益指标</w:t>
      </w:r>
    </w:p>
    <w:p>
      <w:pPr>
        <w:ind w:firstLine="560"/>
        <w:rPr>
          <w:b/>
          <w:bCs/>
        </w:rPr>
      </w:pPr>
      <w:r>
        <w:rPr>
          <w:rFonts w:hint="eastAsia"/>
        </w:rPr>
        <w:t>指标1：“农产品网络零售额同比增长”指标，预期指标值为&gt;=20%，实际完成为20%。</w:t>
      </w:r>
    </w:p>
    <w:p>
      <w:pPr>
        <w:ind w:firstLine="560"/>
      </w:pPr>
      <w:r>
        <w:rPr>
          <w:rFonts w:hint="eastAsia"/>
        </w:rPr>
        <w:t>通过项目的实施，使得农村电子商务打破了时间和空间的界限，使农村企业更加具有竞争力，从而形成一种更大更有效的经济规模，增加农村电商的网络销售额。</w:t>
      </w:r>
    </w:p>
    <w:p>
      <w:pPr>
        <w:ind w:firstLine="562"/>
      </w:pPr>
      <w:r>
        <w:rPr>
          <w:rFonts w:hint="eastAsia"/>
          <w:b/>
          <w:bCs/>
        </w:rPr>
        <w:t>综上，该项指标满分6分，得分6分。</w:t>
      </w:r>
    </w:p>
    <w:p>
      <w:pPr>
        <w:ind w:firstLine="562"/>
        <w:rPr>
          <w:b/>
          <w:bCs/>
        </w:rPr>
      </w:pPr>
      <w:r>
        <w:rPr>
          <w:rFonts w:hint="eastAsia"/>
          <w:b/>
          <w:bCs/>
        </w:rPr>
        <w:t>2.社会效益指标</w:t>
      </w:r>
    </w:p>
    <w:p>
      <w:pPr>
        <w:ind w:firstLine="560"/>
      </w:pPr>
      <w:r>
        <w:rPr>
          <w:rFonts w:hint="eastAsia"/>
        </w:rPr>
        <w:t>指标1：“电商服务站点在行政村覆盖率”指标，预期指标值为&gt;=50%，实际完成为50%。</w:t>
      </w:r>
    </w:p>
    <w:p>
      <w:pPr>
        <w:ind w:firstLine="560"/>
      </w:pPr>
      <w:r>
        <w:rPr>
          <w:rFonts w:hint="eastAsia"/>
        </w:rPr>
        <w:t>通过项目的实施，不断扩大完善电商服务站点在行政村的覆盖率，打通电子商务进农村最后一公里。</w:t>
      </w:r>
    </w:p>
    <w:p>
      <w:pPr>
        <w:ind w:firstLine="560"/>
      </w:pPr>
      <w:r>
        <w:rPr>
          <w:rFonts w:hint="eastAsia"/>
        </w:rPr>
        <w:t>指标2：“引导企业入驻率”指标，预期指标值为&gt;=80%，实际完成为80%。</w:t>
      </w:r>
    </w:p>
    <w:p>
      <w:pPr>
        <w:ind w:firstLine="560"/>
      </w:pPr>
      <w:r>
        <w:rPr>
          <w:rFonts w:hint="eastAsia"/>
        </w:rPr>
        <w:t>通过项目的实施，加大对电商企业、快递企业以及合作社的扶持力度，树立发展信心，营造良好的氛围，引导更多的企业入驻电商中心，培养更多的电商达人，助推我县经济高质量发展。</w:t>
      </w:r>
    </w:p>
    <w:p>
      <w:pPr>
        <w:ind w:firstLine="562"/>
        <w:rPr>
          <w:b/>
          <w:bCs/>
        </w:rPr>
      </w:pPr>
      <w:r>
        <w:rPr>
          <w:rFonts w:hint="eastAsia"/>
          <w:b/>
          <w:bCs/>
        </w:rPr>
        <w:t>综上，该项指标满分12分，得分12分。</w:t>
      </w:r>
    </w:p>
    <w:p>
      <w:pPr>
        <w:ind w:firstLine="562"/>
        <w:rPr>
          <w:b/>
          <w:bCs/>
        </w:rPr>
      </w:pPr>
      <w:r>
        <w:rPr>
          <w:rFonts w:hint="eastAsia"/>
          <w:b/>
          <w:bCs/>
        </w:rPr>
        <w:t>3.生态效益指标</w:t>
      </w:r>
    </w:p>
    <w:p>
      <w:pPr>
        <w:pStyle w:val="2"/>
        <w:ind w:firstLine="0" w:firstLineChars="0"/>
        <w:rPr>
          <w:sz w:val="28"/>
        </w:rPr>
      </w:pPr>
      <w:r>
        <w:rPr>
          <w:rFonts w:hint="eastAsia"/>
        </w:rPr>
        <w:t xml:space="preserve">     </w:t>
      </w:r>
      <w:r>
        <w:rPr>
          <w:rFonts w:hint="eastAsia"/>
          <w:b w:val="0"/>
          <w:bCs w:val="0"/>
          <w:sz w:val="28"/>
        </w:rPr>
        <w:t>本项目不涉及生态效益指标。</w:t>
      </w:r>
    </w:p>
    <w:p>
      <w:pPr>
        <w:ind w:firstLine="562"/>
        <w:rPr>
          <w:b/>
          <w:bCs/>
        </w:rPr>
      </w:pPr>
      <w:r>
        <w:rPr>
          <w:rFonts w:hint="eastAsia"/>
          <w:b/>
          <w:bCs/>
        </w:rPr>
        <w:t>4.可持续影响指标</w:t>
      </w:r>
    </w:p>
    <w:p>
      <w:pPr>
        <w:ind w:firstLine="560"/>
      </w:pPr>
      <w:r>
        <w:rPr>
          <w:rFonts w:hint="eastAsia"/>
        </w:rPr>
        <w:t>指标1：“农村电子商务业务增长率”指标，预期指标值为&gt;=20%，实际完成为20%。</w:t>
      </w:r>
    </w:p>
    <w:p>
      <w:pPr>
        <w:ind w:firstLine="560"/>
      </w:pPr>
      <w:r>
        <w:rPr>
          <w:rFonts w:hint="eastAsia"/>
        </w:rPr>
        <w:t>通过项目的实施，有助于占领市场份额，增加农村电商的业务量，提高农民的收入。</w:t>
      </w:r>
    </w:p>
    <w:p>
      <w:pPr>
        <w:ind w:firstLine="562"/>
      </w:pPr>
      <w:r>
        <w:rPr>
          <w:rFonts w:hint="eastAsia"/>
          <w:b/>
          <w:bCs/>
        </w:rPr>
        <w:t>综上，该项指标满分6分，得分6分。</w:t>
      </w:r>
    </w:p>
    <w:p>
      <w:pPr>
        <w:ind w:firstLine="562"/>
        <w:rPr>
          <w:b/>
          <w:bCs/>
        </w:rPr>
      </w:pPr>
      <w:r>
        <w:rPr>
          <w:rFonts w:hint="eastAsia"/>
          <w:b/>
          <w:bCs/>
        </w:rPr>
        <w:t>5.满意度指标</w:t>
      </w:r>
    </w:p>
    <w:p>
      <w:pPr>
        <w:ind w:firstLine="560"/>
        <w:rPr>
          <w:b/>
          <w:bCs/>
        </w:rPr>
      </w:pPr>
      <w:r>
        <w:rPr>
          <w:rFonts w:hint="eastAsia"/>
        </w:rPr>
        <w:t>指标1：“电商企业满意度”指标，预期指标值为&gt;=80%，实际完成为98%。</w:t>
      </w:r>
    </w:p>
    <w:p>
      <w:pPr>
        <w:ind w:firstLine="562"/>
        <w:rPr>
          <w:b/>
          <w:bCs/>
        </w:rPr>
      </w:pPr>
      <w:r>
        <w:rPr>
          <w:rFonts w:hint="eastAsia"/>
          <w:b/>
          <w:bCs/>
        </w:rPr>
        <w:t>综上，该项指标满分6分，得分6分。</w:t>
      </w:r>
    </w:p>
    <w:p>
      <w:pPr>
        <w:pStyle w:val="4"/>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ind w:firstLine="560"/>
      </w:pPr>
      <w:r>
        <w:rPr>
          <w:rFonts w:hint="eastAsia"/>
        </w:rPr>
        <w:t>奇台县2020年国家级电子商务进农村综合示范项目2022年预算数为594.00万元，截至2022年12月31日共支出592.76万元，预算执行率为99.79%。</w:t>
      </w:r>
    </w:p>
    <w:p>
      <w:pPr>
        <w:ind w:firstLine="560"/>
      </w:pPr>
      <w:r>
        <w:rPr>
          <w:rFonts w:hint="eastAsia"/>
        </w:rPr>
        <w:t>奇台县商务和工业信息化局建立健全了预算管理规章制度，各部门严格按预算编制的原则和要求做好当年预算编制工作，在预算绩效管理工作中，做到合理安排各项资金，重点保障基本支出，按轻重缓急顺序原则，优先安排了奇台县商务和工业信息化局事业发展中关系民生与稳定的项目，切实优化资源配置，提高了资金使用的效率和效果。</w:t>
      </w:r>
    </w:p>
    <w:bookmarkEnd w:id="12"/>
    <w:bookmarkEnd w:id="13"/>
    <w:p>
      <w:pPr>
        <w:ind w:firstLine="562"/>
        <w:rPr>
          <w:b/>
          <w:bCs/>
        </w:rPr>
      </w:pPr>
      <w:r>
        <w:rPr>
          <w:rFonts w:hint="eastAsia"/>
          <w:b/>
          <w:bCs/>
        </w:rPr>
        <w:t>（二）存在的问题及原因分析</w:t>
      </w:r>
    </w:p>
    <w:p>
      <w:pPr>
        <w:ind w:firstLine="562"/>
        <w:rPr>
          <w:b/>
          <w:bCs/>
        </w:rPr>
      </w:pPr>
      <w:r>
        <w:rPr>
          <w:rFonts w:hint="eastAsia"/>
          <w:b/>
          <w:bCs/>
        </w:rPr>
        <w:t>1.项目建设进度</w:t>
      </w:r>
    </w:p>
    <w:p>
      <w:pPr>
        <w:ind w:firstLine="560"/>
      </w:pPr>
      <w:r>
        <w:rPr>
          <w:rFonts w:hint="eastAsia"/>
        </w:rPr>
        <w:t>（1）项目建设进度：奇台县已基本完成电商公共服务中心、仓储物流分拨中心及乡村服务站点设定目标的建设，但运营效果还不明显。</w:t>
      </w:r>
    </w:p>
    <w:p>
      <w:pPr>
        <w:ind w:firstLine="560"/>
      </w:pPr>
      <w:r>
        <w:rPr>
          <w:rFonts w:hint="eastAsia"/>
        </w:rPr>
        <w:t>（2）资金拨付：奇台县电子商务进农村综合示范项目累计拨付专项资金598.76万元用于项目建设，资金拨付累计占总合同金额的59.88%，资金拨付率还需提高。</w:t>
      </w:r>
    </w:p>
    <w:p>
      <w:pPr>
        <w:ind w:firstLine="562"/>
        <w:rPr>
          <w:b/>
          <w:bCs/>
        </w:rPr>
      </w:pPr>
      <w:r>
        <w:rPr>
          <w:rFonts w:hint="eastAsia"/>
          <w:b/>
          <w:bCs/>
        </w:rPr>
        <w:t>2.建设与运行</w:t>
      </w:r>
      <w:bookmarkStart w:id="14" w:name="_GoBack"/>
      <w:bookmarkEnd w:id="14"/>
    </w:p>
    <w:p>
      <w:pPr>
        <w:ind w:firstLine="560"/>
      </w:pPr>
      <w:r>
        <w:rPr>
          <w:rFonts w:hint="eastAsia"/>
        </w:rPr>
        <w:t>（1）还需进一步完善乡村站点建设及服务功能。</w:t>
      </w:r>
    </w:p>
    <w:p>
      <w:pPr>
        <w:ind w:firstLine="560"/>
      </w:pPr>
      <w:r>
        <w:rPr>
          <w:rFonts w:hint="eastAsia"/>
        </w:rPr>
        <w:t>（2）三级商品物流体系建设中，乡村服务站点均为在建状态，站点人员运营情况还需加强。</w:t>
      </w:r>
    </w:p>
    <w:p>
      <w:pPr>
        <w:ind w:firstLine="560"/>
      </w:pPr>
      <w:r>
        <w:rPr>
          <w:rFonts w:hint="eastAsia"/>
        </w:rPr>
        <w:t>（3）农产品供应链及溯源体系中，需加快推进“二品一标”和溯源体系建设，积极推动农产品展销对接能力提升。</w:t>
      </w:r>
    </w:p>
    <w:p>
      <w:pPr>
        <w:ind w:firstLine="562"/>
        <w:rPr>
          <w:b/>
          <w:bCs/>
        </w:rPr>
      </w:pPr>
      <w:r>
        <w:rPr>
          <w:rFonts w:hint="eastAsia"/>
          <w:b/>
          <w:bCs/>
        </w:rPr>
        <w:t>3.项目管理</w:t>
      </w:r>
    </w:p>
    <w:p>
      <w:pPr>
        <w:ind w:firstLine="560"/>
      </w:pPr>
      <w:r>
        <w:rPr>
          <w:rFonts w:hint="eastAsia"/>
        </w:rPr>
        <w:t>（1）项目管理制度、检查监督机制还需完善，进一步加强对项目建设的指导和管理。</w:t>
      </w:r>
    </w:p>
    <w:p>
      <w:pPr>
        <w:ind w:firstLine="560"/>
      </w:pPr>
      <w:r>
        <w:rPr>
          <w:rFonts w:hint="eastAsia"/>
        </w:rPr>
        <w:t>（2）项目进度管理有待进一步完善，固定资产管理办法还需进一步完善。</w:t>
      </w:r>
    </w:p>
    <w:p>
      <w:pPr>
        <w:pStyle w:val="4"/>
        <w:spacing w:line="360" w:lineRule="auto"/>
        <w:ind w:firstLine="643"/>
        <w:rPr>
          <w:rFonts w:ascii="宋体" w:hAnsi="宋体" w:eastAsia="宋体"/>
          <w:b/>
          <w:bCs/>
        </w:rPr>
      </w:pPr>
      <w:r>
        <w:rPr>
          <w:rFonts w:hint="eastAsia" w:ascii="宋体" w:hAnsi="宋体" w:eastAsia="宋体"/>
          <w:b/>
          <w:bCs/>
        </w:rPr>
        <w:t>六、有关建议</w:t>
      </w:r>
    </w:p>
    <w:p>
      <w:pPr>
        <w:ind w:firstLine="560"/>
      </w:pPr>
      <w:r>
        <w:rPr>
          <w:rFonts w:hint="eastAsia"/>
        </w:rPr>
        <w:t>奇台县在深入推进电子商务进农村示范项目建设过程中，应严格按照实施方案所列工作目标进行，重点做好以下几个方面的工作：</w:t>
      </w:r>
    </w:p>
    <w:p>
      <w:pPr>
        <w:ind w:firstLine="560"/>
      </w:pPr>
      <w:r>
        <w:rPr>
          <w:rFonts w:hint="eastAsia"/>
        </w:rPr>
        <w:t>一是县乡村三级商品物流体系建设是示范项目建设的重要目标之一，建议学习本地区其他县的工作经验，尽快打通县乡村三级物流，与下行配送相结合，服务好乡镇村三级网点电商网点，促进三级电商服务站点良好开展工作，有序发展。</w:t>
      </w:r>
    </w:p>
    <w:p>
      <w:pPr>
        <w:ind w:firstLine="560"/>
      </w:pPr>
      <w:r>
        <w:rPr>
          <w:rFonts w:hint="eastAsia"/>
        </w:rPr>
        <w:t>二是进一步提升公共服务中心服务能力，完善技术支持、培训孵化、产品对接、品牌建设、金融信用和其他衍生增值服务水平。进一步完善乡村站点的建设和服务功能，建议细化电商扶贫措施，进一步明确责任单位、责任人及完成时限。</w:t>
      </w:r>
    </w:p>
    <w:p>
      <w:pPr>
        <w:ind w:firstLine="560"/>
      </w:pPr>
      <w:r>
        <w:rPr>
          <w:rFonts w:hint="eastAsia"/>
        </w:rPr>
        <w:t>三是严格执行中央财政专项资金使用规定，加快对承办企业财政资金使用的推进，严格按照商务部、财政部规定的支出范围使用资金，规范票据管理。</w:t>
      </w:r>
    </w:p>
    <w:p>
      <w:pPr>
        <w:ind w:firstLine="560"/>
      </w:pPr>
      <w:r>
        <w:rPr>
          <w:rFonts w:hint="eastAsia"/>
        </w:rPr>
        <w:t>四是</w:t>
      </w:r>
      <w:r>
        <w:rPr>
          <w:rFonts w:hint="eastAsia"/>
          <w:lang w:eastAsia="zh-Hans"/>
        </w:rPr>
        <w:t>加快建设进度，严格按照实施方案及实施计划执行</w:t>
      </w:r>
      <w:r>
        <w:rPr>
          <w:rFonts w:hint="eastAsia"/>
        </w:rPr>
        <w:t>。</w:t>
      </w:r>
    </w:p>
    <w:p>
      <w:pPr>
        <w:ind w:firstLine="560"/>
      </w:pPr>
      <w:r>
        <w:rPr>
          <w:rFonts w:hint="eastAsia"/>
        </w:rPr>
        <w:t>五是</w:t>
      </w:r>
      <w:r>
        <w:rPr>
          <w:rFonts w:hint="eastAsia"/>
          <w:lang w:eastAsia="zh-Hans"/>
        </w:rPr>
        <w:t>加快农产品质量溯源体系建设，公共品牌推广，深入挖掘县域产业特色，带动一批农产品网络销售，并鼓励市场竞争合作，做大专业合作社，做强网络品牌；鼓励农特产品精深加工，提高附加值。</w:t>
      </w:r>
    </w:p>
    <w:p>
      <w:pPr>
        <w:pStyle w:val="4"/>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1"/>
        <w:tblW w:w="10259" w:type="dxa"/>
        <w:jc w:val="center"/>
        <w:tblInd w:w="0" w:type="dxa"/>
        <w:tblLayout w:type="fixed"/>
        <w:tblCellMar>
          <w:top w:w="0" w:type="dxa"/>
          <w:left w:w="108" w:type="dxa"/>
          <w:bottom w:w="0" w:type="dxa"/>
          <w:right w:w="108" w:type="dxa"/>
        </w:tblCellMar>
      </w:tblPr>
      <w:tblGrid>
        <w:gridCol w:w="491"/>
        <w:gridCol w:w="850"/>
        <w:gridCol w:w="1088"/>
        <w:gridCol w:w="981"/>
        <w:gridCol w:w="1081"/>
        <w:gridCol w:w="53"/>
        <w:gridCol w:w="1027"/>
        <w:gridCol w:w="1033"/>
        <w:gridCol w:w="208"/>
        <w:gridCol w:w="284"/>
        <w:gridCol w:w="425"/>
        <w:gridCol w:w="301"/>
        <w:gridCol w:w="550"/>
        <w:gridCol w:w="1887"/>
      </w:tblGrid>
      <w:tr>
        <w:tblPrEx>
          <w:tblLayout w:type="fixed"/>
          <w:tblCellMar>
            <w:top w:w="0" w:type="dxa"/>
            <w:left w:w="108" w:type="dxa"/>
            <w:bottom w:w="0" w:type="dxa"/>
            <w:right w:w="108" w:type="dxa"/>
          </w:tblCellMar>
        </w:tblPrEx>
        <w:trPr>
          <w:trHeight w:val="454" w:hRule="exact"/>
          <w:jc w:val="center"/>
        </w:trPr>
        <w:tc>
          <w:tcPr>
            <w:tcW w:w="10259"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trHeight w:val="201" w:hRule="atLeast"/>
          <w:jc w:val="center"/>
        </w:trPr>
        <w:tc>
          <w:tcPr>
            <w:tcW w:w="10259"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（2022年度）</w:t>
            </w:r>
          </w:p>
        </w:tc>
      </w:tr>
      <w:tr>
        <w:tblPrEx>
          <w:tblLayout w:type="fixed"/>
          <w:tblCellMar>
            <w:top w:w="0" w:type="dxa"/>
            <w:left w:w="108" w:type="dxa"/>
            <w:bottom w:w="0" w:type="dxa"/>
            <w:right w:w="108" w:type="dxa"/>
          </w:tblCellMar>
        </w:tblPrEx>
        <w:trPr>
          <w:trHeight w:val="300" w:hRule="exact"/>
          <w:jc w:val="center"/>
        </w:trPr>
        <w:tc>
          <w:tcPr>
            <w:tcW w:w="13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8918"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奇台县2020年国家级电子商务进农村综合示范项目</w:t>
            </w:r>
          </w:p>
        </w:tc>
      </w:tr>
      <w:tr>
        <w:tblPrEx>
          <w:tblLayout w:type="fixed"/>
          <w:tblCellMar>
            <w:top w:w="0" w:type="dxa"/>
            <w:left w:w="108" w:type="dxa"/>
            <w:bottom w:w="0" w:type="dxa"/>
            <w:right w:w="108" w:type="dxa"/>
          </w:tblCellMar>
        </w:tblPrEx>
        <w:trPr>
          <w:trHeight w:val="300" w:hRule="exact"/>
          <w:jc w:val="center"/>
        </w:trPr>
        <w:tc>
          <w:tcPr>
            <w:tcW w:w="13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23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国家商务部、自治区商务厅、财政厅</w:t>
            </w:r>
          </w:p>
        </w:tc>
        <w:tc>
          <w:tcPr>
            <w:tcW w:w="124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3447"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奇台县商务和工业信息化局</w:t>
            </w:r>
          </w:p>
        </w:tc>
      </w:tr>
      <w:tr>
        <w:tblPrEx>
          <w:tblLayout w:type="fixed"/>
          <w:tblCellMar>
            <w:top w:w="0" w:type="dxa"/>
            <w:left w:w="108" w:type="dxa"/>
            <w:bottom w:w="0" w:type="dxa"/>
            <w:right w:w="108" w:type="dxa"/>
          </w:tblCellMar>
        </w:tblPrEx>
        <w:trPr>
          <w:trHeight w:val="300" w:hRule="exact"/>
          <w:jc w:val="center"/>
        </w:trPr>
        <w:tc>
          <w:tcPr>
            <w:tcW w:w="13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206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02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24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188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02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594</w:t>
            </w:r>
          </w:p>
        </w:tc>
        <w:tc>
          <w:tcPr>
            <w:tcW w:w="124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592.76</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99.79%</w:t>
            </w:r>
          </w:p>
        </w:tc>
        <w:tc>
          <w:tcPr>
            <w:tcW w:w="188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9.97</w:t>
            </w:r>
          </w:p>
        </w:tc>
      </w:tr>
      <w:tr>
        <w:tblPrEx>
          <w:tblLayout w:type="fixed"/>
          <w:tblCellMar>
            <w:top w:w="0" w:type="dxa"/>
            <w:left w:w="108" w:type="dxa"/>
            <w:bottom w:w="0" w:type="dxa"/>
            <w:right w:w="108" w:type="dxa"/>
          </w:tblCellMar>
        </w:tblPrEx>
        <w:trPr>
          <w:trHeight w:val="300" w:hRule="exac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02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594</w:t>
            </w:r>
          </w:p>
        </w:tc>
        <w:tc>
          <w:tcPr>
            <w:tcW w:w="124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592.76</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88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02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24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88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3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02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241"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887"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491"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8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4688"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3278" w:hRule="exact"/>
          <w:jc w:val="center"/>
        </w:trPr>
        <w:tc>
          <w:tcPr>
            <w:tcW w:w="491"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80" w:type="dxa"/>
            <w:gridSpan w:val="6"/>
            <w:tcBorders>
              <w:top w:val="single" w:color="auto" w:sz="4" w:space="0"/>
              <w:left w:val="nil"/>
              <w:bottom w:val="single" w:color="auto" w:sz="4" w:space="0"/>
              <w:right w:val="single" w:color="auto" w:sz="4" w:space="0"/>
            </w:tcBorders>
            <w:vAlign w:val="center"/>
          </w:tcPr>
          <w:p>
            <w:pPr>
              <w:spacing w:line="240" w:lineRule="auto"/>
              <w:ind w:firstLine="0" w:firstLineChars="0"/>
              <w:jc w:val="left"/>
              <w:rPr>
                <w:sz w:val="18"/>
                <w:szCs w:val="18"/>
              </w:rPr>
            </w:pPr>
            <w:r>
              <w:rPr>
                <w:rFonts w:hint="eastAsia"/>
                <w:sz w:val="18"/>
                <w:szCs w:val="18"/>
              </w:rPr>
              <w:t>在奇台县打造电子商务公共服务中心，在农村电子商务在农产品上行、带动脱贫户就业增收、便民服务等方面取得有效进展，农村流通现代化水平明显提升，农产品网络零售额显著增长，扩大农村消费，助力乡村振兴。</w:t>
            </w:r>
          </w:p>
        </w:tc>
        <w:tc>
          <w:tcPr>
            <w:tcW w:w="4688"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截止2022年底，本项目实际完成乡村电子商务服务站点49个，建成1700平米的农村电子商务公共服务中心，打造了1个1087平米的县级仓储物流分拨配送中心，对返乡大学生、电商爱好者开展电子商务政策、直播带货、实操等各类培训人数达2000人以上，乡村站点电子商务服务点建设数1个，采购设施设备种类4个，电子商务公共服务中心验收合格率100%，服务中心装修203万元，设计费7.8万元，设备购置84.5万元，农产品网络零售额同比增长20%，电商服务站点在行政村覆盖率50%，引导企业入驻率80%，农村电子商务业务增长率20%，电商企业满意度98%农村电子商务在农产品上行、带动脱贫户就业增收、便民服务等方面取得有效进展，农村流通现代化水平明显提升，农产品网络零售额显著增长。</w:t>
            </w:r>
          </w:p>
        </w:tc>
      </w:tr>
      <w:tr>
        <w:tblPrEx>
          <w:tblLayout w:type="fixed"/>
          <w:tblCellMar>
            <w:top w:w="0" w:type="dxa"/>
            <w:left w:w="108" w:type="dxa"/>
            <w:bottom w:w="0" w:type="dxa"/>
            <w:right w:w="108" w:type="dxa"/>
          </w:tblCellMar>
        </w:tblPrEx>
        <w:trPr>
          <w:trHeight w:val="533" w:hRule="exact"/>
          <w:jc w:val="center"/>
        </w:trPr>
        <w:tc>
          <w:tcPr>
            <w:tcW w:w="491"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08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562"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0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指标1：乡村站点电子商务服务点建设数</w:t>
            </w:r>
          </w:p>
        </w:tc>
        <w:tc>
          <w:tcPr>
            <w:tcW w:w="1080" w:type="dxa"/>
            <w:gridSpan w:val="2"/>
            <w:tcBorders>
              <w:top w:val="nil"/>
              <w:left w:val="nil"/>
              <w:bottom w:val="single" w:color="auto" w:sz="4" w:space="0"/>
              <w:right w:val="single" w:color="auto" w:sz="4" w:space="0"/>
            </w:tcBorders>
            <w:vAlign w:val="center"/>
          </w:tcPr>
          <w:p>
            <w:pPr>
              <w:widowControl/>
              <w:ind w:firstLine="0" w:firstLineChars="0"/>
              <w:jc w:val="center"/>
              <w:textAlignment w:val="center"/>
              <w:rPr>
                <w:kern w:val="0"/>
                <w:sz w:val="11"/>
                <w:szCs w:val="11"/>
              </w:rPr>
            </w:pPr>
            <w:r>
              <w:rPr>
                <w:rFonts w:hint="eastAsia"/>
                <w:kern w:val="0"/>
                <w:sz w:val="16"/>
                <w:szCs w:val="16"/>
                <w:lang w:bidi="ar"/>
              </w:rPr>
              <w:t>=1个</w:t>
            </w:r>
          </w:p>
        </w:tc>
        <w:tc>
          <w:tcPr>
            <w:tcW w:w="1033" w:type="dxa"/>
            <w:tcBorders>
              <w:top w:val="nil"/>
              <w:left w:val="nil"/>
              <w:bottom w:val="single" w:color="auto" w:sz="4" w:space="0"/>
              <w:right w:val="single" w:color="auto" w:sz="4" w:space="0"/>
            </w:tcBorders>
            <w:vAlign w:val="center"/>
          </w:tcPr>
          <w:p>
            <w:pPr>
              <w:widowControl/>
              <w:ind w:firstLine="0" w:firstLineChars="0"/>
              <w:jc w:val="center"/>
              <w:textAlignment w:val="center"/>
              <w:rPr>
                <w:kern w:val="0"/>
                <w:sz w:val="11"/>
                <w:szCs w:val="11"/>
              </w:rPr>
            </w:pPr>
            <w:r>
              <w:rPr>
                <w:rFonts w:hint="eastAsia"/>
                <w:kern w:val="0"/>
                <w:sz w:val="16"/>
                <w:szCs w:val="16"/>
                <w:lang w:bidi="ar"/>
              </w:rPr>
              <w:t>=1个</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63"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指标2：建设农村电子商务公共服务中心</w:t>
            </w:r>
          </w:p>
        </w:tc>
        <w:tc>
          <w:tcPr>
            <w:tcW w:w="1080" w:type="dxa"/>
            <w:gridSpan w:val="2"/>
            <w:tcBorders>
              <w:top w:val="nil"/>
              <w:left w:val="nil"/>
              <w:bottom w:val="single" w:color="auto" w:sz="4" w:space="0"/>
              <w:right w:val="single" w:color="auto" w:sz="4" w:space="0"/>
            </w:tcBorders>
            <w:vAlign w:val="center"/>
          </w:tcPr>
          <w:p>
            <w:pPr>
              <w:widowControl/>
              <w:ind w:firstLine="0" w:firstLineChars="0"/>
              <w:textAlignment w:val="center"/>
              <w:rPr>
                <w:kern w:val="0"/>
                <w:sz w:val="11"/>
                <w:szCs w:val="11"/>
              </w:rPr>
            </w:pPr>
            <w:r>
              <w:rPr>
                <w:rFonts w:hint="eastAsia"/>
                <w:kern w:val="0"/>
                <w:sz w:val="16"/>
                <w:szCs w:val="16"/>
                <w:lang w:bidi="ar"/>
              </w:rPr>
              <w:t>&gt;=500平米</w:t>
            </w:r>
          </w:p>
        </w:tc>
        <w:tc>
          <w:tcPr>
            <w:tcW w:w="1033" w:type="dxa"/>
            <w:tcBorders>
              <w:top w:val="nil"/>
              <w:left w:val="nil"/>
              <w:bottom w:val="single" w:color="auto" w:sz="4" w:space="0"/>
              <w:right w:val="single" w:color="auto" w:sz="4" w:space="0"/>
            </w:tcBorders>
            <w:vAlign w:val="center"/>
          </w:tcPr>
          <w:p>
            <w:pPr>
              <w:widowControl/>
              <w:ind w:firstLine="0" w:firstLineChars="0"/>
              <w:jc w:val="center"/>
              <w:textAlignment w:val="center"/>
              <w:rPr>
                <w:kern w:val="0"/>
                <w:sz w:val="11"/>
                <w:szCs w:val="11"/>
              </w:rPr>
            </w:pPr>
            <w:r>
              <w:rPr>
                <w:rFonts w:hint="eastAsia"/>
                <w:kern w:val="0"/>
                <w:sz w:val="16"/>
                <w:szCs w:val="16"/>
                <w:lang w:bidi="ar"/>
              </w:rPr>
              <w:t>=500平米</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87"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指标3：采购设施设备种类</w:t>
            </w:r>
          </w:p>
        </w:tc>
        <w:tc>
          <w:tcPr>
            <w:tcW w:w="1080" w:type="dxa"/>
            <w:gridSpan w:val="2"/>
            <w:tcBorders>
              <w:top w:val="nil"/>
              <w:left w:val="nil"/>
              <w:bottom w:val="single" w:color="auto" w:sz="4" w:space="0"/>
              <w:right w:val="single" w:color="auto" w:sz="4" w:space="0"/>
            </w:tcBorders>
            <w:vAlign w:val="center"/>
          </w:tcPr>
          <w:p>
            <w:pPr>
              <w:widowControl/>
              <w:ind w:firstLine="0" w:firstLineChars="0"/>
              <w:jc w:val="center"/>
              <w:textAlignment w:val="center"/>
              <w:rPr>
                <w:kern w:val="0"/>
                <w:sz w:val="11"/>
                <w:szCs w:val="11"/>
              </w:rPr>
            </w:pPr>
            <w:r>
              <w:rPr>
                <w:rFonts w:hint="eastAsia"/>
                <w:kern w:val="0"/>
                <w:sz w:val="16"/>
                <w:szCs w:val="16"/>
                <w:lang w:bidi="ar"/>
              </w:rPr>
              <w:t>&gt;=4个</w:t>
            </w:r>
          </w:p>
        </w:tc>
        <w:tc>
          <w:tcPr>
            <w:tcW w:w="1033" w:type="dxa"/>
            <w:tcBorders>
              <w:top w:val="nil"/>
              <w:left w:val="nil"/>
              <w:bottom w:val="single" w:color="auto" w:sz="4" w:space="0"/>
              <w:right w:val="single" w:color="auto" w:sz="4" w:space="0"/>
            </w:tcBorders>
            <w:vAlign w:val="center"/>
          </w:tcPr>
          <w:p>
            <w:pPr>
              <w:widowControl/>
              <w:ind w:firstLine="0" w:firstLineChars="0"/>
              <w:jc w:val="center"/>
              <w:textAlignment w:val="center"/>
              <w:rPr>
                <w:kern w:val="0"/>
                <w:sz w:val="11"/>
                <w:szCs w:val="11"/>
              </w:rPr>
            </w:pPr>
            <w:r>
              <w:rPr>
                <w:rFonts w:hint="eastAsia"/>
                <w:kern w:val="0"/>
                <w:sz w:val="16"/>
                <w:szCs w:val="16"/>
                <w:lang w:bidi="ar"/>
              </w:rPr>
              <w:t>=4个</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88"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指标1：电子商务公共服务中心验收合格率</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&gt;=100%</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50"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06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指标1：电子商务公共服务中心建设完成时间</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rPr>
            </w:pPr>
            <w:r>
              <w:rPr>
                <w:rFonts w:hint="eastAsia"/>
                <w:kern w:val="0"/>
                <w:sz w:val="15"/>
                <w:szCs w:val="15"/>
              </w:rPr>
              <w:t>2022年12月</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5"/>
                <w:szCs w:val="15"/>
              </w:rPr>
            </w:pPr>
            <w:r>
              <w:rPr>
                <w:rFonts w:hint="eastAsia"/>
                <w:kern w:val="0"/>
                <w:sz w:val="15"/>
                <w:szCs w:val="15"/>
              </w:rPr>
              <w:t>=2022年12月</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206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指标1：服务中心装修</w:t>
            </w:r>
          </w:p>
        </w:tc>
        <w:tc>
          <w:tcPr>
            <w:tcW w:w="1080" w:type="dxa"/>
            <w:gridSpan w:val="2"/>
            <w:tcBorders>
              <w:top w:val="nil"/>
              <w:left w:val="nil"/>
              <w:bottom w:val="single" w:color="auto" w:sz="4" w:space="0"/>
              <w:right w:val="single" w:color="auto" w:sz="4" w:space="0"/>
            </w:tcBorders>
            <w:vAlign w:val="center"/>
          </w:tcPr>
          <w:p>
            <w:pPr>
              <w:widowControl/>
              <w:spacing w:line="240" w:lineRule="auto"/>
              <w:ind w:firstLine="0" w:firstLineChars="0"/>
              <w:jc w:val="center"/>
              <w:textAlignment w:val="center"/>
              <w:rPr>
                <w:kern w:val="0"/>
                <w:sz w:val="10"/>
                <w:szCs w:val="10"/>
              </w:rPr>
            </w:pPr>
            <w:r>
              <w:rPr>
                <w:rFonts w:hint="eastAsia"/>
                <w:kern w:val="0"/>
                <w:sz w:val="15"/>
                <w:szCs w:val="15"/>
                <w:lang w:bidi="ar"/>
              </w:rPr>
              <w:t>=203万元</w:t>
            </w:r>
          </w:p>
        </w:tc>
        <w:tc>
          <w:tcPr>
            <w:tcW w:w="1033" w:type="dxa"/>
            <w:tcBorders>
              <w:top w:val="nil"/>
              <w:left w:val="nil"/>
              <w:bottom w:val="single" w:color="auto" w:sz="4" w:space="0"/>
              <w:right w:val="single" w:color="auto" w:sz="4" w:space="0"/>
            </w:tcBorders>
            <w:vAlign w:val="center"/>
          </w:tcPr>
          <w:p>
            <w:pPr>
              <w:widowControl/>
              <w:spacing w:line="240" w:lineRule="auto"/>
              <w:ind w:firstLine="0" w:firstLineChars="0"/>
              <w:jc w:val="center"/>
              <w:textAlignment w:val="center"/>
              <w:rPr>
                <w:kern w:val="0"/>
                <w:sz w:val="10"/>
                <w:szCs w:val="10"/>
              </w:rPr>
            </w:pPr>
            <w:r>
              <w:rPr>
                <w:rFonts w:hint="eastAsia"/>
                <w:kern w:val="0"/>
                <w:sz w:val="15"/>
                <w:szCs w:val="15"/>
                <w:lang w:bidi="ar"/>
              </w:rPr>
              <w:t>=203万元</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指标2：设计费</w:t>
            </w:r>
          </w:p>
        </w:tc>
        <w:tc>
          <w:tcPr>
            <w:tcW w:w="1080" w:type="dxa"/>
            <w:gridSpan w:val="2"/>
            <w:tcBorders>
              <w:top w:val="nil"/>
              <w:left w:val="nil"/>
              <w:bottom w:val="single" w:color="auto" w:sz="4" w:space="0"/>
              <w:right w:val="single" w:color="auto" w:sz="4" w:space="0"/>
            </w:tcBorders>
            <w:vAlign w:val="center"/>
          </w:tcPr>
          <w:p>
            <w:pPr>
              <w:widowControl/>
              <w:spacing w:line="240" w:lineRule="auto"/>
              <w:ind w:firstLine="0" w:firstLineChars="0"/>
              <w:jc w:val="center"/>
              <w:textAlignment w:val="center"/>
              <w:rPr>
                <w:kern w:val="0"/>
                <w:sz w:val="10"/>
                <w:szCs w:val="10"/>
              </w:rPr>
            </w:pPr>
            <w:r>
              <w:rPr>
                <w:rFonts w:hint="eastAsia"/>
                <w:kern w:val="0"/>
                <w:sz w:val="15"/>
                <w:szCs w:val="15"/>
                <w:lang w:bidi="ar"/>
              </w:rPr>
              <w:t>&lt;=7.80万元</w:t>
            </w:r>
          </w:p>
        </w:tc>
        <w:tc>
          <w:tcPr>
            <w:tcW w:w="1033" w:type="dxa"/>
            <w:tcBorders>
              <w:top w:val="nil"/>
              <w:left w:val="nil"/>
              <w:bottom w:val="single" w:color="auto" w:sz="4" w:space="0"/>
              <w:right w:val="single" w:color="auto" w:sz="4" w:space="0"/>
            </w:tcBorders>
            <w:vAlign w:val="center"/>
          </w:tcPr>
          <w:p>
            <w:pPr>
              <w:widowControl/>
              <w:spacing w:line="240" w:lineRule="auto"/>
              <w:ind w:firstLine="0" w:firstLineChars="0"/>
              <w:jc w:val="center"/>
              <w:textAlignment w:val="center"/>
              <w:rPr>
                <w:kern w:val="0"/>
                <w:sz w:val="10"/>
                <w:szCs w:val="10"/>
              </w:rPr>
            </w:pPr>
            <w:r>
              <w:rPr>
                <w:rFonts w:hint="eastAsia"/>
                <w:kern w:val="0"/>
                <w:sz w:val="15"/>
                <w:szCs w:val="15"/>
                <w:lang w:bidi="ar"/>
              </w:rPr>
              <w:t>=7.80万元</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607"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指标3：设备购置</w:t>
            </w:r>
          </w:p>
        </w:tc>
        <w:tc>
          <w:tcPr>
            <w:tcW w:w="1080" w:type="dxa"/>
            <w:gridSpan w:val="2"/>
            <w:tcBorders>
              <w:top w:val="nil"/>
              <w:left w:val="nil"/>
              <w:bottom w:val="single" w:color="auto" w:sz="4" w:space="0"/>
              <w:right w:val="single" w:color="auto" w:sz="4" w:space="0"/>
            </w:tcBorders>
            <w:vAlign w:val="center"/>
          </w:tcPr>
          <w:p>
            <w:pPr>
              <w:widowControl/>
              <w:spacing w:line="240" w:lineRule="auto"/>
              <w:ind w:firstLine="0" w:firstLineChars="0"/>
              <w:jc w:val="center"/>
              <w:textAlignment w:val="center"/>
              <w:rPr>
                <w:kern w:val="0"/>
                <w:sz w:val="10"/>
                <w:szCs w:val="10"/>
              </w:rPr>
            </w:pPr>
            <w:r>
              <w:rPr>
                <w:rFonts w:hint="eastAsia"/>
                <w:kern w:val="0"/>
                <w:sz w:val="15"/>
                <w:szCs w:val="15"/>
                <w:lang w:bidi="ar"/>
              </w:rPr>
              <w:t>&lt;=84.50万元</w:t>
            </w:r>
          </w:p>
        </w:tc>
        <w:tc>
          <w:tcPr>
            <w:tcW w:w="1033" w:type="dxa"/>
            <w:tcBorders>
              <w:top w:val="nil"/>
              <w:left w:val="nil"/>
              <w:bottom w:val="single" w:color="auto" w:sz="4" w:space="0"/>
              <w:right w:val="single" w:color="auto" w:sz="4" w:space="0"/>
            </w:tcBorders>
            <w:vAlign w:val="center"/>
          </w:tcPr>
          <w:p>
            <w:pPr>
              <w:widowControl/>
              <w:spacing w:line="240" w:lineRule="auto"/>
              <w:ind w:firstLine="0" w:firstLineChars="0"/>
              <w:jc w:val="center"/>
              <w:textAlignment w:val="center"/>
              <w:rPr>
                <w:kern w:val="0"/>
                <w:sz w:val="10"/>
                <w:szCs w:val="10"/>
              </w:rPr>
            </w:pPr>
            <w:r>
              <w:rPr>
                <w:rFonts w:hint="eastAsia"/>
                <w:kern w:val="0"/>
                <w:sz w:val="15"/>
                <w:szCs w:val="15"/>
                <w:lang w:bidi="ar"/>
              </w:rPr>
              <w:t>=84.50万元</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613"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0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经济效益指标</w:t>
            </w: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指标1：农产品网络零售额同比增长</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&gt;=20%</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3"/>
                <w:szCs w:val="13"/>
              </w:rPr>
            </w:pPr>
          </w:p>
        </w:tc>
      </w:tr>
      <w:tr>
        <w:tblPrEx>
          <w:tblLayout w:type="fixed"/>
          <w:tblCellMar>
            <w:top w:w="0" w:type="dxa"/>
            <w:left w:w="108" w:type="dxa"/>
            <w:bottom w:w="0" w:type="dxa"/>
            <w:right w:w="108" w:type="dxa"/>
          </w:tblCellMar>
        </w:tblPrEx>
        <w:trPr>
          <w:trHeight w:val="562"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社会效益指标</w:t>
            </w: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指标1：电商服务站点在行政村覆盖率</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&gt;=50%</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=50%</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指标2：引导企业入驻率</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&gt;=80%</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=80%</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62"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0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指标1：农村电子商务业务增长率</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&gt;=20%</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=20%</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13" w:hRule="exact"/>
          <w:jc w:val="center"/>
        </w:trPr>
        <w:tc>
          <w:tcPr>
            <w:tcW w:w="491"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85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0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06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指标1：电商企业满意度</w:t>
            </w:r>
          </w:p>
        </w:tc>
        <w:tc>
          <w:tcPr>
            <w:tcW w:w="1080"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&gt;=80%</w:t>
            </w:r>
          </w:p>
        </w:tc>
        <w:tc>
          <w:tcPr>
            <w:tcW w:w="1033"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=80%</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727" w:hRule="exact"/>
          <w:jc w:val="center"/>
        </w:trPr>
        <w:tc>
          <w:tcPr>
            <w:tcW w:w="660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492"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26"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99.97</w:t>
            </w:r>
          </w:p>
        </w:tc>
        <w:tc>
          <w:tcPr>
            <w:tcW w:w="243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3"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11</w:t>
            </w:r>
          </w:p>
        </w:tc>
        <w:tc>
          <w:tcPr>
            <w:tcW w:w="769"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4</w:t>
            </w:r>
          </w:p>
        </w:tc>
        <w:tc>
          <w:tcPr>
            <w:tcW w:w="769"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3</w:t>
            </w:r>
          </w:p>
        </w:tc>
        <w:tc>
          <w:tcPr>
            <w:tcW w:w="769"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12</w:t>
            </w:r>
          </w:p>
        </w:tc>
        <w:tc>
          <w:tcPr>
            <w:tcW w:w="769"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24</w:t>
            </w:r>
          </w:p>
        </w:tc>
        <w:tc>
          <w:tcPr>
            <w:tcW w:w="769"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6</w:t>
            </w:r>
          </w:p>
        </w:tc>
        <w:tc>
          <w:tcPr>
            <w:tcW w:w="769" w:type="dxa"/>
            <w:shd w:val="clear" w:color="000000" w:fill="FFFFFF"/>
            <w:vAlign w:val="center"/>
          </w:tcPr>
          <w:p>
            <w:pPr>
              <w:widowControl/>
              <w:spacing w:line="0" w:lineRule="atLeast"/>
              <w:ind w:firstLine="0" w:firstLineChars="0"/>
              <w:jc w:val="center"/>
              <w:rPr>
                <w:kern w:val="0"/>
                <w:sz w:val="22"/>
                <w:szCs w:val="22"/>
              </w:rPr>
            </w:pPr>
            <w:r>
              <w:rPr>
                <w:rFonts w:hint="eastAsia"/>
                <w:kern w:val="0"/>
                <w:sz w:val="22"/>
                <w:szCs w:val="22"/>
              </w:rPr>
              <w:t>6</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74CFE"/>
    <w:rsid w:val="00386F33"/>
    <w:rsid w:val="005C250A"/>
    <w:rsid w:val="00C3663C"/>
    <w:rsid w:val="00CB6869"/>
    <w:rsid w:val="00D52912"/>
    <w:rsid w:val="01287A3C"/>
    <w:rsid w:val="0137136E"/>
    <w:rsid w:val="014223F8"/>
    <w:rsid w:val="01470C4C"/>
    <w:rsid w:val="01681C48"/>
    <w:rsid w:val="019021FB"/>
    <w:rsid w:val="019F6792"/>
    <w:rsid w:val="02200440"/>
    <w:rsid w:val="02284B43"/>
    <w:rsid w:val="02695D32"/>
    <w:rsid w:val="02B015E2"/>
    <w:rsid w:val="02D71E40"/>
    <w:rsid w:val="02E123B4"/>
    <w:rsid w:val="02EF6CBC"/>
    <w:rsid w:val="03217E49"/>
    <w:rsid w:val="03786948"/>
    <w:rsid w:val="038A7D6D"/>
    <w:rsid w:val="039C3BA0"/>
    <w:rsid w:val="03A327F0"/>
    <w:rsid w:val="03A845BB"/>
    <w:rsid w:val="03E37C17"/>
    <w:rsid w:val="03EC63E1"/>
    <w:rsid w:val="043D3291"/>
    <w:rsid w:val="044B2C3E"/>
    <w:rsid w:val="04B509BB"/>
    <w:rsid w:val="04D63993"/>
    <w:rsid w:val="053E33E3"/>
    <w:rsid w:val="054415DE"/>
    <w:rsid w:val="0564395B"/>
    <w:rsid w:val="057A3D06"/>
    <w:rsid w:val="058B5074"/>
    <w:rsid w:val="05A2274D"/>
    <w:rsid w:val="05CD6999"/>
    <w:rsid w:val="062D42FE"/>
    <w:rsid w:val="065136C7"/>
    <w:rsid w:val="06AD7A2C"/>
    <w:rsid w:val="06F5476A"/>
    <w:rsid w:val="071550B3"/>
    <w:rsid w:val="07890F4F"/>
    <w:rsid w:val="07D762BB"/>
    <w:rsid w:val="07E40D9F"/>
    <w:rsid w:val="080F6560"/>
    <w:rsid w:val="084A0107"/>
    <w:rsid w:val="086F679E"/>
    <w:rsid w:val="087A4592"/>
    <w:rsid w:val="08802D3B"/>
    <w:rsid w:val="089420E5"/>
    <w:rsid w:val="08B01FFB"/>
    <w:rsid w:val="08F372DC"/>
    <w:rsid w:val="094251BF"/>
    <w:rsid w:val="094F4676"/>
    <w:rsid w:val="096601A7"/>
    <w:rsid w:val="09781BD6"/>
    <w:rsid w:val="098A65C1"/>
    <w:rsid w:val="099A5BEB"/>
    <w:rsid w:val="09B56747"/>
    <w:rsid w:val="09DC571D"/>
    <w:rsid w:val="0A04483F"/>
    <w:rsid w:val="0A0461AC"/>
    <w:rsid w:val="0A8B2A7E"/>
    <w:rsid w:val="0B1B37BF"/>
    <w:rsid w:val="0B4F6424"/>
    <w:rsid w:val="0B503381"/>
    <w:rsid w:val="0B60490E"/>
    <w:rsid w:val="0B8121ED"/>
    <w:rsid w:val="0B9C06A3"/>
    <w:rsid w:val="0C253FD7"/>
    <w:rsid w:val="0C3036CE"/>
    <w:rsid w:val="0C435971"/>
    <w:rsid w:val="0CD21D7D"/>
    <w:rsid w:val="0CD674A3"/>
    <w:rsid w:val="0CE8184E"/>
    <w:rsid w:val="0CF30A61"/>
    <w:rsid w:val="0D4452F3"/>
    <w:rsid w:val="0DCE540B"/>
    <w:rsid w:val="0DD64A14"/>
    <w:rsid w:val="0DE01532"/>
    <w:rsid w:val="0E0B7BB7"/>
    <w:rsid w:val="0E381C51"/>
    <w:rsid w:val="0E5B776A"/>
    <w:rsid w:val="0E897146"/>
    <w:rsid w:val="0E95695C"/>
    <w:rsid w:val="0EA17062"/>
    <w:rsid w:val="0EE31161"/>
    <w:rsid w:val="0F2245D6"/>
    <w:rsid w:val="0F2D286D"/>
    <w:rsid w:val="0F5E5042"/>
    <w:rsid w:val="0F657B0B"/>
    <w:rsid w:val="10510571"/>
    <w:rsid w:val="109A1221"/>
    <w:rsid w:val="10B24194"/>
    <w:rsid w:val="10C031F7"/>
    <w:rsid w:val="10E167F5"/>
    <w:rsid w:val="10E4695B"/>
    <w:rsid w:val="11606C3E"/>
    <w:rsid w:val="11667CD4"/>
    <w:rsid w:val="11D64932"/>
    <w:rsid w:val="11FA6155"/>
    <w:rsid w:val="11FE36D1"/>
    <w:rsid w:val="121141D9"/>
    <w:rsid w:val="12176EE8"/>
    <w:rsid w:val="121D584E"/>
    <w:rsid w:val="124C39E6"/>
    <w:rsid w:val="124C4C71"/>
    <w:rsid w:val="127E5500"/>
    <w:rsid w:val="12B3344D"/>
    <w:rsid w:val="12CF0947"/>
    <w:rsid w:val="12EE0E22"/>
    <w:rsid w:val="12F1313F"/>
    <w:rsid w:val="12F1589D"/>
    <w:rsid w:val="13284B6B"/>
    <w:rsid w:val="135639F6"/>
    <w:rsid w:val="136C678E"/>
    <w:rsid w:val="137C7496"/>
    <w:rsid w:val="138E6BBB"/>
    <w:rsid w:val="13B20284"/>
    <w:rsid w:val="13E04D67"/>
    <w:rsid w:val="13EB2FF5"/>
    <w:rsid w:val="13EB32C4"/>
    <w:rsid w:val="13EB5A5C"/>
    <w:rsid w:val="14006BB2"/>
    <w:rsid w:val="14432363"/>
    <w:rsid w:val="160643B5"/>
    <w:rsid w:val="160C5D22"/>
    <w:rsid w:val="162012C4"/>
    <w:rsid w:val="165825BC"/>
    <w:rsid w:val="16973DAD"/>
    <w:rsid w:val="16FE0A5B"/>
    <w:rsid w:val="17515DD6"/>
    <w:rsid w:val="176F36D7"/>
    <w:rsid w:val="177D7F15"/>
    <w:rsid w:val="17891D64"/>
    <w:rsid w:val="17914EA9"/>
    <w:rsid w:val="17B96DE9"/>
    <w:rsid w:val="17CA66C2"/>
    <w:rsid w:val="18456B1E"/>
    <w:rsid w:val="184F2B61"/>
    <w:rsid w:val="189737EC"/>
    <w:rsid w:val="18FD22C8"/>
    <w:rsid w:val="192527E8"/>
    <w:rsid w:val="19505F5A"/>
    <w:rsid w:val="195B161A"/>
    <w:rsid w:val="196A5227"/>
    <w:rsid w:val="19CB0F5B"/>
    <w:rsid w:val="19CF7B36"/>
    <w:rsid w:val="1A106D3D"/>
    <w:rsid w:val="1A2225B9"/>
    <w:rsid w:val="1A32444F"/>
    <w:rsid w:val="1A7F7ECA"/>
    <w:rsid w:val="1B4605AB"/>
    <w:rsid w:val="1B5761BE"/>
    <w:rsid w:val="1B812BC8"/>
    <w:rsid w:val="1C1129AA"/>
    <w:rsid w:val="1C1171C5"/>
    <w:rsid w:val="1C1459C6"/>
    <w:rsid w:val="1C575790"/>
    <w:rsid w:val="1C9B1CC6"/>
    <w:rsid w:val="1D391996"/>
    <w:rsid w:val="1D733865"/>
    <w:rsid w:val="1DA41A79"/>
    <w:rsid w:val="1DAB37CC"/>
    <w:rsid w:val="1DF53469"/>
    <w:rsid w:val="1E58492F"/>
    <w:rsid w:val="1E5B6757"/>
    <w:rsid w:val="1E9A0731"/>
    <w:rsid w:val="1ED10AC6"/>
    <w:rsid w:val="1EF56F54"/>
    <w:rsid w:val="1EFC70F0"/>
    <w:rsid w:val="1F9E5700"/>
    <w:rsid w:val="1FC0575D"/>
    <w:rsid w:val="1FE260C5"/>
    <w:rsid w:val="1FFE2CC6"/>
    <w:rsid w:val="20062F4F"/>
    <w:rsid w:val="207E1598"/>
    <w:rsid w:val="20875C43"/>
    <w:rsid w:val="209846D2"/>
    <w:rsid w:val="20FD104E"/>
    <w:rsid w:val="217E0082"/>
    <w:rsid w:val="21937B67"/>
    <w:rsid w:val="21980EDD"/>
    <w:rsid w:val="21A403D6"/>
    <w:rsid w:val="21B00C1D"/>
    <w:rsid w:val="21FD676F"/>
    <w:rsid w:val="22316250"/>
    <w:rsid w:val="226648F3"/>
    <w:rsid w:val="22766C1A"/>
    <w:rsid w:val="228E5177"/>
    <w:rsid w:val="22B17123"/>
    <w:rsid w:val="22EB6A22"/>
    <w:rsid w:val="22F64C9D"/>
    <w:rsid w:val="23031BEB"/>
    <w:rsid w:val="232510C2"/>
    <w:rsid w:val="236511AB"/>
    <w:rsid w:val="237B5880"/>
    <w:rsid w:val="238A2776"/>
    <w:rsid w:val="23917691"/>
    <w:rsid w:val="2395099C"/>
    <w:rsid w:val="24002B51"/>
    <w:rsid w:val="2433377F"/>
    <w:rsid w:val="244D65B8"/>
    <w:rsid w:val="245E1E24"/>
    <w:rsid w:val="24C77696"/>
    <w:rsid w:val="24DA4DC8"/>
    <w:rsid w:val="252419B0"/>
    <w:rsid w:val="25A60500"/>
    <w:rsid w:val="25B7791C"/>
    <w:rsid w:val="26977E1B"/>
    <w:rsid w:val="26A85986"/>
    <w:rsid w:val="270F27AB"/>
    <w:rsid w:val="272C7EDE"/>
    <w:rsid w:val="273644EE"/>
    <w:rsid w:val="27661469"/>
    <w:rsid w:val="2766608C"/>
    <w:rsid w:val="27900EAD"/>
    <w:rsid w:val="279B538A"/>
    <w:rsid w:val="27F6337B"/>
    <w:rsid w:val="28674EEB"/>
    <w:rsid w:val="286F545C"/>
    <w:rsid w:val="29314FBC"/>
    <w:rsid w:val="293D0EF8"/>
    <w:rsid w:val="293D5E5C"/>
    <w:rsid w:val="294445CA"/>
    <w:rsid w:val="297F614C"/>
    <w:rsid w:val="29825479"/>
    <w:rsid w:val="2A394B28"/>
    <w:rsid w:val="2A5D3736"/>
    <w:rsid w:val="2A9729EB"/>
    <w:rsid w:val="2AD4522A"/>
    <w:rsid w:val="2C530EA1"/>
    <w:rsid w:val="2C927671"/>
    <w:rsid w:val="2C947FC4"/>
    <w:rsid w:val="2CE522A1"/>
    <w:rsid w:val="2D5F2BBD"/>
    <w:rsid w:val="2D7C5CD6"/>
    <w:rsid w:val="2D88510C"/>
    <w:rsid w:val="2DC04694"/>
    <w:rsid w:val="2DC70770"/>
    <w:rsid w:val="2E1F7885"/>
    <w:rsid w:val="2E483E7E"/>
    <w:rsid w:val="2EBD6317"/>
    <w:rsid w:val="2F454B19"/>
    <w:rsid w:val="2F5C05C5"/>
    <w:rsid w:val="300F75A1"/>
    <w:rsid w:val="308C4F8A"/>
    <w:rsid w:val="3090794E"/>
    <w:rsid w:val="30F5718D"/>
    <w:rsid w:val="31E3230A"/>
    <w:rsid w:val="31FD1AD2"/>
    <w:rsid w:val="32774C0D"/>
    <w:rsid w:val="32B14682"/>
    <w:rsid w:val="32B62F8C"/>
    <w:rsid w:val="32D47DDB"/>
    <w:rsid w:val="33284F35"/>
    <w:rsid w:val="33356F64"/>
    <w:rsid w:val="33944516"/>
    <w:rsid w:val="33C96CFD"/>
    <w:rsid w:val="33D80BEE"/>
    <w:rsid w:val="344C4132"/>
    <w:rsid w:val="34644B6E"/>
    <w:rsid w:val="34B62907"/>
    <w:rsid w:val="34C653E4"/>
    <w:rsid w:val="3564369B"/>
    <w:rsid w:val="359E3F76"/>
    <w:rsid w:val="35DD4DD5"/>
    <w:rsid w:val="366C4C25"/>
    <w:rsid w:val="36B663D5"/>
    <w:rsid w:val="36E25326"/>
    <w:rsid w:val="36F51DD2"/>
    <w:rsid w:val="370D0118"/>
    <w:rsid w:val="37475E11"/>
    <w:rsid w:val="37630EFF"/>
    <w:rsid w:val="37740E03"/>
    <w:rsid w:val="378E3BB8"/>
    <w:rsid w:val="37A342D9"/>
    <w:rsid w:val="37B06C0A"/>
    <w:rsid w:val="37C27894"/>
    <w:rsid w:val="380B4CEC"/>
    <w:rsid w:val="3819464B"/>
    <w:rsid w:val="38335D63"/>
    <w:rsid w:val="386B5049"/>
    <w:rsid w:val="38782EDD"/>
    <w:rsid w:val="38FC14B5"/>
    <w:rsid w:val="391D2244"/>
    <w:rsid w:val="392F498A"/>
    <w:rsid w:val="397D2299"/>
    <w:rsid w:val="39FD2DF9"/>
    <w:rsid w:val="3A2E64CF"/>
    <w:rsid w:val="3A5B49D3"/>
    <w:rsid w:val="3A806FF7"/>
    <w:rsid w:val="3A824B76"/>
    <w:rsid w:val="3ABC0BF9"/>
    <w:rsid w:val="3AC302B5"/>
    <w:rsid w:val="3AE11714"/>
    <w:rsid w:val="3B2C156C"/>
    <w:rsid w:val="3B42664A"/>
    <w:rsid w:val="3B447B12"/>
    <w:rsid w:val="3B60488E"/>
    <w:rsid w:val="3B66475F"/>
    <w:rsid w:val="3C8A5306"/>
    <w:rsid w:val="3CA00B36"/>
    <w:rsid w:val="3CB249B1"/>
    <w:rsid w:val="3D371D5D"/>
    <w:rsid w:val="3D5E345B"/>
    <w:rsid w:val="3D836A4E"/>
    <w:rsid w:val="3DDC5239"/>
    <w:rsid w:val="3E200442"/>
    <w:rsid w:val="3E2939B7"/>
    <w:rsid w:val="3EED4C74"/>
    <w:rsid w:val="3F0C16B6"/>
    <w:rsid w:val="3F3F2DEB"/>
    <w:rsid w:val="3FBE0BC5"/>
    <w:rsid w:val="4048103A"/>
    <w:rsid w:val="40866EAC"/>
    <w:rsid w:val="40B15E75"/>
    <w:rsid w:val="40C2054A"/>
    <w:rsid w:val="41601E5C"/>
    <w:rsid w:val="41961DE3"/>
    <w:rsid w:val="41C300DB"/>
    <w:rsid w:val="41D96821"/>
    <w:rsid w:val="42021B75"/>
    <w:rsid w:val="425629C9"/>
    <w:rsid w:val="426D403F"/>
    <w:rsid w:val="427805FB"/>
    <w:rsid w:val="427C19AF"/>
    <w:rsid w:val="42894B94"/>
    <w:rsid w:val="429A3699"/>
    <w:rsid w:val="435241E2"/>
    <w:rsid w:val="43706412"/>
    <w:rsid w:val="439E3FA7"/>
    <w:rsid w:val="443E4AB4"/>
    <w:rsid w:val="448C428E"/>
    <w:rsid w:val="44B32266"/>
    <w:rsid w:val="44FC64F4"/>
    <w:rsid w:val="451712A7"/>
    <w:rsid w:val="454E598A"/>
    <w:rsid w:val="456B77AA"/>
    <w:rsid w:val="45877BA8"/>
    <w:rsid w:val="45953CB0"/>
    <w:rsid w:val="45B30A3A"/>
    <w:rsid w:val="45B57B01"/>
    <w:rsid w:val="45B84406"/>
    <w:rsid w:val="45DD2D63"/>
    <w:rsid w:val="46062D05"/>
    <w:rsid w:val="460C01C8"/>
    <w:rsid w:val="467F42B6"/>
    <w:rsid w:val="467F4585"/>
    <w:rsid w:val="46BF08A1"/>
    <w:rsid w:val="46D44928"/>
    <w:rsid w:val="46F73FB8"/>
    <w:rsid w:val="470628CB"/>
    <w:rsid w:val="47254DC6"/>
    <w:rsid w:val="47301D27"/>
    <w:rsid w:val="47555BD4"/>
    <w:rsid w:val="476601D6"/>
    <w:rsid w:val="47A97D5A"/>
    <w:rsid w:val="47BB5732"/>
    <w:rsid w:val="47C07ACE"/>
    <w:rsid w:val="47E43AD1"/>
    <w:rsid w:val="48715ED8"/>
    <w:rsid w:val="487B78E1"/>
    <w:rsid w:val="489B7B8E"/>
    <w:rsid w:val="48E12B50"/>
    <w:rsid w:val="492468F1"/>
    <w:rsid w:val="496A7723"/>
    <w:rsid w:val="498B43FB"/>
    <w:rsid w:val="499441BE"/>
    <w:rsid w:val="49A9636D"/>
    <w:rsid w:val="49AB51FE"/>
    <w:rsid w:val="49C516F4"/>
    <w:rsid w:val="49F64CAB"/>
    <w:rsid w:val="4A2138F0"/>
    <w:rsid w:val="4A583887"/>
    <w:rsid w:val="4AB71C53"/>
    <w:rsid w:val="4AC00D50"/>
    <w:rsid w:val="4B9F6E02"/>
    <w:rsid w:val="4BBE32BB"/>
    <w:rsid w:val="4BF9040E"/>
    <w:rsid w:val="4C0D772F"/>
    <w:rsid w:val="4C0F3BC4"/>
    <w:rsid w:val="4C4A41A9"/>
    <w:rsid w:val="4C6E7575"/>
    <w:rsid w:val="4C9857B6"/>
    <w:rsid w:val="4C9B6E37"/>
    <w:rsid w:val="4D345D9B"/>
    <w:rsid w:val="4D3755A7"/>
    <w:rsid w:val="4D7B6E27"/>
    <w:rsid w:val="4D7D3B42"/>
    <w:rsid w:val="4E5C67D9"/>
    <w:rsid w:val="4E6E48A8"/>
    <w:rsid w:val="4EEC036B"/>
    <w:rsid w:val="4F0E6B23"/>
    <w:rsid w:val="4F43351E"/>
    <w:rsid w:val="4FBF34B6"/>
    <w:rsid w:val="4FD976C4"/>
    <w:rsid w:val="501D2673"/>
    <w:rsid w:val="50D60A7B"/>
    <w:rsid w:val="50EB3022"/>
    <w:rsid w:val="51721DC7"/>
    <w:rsid w:val="51852833"/>
    <w:rsid w:val="5200245F"/>
    <w:rsid w:val="52117A03"/>
    <w:rsid w:val="521A466D"/>
    <w:rsid w:val="525C42A2"/>
    <w:rsid w:val="526B069E"/>
    <w:rsid w:val="52DB7878"/>
    <w:rsid w:val="53273F2A"/>
    <w:rsid w:val="53314604"/>
    <w:rsid w:val="53555F0F"/>
    <w:rsid w:val="53731CD3"/>
    <w:rsid w:val="53A97607"/>
    <w:rsid w:val="540C0F44"/>
    <w:rsid w:val="545974F0"/>
    <w:rsid w:val="549527E3"/>
    <w:rsid w:val="54DD78EF"/>
    <w:rsid w:val="555704D5"/>
    <w:rsid w:val="5562556C"/>
    <w:rsid w:val="559A303D"/>
    <w:rsid w:val="559B3C50"/>
    <w:rsid w:val="55A01174"/>
    <w:rsid w:val="55FC5110"/>
    <w:rsid w:val="566B3B95"/>
    <w:rsid w:val="5685596E"/>
    <w:rsid w:val="56EF2DA6"/>
    <w:rsid w:val="57FB4943"/>
    <w:rsid w:val="58201528"/>
    <w:rsid w:val="583C7AE0"/>
    <w:rsid w:val="584C3CAD"/>
    <w:rsid w:val="587470DE"/>
    <w:rsid w:val="58FE133A"/>
    <w:rsid w:val="59146C12"/>
    <w:rsid w:val="59216F96"/>
    <w:rsid w:val="592C014F"/>
    <w:rsid w:val="597A3F61"/>
    <w:rsid w:val="59883965"/>
    <w:rsid w:val="59E569C0"/>
    <w:rsid w:val="5AA16B21"/>
    <w:rsid w:val="5AA16C49"/>
    <w:rsid w:val="5AB92CE1"/>
    <w:rsid w:val="5B160B28"/>
    <w:rsid w:val="5B5546C4"/>
    <w:rsid w:val="5B9D2CCD"/>
    <w:rsid w:val="5BCA6811"/>
    <w:rsid w:val="5C1762F8"/>
    <w:rsid w:val="5C2B2D67"/>
    <w:rsid w:val="5C4A62AA"/>
    <w:rsid w:val="5CC00599"/>
    <w:rsid w:val="5CC655BD"/>
    <w:rsid w:val="5CCB5BA1"/>
    <w:rsid w:val="5CD100A0"/>
    <w:rsid w:val="5D3E788F"/>
    <w:rsid w:val="5D787259"/>
    <w:rsid w:val="5D8F1B3F"/>
    <w:rsid w:val="5DB47718"/>
    <w:rsid w:val="5DDC5071"/>
    <w:rsid w:val="5DE40816"/>
    <w:rsid w:val="5E737099"/>
    <w:rsid w:val="5EEE0016"/>
    <w:rsid w:val="5EFA0795"/>
    <w:rsid w:val="5F3C5D52"/>
    <w:rsid w:val="5F9C560F"/>
    <w:rsid w:val="5FB37A1F"/>
    <w:rsid w:val="60026980"/>
    <w:rsid w:val="602F47A6"/>
    <w:rsid w:val="603F7B53"/>
    <w:rsid w:val="607A63BE"/>
    <w:rsid w:val="607D3B12"/>
    <w:rsid w:val="60D06820"/>
    <w:rsid w:val="60F521C3"/>
    <w:rsid w:val="60FD24AE"/>
    <w:rsid w:val="61096B02"/>
    <w:rsid w:val="610E59B5"/>
    <w:rsid w:val="614A39B6"/>
    <w:rsid w:val="61B96412"/>
    <w:rsid w:val="62200085"/>
    <w:rsid w:val="622E2D48"/>
    <w:rsid w:val="62DB21E8"/>
    <w:rsid w:val="62E66E5D"/>
    <w:rsid w:val="630A5030"/>
    <w:rsid w:val="63396CB9"/>
    <w:rsid w:val="63A551B8"/>
    <w:rsid w:val="63CF0F80"/>
    <w:rsid w:val="641B50D8"/>
    <w:rsid w:val="643932BD"/>
    <w:rsid w:val="64A353D4"/>
    <w:rsid w:val="650B74A1"/>
    <w:rsid w:val="651255DD"/>
    <w:rsid w:val="65282994"/>
    <w:rsid w:val="656D67E4"/>
    <w:rsid w:val="657D71B2"/>
    <w:rsid w:val="658C6542"/>
    <w:rsid w:val="65D33265"/>
    <w:rsid w:val="66304337"/>
    <w:rsid w:val="666871F1"/>
    <w:rsid w:val="66B76F96"/>
    <w:rsid w:val="66F07C70"/>
    <w:rsid w:val="670E3D2F"/>
    <w:rsid w:val="673254D4"/>
    <w:rsid w:val="67394C7D"/>
    <w:rsid w:val="6772241F"/>
    <w:rsid w:val="67792D52"/>
    <w:rsid w:val="67E8632F"/>
    <w:rsid w:val="68126B38"/>
    <w:rsid w:val="6819101A"/>
    <w:rsid w:val="681D2684"/>
    <w:rsid w:val="68291A1A"/>
    <w:rsid w:val="685673E2"/>
    <w:rsid w:val="68BA7884"/>
    <w:rsid w:val="6901571C"/>
    <w:rsid w:val="691B1594"/>
    <w:rsid w:val="69773C1A"/>
    <w:rsid w:val="6A17429C"/>
    <w:rsid w:val="6A567EA3"/>
    <w:rsid w:val="6A9D2CD8"/>
    <w:rsid w:val="6ADE787C"/>
    <w:rsid w:val="6AED5A2C"/>
    <w:rsid w:val="6B113BA1"/>
    <w:rsid w:val="6B4B4368"/>
    <w:rsid w:val="6B8E7A14"/>
    <w:rsid w:val="6C2F6F6F"/>
    <w:rsid w:val="6C895681"/>
    <w:rsid w:val="6C8F5872"/>
    <w:rsid w:val="6CF51ABA"/>
    <w:rsid w:val="6D1D44F3"/>
    <w:rsid w:val="6D7A0006"/>
    <w:rsid w:val="6D932C96"/>
    <w:rsid w:val="6DC43582"/>
    <w:rsid w:val="6DF5287C"/>
    <w:rsid w:val="6E557973"/>
    <w:rsid w:val="6E5A19D9"/>
    <w:rsid w:val="6ED90D10"/>
    <w:rsid w:val="6EE943AB"/>
    <w:rsid w:val="6F0D6C22"/>
    <w:rsid w:val="6F47657F"/>
    <w:rsid w:val="6F8850FC"/>
    <w:rsid w:val="70670707"/>
    <w:rsid w:val="707B11E9"/>
    <w:rsid w:val="70A53D2A"/>
    <w:rsid w:val="70C035F1"/>
    <w:rsid w:val="70C04498"/>
    <w:rsid w:val="70F62A5E"/>
    <w:rsid w:val="71606E36"/>
    <w:rsid w:val="720E3691"/>
    <w:rsid w:val="72180876"/>
    <w:rsid w:val="726A565A"/>
    <w:rsid w:val="727002FC"/>
    <w:rsid w:val="72A323D5"/>
    <w:rsid w:val="72C7213A"/>
    <w:rsid w:val="730C13DF"/>
    <w:rsid w:val="732764B3"/>
    <w:rsid w:val="732B428A"/>
    <w:rsid w:val="73CA5B68"/>
    <w:rsid w:val="73EA51AC"/>
    <w:rsid w:val="740B0EBB"/>
    <w:rsid w:val="74110ACD"/>
    <w:rsid w:val="749419F3"/>
    <w:rsid w:val="74972889"/>
    <w:rsid w:val="74B72DE4"/>
    <w:rsid w:val="74D75E2F"/>
    <w:rsid w:val="75AB6D59"/>
    <w:rsid w:val="75E5007C"/>
    <w:rsid w:val="764907B4"/>
    <w:rsid w:val="77861774"/>
    <w:rsid w:val="77A2450D"/>
    <w:rsid w:val="782D7EC2"/>
    <w:rsid w:val="788A7160"/>
    <w:rsid w:val="79300B45"/>
    <w:rsid w:val="794D3E18"/>
    <w:rsid w:val="798048CF"/>
    <w:rsid w:val="79852536"/>
    <w:rsid w:val="799A7C4C"/>
    <w:rsid w:val="79F3729A"/>
    <w:rsid w:val="7A2E6281"/>
    <w:rsid w:val="7A3156B9"/>
    <w:rsid w:val="7ACB0498"/>
    <w:rsid w:val="7AD95577"/>
    <w:rsid w:val="7ADE0BC9"/>
    <w:rsid w:val="7AED0B4D"/>
    <w:rsid w:val="7AFF725B"/>
    <w:rsid w:val="7B0469B4"/>
    <w:rsid w:val="7B82261F"/>
    <w:rsid w:val="7B842F19"/>
    <w:rsid w:val="7BB87ABF"/>
    <w:rsid w:val="7BE92AC4"/>
    <w:rsid w:val="7C1E4487"/>
    <w:rsid w:val="7C215E02"/>
    <w:rsid w:val="7C543166"/>
    <w:rsid w:val="7C9A2746"/>
    <w:rsid w:val="7CD032AC"/>
    <w:rsid w:val="7CF23764"/>
    <w:rsid w:val="7CFB20B5"/>
    <w:rsid w:val="7D516E5D"/>
    <w:rsid w:val="7D76038F"/>
    <w:rsid w:val="7D8F21E8"/>
    <w:rsid w:val="7DBC6158"/>
    <w:rsid w:val="7DCE0254"/>
    <w:rsid w:val="7E520A54"/>
    <w:rsid w:val="7EFF7CDD"/>
    <w:rsid w:val="7F212719"/>
    <w:rsid w:val="7F7974AB"/>
    <w:rsid w:val="7FB4404D"/>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4">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5">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6">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2">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sz w:val="21"/>
    </w:rPr>
  </w:style>
  <w:style w:type="paragraph" w:styleId="3">
    <w:name w:val="Body Text"/>
    <w:basedOn w:val="1"/>
    <w:next w:val="2"/>
    <w:qFormat/>
    <w:uiPriority w:val="0"/>
    <w:rPr>
      <w:b/>
      <w:bCs/>
      <w:sz w:val="30"/>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itle"/>
    <w:basedOn w:val="1"/>
    <w:next w:val="1"/>
    <w:qFormat/>
    <w:uiPriority w:val="0"/>
    <w:pPr>
      <w:spacing w:before="240" w:after="60"/>
      <w:jc w:val="left"/>
      <w:outlineLvl w:val="0"/>
    </w:pPr>
    <w:rPr>
      <w:rFonts w:ascii="MS Sans Serif" w:hAnsi="MS Sans Serif"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字符"/>
    <w:link w:val="5"/>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2280</Words>
  <Characters>13002</Characters>
  <Lines>108</Lines>
  <Paragraphs>30</Paragraphs>
  <TotalTime>10</TotalTime>
  <ScaleCrop>false</ScaleCrop>
  <LinksUpToDate>false</LinksUpToDate>
  <CharactersWithSpaces>15252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2024-05-28T09:09:48Z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