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奇台县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死亡抚恤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实施单位（公章）：奇台县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民政局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主管部门（公章）：奇台县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民政局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卢春林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 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: 2018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16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ind w:firstLine="640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640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640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微软雅黑" w:hAnsi="微软雅黑" w:eastAsia="微软雅黑" w:cs="宋体"/>
          <w:color w:val="333333"/>
          <w:kern w:val="0"/>
          <w:sz w:val="30"/>
          <w:szCs w:val="30"/>
        </w:rPr>
      </w:pPr>
      <w:r>
        <w:rPr>
          <w:rFonts w:hint="eastAsia" w:ascii="仿宋_GB2312" w:hAnsi="微软雅黑" w:eastAsia="仿宋_GB2312" w:cs="宋体"/>
          <w:b/>
          <w:bCs/>
          <w:color w:val="333333"/>
          <w:kern w:val="0"/>
          <w:sz w:val="30"/>
          <w:szCs w:val="30"/>
        </w:rPr>
        <w:t>主要职能：</w:t>
      </w: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</w:rPr>
        <w:t>民政局主要承担：城乡低保、城乡医疗救助、城乡解困、救灾救济、基层政权和社区建设、优抚安置、双拥共建、婚姻登记、收养登记、孤儿管理、五保供养、“三无人员”管理、流浪乞讨人员管理、临时救助、一门受理协同办理、社会福利、福利机构管理、殡葬管理、行政区划、地名管理、民办非企业单位和社会团体登记管理等工作职能，承担新社会组织党工委各项工作。</w:t>
      </w:r>
    </w:p>
    <w:p>
      <w:pPr>
        <w:spacing w:line="540" w:lineRule="exact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ind w:firstLine="600" w:firstLineChars="200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死亡抚恤项目资金用于烈士遗属、因公牺牲军人遗属、病故军人遗属的支出。提高优抚对象的荣誉感，体现国家对优抚对象及其家属的关心、关爱。</w:t>
      </w:r>
    </w:p>
    <w:p>
      <w:pPr>
        <w:spacing w:beforeLines="0" w:afterLines="0"/>
        <w:ind w:firstLine="624" w:firstLineChars="200"/>
        <w:jc w:val="lef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死亡抚恤项目资金用于烈士遗属、因公牺牲军人遗属、病故军人遗属的支出，该项目总投入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0.3万元，其中上级财政拨款安排0.3万元。</w:t>
      </w:r>
    </w:p>
    <w:p>
      <w:pPr>
        <w:spacing w:line="540" w:lineRule="exact"/>
        <w:ind w:firstLine="531" w:firstLineChars="181"/>
        <w:rPr>
          <w:rStyle w:val="17"/>
          <w:rFonts w:hint="eastAsia" w:ascii="仿宋_GB2312" w:hAnsi="仿宋_GB2312" w:eastAsia="仿宋_GB2312" w:cs="仿宋_GB2312"/>
          <w:spacing w:val="-4"/>
          <w:sz w:val="30"/>
          <w:szCs w:val="30"/>
        </w:rPr>
      </w:pPr>
      <w:r>
        <w:rPr>
          <w:rStyle w:val="17"/>
          <w:rFonts w:hint="eastAsia" w:ascii="仿宋_GB2312" w:hAnsi="仿宋_GB2312" w:eastAsia="仿宋_GB2312" w:cs="仿宋_GB2312"/>
          <w:spacing w:val="-4"/>
          <w:sz w:val="30"/>
          <w:szCs w:val="30"/>
        </w:rPr>
        <w:t>（二）项目资金实际使用情况分析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死亡抚恤项目资金用于烈士遗属、因公牺牲军人遗属、病故军人遗属的支出，该项目总投入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0.3万元，其中上级财政拨款安排0.3万元。</w:t>
      </w:r>
    </w:p>
    <w:p>
      <w:pPr>
        <w:spacing w:line="540" w:lineRule="exact"/>
        <w:ind w:firstLine="627" w:firstLineChars="20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ind w:firstLine="600" w:firstLineChars="200"/>
        <w:rPr>
          <w:rFonts w:hint="eastAsia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 w:bidi="ar"/>
        </w:rPr>
        <w:t>根据《中华人民共和国预算法》、《中华人民共和国会计法》</w:t>
      </w:r>
      <w:r>
        <w:rPr>
          <w:rFonts w:hint="eastAsia" w:ascii="宋体" w:hAnsi="宋体" w:eastAsia="宋体" w:cs="Arial"/>
          <w:color w:val="000000"/>
          <w:sz w:val="28"/>
          <w:szCs w:val="28"/>
          <w:lang w:val="en-US" w:eastAsia="zh-CN" w:bidi="ar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奇台县民政局项目资金管理办法。严格遵守项目资金管理的具体要求，实行“专款专用”，对项目资金进行计划申请、划拨、使用、及时规范对收支进行账务处理和会计核算。</w:t>
      </w:r>
      <w:bookmarkStart w:id="0" w:name="_GoBack"/>
      <w:bookmarkEnd w:id="0"/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ind w:firstLine="600" w:firstLineChars="200"/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死亡抚恤项目经县委、县政府批准后，</w:t>
      </w:r>
      <w:r>
        <w:rPr>
          <w:rFonts w:hint="eastAsia" w:ascii="仿宋_GB2312" w:hAnsi="仿宋_GB2312" w:eastAsia="仿宋_GB2312" w:cs="仿宋_GB2312"/>
          <w:sz w:val="30"/>
          <w:szCs w:val="30"/>
        </w:rPr>
        <w:t>优抚对象抚恤经费包括残疾军人、老复员军人、带病回乡退伍军人以及烈士遗属、因公牺牲军人遗属、病故军人遗属等支出，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依据</w:t>
      </w:r>
      <w:r>
        <w:rPr>
          <w:rFonts w:hint="eastAsia" w:ascii="仿宋_GB2312" w:hAnsi="仿宋_GB2312" w:eastAsia="仿宋_GB2312" w:cs="仿宋_GB2312"/>
          <w:sz w:val="30"/>
          <w:szCs w:val="30"/>
        </w:rPr>
        <w:t>新民发【2017】136号&lt;&lt;关于调整部分优抚对象抚恤和生活补助标准的通知&gt;&gt;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由县民政局组织实施。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成立奇台县民政局项目资金管理领导小组，具体负责项目资金的使用和管理，在项目实施过程中接受县、乡镇纪检、财政、审计、督查部门、服务对象对项目资金发放进行全程监督。</w:t>
      </w:r>
    </w:p>
    <w:p>
      <w:pPr>
        <w:spacing w:line="540" w:lineRule="exact"/>
        <w:ind w:firstLine="936" w:firstLineChars="30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7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死亡抚恤项目共投入资金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0.3万元，涉及个人2个受益群体，</w:t>
      </w:r>
      <w:r>
        <w:rPr>
          <w:rFonts w:hint="eastAsia" w:ascii="仿宋_GB2312" w:hAnsi="仿宋_GB2312" w:eastAsia="仿宋_GB2312" w:cs="仿宋_GB2312"/>
          <w:sz w:val="30"/>
          <w:szCs w:val="30"/>
        </w:rPr>
        <w:t>项目完成质量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高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优抚对象满意率良好。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项目绩效目标未完成原因分析</w:t>
      </w:r>
    </w:p>
    <w:p>
      <w:pPr>
        <w:numPr>
          <w:ilvl w:val="0"/>
          <w:numId w:val="0"/>
        </w:numPr>
        <w:spacing w:line="540" w:lineRule="exact"/>
        <w:ind w:firstLine="624" w:firstLineChars="200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项目绩效目标按年度如期完成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817" w:firstLineChars="280"/>
        <w:rPr>
          <w:rFonts w:hint="eastAsia" w:ascii="楷体" w:hAnsi="楷体" w:eastAsia="楷体"/>
          <w:b w:val="0"/>
          <w:bCs/>
          <w:spacing w:val="-4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pacing w:val="-4"/>
          <w:sz w:val="30"/>
          <w:szCs w:val="30"/>
          <w:lang w:eastAsia="zh-CN"/>
        </w:rPr>
        <w:t>进一步加大服务力度，提高服务质量，提升管理水平，提高项目资金的使用效率，如期实现</w:t>
      </w:r>
      <w:r>
        <w:rPr>
          <w:rFonts w:hint="eastAsia" w:ascii="楷体" w:hAnsi="楷体" w:eastAsia="楷体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项目绩效目标。</w:t>
      </w:r>
    </w:p>
    <w:p>
      <w:pPr>
        <w:numPr>
          <w:ilvl w:val="0"/>
          <w:numId w:val="2"/>
        </w:num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主要经验及做法、存在问题和建议</w:t>
      </w:r>
    </w:p>
    <w:p>
      <w:pPr>
        <w:numPr>
          <w:ilvl w:val="0"/>
          <w:numId w:val="0"/>
        </w:numPr>
        <w:spacing w:line="540" w:lineRule="exact"/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 xml:space="preserve">      </w:t>
      </w:r>
      <w:r>
        <w:rPr>
          <w:rFonts w:hint="eastAsia" w:ascii="楷体" w:hAnsi="楷体" w:eastAsia="楷体"/>
          <w:b w:val="0"/>
          <w:bCs/>
          <w:spacing w:val="-4"/>
          <w:sz w:val="32"/>
          <w:szCs w:val="32"/>
          <w:lang w:val="en-US" w:eastAsia="zh-CN"/>
        </w:rPr>
        <w:t>绩效目标管理工作起步较晚，经验不足，业务人员业务知识缺乏，急待专业培训。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873" w:firstLineChars="280"/>
        <w:rPr>
          <w:rFonts w:hint="eastAsia" w:ascii="楷体" w:hAnsi="楷体" w:eastAsia="楷体"/>
          <w:b w:val="0"/>
          <w:bCs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 w:val="0"/>
          <w:bCs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right="0" w:rightChars="0"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此次绩效评价民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政部门通过</w:t>
      </w:r>
      <w:r>
        <w:rPr>
          <w:rFonts w:hint="eastAsia" w:ascii="仿宋_GB2312" w:hAnsi="仿宋_GB2312" w:eastAsia="仿宋_GB2312" w:cs="仿宋_GB2312"/>
          <w:sz w:val="30"/>
          <w:szCs w:val="30"/>
        </w:rPr>
        <w:t>入户核查、听取乡镇民政干事汇报、查阅资料、满意度测评等多种方法，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优抚对象认为资金发放及时到位，</w:t>
      </w:r>
      <w:r>
        <w:rPr>
          <w:rFonts w:hint="eastAsia" w:ascii="仿宋_GB2312" w:hAnsi="仿宋_GB2312" w:eastAsia="仿宋_GB2312" w:cs="仿宋_GB2312"/>
          <w:sz w:val="30"/>
          <w:szCs w:val="30"/>
        </w:rPr>
        <w:t>优抚对象较满意。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《自治州财政项目支出绩效自评表》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9"/>
        <w:tblpPr w:leftFromText="180" w:rightFromText="180" w:vertAnchor="text" w:horzAnchor="page" w:tblpX="1877" w:tblpY="236"/>
        <w:tblOverlap w:val="never"/>
        <w:tblW w:w="90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eastAsia="zh-CN"/>
              </w:rPr>
              <w:t>奇台县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2017</w:t>
            </w:r>
            <w:r>
              <w:rPr>
                <w:kern w:val="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死亡抚恤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奇台县民政局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ind w:firstLine="400" w:firstLineChars="20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用于烈士遗属、因公牺牲军人遗属、病故军人遗属的支出。提高优抚对象的荣誉感，体现国家对优抚对象及其家属的关心、关爱。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ind w:firstLine="480" w:firstLineChars="200"/>
              <w:rPr>
                <w:rFonts w:hint="eastAsia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用于烈士遗属、因公牺牲军人遗属、病故军人遗属的支出。提高优抚对象的荣誉感，体现国家对优抚对象及其家属的关心、关爱。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保障率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应保尽保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应保尽保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优抚资金补助到位率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保障标准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伤残军人：分为因战、因公、因病3种性质1－10个等级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老复员军人：1035元／人／月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带病回乡退伍军人：550元／人／月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两参退役人员：600元／人／月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烈士遗属：1752元／人／月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因共牺牲军人遗属：1504元／人／月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病故军人遗属：1415元／人／月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伤残军人：分为因战、因公、因病3种性质1－10个等级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老复员军人：1035元／人／月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带病回乡退伍军人：550元／人／月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两参退役人员：600元／人／月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烈士遗属：1752元／人／月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因共牺牲军人遗属：1504元／人／月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病故军人遗属：1415元／人／月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在规定时间内发放保障资金的比例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政策知晓率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工作满意度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90%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hruti">
    <w:altName w:val="Palatino Linotype"/>
    <w:panose1 w:val="020005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86"/>
    <w:family w:val="swiss"/>
    <w:pitch w:val="default"/>
    <w:sig w:usb0="A00002EF" w:usb1="4000207B" w:usb2="00000000" w:usb3="00000000" w:csb0="2000009F" w:csb1="00000000"/>
  </w:font>
  <w:font w:name="楷体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@宋体">
    <w:panose1 w:val="02010600030101010101"/>
    <w:charset w:val="86"/>
    <w:family w:val="auto"/>
    <w:pitch w:val="default"/>
    <w:sig w:usb0="00000003" w:usb1="080E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C8856"/>
    <w:multiLevelType w:val="singleLevel"/>
    <w:tmpl w:val="5C3C8856"/>
    <w:lvl w:ilvl="0" w:tentative="0">
      <w:start w:val="2"/>
      <w:numFmt w:val="chineseCounting"/>
      <w:suff w:val="nothing"/>
      <w:lvlText w:val="（%1）"/>
      <w:lvlJc w:val="left"/>
    </w:lvl>
  </w:abstractNum>
  <w:abstractNum w:abstractNumId="1">
    <w:nsid w:val="5C3D30B5"/>
    <w:multiLevelType w:val="singleLevel"/>
    <w:tmpl w:val="5C3D30B5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6465"/>
    <w:rsid w:val="00121AE4"/>
    <w:rsid w:val="00146AAD"/>
    <w:rsid w:val="001B3A40"/>
    <w:rsid w:val="003C18BC"/>
    <w:rsid w:val="004366A8"/>
    <w:rsid w:val="00464900"/>
    <w:rsid w:val="00502BA7"/>
    <w:rsid w:val="005162F1"/>
    <w:rsid w:val="00535153"/>
    <w:rsid w:val="00554F82"/>
    <w:rsid w:val="0056390D"/>
    <w:rsid w:val="005719B0"/>
    <w:rsid w:val="005D10D6"/>
    <w:rsid w:val="007806A5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7F2E"/>
    <w:rsid w:val="00D30354"/>
    <w:rsid w:val="00DF42A0"/>
    <w:rsid w:val="00E46C51"/>
    <w:rsid w:val="00E769FE"/>
    <w:rsid w:val="00EA2CBE"/>
    <w:rsid w:val="00F32FEE"/>
    <w:rsid w:val="00FB10BB"/>
    <w:rsid w:val="092F1C6A"/>
    <w:rsid w:val="0CFE70EC"/>
    <w:rsid w:val="11DA0264"/>
    <w:rsid w:val="144C5BDC"/>
    <w:rsid w:val="1A7057C7"/>
    <w:rsid w:val="1C0D2200"/>
    <w:rsid w:val="1E964D57"/>
    <w:rsid w:val="21C02BE5"/>
    <w:rsid w:val="242E3C94"/>
    <w:rsid w:val="2E365080"/>
    <w:rsid w:val="3BB05565"/>
    <w:rsid w:val="470532C6"/>
    <w:rsid w:val="47963B47"/>
    <w:rsid w:val="4A6D3135"/>
    <w:rsid w:val="560C09CC"/>
    <w:rsid w:val="606A30C9"/>
    <w:rsid w:val="62FA7B00"/>
    <w:rsid w:val="75D20AE8"/>
    <w:rsid w:val="7A8E71AD"/>
    <w:rsid w:val="7BD14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unhideWhenUsed/>
    <w:qFormat/>
    <w:uiPriority w:val="1"/>
  </w:style>
  <w:style w:type="table" w:default="1" w:styleId="1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2"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3"/>
    <w:semiHidden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4"/>
    <w:semiHidden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customStyle="1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</Words>
  <Characters>1164</Characters>
  <Lines>9</Lines>
  <Paragraphs>2</Paragraphs>
  <TotalTime>3</TotalTime>
  <ScaleCrop>false</ScaleCrop>
  <LinksUpToDate>false</LinksUpToDate>
  <CharactersWithSpaces>1366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2019-01-13T12:20:00Z</cp:lastPrinted>
  <dcterms:modified xsi:type="dcterms:W3CDTF">2019-01-15T04:05:56Z</dcterms:modified>
  <dc:title>附件1：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