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自治区财政项目支出绩效自评报告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int="eastAsia" w:hAnsi="宋体" w:eastAsia="仿宋_GB2312" w:cs="宋体"/>
          <w:kern w:val="0"/>
          <w:sz w:val="36"/>
          <w:szCs w:val="36"/>
          <w:lang w:val="en-US" w:eastAsia="zh-CN"/>
        </w:rPr>
        <w:t>2017</w:t>
      </w:r>
      <w:r>
        <w:rPr>
          <w:rFonts w:hint="eastAsia" w:hAnsi="宋体" w:eastAsia="仿宋_GB2312" w:cs="宋体"/>
          <w:kern w:val="0"/>
          <w:sz w:val="36"/>
          <w:szCs w:val="36"/>
        </w:rPr>
        <w:t>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ind w:left="2880" w:hanging="2880" w:hangingChars="800"/>
        <w:jc w:val="left"/>
        <w:rPr>
          <w:rFonts w:hAnsi="宋体" w:eastAsia="仿宋_GB2312" w:cs="宋体"/>
          <w:kern w:val="0"/>
          <w:sz w:val="36"/>
          <w:szCs w:val="36"/>
        </w:rPr>
      </w:pPr>
      <w:r>
        <w:rPr>
          <w:rFonts w:hint="eastAsia" w:hAnsi="宋体" w:eastAsia="仿宋_GB2312" w:cs="宋体"/>
          <w:kern w:val="0"/>
          <w:sz w:val="36"/>
          <w:szCs w:val="36"/>
        </w:rPr>
        <w:t xml:space="preserve">     项目名称：</w:t>
      </w:r>
      <w:r>
        <w:rPr>
          <w:rFonts w:hint="eastAsia" w:hAnsi="宋体" w:eastAsia="仿宋_GB2312" w:cs="宋体"/>
          <w:kern w:val="0"/>
          <w:sz w:val="36"/>
          <w:szCs w:val="36"/>
          <w:lang w:val="en-US" w:eastAsia="zh-CN"/>
        </w:rPr>
        <w:t>2016年新增建设用地土地有偿使用费收缴业务费</w:t>
      </w: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实施单位（公章）：</w:t>
      </w:r>
      <w:r>
        <w:rPr>
          <w:rFonts w:hint="eastAsia" w:hAnsi="宋体" w:eastAsia="仿宋_GB2312" w:cs="宋体"/>
          <w:kern w:val="0"/>
          <w:sz w:val="36"/>
          <w:szCs w:val="36"/>
          <w:lang w:eastAsia="zh-CN"/>
        </w:rPr>
        <w:t>奇台县财政局</w:t>
      </w:r>
    </w:p>
    <w:p>
      <w:pPr>
        <w:spacing w:line="700" w:lineRule="exact"/>
        <w:ind w:firstLine="849" w:firstLineChars="236"/>
        <w:jc w:val="left"/>
        <w:rPr>
          <w:rFonts w:hAnsi="宋体" w:eastAsia="仿宋_GB2312" w:cs="宋体"/>
          <w:kern w:val="0"/>
          <w:sz w:val="36"/>
          <w:szCs w:val="36"/>
        </w:rPr>
      </w:pPr>
      <w:r>
        <w:rPr>
          <w:rFonts w:hint="eastAsia" w:hAnsi="宋体" w:eastAsia="仿宋_GB2312" w:cs="宋体"/>
          <w:kern w:val="0"/>
          <w:sz w:val="36"/>
          <w:szCs w:val="36"/>
        </w:rPr>
        <w:t>主管部门（公章）：</w:t>
      </w:r>
      <w:r>
        <w:rPr>
          <w:rFonts w:hint="eastAsia" w:hAnsi="宋体" w:eastAsia="仿宋_GB2312" w:cs="宋体"/>
          <w:kern w:val="0"/>
          <w:sz w:val="36"/>
          <w:szCs w:val="36"/>
          <w:lang w:eastAsia="zh-CN"/>
        </w:rPr>
        <w:t>奇台县财政局</w:t>
      </w:r>
    </w:p>
    <w:p>
      <w:pPr>
        <w:keepNext w:val="0"/>
        <w:keepLines w:val="0"/>
        <w:pageBreakBefore w:val="0"/>
        <w:widowControl w:val="0"/>
        <w:kinsoku/>
        <w:wordWrap/>
        <w:overflowPunct/>
        <w:topLinePunct w:val="0"/>
        <w:autoSpaceDE/>
        <w:autoSpaceDN/>
        <w:bidi w:val="0"/>
        <w:adjustRightInd/>
        <w:snapToGrid/>
        <w:spacing w:line="700" w:lineRule="exact"/>
        <w:ind w:right="0" w:rightChars="0" w:firstLine="720" w:firstLineChars="200"/>
        <w:jc w:val="left"/>
        <w:textAlignment w:val="auto"/>
        <w:outlineLvl w:val="9"/>
        <w:rPr>
          <w:rFonts w:hAnsi="宋体" w:eastAsia="仿宋_GB2312" w:cs="宋体"/>
          <w:kern w:val="0"/>
          <w:sz w:val="36"/>
          <w:szCs w:val="36"/>
        </w:rPr>
      </w:pPr>
      <w:r>
        <w:rPr>
          <w:rFonts w:hint="eastAsia" w:hAnsi="宋体" w:eastAsia="仿宋_GB2312" w:cs="宋体"/>
          <w:kern w:val="0"/>
          <w:sz w:val="36"/>
          <w:szCs w:val="36"/>
        </w:rPr>
        <w:t>项目负责人（签章）：</w:t>
      </w:r>
      <w:r>
        <w:rPr>
          <w:rFonts w:hint="eastAsia" w:ascii="仿宋" w:hAnsi="仿宋" w:eastAsia="仿宋" w:cs="仿宋"/>
          <w:kern w:val="0"/>
          <w:sz w:val="36"/>
          <w:szCs w:val="36"/>
          <w:lang w:eastAsia="zh-CN"/>
        </w:rPr>
        <w:t>张忠德</w:t>
      </w:r>
    </w:p>
    <w:p>
      <w:pPr>
        <w:spacing w:line="700" w:lineRule="exact"/>
        <w:ind w:firstLine="849" w:firstLineChars="236"/>
        <w:jc w:val="left"/>
        <w:rPr>
          <w:rFonts w:hAnsi="宋体" w:eastAsia="仿宋_GB2312" w:cs="宋体"/>
          <w:kern w:val="0"/>
          <w:sz w:val="36"/>
          <w:szCs w:val="36"/>
          <w:highlight w:val="yellow"/>
        </w:rPr>
      </w:pPr>
      <w:r>
        <w:rPr>
          <w:rFonts w:hint="eastAsia" w:hAnsi="宋体" w:eastAsia="仿宋_GB2312" w:cs="宋体"/>
          <w:kern w:val="0"/>
          <w:sz w:val="36"/>
          <w:szCs w:val="36"/>
        </w:rPr>
        <w:t xml:space="preserve">填报时间：  </w:t>
      </w:r>
      <w:r>
        <w:rPr>
          <w:rFonts w:hint="eastAsia" w:hAnsi="宋体" w:eastAsia="仿宋_GB2312" w:cs="宋体"/>
          <w:kern w:val="0"/>
          <w:sz w:val="36"/>
          <w:szCs w:val="36"/>
          <w:lang w:val="en-US" w:eastAsia="zh-CN"/>
        </w:rPr>
        <w:t>2018</w:t>
      </w:r>
      <w:r>
        <w:rPr>
          <w:rFonts w:hint="eastAsia" w:hAnsi="宋体" w:eastAsia="仿宋_GB2312" w:cs="宋体"/>
          <w:kern w:val="0"/>
          <w:sz w:val="36"/>
          <w:szCs w:val="36"/>
        </w:rPr>
        <w:t xml:space="preserve"> 年 </w:t>
      </w:r>
      <w:r>
        <w:rPr>
          <w:rFonts w:hint="eastAsia" w:hAnsi="宋体" w:eastAsia="仿宋_GB2312" w:cs="宋体"/>
          <w:kern w:val="0"/>
          <w:sz w:val="36"/>
          <w:szCs w:val="36"/>
          <w:lang w:val="en-US" w:eastAsia="zh-CN"/>
        </w:rPr>
        <w:t>8</w:t>
      </w:r>
      <w:r>
        <w:rPr>
          <w:rFonts w:hint="eastAsia" w:hAnsi="宋体" w:eastAsia="仿宋_GB2312" w:cs="宋体"/>
          <w:kern w:val="0"/>
          <w:sz w:val="36"/>
          <w:szCs w:val="36"/>
        </w:rPr>
        <w:t xml:space="preserve">  月 </w:t>
      </w:r>
      <w:r>
        <w:rPr>
          <w:rFonts w:hint="eastAsia" w:hAnsi="宋体" w:eastAsia="仿宋_GB2312" w:cs="宋体"/>
          <w:kern w:val="0"/>
          <w:sz w:val="36"/>
          <w:szCs w:val="36"/>
          <w:lang w:val="en-US" w:eastAsia="zh-CN"/>
        </w:rPr>
        <w:t>16</w:t>
      </w:r>
      <w:r>
        <w:rPr>
          <w:rFonts w:hint="eastAsia" w:hAnsi="宋体" w:eastAsia="仿宋_GB2312" w:cs="宋体"/>
          <w:kern w:val="0"/>
          <w:sz w:val="36"/>
          <w:szCs w:val="36"/>
        </w:rPr>
        <w:t xml:space="preserve">  日</w:t>
      </w:r>
    </w:p>
    <w:p>
      <w:pPr>
        <w:spacing w:line="540" w:lineRule="exact"/>
        <w:jc w:val="center"/>
        <w:rPr>
          <w:rFonts w:hAnsi="宋体" w:eastAsia="仿宋_GB2312" w:cs="宋体"/>
          <w:kern w:val="0"/>
          <w:sz w:val="30"/>
          <w:szCs w:val="30"/>
        </w:rPr>
      </w:pPr>
    </w:p>
    <w:p>
      <w:pPr>
        <w:spacing w:line="540" w:lineRule="exact"/>
        <w:rPr>
          <w:rStyle w:val="18"/>
          <w:rFonts w:ascii="黑体" w:hAnsi="黑体" w:eastAsia="黑体"/>
          <w:b w:val="0"/>
          <w:spacing w:val="-4"/>
          <w:sz w:val="32"/>
          <w:szCs w:val="32"/>
        </w:rPr>
      </w:pP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一、项目概况</w:t>
      </w:r>
    </w:p>
    <w:p>
      <w:pPr>
        <w:spacing w:line="540" w:lineRule="exact"/>
        <w:ind w:firstLine="567"/>
        <w:rPr>
          <w:rStyle w:val="18"/>
          <w:rFonts w:hint="eastAsia" w:ascii="楷体" w:hAnsi="楷体" w:eastAsia="楷体"/>
          <w:spacing w:val="-4"/>
          <w:sz w:val="32"/>
          <w:szCs w:val="32"/>
        </w:rPr>
      </w:pPr>
      <w:r>
        <w:rPr>
          <w:rStyle w:val="18"/>
          <w:rFonts w:hint="eastAsia" w:ascii="楷体" w:hAnsi="楷体" w:eastAsia="楷体"/>
          <w:spacing w:val="-4"/>
          <w:sz w:val="32"/>
          <w:szCs w:val="32"/>
        </w:rPr>
        <w:t>（一）项目单位基本情况</w:t>
      </w:r>
    </w:p>
    <w:p>
      <w:pPr>
        <w:keepNext w:val="0"/>
        <w:keepLines w:val="0"/>
        <w:pageBreakBefore w:val="0"/>
        <w:widowControl w:val="0"/>
        <w:kinsoku/>
        <w:wordWrap/>
        <w:overflowPunct/>
        <w:topLinePunct w:val="0"/>
        <w:autoSpaceDE/>
        <w:autoSpaceDN/>
        <w:bidi w:val="0"/>
        <w:adjustRightInd/>
        <w:snapToGrid w:val="0"/>
        <w:spacing w:line="0" w:lineRule="atLeast"/>
        <w:ind w:right="0" w:rightChars="0" w:firstLine="640" w:firstLineChars="200"/>
        <w:jc w:val="both"/>
        <w:textAlignment w:val="auto"/>
        <w:outlineLvl w:val="9"/>
        <w:rPr>
          <w:rStyle w:val="18"/>
          <w:rFonts w:hint="eastAsia" w:ascii="仿宋" w:hAnsi="仿宋" w:eastAsia="仿宋" w:cs="仿宋"/>
          <w:b w:val="0"/>
          <w:spacing w:val="-4"/>
          <w:sz w:val="32"/>
          <w:szCs w:val="32"/>
          <w:lang w:eastAsia="zh-CN"/>
        </w:rPr>
      </w:pPr>
      <w:r>
        <w:rPr>
          <w:rFonts w:hint="eastAsia" w:ascii="仿宋_GB2312" w:hAnsi="仿宋" w:eastAsia="仿宋_GB2312"/>
          <w:sz w:val="32"/>
          <w:szCs w:val="32"/>
        </w:rPr>
        <w:t>1</w:t>
      </w:r>
      <w:r>
        <w:rPr>
          <w:rFonts w:hint="eastAsia" w:ascii="仿宋_GB2312" w:hAnsi="仿宋" w:eastAsia="仿宋_GB2312"/>
          <w:sz w:val="32"/>
          <w:szCs w:val="32"/>
          <w:lang w:eastAsia="zh-CN"/>
        </w:rPr>
        <w:t>、</w:t>
      </w:r>
      <w:r>
        <w:rPr>
          <w:rFonts w:hint="eastAsia" w:ascii="仿宋_GB2312" w:hAnsi="仿宋" w:eastAsia="仿宋_GB2312"/>
          <w:sz w:val="32"/>
          <w:szCs w:val="32"/>
        </w:rPr>
        <w:t>主要职能。</w:t>
      </w:r>
    </w:p>
    <w:p>
      <w:pPr>
        <w:spacing w:line="540" w:lineRule="exact"/>
        <w:ind w:firstLine="640"/>
        <w:rPr>
          <w:rStyle w:val="18"/>
          <w:rFonts w:hint="eastAsia" w:ascii="仿宋" w:hAnsi="仿宋" w:eastAsia="仿宋" w:cs="仿宋"/>
          <w:b w:val="0"/>
          <w:spacing w:val="-4"/>
          <w:sz w:val="32"/>
          <w:szCs w:val="32"/>
          <w:lang w:eastAsia="zh-CN"/>
        </w:rPr>
      </w:pPr>
      <w:r>
        <w:rPr>
          <w:rStyle w:val="18"/>
          <w:rFonts w:hint="eastAsia" w:ascii="仿宋" w:hAnsi="仿宋" w:eastAsia="仿宋" w:cs="仿宋"/>
          <w:b w:val="0"/>
          <w:spacing w:val="-4"/>
          <w:sz w:val="32"/>
          <w:szCs w:val="32"/>
          <w:lang w:eastAsia="zh-CN"/>
        </w:rPr>
        <w:t xml:space="preserve"> (一)贯彻执行国家和自治区财政、税收、国有资产管理的法规、制度和方针政策。</w:t>
      </w:r>
    </w:p>
    <w:p>
      <w:pPr>
        <w:spacing w:line="540" w:lineRule="exact"/>
        <w:ind w:firstLine="624" w:firstLineChars="200"/>
        <w:rPr>
          <w:rStyle w:val="18"/>
          <w:rFonts w:hint="eastAsia" w:ascii="仿宋" w:hAnsi="仿宋" w:eastAsia="仿宋" w:cs="仿宋"/>
          <w:b w:val="0"/>
          <w:spacing w:val="-4"/>
          <w:sz w:val="32"/>
          <w:szCs w:val="32"/>
          <w:lang w:eastAsia="zh-CN"/>
        </w:rPr>
      </w:pPr>
      <w:r>
        <w:rPr>
          <w:rStyle w:val="18"/>
          <w:rFonts w:hint="eastAsia" w:ascii="仿宋" w:hAnsi="仿宋" w:eastAsia="仿宋" w:cs="仿宋"/>
          <w:b w:val="0"/>
          <w:spacing w:val="-4"/>
          <w:sz w:val="32"/>
          <w:szCs w:val="32"/>
          <w:lang w:eastAsia="zh-CN"/>
        </w:rPr>
        <w:t>（二)根据奇台县国民经济和社会发展战略，拟订奇台县财政发展战略和中长期规划并组织实施，参与制订有关综合经济政策。</w:t>
      </w:r>
    </w:p>
    <w:p>
      <w:pPr>
        <w:spacing w:line="540" w:lineRule="exact"/>
        <w:ind w:firstLine="640"/>
        <w:rPr>
          <w:rStyle w:val="18"/>
          <w:rFonts w:hint="eastAsia" w:ascii="仿宋" w:hAnsi="仿宋" w:eastAsia="仿宋" w:cs="仿宋"/>
          <w:b w:val="0"/>
          <w:spacing w:val="-4"/>
          <w:sz w:val="32"/>
          <w:szCs w:val="32"/>
          <w:lang w:eastAsia="zh-CN"/>
        </w:rPr>
      </w:pPr>
      <w:r>
        <w:rPr>
          <w:rStyle w:val="18"/>
          <w:rFonts w:hint="eastAsia" w:ascii="仿宋" w:hAnsi="仿宋" w:eastAsia="仿宋" w:cs="仿宋"/>
          <w:b w:val="0"/>
          <w:spacing w:val="-4"/>
          <w:sz w:val="32"/>
          <w:szCs w:val="32"/>
          <w:lang w:eastAsia="zh-CN"/>
        </w:rPr>
        <w:t xml:space="preserve"> (三)承担奇台县各项财政收支管理责任。。</w:t>
      </w:r>
    </w:p>
    <w:p>
      <w:pPr>
        <w:spacing w:line="540" w:lineRule="exact"/>
        <w:ind w:firstLine="640"/>
        <w:rPr>
          <w:rStyle w:val="18"/>
          <w:rFonts w:hint="eastAsia" w:ascii="仿宋" w:hAnsi="仿宋" w:eastAsia="仿宋" w:cs="仿宋"/>
          <w:b w:val="0"/>
          <w:spacing w:val="-4"/>
          <w:sz w:val="32"/>
          <w:szCs w:val="32"/>
          <w:lang w:eastAsia="zh-CN"/>
        </w:rPr>
      </w:pPr>
      <w:r>
        <w:rPr>
          <w:rStyle w:val="18"/>
          <w:rFonts w:hint="eastAsia" w:ascii="仿宋" w:hAnsi="仿宋" w:eastAsia="仿宋" w:cs="仿宋"/>
          <w:b w:val="0"/>
          <w:spacing w:val="-4"/>
          <w:sz w:val="32"/>
          <w:szCs w:val="32"/>
          <w:lang w:eastAsia="zh-CN"/>
        </w:rPr>
        <w:t xml:space="preserve"> (四)根据预算安排，拟订财政税收收入计划，并组织实施和监督管理；按管理权限拟订减免税上报事项和对奇台县预算影响较大的临时和特殊的地方税减免事项。</w:t>
      </w:r>
    </w:p>
    <w:p>
      <w:pPr>
        <w:spacing w:line="540" w:lineRule="exact"/>
        <w:ind w:firstLine="640"/>
        <w:rPr>
          <w:rStyle w:val="18"/>
          <w:rFonts w:hint="eastAsia" w:ascii="仿宋" w:hAnsi="仿宋" w:eastAsia="仿宋" w:cs="仿宋"/>
          <w:b w:val="0"/>
          <w:spacing w:val="-4"/>
          <w:sz w:val="32"/>
          <w:szCs w:val="32"/>
          <w:lang w:eastAsia="zh-CN"/>
        </w:rPr>
      </w:pPr>
      <w:r>
        <w:rPr>
          <w:rStyle w:val="18"/>
          <w:rFonts w:hint="eastAsia" w:ascii="仿宋" w:hAnsi="仿宋" w:eastAsia="仿宋" w:cs="仿宋"/>
          <w:b w:val="0"/>
          <w:spacing w:val="-4"/>
          <w:sz w:val="32"/>
          <w:szCs w:val="32"/>
          <w:lang w:eastAsia="zh-CN"/>
        </w:rPr>
        <w:t xml:space="preserve"> (五)管理和监督由奇台县本级承担的各项财政收入和财政支出，组织和监督财政预算的执行，负责农业综合开发项目及资金、扶贫贷款贴息资金的管理工作；负责国债转贷资金。</w:t>
      </w:r>
    </w:p>
    <w:p>
      <w:pPr>
        <w:spacing w:line="540" w:lineRule="exact"/>
        <w:ind w:firstLine="640"/>
        <w:rPr>
          <w:rStyle w:val="18"/>
          <w:rFonts w:hint="eastAsia" w:ascii="仿宋" w:hAnsi="仿宋" w:eastAsia="仿宋" w:cs="仿宋"/>
          <w:b w:val="0"/>
          <w:spacing w:val="-4"/>
          <w:sz w:val="32"/>
          <w:szCs w:val="32"/>
          <w:lang w:eastAsia="zh-CN"/>
        </w:rPr>
      </w:pPr>
      <w:r>
        <w:rPr>
          <w:rStyle w:val="18"/>
          <w:rFonts w:hint="eastAsia" w:ascii="仿宋" w:hAnsi="仿宋" w:eastAsia="仿宋" w:cs="仿宋"/>
          <w:b w:val="0"/>
          <w:spacing w:val="-4"/>
          <w:sz w:val="32"/>
          <w:szCs w:val="32"/>
          <w:lang w:eastAsia="zh-CN"/>
        </w:rPr>
        <w:t xml:space="preserve"> (六)拟订和执行需要全县统一规定的开支标准和支出政策，负责建立和实施国库集中支付制度，对国库资金缴拨使用情况进行监管。</w:t>
      </w:r>
    </w:p>
    <w:p>
      <w:pPr>
        <w:spacing w:line="540" w:lineRule="exact"/>
        <w:ind w:firstLine="640"/>
        <w:rPr>
          <w:rStyle w:val="18"/>
          <w:rFonts w:hint="eastAsia" w:ascii="仿宋" w:hAnsi="仿宋" w:eastAsia="仿宋" w:cs="仿宋"/>
          <w:b w:val="0"/>
          <w:spacing w:val="-4"/>
          <w:sz w:val="32"/>
          <w:szCs w:val="32"/>
          <w:lang w:eastAsia="zh-CN"/>
        </w:rPr>
      </w:pPr>
      <w:r>
        <w:rPr>
          <w:rStyle w:val="18"/>
          <w:rFonts w:hint="eastAsia" w:ascii="仿宋" w:hAnsi="仿宋" w:eastAsia="仿宋" w:cs="仿宋"/>
          <w:b w:val="0"/>
          <w:spacing w:val="-4"/>
          <w:sz w:val="32"/>
          <w:szCs w:val="32"/>
          <w:lang w:eastAsia="zh-CN"/>
        </w:rPr>
        <w:t xml:space="preserve"> (七)管理和指导全县会计工作。</w:t>
      </w:r>
    </w:p>
    <w:p>
      <w:pPr>
        <w:spacing w:line="540" w:lineRule="exact"/>
        <w:ind w:firstLine="640"/>
        <w:rPr>
          <w:rStyle w:val="18"/>
          <w:rFonts w:hint="eastAsia" w:ascii="仿宋" w:hAnsi="仿宋" w:eastAsia="仿宋" w:cs="仿宋"/>
          <w:b w:val="0"/>
          <w:spacing w:val="-4"/>
          <w:sz w:val="32"/>
          <w:szCs w:val="32"/>
          <w:lang w:eastAsia="zh-CN"/>
        </w:rPr>
      </w:pPr>
      <w:r>
        <w:rPr>
          <w:rStyle w:val="18"/>
          <w:rFonts w:hint="eastAsia" w:ascii="仿宋" w:hAnsi="仿宋" w:eastAsia="仿宋" w:cs="仿宋"/>
          <w:b w:val="0"/>
          <w:spacing w:val="-4"/>
          <w:sz w:val="32"/>
          <w:szCs w:val="32"/>
          <w:lang w:eastAsia="zh-CN"/>
        </w:rPr>
        <w:t xml:space="preserve"> (八)负责外国政府、国际金融组织贷款项目的审核、申报、转贷，签订贷款协定、财务会计核算、提款报账、办理还本付息等资金管理工作。</w:t>
      </w:r>
    </w:p>
    <w:p>
      <w:pPr>
        <w:spacing w:line="540" w:lineRule="exact"/>
        <w:ind w:firstLine="640"/>
        <w:rPr>
          <w:rStyle w:val="18"/>
          <w:rFonts w:hint="eastAsia" w:ascii="仿宋" w:hAnsi="仿宋" w:eastAsia="仿宋" w:cs="仿宋"/>
          <w:b w:val="0"/>
          <w:spacing w:val="-4"/>
          <w:sz w:val="32"/>
          <w:szCs w:val="32"/>
          <w:lang w:eastAsia="zh-CN"/>
        </w:rPr>
      </w:pPr>
      <w:r>
        <w:rPr>
          <w:rStyle w:val="18"/>
          <w:rFonts w:hint="eastAsia" w:ascii="仿宋" w:hAnsi="仿宋" w:eastAsia="仿宋" w:cs="仿宋"/>
          <w:b w:val="0"/>
          <w:spacing w:val="-4"/>
          <w:sz w:val="32"/>
          <w:szCs w:val="32"/>
          <w:lang w:eastAsia="zh-CN"/>
        </w:rPr>
        <w:t xml:space="preserve"> (九)拟订和执行地方政府性债务管理制度和办法，按规定开展地方政府债券管理工作承担地方金融企业财务的监管工作。</w:t>
      </w:r>
    </w:p>
    <w:p>
      <w:pPr>
        <w:spacing w:line="540" w:lineRule="exact"/>
        <w:ind w:firstLine="640"/>
        <w:rPr>
          <w:rStyle w:val="18"/>
          <w:rFonts w:hint="eastAsia" w:ascii="仿宋" w:hAnsi="仿宋" w:eastAsia="仿宋" w:cs="仿宋"/>
          <w:b w:val="0"/>
          <w:spacing w:val="-4"/>
          <w:sz w:val="32"/>
          <w:szCs w:val="32"/>
          <w:lang w:eastAsia="zh-CN"/>
        </w:rPr>
      </w:pPr>
      <w:r>
        <w:rPr>
          <w:rStyle w:val="18"/>
          <w:rFonts w:hint="eastAsia" w:ascii="仿宋" w:hAnsi="仿宋" w:eastAsia="仿宋" w:cs="仿宋"/>
          <w:b w:val="0"/>
          <w:spacing w:val="-4"/>
          <w:sz w:val="32"/>
          <w:szCs w:val="32"/>
          <w:lang w:eastAsia="zh-CN"/>
        </w:rPr>
        <w:t xml:space="preserve"> (十)贯彻执行行政事业单位国有资产管理规章制度，按规定管理行政事业单位国有资产；管理奇台县预算内行政机构、事业单位和社会团体非贸易非经营性用汇。</w:t>
      </w:r>
    </w:p>
    <w:p>
      <w:pPr>
        <w:spacing w:line="540" w:lineRule="exact"/>
        <w:ind w:firstLine="640"/>
        <w:rPr>
          <w:rStyle w:val="18"/>
          <w:rFonts w:hint="eastAsia" w:ascii="仿宋" w:hAnsi="仿宋" w:eastAsia="仿宋" w:cs="仿宋"/>
          <w:b w:val="0"/>
          <w:spacing w:val="-4"/>
          <w:sz w:val="32"/>
          <w:szCs w:val="32"/>
          <w:lang w:eastAsia="zh-CN"/>
        </w:rPr>
      </w:pPr>
      <w:r>
        <w:rPr>
          <w:rStyle w:val="18"/>
          <w:rFonts w:hint="eastAsia" w:ascii="仿宋" w:hAnsi="仿宋" w:eastAsia="仿宋" w:cs="仿宋"/>
          <w:b w:val="0"/>
          <w:spacing w:val="-4"/>
          <w:sz w:val="32"/>
          <w:szCs w:val="32"/>
          <w:lang w:eastAsia="zh-CN"/>
        </w:rPr>
        <w:t>（十一）组织实施奇台县本级国有企业股权管理、清产核资、资产评估、产权界定、产权登记和产权转让交易、资产统计、绩效评价及经济运行动态监测等工作依法对县本级管理的园区管理委员会企业国有资产监督管理工作进行指导和监督。</w:t>
      </w:r>
    </w:p>
    <w:p>
      <w:pPr>
        <w:spacing w:line="540" w:lineRule="exact"/>
        <w:ind w:firstLine="640"/>
        <w:rPr>
          <w:rStyle w:val="18"/>
          <w:rFonts w:hint="eastAsia" w:ascii="仿宋" w:hAnsi="仿宋" w:eastAsia="仿宋" w:cs="仿宋"/>
          <w:b w:val="0"/>
          <w:spacing w:val="-4"/>
          <w:sz w:val="32"/>
          <w:szCs w:val="32"/>
          <w:lang w:eastAsia="zh-CN"/>
        </w:rPr>
      </w:pPr>
      <w:r>
        <w:rPr>
          <w:rStyle w:val="18"/>
          <w:rFonts w:hint="eastAsia" w:ascii="仿宋" w:hAnsi="仿宋" w:eastAsia="仿宋" w:cs="仿宋"/>
          <w:b w:val="0"/>
          <w:spacing w:val="-4"/>
          <w:sz w:val="32"/>
          <w:szCs w:val="32"/>
          <w:lang w:eastAsia="zh-CN"/>
        </w:rPr>
        <w:t>（十二）按照有关规定，代表奇台县人民政府向国有独资企业派出监事会和董事，向国有控股和国有参股企业派出董事、监事，负责监事会的日常管理工作。</w:t>
      </w:r>
    </w:p>
    <w:p>
      <w:pPr>
        <w:spacing w:line="540" w:lineRule="exact"/>
        <w:ind w:firstLine="640"/>
        <w:rPr>
          <w:rStyle w:val="18"/>
          <w:rFonts w:hint="eastAsia" w:ascii="仿宋" w:hAnsi="仿宋" w:eastAsia="仿宋" w:cs="仿宋"/>
          <w:b w:val="0"/>
          <w:spacing w:val="-4"/>
          <w:sz w:val="32"/>
          <w:szCs w:val="32"/>
          <w:lang w:eastAsia="zh-CN"/>
        </w:rPr>
      </w:pPr>
      <w:r>
        <w:rPr>
          <w:rStyle w:val="18"/>
          <w:rFonts w:hint="eastAsia" w:ascii="仿宋" w:hAnsi="仿宋" w:eastAsia="仿宋" w:cs="仿宋"/>
          <w:b w:val="0"/>
          <w:spacing w:val="-4"/>
          <w:sz w:val="32"/>
          <w:szCs w:val="32"/>
          <w:lang w:eastAsia="zh-CN"/>
        </w:rPr>
        <w:t xml:space="preserve"> (十三)监督检查财税政策、法律法规的执行情况检查财政支出管理中的重要问题；提出加强财政管理的政策建议。</w:t>
      </w:r>
    </w:p>
    <w:p>
      <w:pPr>
        <w:spacing w:line="540" w:lineRule="exact"/>
        <w:ind w:firstLine="640"/>
        <w:rPr>
          <w:rStyle w:val="18"/>
          <w:rFonts w:hint="eastAsia" w:ascii="仿宋" w:hAnsi="仿宋" w:eastAsia="仿宋" w:cs="仿宋"/>
          <w:b w:val="0"/>
          <w:spacing w:val="-4"/>
          <w:sz w:val="32"/>
          <w:szCs w:val="32"/>
          <w:lang w:eastAsia="zh-CN"/>
        </w:rPr>
      </w:pPr>
      <w:r>
        <w:rPr>
          <w:rStyle w:val="18"/>
          <w:rFonts w:hint="eastAsia" w:ascii="仿宋" w:hAnsi="仿宋" w:eastAsia="仿宋" w:cs="仿宋"/>
          <w:b w:val="0"/>
          <w:spacing w:val="-4"/>
          <w:sz w:val="32"/>
          <w:szCs w:val="32"/>
          <w:lang w:eastAsia="zh-CN"/>
        </w:rPr>
        <w:t xml:space="preserve"> (十四)制定奇台县财政干部教育规划；组织全县财政人员的教育工作；负责财政宣传和财政信息工作。</w:t>
      </w:r>
    </w:p>
    <w:p>
      <w:pPr>
        <w:spacing w:line="540" w:lineRule="exact"/>
        <w:ind w:firstLine="640"/>
        <w:rPr>
          <w:rStyle w:val="18"/>
          <w:rFonts w:hint="eastAsia" w:ascii="仿宋" w:hAnsi="仿宋" w:eastAsia="仿宋" w:cs="仿宋"/>
          <w:b w:val="0"/>
          <w:spacing w:val="-4"/>
          <w:sz w:val="32"/>
          <w:szCs w:val="32"/>
          <w:lang w:eastAsia="zh-CN"/>
        </w:rPr>
      </w:pPr>
      <w:r>
        <w:rPr>
          <w:rStyle w:val="18"/>
          <w:rFonts w:hint="eastAsia" w:ascii="仿宋" w:hAnsi="仿宋" w:eastAsia="仿宋" w:cs="仿宋"/>
          <w:b w:val="0"/>
          <w:spacing w:val="-4"/>
          <w:sz w:val="32"/>
          <w:szCs w:val="32"/>
          <w:lang w:eastAsia="zh-CN"/>
        </w:rPr>
        <w:t xml:space="preserve"> (十五)承办县人民政府交办的其它事项。</w:t>
      </w:r>
    </w:p>
    <w:p>
      <w:pPr>
        <w:pStyle w:val="47"/>
        <w:widowControl/>
        <w:pBdr>
          <w:top w:val="none" w:color="auto" w:sz="0" w:space="0"/>
          <w:left w:val="none" w:color="auto" w:sz="0" w:space="0"/>
          <w:bottom w:val="none" w:color="auto" w:sz="0" w:space="0"/>
          <w:right w:val="none" w:color="auto" w:sz="0" w:space="0"/>
        </w:pBdr>
        <w:spacing w:before="225" w:beforeAutospacing="0" w:after="0" w:afterAutospacing="0" w:line="450" w:lineRule="atLeast"/>
        <w:ind w:left="0" w:right="0" w:firstLine="420"/>
        <w:rPr>
          <w:rStyle w:val="18"/>
          <w:rFonts w:hint="eastAsia" w:ascii="仿宋" w:hAnsi="仿宋" w:eastAsia="仿宋" w:cs="仿宋"/>
          <w:b w:val="0"/>
          <w:spacing w:val="-4"/>
          <w:kern w:val="2"/>
          <w:sz w:val="32"/>
          <w:szCs w:val="32"/>
          <w:lang w:val="en-US" w:eastAsia="zh-CN" w:bidi="ar-SA"/>
        </w:rPr>
      </w:pPr>
      <w:r>
        <w:rPr>
          <w:rStyle w:val="18"/>
          <w:rFonts w:hint="eastAsia" w:ascii="仿宋" w:hAnsi="仿宋" w:eastAsia="仿宋" w:cs="仿宋"/>
          <w:b w:val="0"/>
          <w:spacing w:val="-4"/>
          <w:kern w:val="2"/>
          <w:sz w:val="32"/>
          <w:szCs w:val="32"/>
          <w:lang w:val="en-US" w:eastAsia="zh-CN" w:bidi="ar-SA"/>
        </w:rPr>
        <w:t>2、 机构设置情况</w:t>
      </w:r>
    </w:p>
    <w:p>
      <w:pPr>
        <w:pStyle w:val="47"/>
        <w:widowControl/>
        <w:pBdr>
          <w:top w:val="none" w:color="auto" w:sz="0" w:space="0"/>
          <w:left w:val="none" w:color="auto" w:sz="0" w:space="0"/>
          <w:bottom w:val="none" w:color="auto" w:sz="0" w:space="0"/>
          <w:right w:val="none" w:color="auto" w:sz="0" w:space="0"/>
        </w:pBdr>
        <w:spacing w:before="225" w:beforeAutospacing="0" w:after="0" w:afterAutospacing="0" w:line="450" w:lineRule="atLeast"/>
        <w:ind w:left="0" w:right="0" w:firstLine="420"/>
        <w:rPr>
          <w:rStyle w:val="18"/>
          <w:rFonts w:hint="eastAsia" w:ascii="仿宋" w:hAnsi="仿宋" w:eastAsia="仿宋" w:cs="仿宋"/>
          <w:b w:val="0"/>
          <w:spacing w:val="-4"/>
          <w:sz w:val="32"/>
          <w:szCs w:val="32"/>
          <w:lang w:eastAsia="zh-CN"/>
        </w:rPr>
      </w:pPr>
      <w:r>
        <w:rPr>
          <w:rStyle w:val="18"/>
          <w:rFonts w:hint="eastAsia" w:ascii="仿宋" w:hAnsi="仿宋" w:eastAsia="仿宋" w:cs="仿宋"/>
          <w:b w:val="0"/>
          <w:spacing w:val="-4"/>
          <w:kern w:val="2"/>
          <w:sz w:val="32"/>
          <w:szCs w:val="32"/>
          <w:lang w:val="en-US" w:eastAsia="zh-CN" w:bidi="ar-SA"/>
        </w:rPr>
        <w:t>奇台县财政局本级下设 7个处室，分别是：(一)办公室（督查室）(二)预算、文行、农业、社保股 (三)国库股 (四)经济建设股 (五)企业涉外金融股 (六)会计股 （七）国有资产监督管理股。</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（二）项目预算</w:t>
      </w:r>
      <w:r>
        <w:rPr>
          <w:rStyle w:val="18"/>
          <w:rFonts w:ascii="楷体" w:hAnsi="楷体" w:eastAsia="楷体"/>
          <w:spacing w:val="-4"/>
          <w:sz w:val="32"/>
          <w:szCs w:val="32"/>
        </w:rPr>
        <w:t>绩效目标</w:t>
      </w:r>
      <w:r>
        <w:rPr>
          <w:rStyle w:val="18"/>
          <w:rFonts w:hint="eastAsia" w:ascii="楷体" w:hAnsi="楷体" w:eastAsia="楷体"/>
          <w:spacing w:val="-4"/>
          <w:sz w:val="32"/>
          <w:szCs w:val="32"/>
        </w:rPr>
        <w:t>设定情况</w:t>
      </w:r>
    </w:p>
    <w:p>
      <w:pPr>
        <w:spacing w:line="540" w:lineRule="exact"/>
        <w:ind w:firstLine="640"/>
        <w:rPr>
          <w:rStyle w:val="18"/>
          <w:rFonts w:hint="eastAsia" w:ascii="仿宋" w:hAnsi="仿宋" w:eastAsia="仿宋" w:cs="仿宋"/>
          <w:b w:val="0"/>
          <w:spacing w:val="-4"/>
          <w:sz w:val="32"/>
          <w:szCs w:val="32"/>
          <w:lang w:eastAsia="zh-CN"/>
        </w:rPr>
      </w:pPr>
      <w:r>
        <w:rPr>
          <w:rStyle w:val="18"/>
          <w:rFonts w:hint="eastAsia" w:ascii="仿宋" w:hAnsi="仿宋" w:eastAsia="仿宋" w:cs="仿宋"/>
          <w:b w:val="0"/>
          <w:spacing w:val="-4"/>
          <w:sz w:val="32"/>
          <w:szCs w:val="32"/>
          <w:lang w:eastAsia="zh-CN"/>
        </w:rPr>
        <w:t>为推动昌吉州奇台县工作，根据昌吉州财政局《关于拨付</w:t>
      </w:r>
      <w:r>
        <w:rPr>
          <w:rStyle w:val="18"/>
          <w:rFonts w:hint="eastAsia" w:ascii="仿宋" w:hAnsi="仿宋" w:eastAsia="仿宋" w:cs="仿宋"/>
          <w:b w:val="0"/>
          <w:spacing w:val="-4"/>
          <w:sz w:val="32"/>
          <w:szCs w:val="32"/>
          <w:lang w:val="en-US" w:eastAsia="zh-CN"/>
        </w:rPr>
        <w:t>2016年新增建设用地土地有偿使用费收缴业务费的</w:t>
      </w:r>
      <w:r>
        <w:rPr>
          <w:rStyle w:val="18"/>
          <w:rFonts w:hint="eastAsia" w:ascii="仿宋" w:hAnsi="仿宋" w:eastAsia="仿宋" w:cs="仿宋"/>
          <w:b w:val="0"/>
          <w:spacing w:val="-4"/>
          <w:sz w:val="32"/>
          <w:szCs w:val="32"/>
          <w:lang w:eastAsia="zh-CN"/>
        </w:rPr>
        <w:t>的通知》（昌州财综</w:t>
      </w:r>
      <w:r>
        <w:rPr>
          <w:rStyle w:val="18"/>
          <w:rFonts w:hint="eastAsia" w:ascii="仿宋" w:hAnsi="仿宋" w:eastAsia="仿宋" w:cs="仿宋"/>
          <w:b w:val="0"/>
          <w:spacing w:val="-4"/>
          <w:sz w:val="32"/>
          <w:szCs w:val="32"/>
          <w:lang w:val="en-US" w:eastAsia="zh-CN"/>
        </w:rPr>
        <w:t>[2017]16号</w:t>
      </w:r>
      <w:r>
        <w:rPr>
          <w:rStyle w:val="18"/>
          <w:rFonts w:hint="eastAsia" w:ascii="仿宋" w:hAnsi="仿宋" w:eastAsia="仿宋" w:cs="仿宋"/>
          <w:b w:val="0"/>
          <w:spacing w:val="-4"/>
          <w:sz w:val="32"/>
          <w:szCs w:val="32"/>
          <w:lang w:eastAsia="zh-CN"/>
        </w:rPr>
        <w:t>）文件精神，现下达</w:t>
      </w:r>
      <w:r>
        <w:rPr>
          <w:rStyle w:val="18"/>
          <w:rFonts w:hint="eastAsia" w:ascii="仿宋" w:hAnsi="仿宋" w:eastAsia="仿宋" w:cs="仿宋"/>
          <w:b w:val="0"/>
          <w:spacing w:val="-4"/>
          <w:sz w:val="32"/>
          <w:szCs w:val="32"/>
          <w:lang w:val="en-US" w:eastAsia="zh-CN"/>
        </w:rPr>
        <w:t>新增建设用地土地有偿使用费收缴业务费1.5万元，满足工作需要。</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二、项目资金使用及管理情况</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（一）项目资金安排落实、总投入等情况分析</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Ansi="宋体" w:eastAsia="仿宋_GB2312" w:cs="宋体"/>
          <w:kern w:val="0"/>
          <w:sz w:val="36"/>
          <w:szCs w:val="36"/>
        </w:rPr>
      </w:pPr>
      <w:r>
        <w:rPr>
          <w:rFonts w:hint="eastAsia" w:ascii="仿宋" w:hAnsi="仿宋" w:eastAsia="仿宋" w:cs="仿宋"/>
          <w:sz w:val="32"/>
          <w:szCs w:val="32"/>
          <w:lang w:eastAsia="zh-CN"/>
        </w:rPr>
        <w:t>根据昌州财综</w:t>
      </w:r>
      <w:r>
        <w:rPr>
          <w:rFonts w:hint="eastAsia" w:ascii="仿宋" w:hAnsi="仿宋" w:eastAsia="仿宋" w:cs="仿宋"/>
          <w:sz w:val="32"/>
          <w:szCs w:val="32"/>
          <w:lang w:val="en-US" w:eastAsia="zh-CN"/>
        </w:rPr>
        <w:t>[2017]16号文件，</w:t>
      </w:r>
      <w:r>
        <w:rPr>
          <w:rStyle w:val="18"/>
          <w:rFonts w:hint="eastAsia" w:ascii="仿宋" w:hAnsi="仿宋" w:eastAsia="仿宋" w:cs="仿宋"/>
          <w:b w:val="0"/>
          <w:spacing w:val="-4"/>
          <w:sz w:val="32"/>
          <w:szCs w:val="32"/>
          <w:lang w:val="en-US" w:eastAsia="zh-CN"/>
        </w:rPr>
        <w:t>新增建设用地土地有偿使用费收缴业务费</w:t>
      </w:r>
      <w:r>
        <w:rPr>
          <w:rFonts w:hint="eastAsia" w:ascii="仿宋" w:hAnsi="仿宋" w:eastAsia="仿宋" w:cs="仿宋"/>
          <w:sz w:val="32"/>
          <w:szCs w:val="32"/>
        </w:rPr>
        <w:t>到位</w:t>
      </w:r>
      <w:r>
        <w:rPr>
          <w:rFonts w:hint="eastAsia" w:ascii="仿宋" w:hAnsi="仿宋" w:eastAsia="仿宋" w:cs="仿宋"/>
          <w:sz w:val="32"/>
          <w:szCs w:val="32"/>
          <w:lang w:val="en-US" w:eastAsia="zh-CN"/>
        </w:rPr>
        <w:t>1.5</w:t>
      </w:r>
      <w:r>
        <w:rPr>
          <w:rFonts w:hint="eastAsia" w:ascii="仿宋" w:hAnsi="仿宋" w:eastAsia="仿宋" w:cs="仿宋"/>
          <w:sz w:val="32"/>
          <w:szCs w:val="32"/>
        </w:rPr>
        <w:t>万元</w:t>
      </w:r>
      <w:r>
        <w:rPr>
          <w:rFonts w:hint="eastAsia" w:ascii="仿宋" w:hAnsi="仿宋" w:eastAsia="仿宋" w:cs="仿宋"/>
          <w:sz w:val="32"/>
          <w:szCs w:val="32"/>
          <w:lang w:eastAsia="zh-CN"/>
        </w:rPr>
        <w:t>。</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（二）项目资金实际使用情况分析</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 w:hAnsi="仿宋" w:eastAsia="仿宋" w:cs="仿宋"/>
          <w:sz w:val="32"/>
          <w:szCs w:val="32"/>
          <w:lang w:eastAsia="zh-CN"/>
        </w:rPr>
      </w:pPr>
      <w:r>
        <w:rPr>
          <w:rFonts w:hint="eastAsia" w:ascii="仿宋" w:hAnsi="仿宋" w:eastAsia="仿宋" w:cs="仿宋"/>
          <w:sz w:val="32"/>
          <w:szCs w:val="32"/>
        </w:rPr>
        <w:t>资金拨付按实际</w:t>
      </w:r>
      <w:r>
        <w:rPr>
          <w:rFonts w:hint="eastAsia" w:ascii="仿宋" w:hAnsi="仿宋" w:eastAsia="仿宋" w:cs="仿宋"/>
          <w:sz w:val="32"/>
          <w:szCs w:val="32"/>
          <w:lang w:eastAsia="zh-CN"/>
        </w:rPr>
        <w:t>工作</w:t>
      </w:r>
      <w:r>
        <w:rPr>
          <w:rFonts w:hint="eastAsia" w:ascii="仿宋" w:hAnsi="仿宋" w:eastAsia="仿宋" w:cs="仿宋"/>
          <w:sz w:val="32"/>
          <w:szCs w:val="32"/>
        </w:rPr>
        <w:t>进度，县财政局审核后</w:t>
      </w:r>
      <w:r>
        <w:rPr>
          <w:rFonts w:hint="eastAsia" w:ascii="仿宋" w:hAnsi="仿宋" w:eastAsia="仿宋" w:cs="仿宋"/>
          <w:sz w:val="32"/>
          <w:szCs w:val="32"/>
          <w:lang w:eastAsia="zh-CN"/>
        </w:rPr>
        <w:t>用于培训费、印刷费、交通费等日常支出</w:t>
      </w:r>
      <w:r>
        <w:rPr>
          <w:rFonts w:hint="eastAsia" w:ascii="仿宋" w:hAnsi="仿宋" w:eastAsia="仿宋" w:cs="仿宋"/>
          <w:sz w:val="32"/>
          <w:szCs w:val="32"/>
        </w:rPr>
        <w:t>。</w:t>
      </w:r>
      <w:r>
        <w:rPr>
          <w:rFonts w:hint="eastAsia" w:ascii="仿宋" w:hAnsi="仿宋" w:eastAsia="仿宋" w:cs="仿宋"/>
          <w:sz w:val="32"/>
          <w:szCs w:val="32"/>
          <w:lang w:eastAsia="zh-CN"/>
        </w:rPr>
        <w:t>截至目前，已使用</w:t>
      </w:r>
      <w:r>
        <w:rPr>
          <w:rFonts w:hint="eastAsia" w:ascii="仿宋" w:hAnsi="仿宋" w:eastAsia="仿宋" w:cs="仿宋"/>
          <w:sz w:val="32"/>
          <w:szCs w:val="32"/>
          <w:lang w:val="en-US" w:eastAsia="zh-CN"/>
        </w:rPr>
        <w:t>1.5</w:t>
      </w:r>
      <w:r>
        <w:rPr>
          <w:rFonts w:hint="eastAsia" w:ascii="仿宋" w:hAnsi="仿宋" w:eastAsia="仿宋" w:cs="仿宋"/>
          <w:sz w:val="32"/>
          <w:szCs w:val="32"/>
          <w:lang w:eastAsia="zh-CN"/>
        </w:rPr>
        <w:t>万元。</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（三）项目资金管理情况分析</w:t>
      </w:r>
    </w:p>
    <w:p>
      <w:pPr>
        <w:spacing w:line="540" w:lineRule="exact"/>
        <w:ind w:firstLine="640"/>
        <w:rPr>
          <w:rStyle w:val="18"/>
          <w:rFonts w:hint="eastAsia" w:ascii="仿宋" w:hAnsi="仿宋" w:eastAsia="仿宋"/>
          <w:b w:val="0"/>
          <w:spacing w:val="-4"/>
          <w:sz w:val="32"/>
          <w:szCs w:val="32"/>
        </w:rPr>
      </w:pPr>
      <w:r>
        <w:rPr>
          <w:rStyle w:val="18"/>
          <w:rFonts w:hint="eastAsia" w:ascii="仿宋" w:hAnsi="仿宋" w:eastAsia="仿宋"/>
          <w:b w:val="0"/>
          <w:spacing w:val="-4"/>
          <w:sz w:val="32"/>
          <w:szCs w:val="32"/>
        </w:rPr>
        <w:t>在资金管理上强化责任意识，建立健全管理制度，落实配套资金，定期调度资金拨付情况，提高预算执行效率和资金使用效益，确保财政资金使用安全。</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三、项目组织实施情况</w:t>
      </w:r>
    </w:p>
    <w:p>
      <w:pPr>
        <w:spacing w:line="540" w:lineRule="exact"/>
        <w:ind w:firstLine="567" w:firstLineChars="181"/>
        <w:rPr>
          <w:rStyle w:val="18"/>
          <w:rFonts w:hint="eastAsia" w:ascii="楷体" w:hAnsi="楷体" w:eastAsia="楷体"/>
          <w:spacing w:val="-4"/>
          <w:sz w:val="32"/>
          <w:szCs w:val="32"/>
        </w:rPr>
      </w:pPr>
      <w:r>
        <w:rPr>
          <w:rStyle w:val="18"/>
          <w:rFonts w:hint="eastAsia" w:ascii="楷体" w:hAnsi="楷体" w:eastAsia="楷体"/>
          <w:spacing w:val="-4"/>
          <w:sz w:val="32"/>
          <w:szCs w:val="32"/>
        </w:rPr>
        <w:t>（一）项目组织情况分析</w:t>
      </w:r>
    </w:p>
    <w:p>
      <w:pPr>
        <w:spacing w:line="540" w:lineRule="exact"/>
        <w:ind w:firstLine="564" w:firstLineChars="181"/>
        <w:rPr>
          <w:rStyle w:val="18"/>
          <w:rFonts w:hint="eastAsia" w:ascii="仿宋" w:hAnsi="仿宋" w:eastAsia="仿宋" w:cs="仿宋"/>
          <w:b w:val="0"/>
          <w:bCs w:val="0"/>
          <w:spacing w:val="-4"/>
          <w:sz w:val="32"/>
          <w:szCs w:val="32"/>
          <w:lang w:eastAsia="zh-CN"/>
        </w:rPr>
      </w:pPr>
      <w:r>
        <w:rPr>
          <w:rStyle w:val="18"/>
          <w:rFonts w:hint="eastAsia" w:ascii="仿宋" w:hAnsi="仿宋" w:eastAsia="仿宋" w:cs="仿宋"/>
          <w:b w:val="0"/>
          <w:bCs w:val="0"/>
          <w:spacing w:val="-4"/>
          <w:sz w:val="32"/>
          <w:szCs w:val="32"/>
          <w:lang w:eastAsia="zh-CN"/>
        </w:rPr>
        <w:t>严格执行中央八项规定，严控一般性支出，精打细算，确保资金满足乡镇财政管理日常工作需要，钱花在“刀刃上”。</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（二）项目管理情况分析</w:t>
      </w:r>
    </w:p>
    <w:p>
      <w:pPr>
        <w:spacing w:line="540" w:lineRule="exact"/>
        <w:ind w:firstLine="640"/>
        <w:rPr>
          <w:rStyle w:val="18"/>
          <w:rFonts w:hint="eastAsia" w:ascii="仿宋" w:hAnsi="仿宋" w:eastAsia="仿宋"/>
          <w:b w:val="0"/>
          <w:spacing w:val="-4"/>
          <w:sz w:val="32"/>
          <w:szCs w:val="32"/>
        </w:rPr>
      </w:pPr>
      <w:r>
        <w:rPr>
          <w:rStyle w:val="18"/>
          <w:rFonts w:hint="eastAsia" w:ascii="仿宋" w:hAnsi="仿宋" w:eastAsia="仿宋"/>
          <w:b w:val="0"/>
          <w:spacing w:val="-4"/>
          <w:sz w:val="32"/>
          <w:szCs w:val="32"/>
        </w:rPr>
        <w:t>在</w:t>
      </w:r>
      <w:r>
        <w:rPr>
          <w:rStyle w:val="18"/>
          <w:rFonts w:hint="eastAsia" w:ascii="仿宋" w:hAnsi="仿宋" w:eastAsia="仿宋"/>
          <w:b w:val="0"/>
          <w:spacing w:val="-4"/>
          <w:sz w:val="32"/>
          <w:szCs w:val="32"/>
          <w:lang w:eastAsia="zh-CN"/>
        </w:rPr>
        <w:t>项目</w:t>
      </w:r>
      <w:r>
        <w:rPr>
          <w:rStyle w:val="18"/>
          <w:rFonts w:hint="eastAsia" w:ascii="仿宋" w:hAnsi="仿宋" w:eastAsia="仿宋"/>
          <w:b w:val="0"/>
          <w:spacing w:val="-4"/>
          <w:sz w:val="32"/>
          <w:szCs w:val="32"/>
        </w:rPr>
        <w:t>管理上强化责任意识，建立健全管理制度，落实配套资金，定期调度资金拨付情况，提高预算执行效率和资金使用效益，确保财政资金使用安全。</w:t>
      </w:r>
    </w:p>
    <w:p>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四、项目绩效情况</w:t>
      </w:r>
      <w:r>
        <w:rPr>
          <w:rStyle w:val="18"/>
          <w:rFonts w:hint="eastAsia" w:ascii="黑体" w:hAnsi="黑体" w:eastAsia="黑体"/>
        </w:rPr>
        <w:t xml:space="preserve"> </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（一）项目绩效目标完成情况分析</w:t>
      </w:r>
    </w:p>
    <w:p>
      <w:pPr>
        <w:spacing w:line="540" w:lineRule="exact"/>
        <w:ind w:firstLine="564" w:firstLineChars="181"/>
        <w:rPr>
          <w:rStyle w:val="18"/>
          <w:rFonts w:ascii="仿宋" w:hAnsi="仿宋" w:eastAsia="仿宋"/>
          <w:b w:val="0"/>
          <w:spacing w:val="-4"/>
          <w:sz w:val="32"/>
          <w:szCs w:val="32"/>
        </w:rPr>
      </w:pPr>
      <w:r>
        <w:rPr>
          <w:rStyle w:val="18"/>
          <w:rFonts w:hint="eastAsia" w:ascii="仿宋" w:hAnsi="仿宋" w:eastAsia="仿宋"/>
          <w:b w:val="0"/>
          <w:spacing w:val="-4"/>
          <w:sz w:val="32"/>
          <w:szCs w:val="32"/>
        </w:rPr>
        <w:t>将项目支出后的实际状况与申报的绩效目标对比，从项目的经济性、效率性、有益性和可持续性等方面进行量化、具体分析。</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（二）项目绩效目标未完成原因分析</w:t>
      </w:r>
    </w:p>
    <w:p>
      <w:pPr>
        <w:spacing w:line="540" w:lineRule="exact"/>
        <w:ind w:firstLine="640"/>
        <w:rPr>
          <w:rFonts w:hint="eastAsia" w:ascii="仿宋" w:hAnsi="仿宋" w:eastAsia="仿宋"/>
          <w:spacing w:val="-4"/>
          <w:sz w:val="32"/>
          <w:szCs w:val="32"/>
          <w:lang w:eastAsia="zh-CN"/>
        </w:rPr>
      </w:pPr>
      <w:r>
        <w:rPr>
          <w:rFonts w:hint="eastAsia" w:ascii="仿宋" w:hAnsi="仿宋" w:eastAsia="仿宋"/>
          <w:spacing w:val="-4"/>
          <w:sz w:val="32"/>
          <w:szCs w:val="32"/>
          <w:lang w:eastAsia="zh-CN"/>
        </w:rPr>
        <w:t>无。</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五、其他需要说明的问题</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（一）后续工作计划</w:t>
      </w:r>
    </w:p>
    <w:p>
      <w:pPr>
        <w:spacing w:line="540" w:lineRule="exact"/>
        <w:ind w:firstLine="564" w:firstLineChars="181"/>
        <w:rPr>
          <w:rFonts w:hint="eastAsia" w:ascii="楷体" w:hAnsi="楷体" w:eastAsia="楷体"/>
          <w:b/>
          <w:spacing w:val="-4"/>
          <w:sz w:val="32"/>
          <w:szCs w:val="32"/>
          <w:lang w:eastAsia="zh-CN"/>
        </w:rPr>
      </w:pPr>
      <w:r>
        <w:rPr>
          <w:rFonts w:hint="eastAsia" w:ascii="楷体" w:hAnsi="楷体" w:eastAsia="楷体"/>
          <w:b w:val="0"/>
          <w:bCs/>
          <w:spacing w:val="-4"/>
          <w:sz w:val="32"/>
          <w:szCs w:val="32"/>
          <w:lang w:eastAsia="zh-CN"/>
        </w:rPr>
        <w:t>总结</w:t>
      </w:r>
      <w:r>
        <w:rPr>
          <w:rFonts w:hint="eastAsia" w:ascii="楷体" w:hAnsi="楷体" w:eastAsia="楷体"/>
          <w:b w:val="0"/>
          <w:bCs/>
          <w:spacing w:val="-4"/>
          <w:sz w:val="32"/>
          <w:szCs w:val="32"/>
          <w:lang w:val="en-US" w:eastAsia="zh-CN"/>
        </w:rPr>
        <w:t>2017年度资金使用和项目管理的经验和做法，力争2018年经费使用效益更高、更合理。</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（二）主要经验及做法、存在问题和建议</w:t>
      </w:r>
    </w:p>
    <w:p>
      <w:pPr>
        <w:spacing w:line="540" w:lineRule="exact"/>
        <w:ind w:firstLine="564" w:firstLineChars="181"/>
        <w:rPr>
          <w:rFonts w:hint="eastAsia" w:ascii="仿宋_GB2312" w:eastAsia="仿宋_GB2312"/>
          <w:spacing w:val="-4"/>
          <w:sz w:val="32"/>
          <w:szCs w:val="32"/>
          <w:lang w:eastAsia="zh-CN"/>
        </w:rPr>
      </w:pPr>
      <w:r>
        <w:rPr>
          <w:rStyle w:val="18"/>
          <w:rFonts w:hint="eastAsia" w:ascii="仿宋" w:hAnsi="仿宋" w:eastAsia="仿宋" w:cs="仿宋"/>
          <w:b w:val="0"/>
          <w:spacing w:val="-4"/>
          <w:sz w:val="32"/>
          <w:szCs w:val="32"/>
          <w:lang w:val="en-US" w:eastAsia="zh-CN"/>
        </w:rPr>
        <w:t>将新增建设用地土地有偿使用费收缴业务费</w:t>
      </w:r>
      <w:r>
        <w:rPr>
          <w:rFonts w:hint="eastAsia" w:ascii="仿宋_GB2312" w:eastAsia="仿宋_GB2312"/>
          <w:spacing w:val="-4"/>
          <w:sz w:val="32"/>
          <w:szCs w:val="32"/>
          <w:lang w:val="en-US" w:eastAsia="zh-CN"/>
        </w:rPr>
        <w:t>与其他经费捆绑使用，发挥资金整体效益。</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（三）其他</w:t>
      </w:r>
    </w:p>
    <w:p>
      <w:pPr>
        <w:spacing w:line="540" w:lineRule="exact"/>
        <w:ind w:firstLine="564" w:firstLineChars="181"/>
        <w:rPr>
          <w:rFonts w:hint="eastAsia" w:ascii="楷体" w:hAnsi="楷体" w:eastAsia="楷体"/>
          <w:b/>
          <w:spacing w:val="-4"/>
          <w:sz w:val="32"/>
          <w:szCs w:val="32"/>
          <w:lang w:eastAsia="zh-CN"/>
        </w:rPr>
      </w:pPr>
      <w:r>
        <w:rPr>
          <w:rFonts w:hint="eastAsia" w:ascii="楷体" w:hAnsi="楷体" w:eastAsia="楷体"/>
          <w:b w:val="0"/>
          <w:bCs/>
          <w:spacing w:val="-4"/>
          <w:sz w:val="32"/>
          <w:szCs w:val="32"/>
          <w:lang w:eastAsia="zh-CN"/>
        </w:rPr>
        <w:t>无。</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六、项目评价工作情况</w:t>
      </w:r>
    </w:p>
    <w:p>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jc w:val="both"/>
        <w:textAlignment w:val="auto"/>
        <w:outlineLvl w:val="9"/>
        <w:rPr>
          <w:rFonts w:hint="eastAsia" w:ascii="黑体" w:hAnsi="黑体" w:eastAsia="黑体" w:cs="黑体"/>
          <w:bCs/>
          <w:sz w:val="32"/>
          <w:szCs w:val="32"/>
        </w:rPr>
      </w:pPr>
      <w:r>
        <w:rPr>
          <w:rFonts w:hint="eastAsia" w:ascii="仿宋" w:hAnsi="仿宋" w:eastAsia="仿宋" w:cs="仿宋"/>
          <w:i w:val="0"/>
          <w:caps w:val="0"/>
          <w:color w:val="333333"/>
          <w:spacing w:val="0"/>
          <w:sz w:val="32"/>
          <w:szCs w:val="32"/>
          <w:shd w:val="clear" w:color="auto" w:fill="FFFFFF"/>
          <w:lang w:eastAsia="zh-CN"/>
        </w:rPr>
        <w:t>我单位</w:t>
      </w:r>
      <w:r>
        <w:rPr>
          <w:rFonts w:hint="eastAsia" w:ascii="仿宋" w:hAnsi="仿宋" w:eastAsia="仿宋" w:cs="仿宋"/>
          <w:i w:val="0"/>
          <w:caps w:val="0"/>
          <w:color w:val="333333"/>
          <w:spacing w:val="0"/>
          <w:sz w:val="32"/>
          <w:szCs w:val="32"/>
          <w:shd w:val="clear" w:color="auto" w:fill="FFFFFF"/>
        </w:rPr>
        <w:t>高度重视绩效评价结果的应用工作，积极探索和建立一套与预算管理相结合、多渠道应用评价结果的有效机制，着力提高绩效意识和财政资金使用效益。同时，将专项</w:t>
      </w:r>
      <w:r>
        <w:rPr>
          <w:rFonts w:hint="eastAsia" w:ascii="仿宋" w:hAnsi="仿宋" w:eastAsia="仿宋" w:cs="仿宋"/>
          <w:i w:val="0"/>
          <w:caps w:val="0"/>
          <w:color w:val="333333"/>
          <w:spacing w:val="0"/>
          <w:sz w:val="32"/>
          <w:szCs w:val="32"/>
          <w:shd w:val="clear" w:color="auto" w:fill="FFFFFF"/>
          <w:lang w:eastAsia="zh-CN"/>
        </w:rPr>
        <w:t>资金</w:t>
      </w:r>
      <w:r>
        <w:rPr>
          <w:rFonts w:hint="eastAsia" w:ascii="仿宋" w:hAnsi="仿宋" w:eastAsia="仿宋" w:cs="仿宋"/>
          <w:i w:val="0"/>
          <w:caps w:val="0"/>
          <w:color w:val="333333"/>
          <w:spacing w:val="0"/>
          <w:sz w:val="32"/>
          <w:szCs w:val="32"/>
          <w:shd w:val="clear" w:color="auto" w:fill="FFFFFF"/>
        </w:rPr>
        <w:t>绩效目标自评报告进行公开，广泛接受社会监督。</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七、附表</w:t>
      </w:r>
    </w:p>
    <w:p>
      <w:pPr>
        <w:spacing w:line="540" w:lineRule="exact"/>
        <w:ind w:firstLine="567"/>
        <w:rPr>
          <w:rStyle w:val="18"/>
          <w:rFonts w:ascii="仿宋" w:hAnsi="仿宋" w:eastAsia="仿宋"/>
          <w:b w:val="0"/>
          <w:spacing w:val="-4"/>
          <w:sz w:val="32"/>
          <w:szCs w:val="32"/>
        </w:rPr>
      </w:pPr>
      <w:r>
        <w:rPr>
          <w:rStyle w:val="18"/>
          <w:rFonts w:hint="eastAsia" w:ascii="仿宋" w:hAnsi="仿宋" w:eastAsia="仿宋"/>
          <w:b w:val="0"/>
          <w:spacing w:val="-4"/>
          <w:sz w:val="32"/>
          <w:szCs w:val="32"/>
        </w:rPr>
        <w:t>《自治区财政项目支出绩效自评表》</w:t>
      </w: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tbl>
      <w:tblPr>
        <w:tblStyle w:val="20"/>
        <w:tblW w:w="9020" w:type="dxa"/>
        <w:tblInd w:w="93" w:type="dxa"/>
        <w:tblLayout w:type="fixed"/>
        <w:tblCellMar>
          <w:top w:w="0" w:type="dxa"/>
          <w:left w:w="108" w:type="dxa"/>
          <w:bottom w:w="0" w:type="dxa"/>
          <w:right w:w="108" w:type="dxa"/>
        </w:tblCellMar>
      </w:tblPr>
      <w:tblGrid>
        <w:gridCol w:w="720"/>
        <w:gridCol w:w="1140"/>
        <w:gridCol w:w="1360"/>
        <w:gridCol w:w="1080"/>
        <w:gridCol w:w="880"/>
        <w:gridCol w:w="2060"/>
        <w:gridCol w:w="1780"/>
      </w:tblGrid>
      <w:tr>
        <w:tblPrEx>
          <w:tblLayout w:type="fixed"/>
          <w:tblCellMar>
            <w:top w:w="0" w:type="dxa"/>
            <w:left w:w="108" w:type="dxa"/>
            <w:bottom w:w="0" w:type="dxa"/>
            <w:right w:w="108" w:type="dxa"/>
          </w:tblCellMar>
        </w:tblPrEx>
        <w:trPr>
          <w:trHeight w:val="405" w:hRule="atLeast"/>
        </w:trPr>
        <w:tc>
          <w:tcPr>
            <w:tcW w:w="9020" w:type="dxa"/>
            <w:gridSpan w:val="7"/>
            <w:tcBorders>
              <w:top w:val="nil"/>
              <w:left w:val="nil"/>
              <w:bottom w:val="nil"/>
              <w:right w:val="nil"/>
            </w:tcBorders>
            <w:shd w:val="clear" w:color="auto" w:fill="auto"/>
            <w:vAlign w:val="center"/>
          </w:tcPr>
          <w:p>
            <w:pPr>
              <w:widowControl/>
              <w:jc w:val="both"/>
              <w:rPr>
                <w:rFonts w:hint="eastAsia" w:ascii="宋体" w:hAnsi="宋体" w:cs="宋体"/>
                <w:b/>
                <w:bCs/>
                <w:kern w:val="0"/>
                <w:sz w:val="32"/>
                <w:szCs w:val="32"/>
              </w:rPr>
            </w:pPr>
          </w:p>
          <w:p>
            <w:pPr>
              <w:widowControl/>
              <w:jc w:val="center"/>
              <w:rPr>
                <w:rFonts w:ascii="宋体" w:hAnsi="宋体" w:cs="宋体"/>
                <w:b/>
                <w:bCs/>
                <w:kern w:val="0"/>
                <w:sz w:val="32"/>
                <w:szCs w:val="32"/>
              </w:rPr>
            </w:pPr>
            <w:r>
              <w:rPr>
                <w:rFonts w:hint="eastAsia" w:ascii="宋体" w:hAnsi="宋体" w:cs="宋体"/>
                <w:b/>
                <w:bCs/>
                <w:kern w:val="0"/>
                <w:sz w:val="32"/>
                <w:szCs w:val="32"/>
              </w:rPr>
              <w:t>自治区财政项目支出绩效自评表</w:t>
            </w:r>
          </w:p>
        </w:tc>
      </w:tr>
      <w:tr>
        <w:tblPrEx>
          <w:tblLayout w:type="fixed"/>
          <w:tblCellMar>
            <w:top w:w="0" w:type="dxa"/>
            <w:left w:w="108" w:type="dxa"/>
            <w:bottom w:w="0" w:type="dxa"/>
            <w:right w:w="108" w:type="dxa"/>
          </w:tblCellMar>
        </w:tblPrEx>
        <w:trPr>
          <w:trHeight w:val="285" w:hRule="atLeast"/>
        </w:trPr>
        <w:tc>
          <w:tcPr>
            <w:tcW w:w="9020" w:type="dxa"/>
            <w:gridSpan w:val="7"/>
            <w:tcBorders>
              <w:top w:val="nil"/>
              <w:left w:val="nil"/>
              <w:bottom w:val="nil"/>
              <w:right w:val="nil"/>
            </w:tcBorders>
            <w:shd w:val="clear" w:color="auto" w:fill="auto"/>
            <w:vAlign w:val="center"/>
          </w:tcPr>
          <w:p>
            <w:pPr>
              <w:widowControl/>
              <w:jc w:val="center"/>
              <w:rPr>
                <w:rFonts w:ascii="宋体" w:hAnsi="宋体" w:cs="宋体"/>
                <w:kern w:val="0"/>
                <w:sz w:val="24"/>
              </w:rPr>
            </w:pPr>
            <w:r>
              <w:rPr>
                <w:rFonts w:hint="eastAsia" w:ascii="宋体" w:hAnsi="宋体" w:cs="宋体"/>
                <w:kern w:val="0"/>
                <w:sz w:val="24"/>
              </w:rPr>
              <w:t>（</w:t>
            </w:r>
            <w:r>
              <w:rPr>
                <w:rFonts w:hint="eastAsia"/>
                <w:kern w:val="0"/>
                <w:sz w:val="24"/>
                <w:lang w:val="en-US" w:eastAsia="zh-CN"/>
              </w:rPr>
              <w:t>2017</w:t>
            </w:r>
            <w:r>
              <w:rPr>
                <w:kern w:val="0"/>
                <w:sz w:val="24"/>
              </w:rPr>
              <w:t xml:space="preserve"> </w:t>
            </w:r>
            <w:r>
              <w:rPr>
                <w:rFonts w:hint="eastAsia" w:ascii="宋体" w:hAnsi="宋体" w:cs="宋体"/>
                <w:kern w:val="0"/>
                <w:sz w:val="24"/>
              </w:rPr>
              <w:t>年度）</w:t>
            </w:r>
          </w:p>
        </w:tc>
      </w:tr>
      <w:tr>
        <w:tblPrEx>
          <w:tblLayout w:type="fixed"/>
          <w:tblCellMar>
            <w:top w:w="0" w:type="dxa"/>
            <w:left w:w="108" w:type="dxa"/>
            <w:bottom w:w="0" w:type="dxa"/>
            <w:right w:w="108" w:type="dxa"/>
          </w:tblCellMar>
        </w:tblPrEx>
        <w:trPr>
          <w:trHeight w:val="285" w:hRule="atLeast"/>
        </w:trPr>
        <w:tc>
          <w:tcPr>
            <w:tcW w:w="72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114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136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108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88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206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178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r>
      <w:tr>
        <w:tblPrEx>
          <w:tblLayout w:type="fixed"/>
          <w:tblCellMar>
            <w:top w:w="0" w:type="dxa"/>
            <w:left w:w="108" w:type="dxa"/>
            <w:bottom w:w="0" w:type="dxa"/>
            <w:right w:w="108" w:type="dxa"/>
          </w:tblCellMar>
        </w:tblPrEx>
        <w:trPr>
          <w:trHeight w:val="420" w:hRule="atLeast"/>
        </w:trPr>
        <w:tc>
          <w:tcPr>
            <w:tcW w:w="3220"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项目名称</w:t>
            </w:r>
            <w:r>
              <w:rPr>
                <w:rFonts w:hint="eastAsia" w:ascii="宋体" w:hAnsi="宋体" w:cs="宋体"/>
                <w:kern w:val="0"/>
                <w:sz w:val="20"/>
                <w:szCs w:val="20"/>
                <w:lang w:eastAsia="zh-CN"/>
              </w:rPr>
              <w:t>：</w:t>
            </w:r>
          </w:p>
        </w:tc>
        <w:tc>
          <w:tcPr>
            <w:tcW w:w="5800" w:type="dxa"/>
            <w:gridSpan w:val="4"/>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lang w:val="en-US" w:eastAsia="zh-CN"/>
              </w:rPr>
              <w:t>2016年新增建设用地土地有偿使用费收缴业务费</w:t>
            </w: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35" w:hRule="atLeast"/>
        </w:trPr>
        <w:tc>
          <w:tcPr>
            <w:tcW w:w="3220"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预算单位</w:t>
            </w:r>
          </w:p>
        </w:tc>
        <w:tc>
          <w:tcPr>
            <w:tcW w:w="5800" w:type="dxa"/>
            <w:gridSpan w:val="4"/>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lang w:eastAsia="zh-CN"/>
              </w:rPr>
              <w:t>奇台县财政局</w:t>
            </w: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65" w:hRule="atLeast"/>
        </w:trPr>
        <w:tc>
          <w:tcPr>
            <w:tcW w:w="72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预算</w:t>
            </w:r>
            <w:r>
              <w:rPr>
                <w:rFonts w:hint="eastAsia" w:ascii="宋体" w:hAnsi="宋体" w:cs="宋体"/>
                <w:kern w:val="0"/>
                <w:sz w:val="20"/>
                <w:szCs w:val="20"/>
              </w:rPr>
              <w:br w:type="textWrapping"/>
            </w:r>
            <w:r>
              <w:rPr>
                <w:rFonts w:hint="eastAsia" w:ascii="宋体" w:hAnsi="宋体" w:cs="宋体"/>
                <w:kern w:val="0"/>
                <w:sz w:val="20"/>
                <w:szCs w:val="20"/>
              </w:rPr>
              <w:t>执行</w:t>
            </w:r>
            <w:r>
              <w:rPr>
                <w:rFonts w:hint="eastAsia" w:ascii="宋体" w:hAnsi="宋体" w:cs="宋体"/>
                <w:kern w:val="0"/>
                <w:sz w:val="20"/>
                <w:szCs w:val="20"/>
              </w:rPr>
              <w:br w:type="textWrapping"/>
            </w:r>
            <w:r>
              <w:rPr>
                <w:rFonts w:hint="eastAsia" w:ascii="宋体" w:hAnsi="宋体" w:cs="宋体"/>
                <w:kern w:val="0"/>
                <w:sz w:val="20"/>
                <w:szCs w:val="20"/>
              </w:rPr>
              <w:t>情况</w:t>
            </w:r>
            <w:r>
              <w:rPr>
                <w:rFonts w:hint="eastAsia" w:ascii="宋体" w:hAnsi="宋体" w:cs="宋体"/>
                <w:kern w:val="0"/>
                <w:sz w:val="20"/>
                <w:szCs w:val="20"/>
              </w:rPr>
              <w:br w:type="textWrapping"/>
            </w:r>
            <w:r>
              <w:rPr>
                <w:rFonts w:hint="eastAsia" w:ascii="宋体" w:hAnsi="宋体" w:cs="宋体"/>
                <w:kern w:val="0"/>
                <w:sz w:val="20"/>
                <w:szCs w:val="20"/>
              </w:rPr>
              <w:t>（万元）</w:t>
            </w:r>
          </w:p>
        </w:tc>
        <w:tc>
          <w:tcPr>
            <w:tcW w:w="250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预算数：</w:t>
            </w:r>
            <w:r>
              <w:rPr>
                <w:rFonts w:hint="eastAsia" w:ascii="宋体" w:hAnsi="宋体" w:cs="宋体"/>
                <w:kern w:val="0"/>
                <w:sz w:val="20"/>
                <w:szCs w:val="20"/>
                <w:lang w:val="en-US" w:eastAsia="zh-CN"/>
              </w:rPr>
              <w:t>1.5</w:t>
            </w:r>
          </w:p>
        </w:tc>
        <w:tc>
          <w:tcPr>
            <w:tcW w:w="196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执行数：</w:t>
            </w:r>
            <w:r>
              <w:rPr>
                <w:rFonts w:hint="eastAsia" w:ascii="宋体" w:hAnsi="宋体" w:cs="宋体"/>
                <w:kern w:val="0"/>
                <w:sz w:val="20"/>
                <w:szCs w:val="20"/>
                <w:lang w:val="en-US" w:eastAsia="zh-CN"/>
              </w:rPr>
              <w:t>1.5</w:t>
            </w:r>
          </w:p>
        </w:tc>
        <w:tc>
          <w:tcPr>
            <w:tcW w:w="1780"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509" w:hRule="atLeast"/>
        </w:trPr>
        <w:tc>
          <w:tcPr>
            <w:tcW w:w="7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2500" w:type="dxa"/>
            <w:gridSpan w:val="2"/>
            <w:tcBorders>
              <w:top w:val="single" w:color="auto" w:sz="4" w:space="0"/>
              <w:left w:val="nil"/>
              <w:bottom w:val="single" w:color="auto" w:sz="4" w:space="0"/>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其中：财政拨款</w:t>
            </w:r>
          </w:p>
        </w:tc>
        <w:tc>
          <w:tcPr>
            <w:tcW w:w="196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lang w:val="en-US" w:eastAsia="zh-CN"/>
              </w:rPr>
              <w:t>1.5</w:t>
            </w:r>
          </w:p>
        </w:tc>
        <w:tc>
          <w:tcPr>
            <w:tcW w:w="2060" w:type="dxa"/>
            <w:tcBorders>
              <w:top w:val="nil"/>
              <w:left w:val="nil"/>
              <w:bottom w:val="nil"/>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其中：财政拨款</w:t>
            </w:r>
          </w:p>
        </w:tc>
        <w:tc>
          <w:tcPr>
            <w:tcW w:w="1780"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lang w:val="en-US" w:eastAsia="zh-CN"/>
              </w:rPr>
              <w:t>1.5</w:t>
            </w: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33" w:hRule="atLeast"/>
        </w:trPr>
        <w:tc>
          <w:tcPr>
            <w:tcW w:w="7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2500" w:type="dxa"/>
            <w:gridSpan w:val="2"/>
            <w:tcBorders>
              <w:top w:val="single" w:color="auto" w:sz="4" w:space="0"/>
              <w:left w:val="nil"/>
              <w:bottom w:val="single" w:color="auto" w:sz="4" w:space="0"/>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其他资金</w:t>
            </w:r>
          </w:p>
        </w:tc>
        <w:tc>
          <w:tcPr>
            <w:tcW w:w="196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lang w:val="en-US" w:eastAsia="zh-CN"/>
              </w:rPr>
              <w:t>0</w:t>
            </w:r>
            <w:r>
              <w:rPr>
                <w:rFonts w:hint="eastAsia" w:ascii="宋体" w:hAnsi="宋体" w:cs="宋体"/>
                <w:kern w:val="0"/>
                <w:sz w:val="20"/>
                <w:szCs w:val="20"/>
              </w:rPr>
              <w:t>　</w:t>
            </w:r>
          </w:p>
        </w:tc>
        <w:tc>
          <w:tcPr>
            <w:tcW w:w="2060" w:type="dxa"/>
            <w:tcBorders>
              <w:top w:val="single" w:color="auto" w:sz="4" w:space="0"/>
              <w:left w:val="nil"/>
              <w:bottom w:val="nil"/>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其他资金</w:t>
            </w:r>
          </w:p>
        </w:tc>
        <w:tc>
          <w:tcPr>
            <w:tcW w:w="1780"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lang w:val="en-US" w:eastAsia="zh-CN"/>
              </w:rPr>
              <w:t>0</w:t>
            </w: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50" w:hRule="atLeast"/>
        </w:trPr>
        <w:tc>
          <w:tcPr>
            <w:tcW w:w="72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年度</w:t>
            </w:r>
            <w:r>
              <w:rPr>
                <w:rFonts w:hint="eastAsia" w:ascii="宋体" w:hAnsi="宋体" w:cs="宋体"/>
                <w:kern w:val="0"/>
                <w:sz w:val="20"/>
                <w:szCs w:val="20"/>
              </w:rPr>
              <w:br w:type="textWrapping"/>
            </w:r>
            <w:r>
              <w:rPr>
                <w:rFonts w:hint="eastAsia" w:ascii="宋体" w:hAnsi="宋体" w:cs="宋体"/>
                <w:kern w:val="0"/>
                <w:sz w:val="20"/>
                <w:szCs w:val="20"/>
              </w:rPr>
              <w:t>目标</w:t>
            </w:r>
            <w:r>
              <w:rPr>
                <w:rFonts w:hint="eastAsia" w:ascii="宋体" w:hAnsi="宋体" w:cs="宋体"/>
                <w:kern w:val="0"/>
                <w:sz w:val="20"/>
                <w:szCs w:val="20"/>
              </w:rPr>
              <w:br w:type="textWrapping"/>
            </w:r>
            <w:r>
              <w:rPr>
                <w:rFonts w:hint="eastAsia" w:ascii="宋体" w:hAnsi="宋体" w:cs="宋体"/>
                <w:kern w:val="0"/>
                <w:sz w:val="20"/>
                <w:szCs w:val="20"/>
              </w:rPr>
              <w:t>完成</w:t>
            </w:r>
            <w:r>
              <w:rPr>
                <w:rFonts w:hint="eastAsia" w:ascii="宋体" w:hAnsi="宋体" w:cs="宋体"/>
                <w:kern w:val="0"/>
                <w:sz w:val="20"/>
                <w:szCs w:val="20"/>
              </w:rPr>
              <w:br w:type="textWrapping"/>
            </w:r>
            <w:r>
              <w:rPr>
                <w:rFonts w:hint="eastAsia" w:ascii="宋体" w:hAnsi="宋体" w:cs="宋体"/>
                <w:kern w:val="0"/>
                <w:sz w:val="20"/>
                <w:szCs w:val="20"/>
              </w:rPr>
              <w:t>情况</w:t>
            </w:r>
          </w:p>
        </w:tc>
        <w:tc>
          <w:tcPr>
            <w:tcW w:w="4460" w:type="dxa"/>
            <w:gridSpan w:val="4"/>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预期目标</w:t>
            </w:r>
          </w:p>
        </w:tc>
        <w:tc>
          <w:tcPr>
            <w:tcW w:w="384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实际完成目标</w:t>
            </w:r>
          </w:p>
        </w:tc>
      </w:tr>
      <w:tr>
        <w:tblPrEx>
          <w:tblLayout w:type="fixed"/>
          <w:tblCellMar>
            <w:top w:w="0" w:type="dxa"/>
            <w:left w:w="108" w:type="dxa"/>
            <w:bottom w:w="0" w:type="dxa"/>
            <w:right w:w="108" w:type="dxa"/>
          </w:tblCellMar>
        </w:tblPrEx>
        <w:trPr>
          <w:trHeight w:val="1425" w:hRule="atLeast"/>
        </w:trPr>
        <w:tc>
          <w:tcPr>
            <w:tcW w:w="7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4460" w:type="dxa"/>
            <w:gridSpan w:val="4"/>
            <w:tcBorders>
              <w:top w:val="single" w:color="auto" w:sz="4" w:space="0"/>
              <w:left w:val="nil"/>
              <w:bottom w:val="single" w:color="auto" w:sz="4" w:space="0"/>
              <w:right w:val="single" w:color="000000" w:sz="4" w:space="0"/>
            </w:tcBorders>
            <w:shd w:val="clear" w:color="auto" w:fill="auto"/>
          </w:tcPr>
          <w:p>
            <w:pPr>
              <w:widowControl/>
              <w:jc w:val="left"/>
              <w:rPr>
                <w:rFonts w:ascii="宋体" w:hAnsi="宋体" w:cs="宋体"/>
                <w:kern w:val="0"/>
                <w:sz w:val="20"/>
                <w:szCs w:val="20"/>
              </w:rPr>
            </w:pPr>
            <w:r>
              <w:rPr>
                <w:rFonts w:hint="eastAsia" w:ascii="宋体" w:hAnsi="宋体" w:cs="宋体"/>
                <w:kern w:val="0"/>
                <w:sz w:val="20"/>
                <w:szCs w:val="20"/>
              </w:rPr>
              <w:t>　</w:t>
            </w:r>
            <w:r>
              <w:rPr>
                <w:rStyle w:val="18"/>
                <w:rFonts w:hint="eastAsia" w:asciiTheme="minorEastAsia" w:hAnsiTheme="minorEastAsia" w:eastAsiaTheme="minorEastAsia" w:cstheme="minorEastAsia"/>
                <w:b w:val="0"/>
                <w:spacing w:val="-4"/>
                <w:sz w:val="20"/>
                <w:szCs w:val="20"/>
                <w:lang w:eastAsia="zh-CN"/>
              </w:rPr>
              <w:t>促进我县</w:t>
            </w:r>
            <w:r>
              <w:rPr>
                <w:rFonts w:hint="eastAsia" w:ascii="宋体" w:hAnsi="宋体" w:cs="宋体"/>
                <w:kern w:val="0"/>
                <w:sz w:val="20"/>
                <w:szCs w:val="20"/>
                <w:lang w:val="en-US" w:eastAsia="zh-CN"/>
              </w:rPr>
              <w:t>新增建设用地土地有偿使用费收缴工作</w:t>
            </w:r>
          </w:p>
        </w:tc>
        <w:tc>
          <w:tcPr>
            <w:tcW w:w="3840" w:type="dxa"/>
            <w:gridSpan w:val="2"/>
            <w:tcBorders>
              <w:top w:val="single" w:color="auto" w:sz="4" w:space="0"/>
              <w:left w:val="nil"/>
              <w:bottom w:val="single" w:color="auto" w:sz="4" w:space="0"/>
              <w:right w:val="single" w:color="000000" w:sz="4" w:space="0"/>
            </w:tcBorders>
            <w:shd w:val="clear" w:color="auto" w:fill="auto"/>
          </w:tcPr>
          <w:p>
            <w:pPr>
              <w:widowControl/>
              <w:jc w:val="left"/>
              <w:rPr>
                <w:rFonts w:hint="eastAsia" w:ascii="宋体" w:hAnsi="宋体" w:eastAsia="宋体" w:cs="宋体"/>
                <w:kern w:val="0"/>
                <w:sz w:val="20"/>
                <w:szCs w:val="20"/>
                <w:lang w:eastAsia="zh-CN"/>
              </w:rPr>
            </w:pPr>
            <w:r>
              <w:rPr>
                <w:rFonts w:hint="eastAsia" w:ascii="宋体" w:hAnsi="宋体" w:cs="宋体"/>
                <w:kern w:val="0"/>
                <w:sz w:val="20"/>
                <w:szCs w:val="20"/>
                <w:lang w:eastAsia="zh-CN"/>
              </w:rPr>
              <w:t>较好满足了</w:t>
            </w:r>
            <w:r>
              <w:rPr>
                <w:rStyle w:val="18"/>
                <w:rFonts w:hint="eastAsia" w:asciiTheme="minorEastAsia" w:hAnsiTheme="minorEastAsia" w:eastAsiaTheme="minorEastAsia" w:cstheme="minorEastAsia"/>
                <w:b w:val="0"/>
                <w:spacing w:val="-4"/>
                <w:sz w:val="20"/>
                <w:szCs w:val="20"/>
                <w:lang w:eastAsia="zh-CN"/>
              </w:rPr>
              <w:t>我县</w:t>
            </w:r>
            <w:r>
              <w:rPr>
                <w:rFonts w:hint="eastAsia" w:ascii="宋体" w:hAnsi="宋体" w:cs="宋体"/>
                <w:kern w:val="0"/>
                <w:sz w:val="20"/>
                <w:szCs w:val="20"/>
                <w:lang w:val="en-US" w:eastAsia="zh-CN"/>
              </w:rPr>
              <w:t>新增建设用地土地有偿使用费收缴</w:t>
            </w:r>
            <w:r>
              <w:rPr>
                <w:rFonts w:hint="eastAsia" w:ascii="宋体" w:hAnsi="宋体" w:cs="宋体"/>
                <w:kern w:val="0"/>
                <w:sz w:val="20"/>
                <w:szCs w:val="20"/>
                <w:lang w:eastAsia="zh-CN"/>
              </w:rPr>
              <w:t>工作需要</w:t>
            </w:r>
          </w:p>
        </w:tc>
      </w:tr>
      <w:tr>
        <w:tblPrEx>
          <w:tblLayout w:type="fixed"/>
          <w:tblCellMar>
            <w:top w:w="0" w:type="dxa"/>
            <w:left w:w="108" w:type="dxa"/>
            <w:bottom w:w="0" w:type="dxa"/>
            <w:right w:w="108" w:type="dxa"/>
          </w:tblCellMar>
        </w:tblPrEx>
        <w:trPr>
          <w:trHeight w:val="720" w:hRule="atLeast"/>
        </w:trPr>
        <w:tc>
          <w:tcPr>
            <w:tcW w:w="72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年度</w:t>
            </w:r>
            <w:r>
              <w:rPr>
                <w:rFonts w:hint="eastAsia" w:ascii="宋体" w:hAnsi="宋体" w:cs="宋体"/>
                <w:kern w:val="0"/>
                <w:sz w:val="20"/>
                <w:szCs w:val="20"/>
              </w:rPr>
              <w:br w:type="textWrapping"/>
            </w:r>
            <w:r>
              <w:rPr>
                <w:rFonts w:hint="eastAsia" w:ascii="宋体" w:hAnsi="宋体" w:cs="宋体"/>
                <w:kern w:val="0"/>
                <w:sz w:val="20"/>
                <w:szCs w:val="20"/>
              </w:rPr>
              <w:t>绩效</w:t>
            </w:r>
            <w:r>
              <w:rPr>
                <w:rFonts w:hint="eastAsia" w:ascii="宋体" w:hAnsi="宋体" w:cs="宋体"/>
                <w:kern w:val="0"/>
                <w:sz w:val="20"/>
                <w:szCs w:val="20"/>
              </w:rPr>
              <w:br w:type="textWrapping"/>
            </w:r>
            <w:r>
              <w:rPr>
                <w:rFonts w:hint="eastAsia" w:ascii="宋体" w:hAnsi="宋体" w:cs="宋体"/>
                <w:kern w:val="0"/>
                <w:sz w:val="20"/>
                <w:szCs w:val="20"/>
              </w:rPr>
              <w:t>指标</w:t>
            </w:r>
            <w:r>
              <w:rPr>
                <w:rFonts w:hint="eastAsia" w:ascii="宋体" w:hAnsi="宋体" w:cs="宋体"/>
                <w:kern w:val="0"/>
                <w:sz w:val="20"/>
                <w:szCs w:val="20"/>
              </w:rPr>
              <w:br w:type="textWrapping"/>
            </w:r>
            <w:r>
              <w:rPr>
                <w:rFonts w:hint="eastAsia" w:ascii="宋体" w:hAnsi="宋体" w:cs="宋体"/>
                <w:kern w:val="0"/>
                <w:sz w:val="20"/>
                <w:szCs w:val="20"/>
              </w:rPr>
              <w:t>完成</w:t>
            </w:r>
            <w:r>
              <w:rPr>
                <w:rFonts w:hint="eastAsia" w:ascii="宋体" w:hAnsi="宋体" w:cs="宋体"/>
                <w:kern w:val="0"/>
                <w:sz w:val="20"/>
                <w:szCs w:val="20"/>
              </w:rPr>
              <w:br w:type="textWrapping"/>
            </w:r>
            <w:r>
              <w:rPr>
                <w:rFonts w:hint="eastAsia" w:ascii="宋体" w:hAnsi="宋体" w:cs="宋体"/>
                <w:kern w:val="0"/>
                <w:sz w:val="20"/>
                <w:szCs w:val="20"/>
              </w:rPr>
              <w:t>情况</w:t>
            </w:r>
          </w:p>
        </w:tc>
        <w:tc>
          <w:tcPr>
            <w:tcW w:w="1140" w:type="dxa"/>
            <w:tcBorders>
              <w:top w:val="nil"/>
              <w:left w:val="nil"/>
              <w:bottom w:val="nil"/>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一级指标</w:t>
            </w:r>
          </w:p>
        </w:tc>
        <w:tc>
          <w:tcPr>
            <w:tcW w:w="13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二级指标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三级指标</w:t>
            </w:r>
          </w:p>
        </w:tc>
        <w:tc>
          <w:tcPr>
            <w:tcW w:w="20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预期指标值（包含数字及文字描述）</w:t>
            </w:r>
          </w:p>
        </w:tc>
        <w:tc>
          <w:tcPr>
            <w:tcW w:w="17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实际完成指标值（包含数字及文字描述）</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项目完成指标</w:t>
            </w: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数量指标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w:t>
            </w:r>
            <w:r>
              <w:rPr>
                <w:rFonts w:hint="eastAsia" w:ascii="宋体" w:hAnsi="宋体" w:cs="宋体"/>
                <w:kern w:val="0"/>
                <w:sz w:val="20"/>
                <w:szCs w:val="20"/>
                <w:lang w:val="en-US" w:eastAsia="zh-CN"/>
              </w:rPr>
              <w:t>1</w:t>
            </w:r>
            <w:r>
              <w:rPr>
                <w:rFonts w:hint="eastAsia" w:ascii="宋体" w:hAnsi="宋体" w:cs="宋体"/>
                <w:kern w:val="0"/>
                <w:sz w:val="20"/>
                <w:szCs w:val="20"/>
              </w:rPr>
              <w:t>：组织培训班次（次）</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kern w:val="0"/>
                <w:sz w:val="20"/>
                <w:szCs w:val="20"/>
                <w:lang w:eastAsia="zh-CN"/>
              </w:rPr>
            </w:pPr>
            <w:r>
              <w:rPr>
                <w:rFonts w:hint="eastAsia" w:ascii="宋体" w:hAnsi="宋体" w:cs="宋体"/>
                <w:kern w:val="0"/>
                <w:sz w:val="20"/>
                <w:szCs w:val="20"/>
                <w:lang w:val="en-US" w:eastAsia="zh-CN"/>
              </w:rPr>
              <w:t>5</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kern w:val="0"/>
                <w:sz w:val="20"/>
                <w:szCs w:val="20"/>
                <w:lang w:eastAsia="zh-CN"/>
              </w:rPr>
            </w:pPr>
            <w:r>
              <w:rPr>
                <w:rFonts w:hint="eastAsia" w:ascii="宋体" w:hAnsi="宋体" w:cs="宋体"/>
                <w:kern w:val="0"/>
                <w:sz w:val="20"/>
                <w:szCs w:val="20"/>
                <w:lang w:val="en-US" w:eastAsia="zh-CN"/>
              </w:rPr>
              <w:t>5</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指标2：制作宣传品数量（份）</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kern w:val="0"/>
                <w:sz w:val="20"/>
                <w:szCs w:val="20"/>
                <w:lang w:val="en-US" w:eastAsia="zh-CN"/>
              </w:rPr>
            </w:pPr>
            <w:r>
              <w:rPr>
                <w:rFonts w:hint="eastAsia" w:ascii="宋体" w:hAnsi="宋体" w:cs="宋体"/>
                <w:kern w:val="0"/>
                <w:sz w:val="20"/>
                <w:szCs w:val="20"/>
                <w:lang w:val="en-US" w:eastAsia="zh-CN"/>
              </w:rPr>
              <w:t>500</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val="en-US" w:eastAsia="zh-CN"/>
              </w:rPr>
              <w:t>500</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质量指标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指标1：培训出勤率（%）</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eastAsia="zh-CN"/>
              </w:rPr>
              <w:t>》</w:t>
            </w:r>
            <w:r>
              <w:rPr>
                <w:rFonts w:hint="eastAsia" w:ascii="宋体" w:hAnsi="宋体" w:cs="宋体"/>
                <w:kern w:val="0"/>
                <w:sz w:val="20"/>
                <w:szCs w:val="20"/>
                <w:lang w:val="en-US" w:eastAsia="zh-CN"/>
              </w:rPr>
              <w:t>80%</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eastAsia="zh-CN"/>
              </w:rPr>
              <w:t>》</w:t>
            </w:r>
            <w:r>
              <w:rPr>
                <w:rFonts w:hint="eastAsia" w:ascii="宋体" w:hAnsi="宋体" w:cs="宋体"/>
                <w:kern w:val="0"/>
                <w:sz w:val="20"/>
                <w:szCs w:val="20"/>
                <w:lang w:val="en-US" w:eastAsia="zh-CN"/>
              </w:rPr>
              <w:t>80%</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时效指标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kern w:val="0"/>
                <w:sz w:val="20"/>
                <w:szCs w:val="20"/>
                <w:lang w:eastAsia="zh-CN"/>
              </w:rPr>
            </w:pPr>
            <w:r>
              <w:rPr>
                <w:rFonts w:hint="eastAsia" w:ascii="宋体" w:hAnsi="宋体" w:cs="宋体"/>
                <w:kern w:val="0"/>
                <w:sz w:val="20"/>
                <w:szCs w:val="20"/>
              </w:rPr>
              <w:t>指标1：</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成本指标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指标1：</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20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项目效果指标</w:t>
            </w: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经济效益</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指标1：</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bookmarkStart w:id="0" w:name="_GoBack" w:colFirst="5" w:colLast="6"/>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社会效益</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kern w:val="0"/>
                <w:sz w:val="20"/>
                <w:szCs w:val="20"/>
                <w:lang w:eastAsia="zh-CN"/>
              </w:rPr>
            </w:pPr>
            <w:r>
              <w:rPr>
                <w:rFonts w:hint="eastAsia" w:ascii="宋体" w:hAnsi="宋体" w:cs="宋体"/>
                <w:kern w:val="0"/>
                <w:sz w:val="20"/>
                <w:szCs w:val="20"/>
              </w:rPr>
              <w:t xml:space="preserve"> 指标1：报刊杂志续订率（%）</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eastAsia="zh-CN"/>
              </w:rPr>
              <w:t>》</w:t>
            </w:r>
            <w:r>
              <w:rPr>
                <w:rFonts w:hint="eastAsia" w:ascii="宋体" w:hAnsi="宋体" w:cs="宋体"/>
                <w:kern w:val="0"/>
                <w:sz w:val="20"/>
                <w:szCs w:val="20"/>
                <w:lang w:val="en-US" w:eastAsia="zh-CN"/>
              </w:rPr>
              <w:t>80%</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eastAsia="zh-CN"/>
              </w:rPr>
              <w:t>》</w:t>
            </w:r>
            <w:r>
              <w:rPr>
                <w:rFonts w:hint="eastAsia" w:ascii="宋体" w:hAnsi="宋体" w:cs="宋体"/>
                <w:kern w:val="0"/>
                <w:sz w:val="20"/>
                <w:szCs w:val="20"/>
                <w:lang w:val="en-US" w:eastAsia="zh-CN"/>
              </w:rPr>
              <w:t>80%</w:t>
            </w:r>
          </w:p>
        </w:tc>
      </w:tr>
      <w:bookmarkEnd w:id="0"/>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生态效益</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指标1：</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可持续影响</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指标1：</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满意度</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满意度指标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指标1： </w:t>
            </w:r>
            <w:r>
              <w:rPr>
                <w:rFonts w:hint="eastAsia" w:ascii="宋体" w:hAnsi="宋体" w:cs="宋体"/>
                <w:kern w:val="0"/>
                <w:sz w:val="20"/>
                <w:szCs w:val="20"/>
                <w:lang w:eastAsia="zh-CN"/>
              </w:rPr>
              <w:t>受训学员满意度（%）</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eastAsia="zh-CN"/>
              </w:rPr>
              <w:t>》</w:t>
            </w:r>
            <w:r>
              <w:rPr>
                <w:rFonts w:hint="eastAsia" w:ascii="宋体" w:hAnsi="宋体" w:cs="宋体"/>
                <w:kern w:val="0"/>
                <w:sz w:val="20"/>
                <w:szCs w:val="20"/>
                <w:lang w:val="en-US" w:eastAsia="zh-CN"/>
              </w:rPr>
              <w:t>80%</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eastAsia="zh-CN"/>
              </w:rPr>
              <w:t>》</w:t>
            </w:r>
            <w:r>
              <w:rPr>
                <w:rFonts w:hint="eastAsia" w:ascii="宋体" w:hAnsi="宋体" w:cs="宋体"/>
                <w:kern w:val="0"/>
                <w:sz w:val="20"/>
                <w:szCs w:val="20"/>
                <w:lang w:val="en-US" w:eastAsia="zh-CN"/>
              </w:rPr>
              <w:t>80%</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指标2：服务对象满意度（%）</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eastAsia="zh-CN"/>
              </w:rPr>
              <w:t>》</w:t>
            </w:r>
            <w:r>
              <w:rPr>
                <w:rFonts w:hint="eastAsia" w:ascii="宋体" w:hAnsi="宋体" w:cs="宋体"/>
                <w:kern w:val="0"/>
                <w:sz w:val="20"/>
                <w:szCs w:val="20"/>
                <w:lang w:val="en-US" w:eastAsia="zh-CN"/>
              </w:rPr>
              <w:t>80%</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eastAsia="zh-CN"/>
              </w:rPr>
              <w:t>》</w:t>
            </w:r>
            <w:r>
              <w:rPr>
                <w:rFonts w:hint="eastAsia" w:ascii="宋体" w:hAnsi="宋体" w:cs="宋体"/>
                <w:kern w:val="0"/>
                <w:sz w:val="20"/>
                <w:szCs w:val="20"/>
                <w:lang w:val="en-US" w:eastAsia="zh-CN"/>
              </w:rPr>
              <w:t>80%</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3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20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bl>
    <w:p>
      <w:pPr>
        <w:spacing w:line="540" w:lineRule="exact"/>
        <w:ind w:firstLine="567"/>
        <w:rPr>
          <w:rStyle w:val="18"/>
          <w:rFonts w:ascii="仿宋" w:hAnsi="仿宋" w:eastAsia="仿宋"/>
          <w:b w:val="0"/>
          <w:spacing w:val="-4"/>
          <w:sz w:val="32"/>
          <w:szCs w:val="32"/>
        </w:rPr>
      </w:pP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Arial">
    <w:panose1 w:val="020B0604020202020204"/>
    <w:charset w:val="00"/>
    <w:family w:val="auto"/>
    <w:pitch w:val="default"/>
    <w:sig w:usb0="E0002AFF" w:usb1="C0007843" w:usb2="00000009" w:usb3="00000000" w:csb0="400001FF" w:csb1="FFFF0000"/>
  </w:font>
  <w:font w:name="微软雅黑">
    <w:panose1 w:val="020B0503020204020204"/>
    <w:charset w:val="86"/>
    <w:family w:val="auto"/>
    <w:pitch w:val="default"/>
    <w:sig w:usb0="80000287" w:usb1="280F3C52" w:usb2="00000016" w:usb3="00000000" w:csb0="0004001F" w:csb1="00000000"/>
  </w:font>
  <w:font w:name="楷体_GB2312">
    <w:altName w:val="楷体"/>
    <w:panose1 w:val="02010609030101010101"/>
    <w:charset w:val="86"/>
    <w:family w:val="modern"/>
    <w:pitch w:val="default"/>
    <w:sig w:usb0="00000000" w:usb1="00000000" w:usb2="00000010" w:usb3="00000000" w:csb0="00040000" w:csb1="00000000"/>
  </w:font>
  <w:font w:name="新宋体">
    <w:panose1 w:val="02010609030101010101"/>
    <w:charset w:val="86"/>
    <w:family w:val="auto"/>
    <w:pitch w:val="default"/>
    <w:sig w:usb0="00000003" w:usb1="288F0000" w:usb2="00000006" w:usb3="00000000" w:csb0="00040001" w:csb1="00000000"/>
  </w:font>
  <w:font w:name="华文仿宋">
    <w:altName w:val="仿宋"/>
    <w:panose1 w:val="02010600040101010101"/>
    <w:charset w:val="86"/>
    <w:family w:val="auto"/>
    <w:pitch w:val="default"/>
    <w:sig w:usb0="00000000" w:usb1="00000000" w:usb2="00000000" w:usb3="00000000" w:csb0="0004009F" w:csb1="DFD70000"/>
  </w:font>
  <w:font w:name="Lucida Sans Unicode">
    <w:panose1 w:val="020B0602030504020204"/>
    <w:charset w:val="00"/>
    <w:family w:val="auto"/>
    <w:pitch w:val="default"/>
    <w:sig w:usb0="80001AFF" w:usb1="0000396B" w:usb2="00000000" w:usb3="00000000" w:csb0="200000BF" w:csb1="D7F70000"/>
  </w:font>
  <w:font w:name="Palatino Linotype">
    <w:panose1 w:val="02040502050505030304"/>
    <w:charset w:val="00"/>
    <w:family w:val="auto"/>
    <w:pitch w:val="default"/>
    <w:sig w:usb0="E0000287" w:usb1="40000013" w:usb2="00000000" w:usb3="00000000" w:csb0="2000019F" w:csb1="00000000"/>
  </w:font>
  <w:font w:name="Tahoma">
    <w:panose1 w:val="020B0604030504040204"/>
    <w:charset w:val="00"/>
    <w:family w:val="auto"/>
    <w:pitch w:val="default"/>
    <w:sig w:usb0="E1002EFF" w:usb1="C000605B" w:usb2="00000029" w:usb3="00000000" w:csb0="200101FF" w:csb1="20280000"/>
  </w:font>
  <w:font w:name="Arial Rounded MT Bold">
    <w:altName w:val="Arial"/>
    <w:panose1 w:val="020F0704030504030204"/>
    <w:charset w:val="00"/>
    <w:family w:val="auto"/>
    <w:pitch w:val="default"/>
    <w:sig w:usb0="00000000" w:usb1="00000000" w:usb2="00000000" w:usb3="00000000" w:csb0="20000001" w:csb1="00000000"/>
  </w:font>
  <w:font w:name="Cambria Math">
    <w:panose1 w:val="02040503050406030204"/>
    <w:charset w:val="00"/>
    <w:family w:val="roman"/>
    <w:pitch w:val="default"/>
    <w:sig w:usb0="E00002FF" w:usb1="420024FF" w:usb2="00000000" w:usb3="00000000" w:csb0="2000019F" w:csb1="00000000"/>
  </w:font>
  <w:font w:name="Arial Unicode MS">
    <w:altName w:val="宋体"/>
    <w:panose1 w:val="020B0604020202020204"/>
    <w:charset w:val="86"/>
    <w:family w:val="auto"/>
    <w:pitch w:val="default"/>
    <w:sig w:usb0="00000000" w:usb1="00000000" w:usb2="0000003F" w:usb3="00000000" w:csb0="603F01FF" w:csb1="FFFF0000"/>
  </w:font>
  <w:font w:name="??_GB2312">
    <w:altName w:val="Times New Roman"/>
    <w:panose1 w:val="00000000000000000000"/>
    <w:charset w:val="00"/>
    <w:family w:val="auto"/>
    <w:pitch w:val="default"/>
    <w:sig w:usb0="00000000" w:usb1="00000000" w:usb2="00000000" w:usb3="00000000" w:csb0="00000001" w:csb1="00000000"/>
  </w:font>
  <w:font w:name="方正小标宋简体">
    <w:altName w:val="微软雅黑"/>
    <w:panose1 w:val="02010601030101010101"/>
    <w:charset w:val="86"/>
    <w:family w:val="auto"/>
    <w:pitch w:val="default"/>
    <w:sig w:usb0="00000000" w:usb1="00000000" w:usb2="00000000" w:usb3="00000000" w:csb0="00040000" w:csb1="00000000"/>
  </w:font>
  <w:font w:name="Shruti">
    <w:panose1 w:val="020B0502040204020203"/>
    <w:charset w:val="00"/>
    <w:family w:val="auto"/>
    <w:pitch w:val="default"/>
    <w:sig w:usb0="00040003" w:usb1="00000000" w:usb2="00000000" w:usb3="00000000" w:csb0="00000001" w:csb1="00000000"/>
  </w:font>
  <w:font w:name="Helvetica">
    <w:altName w:val="Arial"/>
    <w:panose1 w:val="020B0604020202020204"/>
    <w:charset w:val="00"/>
    <w:family w:val="auto"/>
    <w:pitch w:val="default"/>
    <w:sig w:usb0="00000000" w:usb1="00000000" w:usb2="00000009" w:usb3="00000000" w:csb0="000001FF" w:csb1="00000000"/>
  </w:font>
  <w:font w:name="小标宋">
    <w:altName w:val="宋体"/>
    <w:panose1 w:val="03000509000000000000"/>
    <w:charset w:val="86"/>
    <w:family w:val="auto"/>
    <w:pitch w:val="default"/>
    <w:sig w:usb0="00000000" w:usb1="00000000" w:usb2="00000010" w:usb3="00000000" w:csb0="00040000" w:csb1="00000000"/>
  </w:font>
  <w:font w:name="_9ed1_4f53">
    <w:altName w:val="Courier New"/>
    <w:panose1 w:val="00000000000000000000"/>
    <w:charset w:val="00"/>
    <w:family w:val="auto"/>
    <w:pitch w:val="default"/>
    <w:sig w:usb0="00000000" w:usb1="00000000" w:usb2="00000000" w:usb3="00000000" w:csb0="00040001" w:csb1="00000000"/>
  </w:font>
  <w:font w:name="_4eff_5b8b_GB2312">
    <w:altName w:val="Courier New"/>
    <w:panose1 w:val="00000000000000000000"/>
    <w:charset w:val="00"/>
    <w:family w:val="auto"/>
    <w:pitch w:val="default"/>
    <w:sig w:usb0="00000000" w:usb1="00000000" w:usb2="00000000" w:usb3="00000000" w:csb0="00040001" w:csb1="00000000"/>
  </w:font>
  <w:font w:name="lucida Grande">
    <w:altName w:val="Courier New"/>
    <w:panose1 w:val="00000000000000000000"/>
    <w:charset w:val="00"/>
    <w:family w:val="auto"/>
    <w:pitch w:val="default"/>
    <w:sig w:usb0="00000000" w:usb1="00000000" w:usb2="00000000" w:usb3="00000000" w:csb0="00040001" w:csb1="00000000"/>
  </w:font>
  <w:font w:name="方正仿宋简体">
    <w:altName w:val="宋体"/>
    <w:panose1 w:val="02010601030101010101"/>
    <w:charset w:val="86"/>
    <w:family w:val="auto"/>
    <w:pitch w:val="default"/>
    <w:sig w:usb0="00000000" w:usb1="00000000" w:usb2="00000000" w:usb3="00000000" w:csb0="00040000" w:csb1="00000000"/>
  </w:font>
  <w:font w:name="方正楷体简体">
    <w:altName w:val="宋体"/>
    <w:panose1 w:val="02010601030101010101"/>
    <w:charset w:val="86"/>
    <w:family w:val="auto"/>
    <w:pitch w:val="default"/>
    <w:sig w:usb0="00000000" w:usb1="00000000" w:usb2="00000000" w:usb3="00000000" w:csb0="00040000" w:csb1="00000000"/>
  </w:font>
  <w:font w:name="方正大黑简体">
    <w:altName w:val="黑体"/>
    <w:panose1 w:val="02010601030101010101"/>
    <w:charset w:val="86"/>
    <w:family w:val="auto"/>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56465"/>
    <w:rsid w:val="00121AE4"/>
    <w:rsid w:val="00146AAD"/>
    <w:rsid w:val="001B3A40"/>
    <w:rsid w:val="004366A8"/>
    <w:rsid w:val="00502BA7"/>
    <w:rsid w:val="005162F1"/>
    <w:rsid w:val="00535153"/>
    <w:rsid w:val="00554F82"/>
    <w:rsid w:val="0056390D"/>
    <w:rsid w:val="005719B0"/>
    <w:rsid w:val="005D10D6"/>
    <w:rsid w:val="00855E3A"/>
    <w:rsid w:val="00922CB9"/>
    <w:rsid w:val="009E5CD9"/>
    <w:rsid w:val="00A26421"/>
    <w:rsid w:val="00A4293B"/>
    <w:rsid w:val="00A67D50"/>
    <w:rsid w:val="00A8691A"/>
    <w:rsid w:val="00AC1946"/>
    <w:rsid w:val="00B40063"/>
    <w:rsid w:val="00B41F61"/>
    <w:rsid w:val="00BA46E6"/>
    <w:rsid w:val="00C56C72"/>
    <w:rsid w:val="00CA6457"/>
    <w:rsid w:val="00D17F2E"/>
    <w:rsid w:val="00D30354"/>
    <w:rsid w:val="00DF42A0"/>
    <w:rsid w:val="00E769FE"/>
    <w:rsid w:val="00EA2CBE"/>
    <w:rsid w:val="00F32FEE"/>
    <w:rsid w:val="00FB10BB"/>
    <w:rsid w:val="01C73DAF"/>
    <w:rsid w:val="033E6D45"/>
    <w:rsid w:val="04071EC7"/>
    <w:rsid w:val="06D227D7"/>
    <w:rsid w:val="071A3CF1"/>
    <w:rsid w:val="073A02DF"/>
    <w:rsid w:val="08E26358"/>
    <w:rsid w:val="1071688B"/>
    <w:rsid w:val="10C779A3"/>
    <w:rsid w:val="1197655C"/>
    <w:rsid w:val="14877139"/>
    <w:rsid w:val="190D2BB0"/>
    <w:rsid w:val="1CE52D81"/>
    <w:rsid w:val="1DBC4D4D"/>
    <w:rsid w:val="1E960AAA"/>
    <w:rsid w:val="1F5C4F13"/>
    <w:rsid w:val="1FF3418D"/>
    <w:rsid w:val="222D289C"/>
    <w:rsid w:val="228175BC"/>
    <w:rsid w:val="2319244C"/>
    <w:rsid w:val="238C39F4"/>
    <w:rsid w:val="24C83715"/>
    <w:rsid w:val="26CC7349"/>
    <w:rsid w:val="277819E0"/>
    <w:rsid w:val="27B1574C"/>
    <w:rsid w:val="27CF6832"/>
    <w:rsid w:val="28386667"/>
    <w:rsid w:val="29D31AC1"/>
    <w:rsid w:val="2B0C7435"/>
    <w:rsid w:val="2CBB5B54"/>
    <w:rsid w:val="2CC202CC"/>
    <w:rsid w:val="2EC24F5F"/>
    <w:rsid w:val="30BC1807"/>
    <w:rsid w:val="31036DD1"/>
    <w:rsid w:val="358851A1"/>
    <w:rsid w:val="37350C77"/>
    <w:rsid w:val="38595966"/>
    <w:rsid w:val="38792C41"/>
    <w:rsid w:val="3953399F"/>
    <w:rsid w:val="39B648CD"/>
    <w:rsid w:val="3CEF5ED6"/>
    <w:rsid w:val="3D3A1156"/>
    <w:rsid w:val="3D463D73"/>
    <w:rsid w:val="41471375"/>
    <w:rsid w:val="41F13292"/>
    <w:rsid w:val="43201143"/>
    <w:rsid w:val="464D4B7B"/>
    <w:rsid w:val="47E30B61"/>
    <w:rsid w:val="48D64BBE"/>
    <w:rsid w:val="556E5BB7"/>
    <w:rsid w:val="558770EE"/>
    <w:rsid w:val="558D2F8B"/>
    <w:rsid w:val="55CE2108"/>
    <w:rsid w:val="5DD16875"/>
    <w:rsid w:val="631A6E30"/>
    <w:rsid w:val="6516756B"/>
    <w:rsid w:val="65362FDD"/>
    <w:rsid w:val="66AD1995"/>
    <w:rsid w:val="6CC41C8D"/>
    <w:rsid w:val="6D990B3A"/>
    <w:rsid w:val="72796FEB"/>
    <w:rsid w:val="74132836"/>
    <w:rsid w:val="770F5290"/>
    <w:rsid w:val="7A0C0D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semiHidden="0" w:name="heading 5"/>
    <w:lsdException w:qFormat="1" w:uiPriority="9" w:semiHidden="0" w:name="heading 6"/>
    <w:lsdException w:qFormat="1" w:uiPriority="9" w:semiHidden="0" w:name="heading 7"/>
    <w:lsdException w:qFormat="1" w:uiPriority="9" w:semiHidden="0" w:name="heading 8"/>
    <w:lsdException w:qFormat="1"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0" w:line="240" w:lineRule="auto"/>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1"/>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2"/>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3"/>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4"/>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5"/>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6"/>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7"/>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8"/>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9"/>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unhideWhenUsed/>
    <w:qFormat/>
    <w:uiPriority w:val="1"/>
  </w:style>
  <w:style w:type="table" w:default="1" w:styleId="20">
    <w:name w:val="Normal Table"/>
    <w:unhideWhenUsed/>
    <w:qFormat/>
    <w:uiPriority w:val="99"/>
    <w:tblPr>
      <w:tblLayout w:type="fixed"/>
      <w:tblCellMar>
        <w:top w:w="0" w:type="dxa"/>
        <w:left w:w="108" w:type="dxa"/>
        <w:bottom w:w="0" w:type="dxa"/>
        <w:right w:w="108" w:type="dxa"/>
      </w:tblCellMar>
    </w:tblPr>
  </w:style>
  <w:style w:type="paragraph" w:styleId="11">
    <w:name w:val="Balloon Text"/>
    <w:basedOn w:val="1"/>
    <w:link w:val="46"/>
    <w:unhideWhenUsed/>
    <w:qFormat/>
    <w:uiPriority w:val="99"/>
    <w:rPr>
      <w:sz w:val="18"/>
      <w:szCs w:val="18"/>
    </w:rPr>
  </w:style>
  <w:style w:type="paragraph" w:styleId="12">
    <w:name w:val="footer"/>
    <w:basedOn w:val="1"/>
    <w:link w:val="45"/>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4"/>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1"/>
    <w:qFormat/>
    <w:uiPriority w:val="11"/>
    <w:pPr>
      <w:widowControl/>
      <w:spacing w:after="60"/>
      <w:jc w:val="center"/>
      <w:outlineLvl w:val="1"/>
    </w:pPr>
    <w:rPr>
      <w:rFonts w:asciiTheme="majorHAnsi" w:hAnsiTheme="majorHAnsi" w:eastAsiaTheme="majorEastAsia"/>
      <w:kern w:val="0"/>
      <w:sz w:val="24"/>
    </w:rPr>
  </w:style>
  <w:style w:type="paragraph" w:styleId="15">
    <w:name w:val="Normal (Web)"/>
    <w:basedOn w:val="1"/>
    <w:unhideWhenUsed/>
    <w:qFormat/>
    <w:uiPriority w:val="99"/>
    <w:pPr>
      <w:spacing w:before="100" w:beforeAutospacing="1" w:after="100" w:afterAutospacing="1"/>
      <w:ind w:left="0" w:right="0"/>
      <w:jc w:val="left"/>
    </w:pPr>
    <w:rPr>
      <w:kern w:val="0"/>
      <w:sz w:val="24"/>
      <w:lang w:val="en-US" w:eastAsia="zh-CN" w:bidi="ar"/>
    </w:rPr>
  </w:style>
  <w:style w:type="paragraph" w:styleId="16">
    <w:name w:val="Title"/>
    <w:basedOn w:val="1"/>
    <w:next w:val="1"/>
    <w:link w:val="30"/>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1">
    <w:name w:val="标题 1 Char"/>
    <w:basedOn w:val="17"/>
    <w:link w:val="2"/>
    <w:qFormat/>
    <w:uiPriority w:val="9"/>
    <w:rPr>
      <w:rFonts w:asciiTheme="majorHAnsi" w:hAnsiTheme="majorHAnsi" w:eastAsiaTheme="majorEastAsia"/>
      <w:b/>
      <w:bCs/>
      <w:kern w:val="32"/>
      <w:sz w:val="32"/>
      <w:szCs w:val="32"/>
    </w:rPr>
  </w:style>
  <w:style w:type="character" w:customStyle="1" w:styleId="22">
    <w:name w:val="标题 2 Char"/>
    <w:basedOn w:val="17"/>
    <w:link w:val="3"/>
    <w:semiHidden/>
    <w:qFormat/>
    <w:uiPriority w:val="9"/>
    <w:rPr>
      <w:rFonts w:asciiTheme="majorHAnsi" w:hAnsiTheme="majorHAnsi" w:eastAsiaTheme="majorEastAsia"/>
      <w:b/>
      <w:bCs/>
      <w:i/>
      <w:iCs/>
      <w:sz w:val="28"/>
      <w:szCs w:val="28"/>
    </w:rPr>
  </w:style>
  <w:style w:type="character" w:customStyle="1" w:styleId="23">
    <w:name w:val="标题 3 Char"/>
    <w:basedOn w:val="17"/>
    <w:link w:val="4"/>
    <w:semiHidden/>
    <w:qFormat/>
    <w:uiPriority w:val="9"/>
    <w:rPr>
      <w:rFonts w:asciiTheme="majorHAnsi" w:hAnsiTheme="majorHAnsi" w:eastAsiaTheme="majorEastAsia"/>
      <w:b/>
      <w:bCs/>
      <w:sz w:val="26"/>
      <w:szCs w:val="26"/>
    </w:rPr>
  </w:style>
  <w:style w:type="character" w:customStyle="1" w:styleId="24">
    <w:name w:val="标题 4 Char"/>
    <w:basedOn w:val="17"/>
    <w:link w:val="5"/>
    <w:semiHidden/>
    <w:qFormat/>
    <w:uiPriority w:val="9"/>
    <w:rPr>
      <w:b/>
      <w:bCs/>
      <w:sz w:val="28"/>
      <w:szCs w:val="28"/>
    </w:rPr>
  </w:style>
  <w:style w:type="character" w:customStyle="1" w:styleId="25">
    <w:name w:val="标题 5 Char"/>
    <w:basedOn w:val="17"/>
    <w:link w:val="6"/>
    <w:semiHidden/>
    <w:qFormat/>
    <w:uiPriority w:val="9"/>
    <w:rPr>
      <w:b/>
      <w:bCs/>
      <w:i/>
      <w:iCs/>
      <w:sz w:val="26"/>
      <w:szCs w:val="26"/>
    </w:rPr>
  </w:style>
  <w:style w:type="character" w:customStyle="1" w:styleId="26">
    <w:name w:val="标题 6 Char"/>
    <w:basedOn w:val="17"/>
    <w:link w:val="7"/>
    <w:semiHidden/>
    <w:qFormat/>
    <w:uiPriority w:val="9"/>
    <w:rPr>
      <w:b/>
      <w:bCs/>
    </w:rPr>
  </w:style>
  <w:style w:type="character" w:customStyle="1" w:styleId="27">
    <w:name w:val="标题 7 Char"/>
    <w:basedOn w:val="17"/>
    <w:link w:val="8"/>
    <w:semiHidden/>
    <w:qFormat/>
    <w:uiPriority w:val="9"/>
    <w:rPr>
      <w:sz w:val="24"/>
      <w:szCs w:val="24"/>
    </w:rPr>
  </w:style>
  <w:style w:type="character" w:customStyle="1" w:styleId="28">
    <w:name w:val="标题 8 Char"/>
    <w:basedOn w:val="17"/>
    <w:link w:val="9"/>
    <w:semiHidden/>
    <w:qFormat/>
    <w:uiPriority w:val="9"/>
    <w:rPr>
      <w:i/>
      <w:iCs/>
      <w:sz w:val="24"/>
      <w:szCs w:val="24"/>
    </w:rPr>
  </w:style>
  <w:style w:type="character" w:customStyle="1" w:styleId="29">
    <w:name w:val="标题 9 Char"/>
    <w:basedOn w:val="17"/>
    <w:link w:val="10"/>
    <w:semiHidden/>
    <w:qFormat/>
    <w:uiPriority w:val="9"/>
    <w:rPr>
      <w:rFonts w:asciiTheme="majorHAnsi" w:hAnsiTheme="majorHAnsi" w:eastAsiaTheme="majorEastAsia"/>
    </w:rPr>
  </w:style>
  <w:style w:type="character" w:customStyle="1" w:styleId="30">
    <w:name w:val="标题 Char"/>
    <w:basedOn w:val="17"/>
    <w:link w:val="16"/>
    <w:qFormat/>
    <w:uiPriority w:val="10"/>
    <w:rPr>
      <w:rFonts w:asciiTheme="majorHAnsi" w:hAnsiTheme="majorHAnsi" w:eastAsiaTheme="majorEastAsia"/>
      <w:b/>
      <w:bCs/>
      <w:kern w:val="28"/>
      <w:sz w:val="32"/>
      <w:szCs w:val="32"/>
    </w:rPr>
  </w:style>
  <w:style w:type="character" w:customStyle="1" w:styleId="31">
    <w:name w:val="副标题 Char"/>
    <w:basedOn w:val="17"/>
    <w:link w:val="14"/>
    <w:qFormat/>
    <w:uiPriority w:val="11"/>
    <w:rPr>
      <w:rFonts w:asciiTheme="majorHAnsi" w:hAnsiTheme="majorHAnsi" w:eastAsiaTheme="majorEastAsia"/>
      <w:sz w:val="24"/>
      <w:szCs w:val="24"/>
    </w:rPr>
  </w:style>
  <w:style w:type="paragraph" w:customStyle="1" w:styleId="32">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customStyle="1" w:styleId="33">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customStyle="1" w:styleId="34">
    <w:name w:val="Quote"/>
    <w:basedOn w:val="1"/>
    <w:next w:val="1"/>
    <w:link w:val="35"/>
    <w:qFormat/>
    <w:uiPriority w:val="29"/>
    <w:pPr>
      <w:widowControl/>
      <w:jc w:val="left"/>
    </w:pPr>
    <w:rPr>
      <w:rFonts w:asciiTheme="minorHAnsi" w:hAnsiTheme="minorHAnsi" w:eastAsiaTheme="minorEastAsia"/>
      <w:i/>
      <w:kern w:val="0"/>
      <w:sz w:val="24"/>
    </w:rPr>
  </w:style>
  <w:style w:type="character" w:customStyle="1" w:styleId="35">
    <w:name w:val="引用 Char"/>
    <w:basedOn w:val="17"/>
    <w:link w:val="34"/>
    <w:qFormat/>
    <w:uiPriority w:val="29"/>
    <w:rPr>
      <w:i/>
      <w:sz w:val="24"/>
      <w:szCs w:val="24"/>
    </w:rPr>
  </w:style>
  <w:style w:type="paragraph" w:customStyle="1" w:styleId="36">
    <w:name w:val="Intense Quote"/>
    <w:basedOn w:val="1"/>
    <w:next w:val="1"/>
    <w:link w:val="37"/>
    <w:qFormat/>
    <w:uiPriority w:val="30"/>
    <w:pPr>
      <w:widowControl/>
      <w:ind w:left="720" w:right="720"/>
      <w:jc w:val="left"/>
    </w:pPr>
    <w:rPr>
      <w:rFonts w:asciiTheme="minorHAnsi" w:hAnsiTheme="minorHAnsi" w:eastAsiaTheme="minorEastAsia"/>
      <w:b/>
      <w:i/>
      <w:kern w:val="0"/>
      <w:sz w:val="24"/>
      <w:szCs w:val="22"/>
    </w:rPr>
  </w:style>
  <w:style w:type="character" w:customStyle="1" w:styleId="37">
    <w:name w:val="明显引用 Char"/>
    <w:basedOn w:val="17"/>
    <w:link w:val="36"/>
    <w:qFormat/>
    <w:uiPriority w:val="30"/>
    <w:rPr>
      <w:b/>
      <w:i/>
      <w:sz w:val="24"/>
    </w:rPr>
  </w:style>
  <w:style w:type="character" w:customStyle="1" w:styleId="38">
    <w:name w:val="Subtle Emphasis"/>
    <w:qFormat/>
    <w:uiPriority w:val="19"/>
    <w:rPr>
      <w:i/>
      <w:color w:val="595959" w:themeColor="text1" w:themeTint="A6"/>
      <w14:textFill>
        <w14:solidFill>
          <w14:schemeClr w14:val="tx1">
            <w14:lumMod w14:val="65000"/>
            <w14:lumOff w14:val="35000"/>
          </w14:schemeClr>
        </w14:solidFill>
      </w14:textFill>
    </w:rPr>
  </w:style>
  <w:style w:type="character" w:customStyle="1" w:styleId="39">
    <w:name w:val="Intense Emphasis"/>
    <w:basedOn w:val="17"/>
    <w:qFormat/>
    <w:uiPriority w:val="21"/>
    <w:rPr>
      <w:b/>
      <w:i/>
      <w:sz w:val="24"/>
      <w:szCs w:val="24"/>
      <w:u w:val="single"/>
    </w:rPr>
  </w:style>
  <w:style w:type="character" w:customStyle="1" w:styleId="40">
    <w:name w:val="Subtle Reference"/>
    <w:basedOn w:val="17"/>
    <w:qFormat/>
    <w:uiPriority w:val="31"/>
    <w:rPr>
      <w:sz w:val="24"/>
      <w:szCs w:val="24"/>
      <w:u w:val="single"/>
    </w:rPr>
  </w:style>
  <w:style w:type="character" w:customStyle="1" w:styleId="41">
    <w:name w:val="Intense Reference"/>
    <w:basedOn w:val="17"/>
    <w:qFormat/>
    <w:uiPriority w:val="32"/>
    <w:rPr>
      <w:b/>
      <w:sz w:val="24"/>
      <w:u w:val="single"/>
    </w:rPr>
  </w:style>
  <w:style w:type="character" w:customStyle="1" w:styleId="42">
    <w:name w:val="Book Title"/>
    <w:basedOn w:val="17"/>
    <w:qFormat/>
    <w:uiPriority w:val="33"/>
    <w:rPr>
      <w:rFonts w:asciiTheme="majorHAnsi" w:hAnsiTheme="majorHAnsi" w:eastAsiaTheme="majorEastAsia"/>
      <w:b/>
      <w:i/>
      <w:sz w:val="24"/>
      <w:szCs w:val="24"/>
    </w:rPr>
  </w:style>
  <w:style w:type="paragraph" w:customStyle="1" w:styleId="43">
    <w:name w:val="TOC Heading"/>
    <w:basedOn w:val="2"/>
    <w:next w:val="1"/>
    <w:unhideWhenUsed/>
    <w:qFormat/>
    <w:uiPriority w:val="39"/>
    <w:pPr>
      <w:outlineLvl w:val="9"/>
    </w:pPr>
    <w:rPr>
      <w:lang w:eastAsia="en-US" w:bidi="en-US"/>
    </w:rPr>
  </w:style>
  <w:style w:type="character" w:customStyle="1" w:styleId="44">
    <w:name w:val="页眉 Char"/>
    <w:basedOn w:val="17"/>
    <w:link w:val="13"/>
    <w:qFormat/>
    <w:uiPriority w:val="99"/>
    <w:rPr>
      <w:rFonts w:ascii="Calibri" w:hAnsi="Calibri" w:eastAsia="宋体"/>
      <w:kern w:val="2"/>
      <w:sz w:val="18"/>
      <w:szCs w:val="18"/>
    </w:rPr>
  </w:style>
  <w:style w:type="character" w:customStyle="1" w:styleId="45">
    <w:name w:val="页脚 Char"/>
    <w:basedOn w:val="17"/>
    <w:link w:val="12"/>
    <w:qFormat/>
    <w:uiPriority w:val="99"/>
    <w:rPr>
      <w:rFonts w:ascii="Calibri" w:hAnsi="Calibri" w:eastAsia="宋体"/>
      <w:kern w:val="2"/>
      <w:sz w:val="18"/>
      <w:szCs w:val="18"/>
    </w:rPr>
  </w:style>
  <w:style w:type="character" w:customStyle="1" w:styleId="46">
    <w:name w:val="批注框文本 Char"/>
    <w:basedOn w:val="17"/>
    <w:link w:val="11"/>
    <w:semiHidden/>
    <w:qFormat/>
    <w:uiPriority w:val="99"/>
    <w:rPr>
      <w:rFonts w:ascii="Times New Roman" w:hAnsi="Times New Roman" w:eastAsia="宋体"/>
      <w:kern w:val="2"/>
      <w:sz w:val="18"/>
      <w:szCs w:val="18"/>
    </w:rPr>
  </w:style>
  <w:style w:type="paragraph" w:customStyle="1" w:styleId="47">
    <w:name w:val="Normal (Web)"/>
    <w:basedOn w:val="1"/>
    <w:qFormat/>
    <w:uiPriority w:val="0"/>
    <w:pPr>
      <w:spacing w:before="0" w:beforeAutospacing="1" w:after="0" w:afterAutospacing="1"/>
      <w:ind w:left="0" w:right="0"/>
      <w:jc w:val="left"/>
    </w:pPr>
    <w:rPr>
      <w:kern w:val="0"/>
      <w:sz w:val="24"/>
      <w:lang w:val="en-US" w:eastAsia="zh-CN"/>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Pages>
  <Words>204</Words>
  <Characters>1164</Characters>
  <Lines>9</Lines>
  <Paragraphs>2</Paragraphs>
  <TotalTime>0</TotalTime>
  <ScaleCrop>false</ScaleCrop>
  <LinksUpToDate>false</LinksUpToDate>
  <CharactersWithSpaces>1366</CharactersWithSpaces>
  <Application>WPS Office_10.8.0.6423_F1E327BC-269C-435d-A152-05C5408002CA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Administrator</cp:lastModifiedBy>
  <cp:lastPrinted>2018-12-31T10:56:00Z</cp:lastPrinted>
  <dcterms:modified xsi:type="dcterms:W3CDTF">2019-01-15T10:40:43Z</dcterms:modified>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2052-10.8.0.6423</vt:lpwstr>
  </property>
</Properties>
</file>