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自治州财政项目支出绩效自评报告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eastAsia="zh-CN"/>
        </w:rPr>
        <w:t>奇台县江布拉克景区基础设施建设项目</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新疆江布拉克旅游开发建设有限公司</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奇台县江布拉克景区管理委员会</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 xml:space="preserve">20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60" w:lineRule="exact"/>
        <w:ind w:firstLine="645"/>
        <w:rPr>
          <w:rStyle w:val="17"/>
          <w:rFonts w:hint="eastAsia" w:ascii="仿宋" w:hAnsi="仿宋" w:eastAsia="仿宋"/>
          <w:b/>
          <w:bCs w:val="0"/>
          <w:spacing w:val="-4"/>
          <w:sz w:val="32"/>
          <w:szCs w:val="32"/>
          <w:lang w:eastAsia="zh-CN"/>
        </w:rPr>
      </w:pPr>
      <w:r>
        <w:rPr>
          <w:rStyle w:val="17"/>
          <w:rFonts w:hint="eastAsia" w:ascii="仿宋" w:hAnsi="仿宋" w:eastAsia="仿宋"/>
          <w:b/>
          <w:bCs w:val="0"/>
          <w:spacing w:val="-4"/>
          <w:sz w:val="32"/>
          <w:szCs w:val="32"/>
          <w:lang w:val="en-US" w:eastAsia="zh-CN"/>
        </w:rPr>
        <w:t>1</w:t>
      </w:r>
      <w:r>
        <w:rPr>
          <w:rStyle w:val="17"/>
          <w:rFonts w:hint="eastAsia" w:ascii="仿宋" w:hAnsi="仿宋" w:eastAsia="仿宋"/>
          <w:b/>
          <w:bCs w:val="0"/>
          <w:spacing w:val="-4"/>
          <w:sz w:val="32"/>
          <w:szCs w:val="32"/>
          <w:lang w:eastAsia="zh-CN"/>
        </w:rPr>
        <w:t>、项目主管单位：</w:t>
      </w:r>
    </w:p>
    <w:p>
      <w:pPr>
        <w:spacing w:line="560" w:lineRule="exact"/>
        <w:ind w:firstLine="645"/>
        <w:rPr>
          <w:rStyle w:val="17"/>
          <w:rFonts w:hint="eastAsia" w:ascii="仿宋" w:hAnsi="仿宋" w:eastAsia="仿宋"/>
          <w:b w:val="0"/>
          <w:bCs/>
          <w:spacing w:val="-4"/>
          <w:sz w:val="32"/>
          <w:szCs w:val="32"/>
          <w:lang w:eastAsia="zh-CN"/>
        </w:rPr>
      </w:pPr>
      <w:r>
        <w:rPr>
          <w:rStyle w:val="17"/>
          <w:rFonts w:hint="eastAsia" w:ascii="仿宋" w:hAnsi="仿宋" w:eastAsia="仿宋"/>
          <w:b w:val="0"/>
          <w:bCs/>
          <w:spacing w:val="-4"/>
          <w:sz w:val="32"/>
          <w:szCs w:val="32"/>
          <w:lang w:val="en-US" w:eastAsia="zh-CN"/>
        </w:rPr>
        <w:t>（一）</w:t>
      </w:r>
      <w:r>
        <w:rPr>
          <w:rStyle w:val="17"/>
          <w:rFonts w:hint="eastAsia" w:ascii="仿宋" w:hAnsi="仿宋" w:eastAsia="仿宋"/>
          <w:b w:val="0"/>
          <w:bCs/>
          <w:spacing w:val="-4"/>
          <w:sz w:val="32"/>
          <w:szCs w:val="32"/>
          <w:lang w:eastAsia="zh-CN"/>
        </w:rPr>
        <w:t>主要职能</w:t>
      </w:r>
    </w:p>
    <w:p>
      <w:pPr>
        <w:spacing w:line="560" w:lineRule="exact"/>
        <w:ind w:firstLine="64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1.贯彻执行国家、区、州、县有关景区的法律、法规和方针政策，负责景区的管理、规划、建设工作；</w:t>
      </w:r>
    </w:p>
    <w:p>
      <w:pPr>
        <w:spacing w:line="560" w:lineRule="exact"/>
        <w:ind w:firstLine="64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2.组织编制景区总体规划、控制性详细规划、景区保护规划并组织实施，制定景区年度计划并组织实施；</w:t>
      </w:r>
    </w:p>
    <w:p>
      <w:pPr>
        <w:spacing w:line="560" w:lineRule="exact"/>
        <w:ind w:firstLine="64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3.按照景区规划对景区的各类建设项目进行审核，对辖区内建设活动进行监督检查，建设、维护和管理辖区内基础设施和公共设施；</w:t>
      </w:r>
    </w:p>
    <w:p>
      <w:pPr>
        <w:spacing w:line="560" w:lineRule="exact"/>
        <w:ind w:firstLine="64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4.负责景区资源、自然资源和生态环境保护工作，对辖区内林木林地、野生动植物、水体、土地矿产资源、文物等进行管理和保护；</w:t>
      </w:r>
    </w:p>
    <w:p>
      <w:pPr>
        <w:spacing w:line="560" w:lineRule="exact"/>
        <w:ind w:firstLine="64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5.依法对辖区内的单位（企业）、经营网点实施监督管理；组织开展执法检查，查处违法违规行为；负责辖区内旅游安全、旅游质量、环境卫生、治安秩序、商业和服务业管理等；</w:t>
      </w:r>
    </w:p>
    <w:p>
      <w:pPr>
        <w:spacing w:line="560" w:lineRule="exact"/>
        <w:ind w:firstLine="64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6.负责编制景区年度预决算，报经县人民政府审批后执行；负责管理景区的建设及维护经费，对各项资金的使用管理进行监督；</w:t>
      </w:r>
    </w:p>
    <w:p>
      <w:pPr>
        <w:spacing w:line="560" w:lineRule="exact"/>
        <w:ind w:firstLine="64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7.负责景区环境影响的评价，生态旅游开发、管理，组织有关部门开展景区的科学研究；负责辖区界标的设置和管理；</w:t>
      </w:r>
    </w:p>
    <w:p>
      <w:pPr>
        <w:spacing w:line="560" w:lineRule="exact"/>
        <w:ind w:firstLine="64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8.承办县人民政府交办的其它工作。</w:t>
      </w:r>
    </w:p>
    <w:p>
      <w:pPr>
        <w:spacing w:line="560" w:lineRule="exact"/>
        <w:ind w:firstLine="645"/>
        <w:rPr>
          <w:rStyle w:val="17"/>
          <w:rFonts w:hint="eastAsia" w:ascii="仿宋" w:hAnsi="仿宋" w:eastAsia="仿宋"/>
          <w:b/>
          <w:bCs w:val="0"/>
          <w:spacing w:val="-4"/>
          <w:sz w:val="32"/>
          <w:szCs w:val="32"/>
          <w:lang w:eastAsia="zh-CN"/>
        </w:rPr>
      </w:pPr>
      <w:r>
        <w:rPr>
          <w:rStyle w:val="17"/>
          <w:rFonts w:hint="eastAsia" w:ascii="仿宋" w:hAnsi="仿宋" w:eastAsia="仿宋"/>
          <w:b w:val="0"/>
          <w:bCs/>
          <w:spacing w:val="-4"/>
          <w:sz w:val="32"/>
          <w:szCs w:val="32"/>
          <w:lang w:eastAsia="zh-CN"/>
        </w:rPr>
        <w:t>（</w:t>
      </w:r>
      <w:r>
        <w:rPr>
          <w:rStyle w:val="17"/>
          <w:rFonts w:hint="eastAsia" w:ascii="仿宋" w:hAnsi="仿宋" w:eastAsia="仿宋"/>
          <w:b w:val="0"/>
          <w:bCs/>
          <w:spacing w:val="-4"/>
          <w:sz w:val="32"/>
          <w:szCs w:val="32"/>
          <w:lang w:val="en-US" w:eastAsia="zh-CN"/>
        </w:rPr>
        <w:t>二</w:t>
      </w:r>
      <w:r>
        <w:rPr>
          <w:rStyle w:val="17"/>
          <w:rFonts w:hint="eastAsia" w:ascii="仿宋" w:hAnsi="仿宋" w:eastAsia="仿宋"/>
          <w:b w:val="0"/>
          <w:bCs/>
          <w:spacing w:val="-4"/>
          <w:sz w:val="32"/>
          <w:szCs w:val="32"/>
          <w:lang w:eastAsia="zh-CN"/>
        </w:rPr>
        <w:t>）机构设置及人员情况</w:t>
      </w:r>
    </w:p>
    <w:p>
      <w:pPr>
        <w:spacing w:line="560" w:lineRule="exact"/>
        <w:ind w:firstLine="645"/>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eastAsia="zh-CN"/>
        </w:rPr>
        <w:t>从预算单位构成看，奇台县江布拉克景区管理委员会的部门预算包括：奇台县江布拉克景区管理委员会本级预算级下属</w:t>
      </w:r>
      <w:r>
        <w:rPr>
          <w:rFonts w:hint="eastAsia" w:ascii="仿宋_GB2312" w:hAnsi="仿宋_GB2312" w:eastAsia="仿宋_GB2312" w:cs="仿宋_GB2312"/>
          <w:bCs/>
          <w:sz w:val="32"/>
          <w:szCs w:val="32"/>
          <w:lang w:val="en-US" w:eastAsia="zh-CN"/>
        </w:rPr>
        <w:t>2家预算单位在内的汇总预算。</w:t>
      </w:r>
    </w:p>
    <w:p>
      <w:pPr>
        <w:spacing w:line="560" w:lineRule="exact"/>
        <w:ind w:firstLine="645"/>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奇台县</w:t>
      </w:r>
      <w:r>
        <w:rPr>
          <w:rFonts w:hint="eastAsia" w:ascii="仿宋_GB2312" w:hAnsi="仿宋_GB2312" w:eastAsia="仿宋_GB2312" w:cs="仿宋_GB2312"/>
          <w:bCs/>
          <w:sz w:val="32"/>
          <w:szCs w:val="32"/>
          <w:lang w:eastAsia="zh-CN"/>
        </w:rPr>
        <w:t>江布拉克景区管理委员会本级下设</w:t>
      </w:r>
      <w:r>
        <w:rPr>
          <w:rFonts w:hint="eastAsia" w:ascii="仿宋_GB2312" w:hAnsi="仿宋_GB2312" w:eastAsia="仿宋_GB2312" w:cs="仿宋_GB2312"/>
          <w:bCs/>
          <w:sz w:val="32"/>
          <w:szCs w:val="32"/>
          <w:lang w:val="en-US" w:eastAsia="zh-CN"/>
        </w:rPr>
        <w:t>5个处室，分别是：综合办公室、规划建设项目处、环境资源保护管理处、市场监督处、经营管理处。</w:t>
      </w:r>
    </w:p>
    <w:p>
      <w:pPr>
        <w:spacing w:line="560" w:lineRule="exact"/>
        <w:ind w:firstLine="645"/>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本部门中，行政单位0家，参公管理事业单位0家，事业单位2家，纳入奇台县</w:t>
      </w:r>
      <w:r>
        <w:rPr>
          <w:rFonts w:hint="eastAsia" w:ascii="仿宋_GB2312" w:hAnsi="仿宋_GB2312" w:eastAsia="仿宋_GB2312" w:cs="仿宋_GB2312"/>
          <w:bCs/>
          <w:sz w:val="32"/>
          <w:szCs w:val="32"/>
          <w:lang w:eastAsia="zh-CN"/>
        </w:rPr>
        <w:t>江布拉克景区管理委员会</w:t>
      </w:r>
      <w:r>
        <w:rPr>
          <w:rFonts w:hint="eastAsia" w:ascii="仿宋_GB2312" w:hAnsi="仿宋_GB2312" w:eastAsia="仿宋_GB2312" w:cs="仿宋_GB2312"/>
          <w:bCs/>
          <w:sz w:val="32"/>
          <w:szCs w:val="32"/>
          <w:lang w:val="en-US" w:eastAsia="zh-CN"/>
        </w:rPr>
        <w:t>2018年部门预算编制范围的二级预算单位包括：</w:t>
      </w:r>
    </w:p>
    <w:p>
      <w:pPr>
        <w:numPr>
          <w:ilvl w:val="0"/>
          <w:numId w:val="1"/>
        </w:numPr>
        <w:spacing w:line="56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lang w:eastAsia="zh-CN"/>
        </w:rPr>
        <w:t>奇台县江布拉克景区票务管理中心</w:t>
      </w:r>
    </w:p>
    <w:p>
      <w:pPr>
        <w:numPr>
          <w:ilvl w:val="0"/>
          <w:numId w:val="1"/>
        </w:numPr>
        <w:spacing w:line="560" w:lineRule="exact"/>
        <w:ind w:firstLine="645"/>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奇台县江布拉克景区车辆运营管理中心</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仿宋_GB2312" w:eastAsia="仿宋_GB2312" w:cs="仿宋_GB2312"/>
          <w:bCs/>
          <w:sz w:val="32"/>
          <w:szCs w:val="32"/>
          <w:lang w:val="en-US" w:eastAsia="zh-CN"/>
        </w:rPr>
        <w:t>奇台县</w:t>
      </w:r>
      <w:r>
        <w:rPr>
          <w:rFonts w:hint="eastAsia" w:ascii="仿宋_GB2312" w:hAnsi="仿宋_GB2312" w:eastAsia="仿宋_GB2312" w:cs="仿宋_GB2312"/>
          <w:bCs/>
          <w:sz w:val="32"/>
          <w:szCs w:val="32"/>
          <w:lang w:eastAsia="zh-CN"/>
        </w:rPr>
        <w:t>江布拉克景区管理委员会编制数</w:t>
      </w:r>
      <w:r>
        <w:rPr>
          <w:rFonts w:hint="eastAsia" w:ascii="仿宋_GB2312" w:hAnsi="仿宋_GB2312" w:eastAsia="仿宋_GB2312" w:cs="仿宋_GB2312"/>
          <w:bCs/>
          <w:sz w:val="32"/>
          <w:szCs w:val="32"/>
          <w:lang w:val="en-US" w:eastAsia="zh-CN"/>
        </w:rPr>
        <w:t>40，实有23人，其中：在职23人，增加0人；退休0人，增加0人；离休0人，增加0人。</w:t>
      </w:r>
    </w:p>
    <w:p>
      <w:pPr>
        <w:spacing w:line="540" w:lineRule="exact"/>
        <w:ind w:firstLine="627" w:firstLineChars="200"/>
        <w:rPr>
          <w:rStyle w:val="17"/>
          <w:rFonts w:hint="eastAsia" w:ascii="仿宋" w:hAnsi="仿宋" w:eastAsia="仿宋"/>
          <w:b/>
          <w:bCs w:val="0"/>
          <w:spacing w:val="-4"/>
          <w:sz w:val="32"/>
          <w:szCs w:val="32"/>
          <w:lang w:eastAsia="zh-CN"/>
        </w:rPr>
      </w:pPr>
      <w:r>
        <w:rPr>
          <w:rStyle w:val="17"/>
          <w:rFonts w:hint="eastAsia" w:ascii="仿宋" w:hAnsi="仿宋" w:eastAsia="仿宋"/>
          <w:b/>
          <w:bCs w:val="0"/>
          <w:spacing w:val="-4"/>
          <w:sz w:val="32"/>
          <w:szCs w:val="32"/>
          <w:lang w:eastAsia="zh-CN"/>
        </w:rPr>
        <w:t>二、项目实施单位：</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江布拉克景区于2009年4月22日由县旅游局隶属事业单位风景区建设管理处负责开发管理（以下简称建管处），同年</w:t>
      </w:r>
      <w:r>
        <w:rPr>
          <w:rFonts w:hint="eastAsia" w:ascii="仿宋_GB2312" w:hAnsi="仿宋_GB2312" w:eastAsia="仿宋_GB2312" w:cs="仿宋_GB2312"/>
          <w:sz w:val="32"/>
          <w:szCs w:val="32"/>
          <w:lang w:eastAsia="zh-CN"/>
        </w:rPr>
        <w:t>以注册资金</w:t>
      </w:r>
      <w:r>
        <w:rPr>
          <w:rFonts w:hint="eastAsia" w:ascii="仿宋_GB2312" w:hAnsi="仿宋_GB2312" w:eastAsia="仿宋_GB2312" w:cs="仿宋_GB2312"/>
          <w:sz w:val="32"/>
          <w:szCs w:val="32"/>
          <w:lang w:val="en-US" w:eastAsia="zh-CN"/>
        </w:rPr>
        <w:t>1000万元，</w:t>
      </w:r>
      <w:r>
        <w:rPr>
          <w:rFonts w:hint="eastAsia" w:ascii="仿宋_GB2312" w:hAnsi="仿宋_GB2312" w:eastAsia="仿宋_GB2312" w:cs="仿宋_GB2312"/>
          <w:sz w:val="32"/>
          <w:szCs w:val="32"/>
        </w:rPr>
        <w:t>成立了新疆江布拉克旅游开发建设有限公司（三家股东：奇台县国资委</w:t>
      </w:r>
      <w:r>
        <w:rPr>
          <w:rFonts w:hint="eastAsia" w:ascii="仿宋_GB2312" w:hAnsi="仿宋_GB2312" w:eastAsia="仿宋_GB2312" w:cs="仿宋_GB2312"/>
          <w:sz w:val="32"/>
          <w:szCs w:val="32"/>
          <w:lang w:val="en-US" w:eastAsia="zh-CN"/>
        </w:rPr>
        <w:t>700万元</w:t>
      </w:r>
      <w:r>
        <w:rPr>
          <w:rFonts w:hint="eastAsia" w:ascii="仿宋_GB2312" w:hAnsi="仿宋_GB2312" w:eastAsia="仿宋_GB2312" w:cs="仿宋_GB2312"/>
          <w:sz w:val="32"/>
          <w:szCs w:val="32"/>
        </w:rPr>
        <w:t>、天东局奇台分局</w:t>
      </w:r>
      <w:r>
        <w:rPr>
          <w:rFonts w:hint="eastAsia" w:ascii="仿宋_GB2312" w:hAnsi="仿宋_GB2312" w:eastAsia="仿宋_GB2312" w:cs="仿宋_GB2312"/>
          <w:sz w:val="32"/>
          <w:szCs w:val="32"/>
          <w:lang w:val="en-US" w:eastAsia="zh-CN"/>
        </w:rPr>
        <w:t>200万元</w:t>
      </w:r>
      <w:r>
        <w:rPr>
          <w:rFonts w:hint="eastAsia" w:ascii="仿宋_GB2312" w:hAnsi="仿宋_GB2312" w:eastAsia="仿宋_GB2312" w:cs="仿宋_GB2312"/>
          <w:sz w:val="32"/>
          <w:szCs w:val="32"/>
        </w:rPr>
        <w:t>、奇台总场</w:t>
      </w:r>
      <w:r>
        <w:rPr>
          <w:rFonts w:hint="eastAsia" w:ascii="仿宋_GB2312" w:hAnsi="仿宋_GB2312" w:eastAsia="仿宋_GB2312" w:cs="仿宋_GB2312"/>
          <w:sz w:val="32"/>
          <w:szCs w:val="32"/>
          <w:lang w:val="en-US" w:eastAsia="zh-CN"/>
        </w:rPr>
        <w:t>100万元</w:t>
      </w:r>
      <w:r>
        <w:rPr>
          <w:rFonts w:hint="eastAsia" w:ascii="仿宋_GB2312" w:hAnsi="仿宋_GB2312" w:eastAsia="仿宋_GB2312" w:cs="仿宋_GB2312"/>
          <w:sz w:val="32"/>
          <w:szCs w:val="32"/>
        </w:rPr>
        <w:t>），采取建管处与公司"一套人马、两块牌子"的运行模式。</w:t>
      </w:r>
      <w:r>
        <w:rPr>
          <w:rFonts w:hint="eastAsia" w:ascii="仿宋_GB2312" w:hAnsi="仿宋_GB2312" w:eastAsia="仿宋_GB2312" w:cs="仿宋_GB2312"/>
          <w:sz w:val="32"/>
          <w:szCs w:val="32"/>
          <w:lang w:val="en-US" w:eastAsia="zh-CN"/>
        </w:rPr>
        <w:t>2016年3月16日，公司原股东国资委变更为</w:t>
      </w:r>
      <w:r>
        <w:rPr>
          <w:rFonts w:hint="eastAsia" w:ascii="仿宋_GB2312" w:hAnsi="仿宋_GB2312" w:eastAsia="仿宋_GB2312" w:cs="仿宋_GB2312"/>
          <w:b w:val="0"/>
          <w:bCs/>
          <w:color w:val="auto"/>
          <w:sz w:val="32"/>
          <w:szCs w:val="32"/>
        </w:rPr>
        <w:t>新疆金奇阳光建设投资</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集团</w:t>
      </w:r>
      <w:r>
        <w:rPr>
          <w:rFonts w:hint="eastAsia" w:ascii="仿宋_GB2312" w:hAnsi="仿宋_GB2312" w:eastAsia="仿宋_GB2312" w:cs="仿宋_GB2312"/>
          <w:b w:val="0"/>
          <w:bCs/>
          <w:color w:val="auto"/>
          <w:sz w:val="32"/>
          <w:szCs w:val="32"/>
          <w:lang w:eastAsia="zh-CN"/>
        </w:rPr>
        <w:t>）有限责任公司，</w:t>
      </w:r>
      <w:r>
        <w:rPr>
          <w:rFonts w:hint="eastAsia" w:ascii="仿宋_GB2312" w:hAnsi="仿宋_GB2312" w:eastAsia="仿宋_GB2312" w:cs="仿宋_GB2312"/>
          <w:sz w:val="32"/>
          <w:szCs w:val="32"/>
          <w:lang w:eastAsia="zh-CN"/>
        </w:rPr>
        <w:t>目前公司股份变更情况为：</w:t>
      </w:r>
      <w:r>
        <w:rPr>
          <w:rFonts w:hint="eastAsia" w:ascii="仿宋_GB2312" w:hAnsi="仿宋_GB2312" w:eastAsia="仿宋_GB2312" w:cs="仿宋_GB2312"/>
          <w:b w:val="0"/>
          <w:bCs/>
          <w:color w:val="auto"/>
          <w:sz w:val="32"/>
          <w:szCs w:val="32"/>
        </w:rPr>
        <w:t>中国农发重点建设基金有限公司</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7000万元</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87.5%</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新疆金奇阳光建设投资</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集团</w:t>
      </w:r>
      <w:r>
        <w:rPr>
          <w:rFonts w:hint="eastAsia" w:ascii="仿宋_GB2312" w:hAnsi="仿宋_GB2312" w:eastAsia="仿宋_GB2312" w:cs="仿宋_GB2312"/>
          <w:b w:val="0"/>
          <w:bCs/>
          <w:color w:val="auto"/>
          <w:sz w:val="32"/>
          <w:szCs w:val="32"/>
          <w:lang w:eastAsia="zh-CN"/>
        </w:rPr>
        <w:t>）有限责任公司，</w:t>
      </w:r>
      <w:r>
        <w:rPr>
          <w:rFonts w:hint="eastAsia" w:ascii="仿宋_GB2312" w:hAnsi="仿宋_GB2312" w:eastAsia="仿宋_GB2312" w:cs="仿宋_GB2312"/>
          <w:b w:val="0"/>
          <w:bCs/>
          <w:color w:val="auto"/>
          <w:sz w:val="32"/>
          <w:szCs w:val="32"/>
        </w:rPr>
        <w:t>700万元</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8.75%</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奇台林场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200万元</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2.5%</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农六师奇台农场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100万元</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1.25%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2011年10月15日县人民政府协议</w:t>
      </w:r>
      <w:r>
        <w:rPr>
          <w:rFonts w:hint="eastAsia" w:ascii="仿宋_GB2312" w:hAnsi="仿宋_GB2312" w:eastAsia="仿宋_GB2312" w:cs="仿宋_GB2312"/>
          <w:sz w:val="32"/>
          <w:szCs w:val="32"/>
          <w:lang w:eastAsia="zh-CN"/>
        </w:rPr>
        <w:t>新疆鸿峰旅游公司</w:t>
      </w:r>
      <w:r>
        <w:rPr>
          <w:rFonts w:hint="eastAsia" w:ascii="仿宋_GB2312" w:hAnsi="仿宋_GB2312" w:eastAsia="仿宋_GB2312" w:cs="仿宋_GB2312"/>
          <w:sz w:val="32"/>
          <w:szCs w:val="32"/>
        </w:rPr>
        <w:t>对景区实施</w:t>
      </w:r>
      <w:r>
        <w:rPr>
          <w:rFonts w:hint="eastAsia" w:ascii="仿宋_GB2312" w:hAnsi="仿宋_GB2312" w:eastAsia="仿宋_GB2312" w:cs="仿宋_GB2312"/>
          <w:sz w:val="32"/>
          <w:szCs w:val="32"/>
          <w:lang w:eastAsia="zh-CN"/>
        </w:rPr>
        <w:t>托管</w:t>
      </w:r>
      <w:r>
        <w:rPr>
          <w:rFonts w:hint="eastAsia" w:ascii="仿宋_GB2312" w:hAnsi="仿宋_GB2312" w:eastAsia="仿宋_GB2312" w:cs="仿宋_GB2312"/>
          <w:sz w:val="32"/>
          <w:szCs w:val="32"/>
        </w:rPr>
        <w:t>。2013年10月1日，经县委、县人民政府研究，组建了“江布拉克景区管委会筹备委员会”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并于</w:t>
      </w:r>
      <w:r>
        <w:rPr>
          <w:rFonts w:hint="eastAsia" w:ascii="仿宋_GB2312" w:hAnsi="仿宋_GB2312" w:eastAsia="仿宋_GB2312" w:cs="仿宋_GB2312"/>
          <w:sz w:val="32"/>
          <w:szCs w:val="32"/>
          <w:lang w:val="en-US" w:eastAsia="zh-CN"/>
        </w:rPr>
        <w:t>2013</w:t>
      </w:r>
      <w:r>
        <w:rPr>
          <w:rFonts w:hint="eastAsia" w:ascii="仿宋_GB2312" w:hAnsi="仿宋_GB2312" w:eastAsia="仿宋_GB2312" w:cs="仿宋_GB2312"/>
          <w:sz w:val="32"/>
          <w:szCs w:val="32"/>
        </w:rPr>
        <w:t>年11月25日收回</w:t>
      </w:r>
      <w:r>
        <w:rPr>
          <w:rFonts w:hint="eastAsia" w:ascii="仿宋_GB2312" w:hAnsi="仿宋_GB2312" w:eastAsia="仿宋_GB2312" w:cs="仿宋_GB2312"/>
          <w:sz w:val="32"/>
          <w:szCs w:val="32"/>
          <w:lang w:eastAsia="zh-CN"/>
        </w:rPr>
        <w:t>新疆鸿峰旅游公司</w:t>
      </w:r>
      <w:r>
        <w:rPr>
          <w:rFonts w:hint="eastAsia" w:ascii="仿宋_GB2312" w:hAnsi="仿宋_GB2312" w:eastAsia="仿宋_GB2312" w:cs="仿宋_GB2312"/>
          <w:sz w:val="32"/>
          <w:szCs w:val="32"/>
        </w:rPr>
        <w:t>对江布拉克景区的托管权，解除托管事宜，由管委会筹备委员会管理运营。</w:t>
      </w:r>
      <w:r>
        <w:rPr>
          <w:rFonts w:hint="eastAsia" w:ascii="仿宋_GB2312" w:hAnsi="仿宋_GB2312" w:eastAsia="仿宋_GB2312" w:cs="仿宋_GB2312"/>
          <w:sz w:val="32"/>
          <w:szCs w:val="32"/>
          <w:lang w:val="en-US" w:eastAsia="zh-CN"/>
        </w:rPr>
        <w:t>2016年7月，奇党发﹝2016﹞67号《关于设立奇台县江布拉克景区党工委 管委会的通知》</w:t>
      </w:r>
      <w:r>
        <w:rPr>
          <w:rFonts w:hint="eastAsia" w:ascii="仿宋_GB2312" w:hAnsi="仿宋_GB2312" w:eastAsia="仿宋_GB2312" w:cs="仿宋_GB2312"/>
          <w:sz w:val="32"/>
          <w:szCs w:val="32"/>
        </w:rPr>
        <w:t>设立了江布拉克景区党工委、管委会，代表</w:t>
      </w:r>
      <w:r>
        <w:rPr>
          <w:rFonts w:hint="eastAsia" w:ascii="仿宋_GB2312" w:hAnsi="仿宋_GB2312" w:eastAsia="仿宋_GB2312" w:cs="仿宋_GB2312"/>
          <w:color w:val="000000"/>
          <w:sz w:val="32"/>
          <w:szCs w:val="32"/>
        </w:rPr>
        <w:t>县委、县人民政府对江布拉克景区实行统一领导和管理，</w:t>
      </w:r>
      <w:r>
        <w:rPr>
          <w:rFonts w:hint="eastAsia" w:ascii="仿宋_GB2312" w:hAnsi="仿宋_GB2312" w:eastAsia="仿宋_GB2312" w:cs="仿宋_GB2312"/>
          <w:color w:val="000000"/>
          <w:sz w:val="32"/>
          <w:szCs w:val="32"/>
          <w:lang w:eastAsia="zh-CN"/>
        </w:rPr>
        <w:t>实行</w:t>
      </w:r>
      <w:r>
        <w:rPr>
          <w:rFonts w:hint="eastAsia" w:ascii="仿宋_GB2312" w:hAnsi="仿宋_GB2312" w:eastAsia="仿宋_GB2312" w:cs="仿宋_GB2312"/>
          <w:sz w:val="32"/>
          <w:szCs w:val="32"/>
        </w:rPr>
        <w:t>景区管委会、建管处、江布拉克公司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一套人马、三块牌子</w:t>
      </w:r>
      <w:r>
        <w:rPr>
          <w:rFonts w:hint="eastAsia" w:ascii="仿宋_GB2312" w:hAnsi="仿宋_GB2312" w:eastAsia="仿宋_GB2312" w:cs="仿宋_GB2312"/>
          <w:sz w:val="32"/>
          <w:szCs w:val="32"/>
          <w:lang w:eastAsia="zh-CN"/>
        </w:rPr>
        <w:t>”的管理运营机制。</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outlineLvl w:val="9"/>
        <w:rPr>
          <w:rStyle w:val="17"/>
          <w:rFonts w:ascii="楷体" w:hAnsi="楷体" w:eastAsia="楷体"/>
          <w:spacing w:val="-4"/>
          <w:sz w:val="32"/>
          <w:szCs w:val="32"/>
        </w:rPr>
      </w:pPr>
      <w:r>
        <w:rPr>
          <w:rFonts w:hint="eastAsia" w:ascii="仿宋_GB2312" w:hAnsi="仿宋_GB2312" w:eastAsia="仿宋_GB2312" w:cs="仿宋_GB2312"/>
          <w:sz w:val="32"/>
          <w:szCs w:val="32"/>
        </w:rPr>
        <w:t>近年来，在县委、县人民政府的大力支持下，外引内建加大景区开发建设，配套完善了景区内道路改建、餐饮广场、游客服务中心、观景台、区间车、怪坡、木步道、导览标识等基础设施。同时，为实现保景富民，规范景区管理秩序，解决私自搭建等问题，帮助牧业村成立了草畜联营合作社，修建民族风情园三个（黑涝坝、松翠谷、马鞍山）</w:t>
      </w:r>
      <w:r>
        <w:rPr>
          <w:rFonts w:hint="eastAsia" w:ascii="仿宋_GB2312" w:hAnsi="仿宋_GB2312" w:eastAsia="仿宋_GB2312" w:cs="仿宋_GB2312"/>
          <w:sz w:val="32"/>
          <w:szCs w:val="32"/>
          <w:lang w:eastAsia="zh-CN"/>
        </w:rPr>
        <w:t>，</w:t>
      </w:r>
      <w:r>
        <w:rPr>
          <w:rFonts w:hint="eastAsia" w:ascii="仿宋_GB2312" w:eastAsia="仿宋_GB2312"/>
          <w:sz w:val="32"/>
          <w:szCs w:val="32"/>
        </w:rPr>
        <w:t>为当地农牧民增收创造良好条件，以进一步整合景区旅游资源，完善景区服务设施，提高景区承载能力，健全旅游服务体系，提升景区接待档次和服务水平，为实现资源的永续利用和景区的可持续发展打好基础。</w:t>
      </w:r>
    </w:p>
    <w:p>
      <w:pPr>
        <w:spacing w:line="540" w:lineRule="exact"/>
        <w:ind w:firstLine="567" w:firstLineChars="181"/>
        <w:rPr>
          <w:rStyle w:val="17"/>
          <w:rFonts w:hint="eastAsia"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2016年中央旅游发展基金补助资金主要用于2017年</w:t>
      </w:r>
      <w:r>
        <w:rPr>
          <w:rFonts w:hint="eastAsia" w:ascii="仿宋_GB2312" w:hAnsi="仿宋_GB2312" w:eastAsia="仿宋_GB2312" w:cs="仿宋_GB2312"/>
          <w:sz w:val="32"/>
          <w:szCs w:val="32"/>
          <w:lang w:val="en-US" w:eastAsia="zh-CN"/>
        </w:rPr>
        <w:t>奇台县江布拉克AAAA级景区基础设施建设项目</w:t>
      </w:r>
      <w:r>
        <w:rPr>
          <w:rStyle w:val="17"/>
          <w:rFonts w:hint="eastAsia" w:ascii="仿宋" w:hAnsi="仿宋" w:eastAsia="仿宋"/>
          <w:b w:val="0"/>
          <w:spacing w:val="-4"/>
          <w:sz w:val="32"/>
          <w:szCs w:val="32"/>
          <w:lang w:val="en-US" w:eastAsia="zh-CN"/>
        </w:rPr>
        <w:t>，</w:t>
      </w:r>
      <w:r>
        <w:rPr>
          <w:rFonts w:hint="eastAsia" w:ascii="仿宋_GB2312" w:hAnsi="仿宋_GB2312" w:eastAsia="仿宋_GB2312" w:cs="仿宋_GB2312"/>
          <w:sz w:val="32"/>
          <w:szCs w:val="32"/>
          <w:lang w:val="en-US" w:eastAsia="zh-CN"/>
        </w:rPr>
        <w:t>江布拉克AAAA级景区基础设施建设项目总投资5亿元，申请旅游开发补助资金400万元，</w:t>
      </w:r>
      <w:r>
        <w:rPr>
          <w:rFonts w:hint="eastAsia" w:ascii="仿宋_GB2312" w:hAnsi="仿宋_GB2312" w:eastAsia="仿宋_GB2312" w:cs="仿宋_GB2312"/>
          <w:sz w:val="32"/>
          <w:szCs w:val="32"/>
          <w:lang w:eastAsia="zh-CN"/>
        </w:rPr>
        <w:t>该项目占地面积</w:t>
      </w:r>
      <w:r>
        <w:rPr>
          <w:rFonts w:hint="eastAsia" w:ascii="仿宋_GB2312" w:hAnsi="仿宋_GB2312" w:eastAsia="仿宋_GB2312" w:cs="仿宋_GB2312"/>
          <w:sz w:val="32"/>
          <w:szCs w:val="32"/>
          <w:lang w:val="en-US" w:eastAsia="zh-CN"/>
        </w:rPr>
        <w:t>355亩，</w:t>
      </w:r>
      <w:r>
        <w:rPr>
          <w:rFonts w:hint="eastAsia" w:ascii="仿宋_GB2312" w:hAnsi="仿宋_GB2312" w:eastAsia="仿宋_GB2312" w:cs="仿宋_GB2312"/>
          <w:sz w:val="32"/>
          <w:szCs w:val="32"/>
          <w:lang w:val="zh-CN"/>
        </w:rPr>
        <w:t>建设内容包括木栈道（占地</w:t>
      </w:r>
      <w:r>
        <w:rPr>
          <w:rFonts w:hint="eastAsia" w:ascii="仿宋_GB2312" w:hAnsi="仿宋_GB2312" w:eastAsia="仿宋_GB2312" w:cs="仿宋_GB2312"/>
          <w:sz w:val="32"/>
          <w:szCs w:val="32"/>
          <w:lang w:val="en-US" w:eastAsia="zh-CN"/>
        </w:rPr>
        <w:t>35亩）</w:t>
      </w:r>
      <w:r>
        <w:rPr>
          <w:rFonts w:hint="eastAsia" w:ascii="仿宋_GB2312" w:hAnsi="仿宋_GB2312" w:eastAsia="仿宋_GB2312" w:cs="仿宋_GB2312"/>
          <w:sz w:val="32"/>
          <w:szCs w:val="32"/>
          <w:lang w:val="zh-CN"/>
        </w:rPr>
        <w:t>、游客集散中心（占地</w:t>
      </w:r>
      <w:r>
        <w:rPr>
          <w:rFonts w:hint="eastAsia" w:ascii="仿宋_GB2312" w:hAnsi="仿宋_GB2312" w:eastAsia="仿宋_GB2312" w:cs="仿宋_GB2312"/>
          <w:sz w:val="32"/>
          <w:szCs w:val="32"/>
          <w:lang w:val="en-US" w:eastAsia="zh-CN"/>
        </w:rPr>
        <w:t>40亩）</w:t>
      </w:r>
      <w:r>
        <w:rPr>
          <w:rFonts w:hint="eastAsia" w:ascii="仿宋_GB2312" w:hAnsi="仿宋_GB2312" w:eastAsia="仿宋_GB2312" w:cs="仿宋_GB2312"/>
          <w:sz w:val="32"/>
          <w:szCs w:val="32"/>
          <w:lang w:val="zh-CN"/>
        </w:rPr>
        <w:t>、疏勒城（占地</w:t>
      </w:r>
      <w:r>
        <w:rPr>
          <w:rFonts w:hint="eastAsia" w:ascii="仿宋_GB2312" w:hAnsi="仿宋_GB2312" w:eastAsia="仿宋_GB2312" w:cs="仿宋_GB2312"/>
          <w:sz w:val="32"/>
          <w:szCs w:val="32"/>
          <w:lang w:val="en-US" w:eastAsia="zh-CN"/>
        </w:rPr>
        <w:t>30亩）</w:t>
      </w:r>
      <w:r>
        <w:rPr>
          <w:rFonts w:hint="eastAsia" w:ascii="仿宋_GB2312" w:hAnsi="仿宋_GB2312" w:eastAsia="仿宋_GB2312" w:cs="仿宋_GB2312"/>
          <w:sz w:val="32"/>
          <w:szCs w:val="32"/>
          <w:lang w:val="zh-CN"/>
        </w:rPr>
        <w:t>、道路工程（占地</w:t>
      </w:r>
      <w:r>
        <w:rPr>
          <w:rFonts w:hint="eastAsia" w:ascii="仿宋_GB2312" w:hAnsi="仿宋_GB2312" w:eastAsia="仿宋_GB2312" w:cs="仿宋_GB2312"/>
          <w:sz w:val="32"/>
          <w:szCs w:val="32"/>
          <w:lang w:val="en-US" w:eastAsia="zh-CN"/>
        </w:rPr>
        <w:t>100亩）</w:t>
      </w:r>
      <w:r>
        <w:rPr>
          <w:rFonts w:hint="eastAsia" w:ascii="仿宋_GB2312" w:hAnsi="仿宋_GB2312" w:eastAsia="仿宋_GB2312" w:cs="仿宋_GB2312"/>
          <w:sz w:val="32"/>
          <w:szCs w:val="32"/>
          <w:lang w:val="zh-CN"/>
        </w:rPr>
        <w:t>、给水工程(位置黑涝坝，占地</w:t>
      </w:r>
      <w:r>
        <w:rPr>
          <w:rFonts w:hint="eastAsia" w:ascii="仿宋_GB2312" w:hAnsi="仿宋_GB2312" w:eastAsia="仿宋_GB2312" w:cs="仿宋_GB2312"/>
          <w:sz w:val="32"/>
          <w:szCs w:val="32"/>
          <w:lang w:val="en-US" w:eastAsia="zh-CN"/>
        </w:rPr>
        <w:t>150亩</w:t>
      </w:r>
      <w:r>
        <w:rPr>
          <w:rFonts w:hint="eastAsia" w:ascii="仿宋_GB2312" w:hAnsi="仿宋_GB2312" w:eastAsia="仿宋_GB2312" w:cs="仿宋_GB2312"/>
          <w:sz w:val="32"/>
          <w:szCs w:val="32"/>
          <w:lang w:val="zh-CN"/>
        </w:rPr>
        <w:t>)五项基础设施工程，</w:t>
      </w:r>
      <w:r>
        <w:rPr>
          <w:rFonts w:hint="eastAsia" w:ascii="仿宋_GB2312" w:hAnsi="仿宋_GB2312" w:eastAsia="仿宋_GB2312" w:cs="仿宋_GB2312"/>
          <w:sz w:val="32"/>
          <w:szCs w:val="32"/>
          <w:lang w:val="en-US" w:eastAsia="zh-CN"/>
        </w:rPr>
        <w:t>工程计划2015年3月开工，2018年12月完工。</w:t>
      </w:r>
    </w:p>
    <w:p>
      <w:pPr>
        <w:autoSpaceDE w:val="0"/>
        <w:autoSpaceDN w:val="0"/>
        <w:adjustRightInd w:val="0"/>
        <w:snapToGrid w:val="0"/>
        <w:spacing w:line="360" w:lineRule="auto"/>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主要建设内容及规模</w:t>
      </w:r>
    </w:p>
    <w:tbl>
      <w:tblPr>
        <w:tblStyle w:val="19"/>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55"/>
        <w:gridCol w:w="6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noWrap w:val="0"/>
            <w:vAlign w:val="center"/>
          </w:tcPr>
          <w:p>
            <w:pPr>
              <w:autoSpaceDE w:val="0"/>
              <w:autoSpaceDN w:val="0"/>
              <w:adjustRightInd w:val="0"/>
              <w:snapToGrid w:val="0"/>
              <w:spacing w:line="360" w:lineRule="auto"/>
              <w:jc w:val="center"/>
              <w:rPr>
                <w:rFonts w:ascii="宋体" w:hAnsi="宋体" w:cs="仿宋_GB2312"/>
                <w:szCs w:val="21"/>
                <w:lang w:val="zh-CN"/>
              </w:rPr>
            </w:pPr>
            <w:r>
              <w:rPr>
                <w:rFonts w:hint="eastAsia" w:ascii="宋体" w:hAnsi="宋体" w:cs="仿宋_GB2312"/>
                <w:szCs w:val="21"/>
                <w:lang w:val="zh-CN"/>
              </w:rPr>
              <w:t>序号</w:t>
            </w:r>
          </w:p>
        </w:tc>
        <w:tc>
          <w:tcPr>
            <w:tcW w:w="1155" w:type="dxa"/>
            <w:noWrap w:val="0"/>
            <w:vAlign w:val="center"/>
          </w:tcPr>
          <w:p>
            <w:pPr>
              <w:autoSpaceDE w:val="0"/>
              <w:autoSpaceDN w:val="0"/>
              <w:adjustRightInd w:val="0"/>
              <w:snapToGrid w:val="0"/>
              <w:spacing w:line="360" w:lineRule="auto"/>
              <w:jc w:val="center"/>
              <w:rPr>
                <w:rFonts w:ascii="宋体" w:hAnsi="宋体" w:cs="仿宋_GB2312"/>
                <w:szCs w:val="21"/>
                <w:lang w:val="zh-CN"/>
              </w:rPr>
            </w:pPr>
            <w:r>
              <w:rPr>
                <w:rFonts w:hint="eastAsia" w:ascii="宋体" w:hAnsi="宋体" w:cs="仿宋_GB2312"/>
                <w:szCs w:val="21"/>
                <w:lang w:val="zh-CN"/>
              </w:rPr>
              <w:t>基础设施名称</w:t>
            </w:r>
          </w:p>
        </w:tc>
        <w:tc>
          <w:tcPr>
            <w:tcW w:w="6690" w:type="dxa"/>
            <w:noWrap w:val="0"/>
            <w:vAlign w:val="center"/>
          </w:tcPr>
          <w:p>
            <w:pPr>
              <w:autoSpaceDE w:val="0"/>
              <w:autoSpaceDN w:val="0"/>
              <w:adjustRightInd w:val="0"/>
              <w:snapToGrid w:val="0"/>
              <w:spacing w:line="360" w:lineRule="auto"/>
              <w:jc w:val="center"/>
              <w:rPr>
                <w:rFonts w:ascii="宋体" w:hAnsi="宋体" w:cs="仿宋_GB2312"/>
                <w:szCs w:val="21"/>
                <w:lang w:val="zh-CN"/>
              </w:rPr>
            </w:pPr>
            <w:r>
              <w:rPr>
                <w:rFonts w:hint="eastAsia" w:ascii="宋体" w:hAnsi="宋体" w:cs="仿宋_GB2312"/>
                <w:szCs w:val="21"/>
                <w:lang w:val="zh-CN"/>
              </w:rPr>
              <w:t>建设规模及主要建设内容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75" w:type="dxa"/>
            <w:noWrap w:val="0"/>
            <w:vAlign w:val="center"/>
          </w:tcPr>
          <w:p>
            <w:pPr>
              <w:autoSpaceDE w:val="0"/>
              <w:autoSpaceDN w:val="0"/>
              <w:adjustRightInd w:val="0"/>
              <w:snapToGrid w:val="0"/>
              <w:spacing w:line="360" w:lineRule="auto"/>
              <w:rPr>
                <w:rFonts w:ascii="宋体" w:hAnsi="宋体" w:cs="仿宋_GB2312"/>
                <w:szCs w:val="21"/>
                <w:lang w:val="zh-CN"/>
              </w:rPr>
            </w:pPr>
            <w:r>
              <w:rPr>
                <w:rFonts w:hint="eastAsia" w:ascii="宋体" w:hAnsi="宋体" w:cs="仿宋_GB2312"/>
                <w:szCs w:val="21"/>
                <w:lang w:val="zh-CN"/>
              </w:rPr>
              <w:t>1</w:t>
            </w:r>
          </w:p>
        </w:tc>
        <w:tc>
          <w:tcPr>
            <w:tcW w:w="1155" w:type="dxa"/>
            <w:noWrap w:val="0"/>
            <w:vAlign w:val="center"/>
          </w:tcPr>
          <w:p>
            <w:pPr>
              <w:jc w:val="center"/>
              <w:rPr>
                <w:rFonts w:ascii="宋体" w:hAnsi="宋体" w:cs="宋体"/>
                <w:kern w:val="0"/>
                <w:szCs w:val="21"/>
                <w:lang w:bidi="ar"/>
              </w:rPr>
            </w:pPr>
            <w:r>
              <w:rPr>
                <w:rFonts w:hint="eastAsia" w:ascii="宋体" w:hAnsi="宋体" w:cs="宋体"/>
                <w:kern w:val="0"/>
                <w:szCs w:val="21"/>
                <w:lang w:bidi="ar"/>
              </w:rPr>
              <w:t>木栈道</w:t>
            </w:r>
          </w:p>
        </w:tc>
        <w:tc>
          <w:tcPr>
            <w:tcW w:w="6690" w:type="dxa"/>
            <w:noWrap w:val="0"/>
            <w:vAlign w:val="center"/>
          </w:tcPr>
          <w:p>
            <w:pPr>
              <w:ind w:firstLine="420" w:firstLineChars="200"/>
              <w:rPr>
                <w:rFonts w:hint="eastAsia" w:ascii="宋体" w:hAnsi="宋体" w:cs="宋体"/>
                <w:kern w:val="0"/>
                <w:szCs w:val="21"/>
                <w:lang w:bidi="ar"/>
              </w:rPr>
            </w:pPr>
            <w:r>
              <w:rPr>
                <w:rFonts w:hint="eastAsia" w:ascii="宋体" w:hAnsi="宋体" w:cs="宋体"/>
                <w:kern w:val="0"/>
                <w:szCs w:val="21"/>
                <w:lang w:bidi="ar"/>
              </w:rPr>
              <w:t>(1)、江布拉克景区木步道24500米（桩号K0+000-K9+500、宽1.8米）；（2）、石步道2262.41米（桩号K0+000-K2+262.41、宽1.2米）；</w:t>
            </w:r>
          </w:p>
          <w:p>
            <w:pPr>
              <w:rPr>
                <w:rFonts w:ascii="宋体" w:hAnsi="宋体" w:cs="宋体"/>
                <w:kern w:val="0"/>
                <w:szCs w:val="21"/>
                <w:lang w:bidi="ar"/>
              </w:rPr>
            </w:pPr>
            <w:r>
              <w:rPr>
                <w:rFonts w:hint="eastAsia" w:ascii="宋体" w:hAnsi="宋体" w:cs="宋体"/>
                <w:kern w:val="0"/>
                <w:szCs w:val="21"/>
                <w:lang w:bidi="ar"/>
              </w:rPr>
              <w:t>（3）、马王庙大平台1536.00㎡、观景台3324.00㎡（其中：36米×24米3座、30.50米×24米1座）、休息亭880㎡（其中：68㎡12座、32㎡2座）、洗手间、环卫设施等附属设施。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675" w:type="dxa"/>
            <w:noWrap w:val="0"/>
            <w:vAlign w:val="center"/>
          </w:tcPr>
          <w:p>
            <w:pPr>
              <w:autoSpaceDE w:val="0"/>
              <w:autoSpaceDN w:val="0"/>
              <w:adjustRightInd w:val="0"/>
              <w:snapToGrid w:val="0"/>
              <w:spacing w:line="360" w:lineRule="auto"/>
              <w:rPr>
                <w:rFonts w:ascii="宋体" w:hAnsi="宋体" w:cs="仿宋_GB2312"/>
                <w:szCs w:val="21"/>
                <w:lang w:val="zh-CN"/>
              </w:rPr>
            </w:pPr>
            <w:r>
              <w:rPr>
                <w:rFonts w:hint="eastAsia" w:ascii="宋体" w:hAnsi="宋体" w:cs="仿宋_GB2312"/>
                <w:szCs w:val="21"/>
                <w:lang w:val="zh-CN"/>
              </w:rPr>
              <w:t>2</w:t>
            </w:r>
          </w:p>
        </w:tc>
        <w:tc>
          <w:tcPr>
            <w:tcW w:w="1155" w:type="dxa"/>
            <w:noWrap w:val="0"/>
            <w:vAlign w:val="center"/>
          </w:tcPr>
          <w:p>
            <w:pPr>
              <w:autoSpaceDE w:val="0"/>
              <w:autoSpaceDN w:val="0"/>
              <w:adjustRightInd w:val="0"/>
              <w:snapToGrid w:val="0"/>
              <w:spacing w:line="360" w:lineRule="auto"/>
              <w:jc w:val="center"/>
              <w:rPr>
                <w:rFonts w:ascii="宋体" w:hAnsi="宋体" w:cs="仿宋_GB2312"/>
                <w:szCs w:val="21"/>
                <w:lang w:val="zh-CN"/>
              </w:rPr>
            </w:pPr>
            <w:r>
              <w:rPr>
                <w:rFonts w:hint="eastAsia" w:ascii="宋体" w:hAnsi="宋体" w:cs="仿宋_GB2312"/>
                <w:szCs w:val="21"/>
                <w:lang w:val="zh-CN"/>
              </w:rPr>
              <w:t>游客集散中心</w:t>
            </w:r>
          </w:p>
        </w:tc>
        <w:tc>
          <w:tcPr>
            <w:tcW w:w="6690" w:type="dxa"/>
            <w:noWrap w:val="0"/>
            <w:vAlign w:val="center"/>
          </w:tcPr>
          <w:p>
            <w:pPr>
              <w:ind w:firstLine="420" w:firstLineChars="200"/>
              <w:rPr>
                <w:rFonts w:hint="eastAsia"/>
                <w:szCs w:val="21"/>
              </w:rPr>
            </w:pPr>
            <w:r>
              <w:rPr>
                <w:rFonts w:hint="eastAsia" w:ascii="宋体" w:hAnsi="宋体" w:cs="宋体"/>
                <w:kern w:val="0"/>
                <w:szCs w:val="21"/>
                <w:lang w:bidi="ar"/>
              </w:rPr>
              <w:t>新建景区游客集散中心一座包括l#度假公寓、2#度假公寓、3#度假公寓、4#度假公寓、5#办公及服务用房、6#毡房、 7#观景塔、8#木屋建筑工程、环卫设施、景区导视导览标识系统建设、亮化工程、智慧景区建设工程(售票、门禁系统改造升级，改造、网络营销工程)等配套设施。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675" w:type="dxa"/>
            <w:noWrap w:val="0"/>
            <w:vAlign w:val="center"/>
          </w:tcPr>
          <w:p>
            <w:pPr>
              <w:autoSpaceDE w:val="0"/>
              <w:autoSpaceDN w:val="0"/>
              <w:adjustRightInd w:val="0"/>
              <w:snapToGrid w:val="0"/>
              <w:spacing w:line="360" w:lineRule="auto"/>
              <w:rPr>
                <w:rFonts w:ascii="宋体" w:hAnsi="宋体" w:cs="仿宋_GB2312"/>
                <w:szCs w:val="21"/>
                <w:lang w:val="zh-CN"/>
              </w:rPr>
            </w:pPr>
            <w:r>
              <w:rPr>
                <w:rFonts w:hint="eastAsia" w:ascii="宋体" w:hAnsi="宋体" w:cs="仿宋_GB2312"/>
                <w:szCs w:val="21"/>
                <w:lang w:val="zh-CN"/>
              </w:rPr>
              <w:t>3</w:t>
            </w:r>
          </w:p>
        </w:tc>
        <w:tc>
          <w:tcPr>
            <w:tcW w:w="1155" w:type="dxa"/>
            <w:noWrap w:val="0"/>
            <w:vAlign w:val="center"/>
          </w:tcPr>
          <w:p>
            <w:pPr>
              <w:autoSpaceDE w:val="0"/>
              <w:autoSpaceDN w:val="0"/>
              <w:adjustRightInd w:val="0"/>
              <w:snapToGrid w:val="0"/>
              <w:spacing w:line="360" w:lineRule="auto"/>
              <w:jc w:val="center"/>
              <w:rPr>
                <w:rFonts w:ascii="宋体" w:hAnsi="宋体" w:cs="仿宋_GB2312"/>
                <w:szCs w:val="21"/>
                <w:lang w:val="zh-CN"/>
              </w:rPr>
            </w:pPr>
            <w:r>
              <w:rPr>
                <w:rFonts w:hint="eastAsia" w:ascii="宋体" w:hAnsi="宋体" w:cs="仿宋_GB2312"/>
                <w:szCs w:val="21"/>
                <w:lang w:val="zh-CN"/>
              </w:rPr>
              <w:t>疏勒城</w:t>
            </w:r>
          </w:p>
        </w:tc>
        <w:tc>
          <w:tcPr>
            <w:tcW w:w="6690" w:type="dxa"/>
            <w:noWrap w:val="0"/>
            <w:vAlign w:val="center"/>
          </w:tcPr>
          <w:p>
            <w:pPr>
              <w:ind w:firstLine="420" w:firstLineChars="200"/>
              <w:rPr>
                <w:rFonts w:ascii="宋体" w:hAnsi="宋体" w:cs="仿宋_GB2312"/>
                <w:szCs w:val="21"/>
                <w:lang w:val="zh-CN"/>
              </w:rPr>
            </w:pPr>
            <w:r>
              <w:rPr>
                <w:rFonts w:hint="eastAsia" w:ascii="宋体" w:hAnsi="宋体" w:cs="宋体"/>
                <w:kern w:val="0"/>
                <w:szCs w:val="21"/>
                <w:lang w:bidi="ar"/>
              </w:rPr>
              <w:t>江布拉克景区疏勒城遗址公园方案建设包括遗址公园、风情街区、广场三大主题项目建设，景区主入口处建设广场及遗址公园，景区南侧建设风情街区。其中，遗址遗址公园建筑面积3700平方米，风情街区建筑面积2500平方米，广场占地面积12000平方米及其附属配套设施(环卫设施、景区导视导览标识系统建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noWrap w:val="0"/>
            <w:vAlign w:val="center"/>
          </w:tcPr>
          <w:p>
            <w:pPr>
              <w:autoSpaceDE w:val="0"/>
              <w:autoSpaceDN w:val="0"/>
              <w:adjustRightInd w:val="0"/>
              <w:snapToGrid w:val="0"/>
              <w:spacing w:line="360" w:lineRule="auto"/>
              <w:rPr>
                <w:rFonts w:ascii="宋体" w:hAnsi="宋体" w:cs="仿宋_GB2312"/>
                <w:szCs w:val="21"/>
                <w:lang w:val="zh-CN"/>
              </w:rPr>
            </w:pPr>
            <w:r>
              <w:rPr>
                <w:rFonts w:hint="eastAsia" w:ascii="宋体" w:hAnsi="宋体" w:cs="仿宋_GB2312"/>
                <w:szCs w:val="21"/>
                <w:lang w:val="zh-CN"/>
              </w:rPr>
              <w:t>4</w:t>
            </w:r>
          </w:p>
        </w:tc>
        <w:tc>
          <w:tcPr>
            <w:tcW w:w="1155" w:type="dxa"/>
            <w:noWrap w:val="0"/>
            <w:vAlign w:val="center"/>
          </w:tcPr>
          <w:p>
            <w:pPr>
              <w:autoSpaceDE w:val="0"/>
              <w:autoSpaceDN w:val="0"/>
              <w:adjustRightInd w:val="0"/>
              <w:snapToGrid w:val="0"/>
              <w:spacing w:line="360" w:lineRule="auto"/>
              <w:jc w:val="center"/>
              <w:rPr>
                <w:rFonts w:ascii="宋体" w:hAnsi="宋体" w:cs="仿宋_GB2312"/>
                <w:szCs w:val="21"/>
                <w:lang w:val="zh-CN"/>
              </w:rPr>
            </w:pPr>
            <w:r>
              <w:rPr>
                <w:rFonts w:hint="eastAsia" w:ascii="宋体" w:hAnsi="宋体" w:cs="仿宋_GB2312"/>
                <w:szCs w:val="21"/>
                <w:lang w:val="zh-CN"/>
              </w:rPr>
              <w:t>道路工程</w:t>
            </w:r>
          </w:p>
        </w:tc>
        <w:tc>
          <w:tcPr>
            <w:tcW w:w="6690" w:type="dxa"/>
            <w:noWrap w:val="0"/>
            <w:vAlign w:val="center"/>
          </w:tcPr>
          <w:p>
            <w:pPr>
              <w:ind w:firstLine="420" w:firstLineChars="200"/>
              <w:rPr>
                <w:rFonts w:ascii="宋体" w:hAnsi="宋体" w:cs="仿宋_GB2312"/>
                <w:szCs w:val="21"/>
                <w:lang w:val="zh-CN"/>
              </w:rPr>
            </w:pPr>
            <w:r>
              <w:rPr>
                <w:rFonts w:hint="eastAsia" w:ascii="宋体" w:hAnsi="宋体" w:cs="宋体"/>
                <w:kern w:val="0"/>
                <w:szCs w:val="21"/>
                <w:lang w:bidi="ar"/>
              </w:rPr>
              <w:t>完成打造西环线节点设计，设计景区山区道路，设计总长为26km，宽度6m，2级下线，3级上线及景区区间车停靠站建设等附属配套设施建设。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675" w:type="dxa"/>
            <w:noWrap w:val="0"/>
            <w:vAlign w:val="center"/>
          </w:tcPr>
          <w:p>
            <w:pPr>
              <w:autoSpaceDE w:val="0"/>
              <w:autoSpaceDN w:val="0"/>
              <w:adjustRightInd w:val="0"/>
              <w:snapToGrid w:val="0"/>
              <w:spacing w:line="360" w:lineRule="auto"/>
              <w:rPr>
                <w:rFonts w:ascii="宋体" w:hAnsi="宋体" w:cs="仿宋_GB2312"/>
                <w:szCs w:val="21"/>
                <w:lang w:val="zh-CN"/>
              </w:rPr>
            </w:pPr>
            <w:r>
              <w:rPr>
                <w:rFonts w:hint="eastAsia" w:ascii="宋体" w:hAnsi="宋体" w:cs="仿宋_GB2312"/>
                <w:szCs w:val="21"/>
                <w:lang w:val="zh-CN"/>
              </w:rPr>
              <w:t>5</w:t>
            </w:r>
          </w:p>
        </w:tc>
        <w:tc>
          <w:tcPr>
            <w:tcW w:w="1155" w:type="dxa"/>
            <w:noWrap w:val="0"/>
            <w:vAlign w:val="center"/>
          </w:tcPr>
          <w:p>
            <w:pPr>
              <w:autoSpaceDE w:val="0"/>
              <w:autoSpaceDN w:val="0"/>
              <w:adjustRightInd w:val="0"/>
              <w:snapToGrid w:val="0"/>
              <w:spacing w:line="360" w:lineRule="auto"/>
              <w:jc w:val="center"/>
              <w:rPr>
                <w:rFonts w:ascii="宋体" w:hAnsi="宋体" w:cs="仿宋_GB2312"/>
                <w:szCs w:val="21"/>
                <w:lang w:val="zh-CN"/>
              </w:rPr>
            </w:pPr>
            <w:r>
              <w:rPr>
                <w:rFonts w:hint="eastAsia" w:ascii="宋体" w:hAnsi="宋体" w:cs="仿宋_GB2312"/>
                <w:szCs w:val="21"/>
                <w:lang w:val="zh-CN"/>
              </w:rPr>
              <w:t>给水工程(黑涝坝)</w:t>
            </w:r>
          </w:p>
        </w:tc>
        <w:tc>
          <w:tcPr>
            <w:tcW w:w="6690" w:type="dxa"/>
            <w:noWrap w:val="0"/>
            <w:vAlign w:val="center"/>
          </w:tcPr>
          <w:p>
            <w:pPr>
              <w:ind w:firstLine="420" w:firstLineChars="200"/>
              <w:rPr>
                <w:rFonts w:hint="eastAsia" w:ascii="宋体" w:hAnsi="宋体" w:cs="仿宋_GB2312"/>
                <w:szCs w:val="21"/>
                <w:lang w:val="zh-CN"/>
              </w:rPr>
            </w:pPr>
            <w:r>
              <w:rPr>
                <w:rFonts w:hint="eastAsia" w:ascii="宋体" w:hAnsi="宋体" w:cs="宋体"/>
                <w:kern w:val="0"/>
                <w:szCs w:val="21"/>
                <w:lang w:bidi="ar"/>
              </w:rPr>
              <w:t>项目规划</w:t>
            </w:r>
            <w:r>
              <w:rPr>
                <w:rFonts w:ascii="宋体" w:hAnsi="宋体" w:cs="宋体"/>
                <w:kern w:val="0"/>
                <w:szCs w:val="21"/>
                <w:lang w:bidi="ar"/>
              </w:rPr>
              <w:t>拟从新户河河道引水至江布拉克景区</w:t>
            </w:r>
            <w:r>
              <w:rPr>
                <w:rFonts w:hint="eastAsia" w:ascii="宋体" w:hAnsi="宋体" w:cs="宋体"/>
                <w:kern w:val="0"/>
                <w:szCs w:val="21"/>
                <w:lang w:bidi="ar"/>
              </w:rPr>
              <w:t>，在</w:t>
            </w:r>
            <w:r>
              <w:rPr>
                <w:rFonts w:ascii="宋体" w:hAnsi="宋体" w:cs="宋体"/>
                <w:kern w:val="0"/>
                <w:szCs w:val="21"/>
                <w:lang w:bidi="ar"/>
              </w:rPr>
              <w:t>新疆奇台县半截沟镇江布拉克景区建</w:t>
            </w:r>
            <w:r>
              <w:rPr>
                <w:rFonts w:hint="eastAsia" w:ascii="宋体" w:hAnsi="宋体" w:cs="宋体"/>
                <w:kern w:val="0"/>
                <w:szCs w:val="21"/>
                <w:lang w:bidi="ar"/>
              </w:rPr>
              <w:t>设</w:t>
            </w:r>
            <w:r>
              <w:rPr>
                <w:rFonts w:ascii="宋体" w:hAnsi="宋体" w:cs="宋体"/>
                <w:kern w:val="0"/>
                <w:szCs w:val="21"/>
                <w:lang w:bidi="ar"/>
              </w:rPr>
              <w:t>黑涝坝引水泵站，</w:t>
            </w:r>
            <w:r>
              <w:rPr>
                <w:rFonts w:hint="eastAsia" w:ascii="宋体" w:hAnsi="宋体" w:cs="宋体"/>
                <w:kern w:val="0"/>
                <w:szCs w:val="21"/>
                <w:lang w:bidi="ar"/>
              </w:rPr>
              <w:t>本次修建引水泵站主要提引新户河河水至黑涝坝高位调节水池。</w:t>
            </w:r>
            <w:r>
              <w:rPr>
                <w:rFonts w:ascii="宋体" w:hAnsi="宋体" w:cs="宋体"/>
                <w:kern w:val="0"/>
                <w:szCs w:val="21"/>
                <w:lang w:bidi="ar"/>
              </w:rPr>
              <w:t>新户河水库距奇台县城40km，是一座以防洪、灌溉为主的小（1）型山区水库，总库容为</w:t>
            </w:r>
            <w:r>
              <w:rPr>
                <w:rFonts w:hint="eastAsia" w:ascii="宋体" w:hAnsi="宋体" w:cs="宋体"/>
                <w:kern w:val="0"/>
                <w:szCs w:val="21"/>
                <w:lang w:bidi="ar"/>
              </w:rPr>
              <w:t>40</w:t>
            </w:r>
            <w:r>
              <w:rPr>
                <w:rFonts w:ascii="宋体" w:hAnsi="宋体" w:cs="宋体"/>
                <w:kern w:val="0"/>
                <w:szCs w:val="21"/>
                <w:lang w:bidi="ar"/>
              </w:rPr>
              <w:t>.53万方，工程等别为Ⅳ等，主要建筑物拦河坝、放水涵洞、溢洪道等4级建筑物，次要建筑物为5级。</w:t>
            </w:r>
          </w:p>
        </w:tc>
      </w:tr>
    </w:tbl>
    <w:p>
      <w:pPr>
        <w:spacing w:line="560" w:lineRule="exac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2017年主要建设内容：</w:t>
      </w:r>
    </w:p>
    <w:p>
      <w:pPr>
        <w:numPr>
          <w:ilvl w:val="0"/>
          <w:numId w:val="0"/>
        </w:numPr>
        <w:spacing w:line="56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（一）环卫设施、景区导视导览标识系统建设、亮化工程、智慧景区建设工程。</w:t>
      </w:r>
    </w:p>
    <w:p>
      <w:pPr>
        <w:numPr>
          <w:ilvl w:val="0"/>
          <w:numId w:val="0"/>
        </w:numPr>
        <w:spacing w:line="56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（二）景区区间车停靠站建设等附属配套设施建设。</w:t>
      </w:r>
    </w:p>
    <w:p>
      <w:pPr>
        <w:numPr>
          <w:ilvl w:val="0"/>
          <w:numId w:val="0"/>
        </w:numPr>
        <w:spacing w:line="560" w:lineRule="exact"/>
        <w:rPr>
          <w:rStyle w:val="17"/>
          <w:rFonts w:hint="eastAsia" w:ascii="黑体" w:hAnsi="黑体" w:eastAsia="黑体"/>
          <w:b w:val="0"/>
          <w:spacing w:val="-4"/>
          <w:sz w:val="32"/>
          <w:szCs w:val="32"/>
        </w:rPr>
      </w:pPr>
      <w:r>
        <w:rPr>
          <w:rFonts w:hint="eastAsia" w:ascii="仿宋_GB2312" w:hAnsi="仿宋_GB2312" w:eastAsia="仿宋_GB2312" w:cs="仿宋_GB2312"/>
          <w:b w:val="0"/>
          <w:bCs w:val="0"/>
          <w:sz w:val="32"/>
          <w:szCs w:val="32"/>
          <w:lang w:val="en-US" w:eastAsia="zh-CN"/>
        </w:rPr>
        <w:t xml:space="preserve">     (三）黑涝坝高位调节水池工程</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eastAsia="zh-CN"/>
        </w:rPr>
        <w:t>该项目总投资</w:t>
      </w:r>
      <w:r>
        <w:rPr>
          <w:rStyle w:val="17"/>
          <w:rFonts w:hint="eastAsia" w:ascii="仿宋" w:hAnsi="仿宋" w:eastAsia="仿宋"/>
          <w:b w:val="0"/>
          <w:spacing w:val="-4"/>
          <w:sz w:val="32"/>
          <w:szCs w:val="32"/>
          <w:lang w:val="en-US" w:eastAsia="zh-CN"/>
        </w:rPr>
        <w:t>5亿元，申请银行贷款2.9亿元，其余2.1亿元由对外融资及自筹解决。2016年</w:t>
      </w:r>
      <w:r>
        <w:rPr>
          <w:rFonts w:hint="eastAsia" w:ascii="仿宋_GB2312" w:hAnsi="仿宋_GB2312" w:eastAsia="仿宋_GB2312" w:cs="仿宋_GB2312"/>
          <w:sz w:val="32"/>
          <w:szCs w:val="32"/>
          <w:lang w:val="en-US" w:eastAsia="zh-CN"/>
        </w:rPr>
        <w:t>申请旅游开发补助资金400万元，2017年根据申请，</w:t>
      </w:r>
      <w:r>
        <w:rPr>
          <w:rStyle w:val="17"/>
          <w:rFonts w:hint="eastAsia" w:ascii="仿宋" w:hAnsi="仿宋" w:eastAsia="仿宋"/>
          <w:b w:val="0"/>
          <w:spacing w:val="-4"/>
          <w:sz w:val="32"/>
          <w:szCs w:val="32"/>
          <w:lang w:val="en-US" w:eastAsia="zh-CN"/>
        </w:rPr>
        <w:t>财政拨付资金260万元。</w:t>
      </w:r>
    </w:p>
    <w:p>
      <w:pPr>
        <w:spacing w:line="540" w:lineRule="exact"/>
        <w:ind w:firstLine="567" w:firstLineChars="181"/>
        <w:rPr>
          <w:rStyle w:val="17"/>
          <w:rFonts w:hint="eastAsia" w:ascii="仿宋" w:hAnsi="仿宋" w:eastAsia="仿宋"/>
          <w:b w:val="0"/>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财政资金260万元，根据文件要求拨付给项目实施单位新疆江布拉克旅游开发建设有限公司，江布拉克公司已按照实际用途专款专用，保证资金使用的真实度。</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项目资金管理制度</w:t>
      </w:r>
    </w:p>
    <w:p>
      <w:pPr>
        <w:numPr>
          <w:ilvl w:val="0"/>
          <w:numId w:val="2"/>
        </w:num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专项资金管理和使用坚持科学安排、合理配置、专款专用、专账核算、严格监管原则。</w:t>
      </w:r>
    </w:p>
    <w:p>
      <w:pPr>
        <w:numPr>
          <w:ilvl w:val="0"/>
          <w:numId w:val="2"/>
        </w:num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工作职责：</w:t>
      </w:r>
      <w:r>
        <w:rPr>
          <w:rStyle w:val="17"/>
          <w:rFonts w:hint="eastAsia" w:ascii="仿宋" w:hAnsi="仿宋" w:eastAsia="仿宋"/>
          <w:b w:val="0"/>
          <w:spacing w:val="-4"/>
          <w:sz w:val="32"/>
          <w:szCs w:val="32"/>
          <w:lang w:eastAsia="zh-CN"/>
        </w:rPr>
        <w:t>江布拉克公司项目负责人李海江</w:t>
      </w:r>
      <w:r>
        <w:rPr>
          <w:rStyle w:val="17"/>
          <w:rFonts w:hint="eastAsia" w:ascii="仿宋" w:hAnsi="仿宋" w:eastAsia="仿宋"/>
          <w:b w:val="0"/>
          <w:spacing w:val="-4"/>
          <w:sz w:val="32"/>
          <w:szCs w:val="32"/>
        </w:rPr>
        <w:t>负责组织完成专项资金项目的备案、申报及审批落实工作，负责对项目实施单位专项资金的使用范围进行指导，负责组织完成专项资金项目的检查、验收和评价工作。</w:t>
      </w:r>
    </w:p>
    <w:p>
      <w:pPr>
        <w:numPr>
          <w:ilvl w:val="0"/>
          <w:numId w:val="2"/>
        </w:num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项目实施主体负责专项资金项目的组织实施，负责按照项目专项资金预算范围按计划合理使用专项资金，负责提请有关部门组织对项目进行验收和评价，负责配合接受上级有关部门的检查、验收和评价工作。</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财政资金260万元，已按照实际用途列相应支出科目，并根据文件要求拨付给项目实施单位新疆江布拉克旅游开发建设有限公司，江布拉克公司已按照实际用途专款专用，并做好资金台账的登记工作。</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numPr>
          <w:ilvl w:val="0"/>
          <w:numId w:val="3"/>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项目投标情况：</w:t>
      </w:r>
    </w:p>
    <w:p>
      <w:pPr>
        <w:numPr>
          <w:ilvl w:val="0"/>
          <w:numId w:val="4"/>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整个招投标过程在公正、公平、公开的情况下进行，招投标情况书面报告由招标人（建设单位）在招投标工作的结束后填写，每个招标项目一式三份，由招标人、招标办、办理施工许可证部门各持一份。</w:t>
      </w:r>
    </w:p>
    <w:p>
      <w:pPr>
        <w:numPr>
          <w:ilvl w:val="0"/>
          <w:numId w:val="4"/>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表格内容要用钢笔或其它不易擦去的墨水笔如实填写，且应字迹清楚。</w:t>
      </w:r>
    </w:p>
    <w:p>
      <w:pPr>
        <w:numPr>
          <w:ilvl w:val="0"/>
          <w:numId w:val="4"/>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备案审查机关在接到招标人备案书面报告后，应依法认真审查招投标全过程是否合法，若符合要求则备案审查机关应在书面报告内相关栏目处签署同意备案的意见；不符合应依法责成招标人予以纠正。</w:t>
      </w:r>
    </w:p>
    <w:p>
      <w:pPr>
        <w:numPr>
          <w:ilvl w:val="0"/>
          <w:numId w:val="4"/>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在招标中已提交的告知书，招标资格审查表、资格预审文件，投标资格审查表、资格预审合格通知书、招标文件、签疑材料等不再重复提供。</w:t>
      </w:r>
    </w:p>
    <w:p>
      <w:pPr>
        <w:numPr>
          <w:ilvl w:val="0"/>
          <w:numId w:val="4"/>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招标人在办理招标投标情况备案书面报告手续时，随书面报告应提交下列材料原件或复印件。</w:t>
      </w:r>
    </w:p>
    <w:p>
      <w:pPr>
        <w:numPr>
          <w:ilvl w:val="0"/>
          <w:numId w:val="4"/>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招标人向中标人发出中标通知书起十五日内，向建设行政监督部门提交招标投标情况的书面报告。</w:t>
      </w:r>
    </w:p>
    <w:p>
      <w:pPr>
        <w:numPr>
          <w:ilvl w:val="0"/>
          <w:numId w:val="0"/>
        </w:numPr>
        <w:spacing w:line="56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w:t>
      </w:r>
      <w:r>
        <w:rPr>
          <w:rStyle w:val="17"/>
          <w:rFonts w:hint="eastAsia" w:ascii="仿宋" w:hAnsi="仿宋" w:eastAsia="仿宋"/>
          <w:b w:val="0"/>
          <w:spacing w:val="-4"/>
          <w:sz w:val="32"/>
          <w:szCs w:val="32"/>
          <w:lang w:eastAsia="zh-CN"/>
        </w:rPr>
        <w:t>项目调整情况：江布拉克景区基础设施建设项目分</w:t>
      </w:r>
      <w:r>
        <w:rPr>
          <w:rStyle w:val="17"/>
          <w:rFonts w:hint="eastAsia" w:ascii="仿宋" w:hAnsi="仿宋" w:eastAsia="仿宋"/>
          <w:b w:val="0"/>
          <w:spacing w:val="-4"/>
          <w:sz w:val="32"/>
          <w:szCs w:val="32"/>
          <w:lang w:val="en-US" w:eastAsia="zh-CN"/>
        </w:rPr>
        <w:t>5个小项目，在2017年中完成其中3个：</w:t>
      </w:r>
    </w:p>
    <w:p>
      <w:pPr>
        <w:numPr>
          <w:ilvl w:val="0"/>
          <w:numId w:val="0"/>
        </w:num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（一）环卫设施、景区导视导览标识系统建设、亮化工程、智慧景区建设工程。</w:t>
      </w:r>
    </w:p>
    <w:p>
      <w:pPr>
        <w:numPr>
          <w:ilvl w:val="0"/>
          <w:numId w:val="0"/>
        </w:numPr>
        <w:spacing w:line="56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（二）景区区间车停靠站建设等附属配套设施建设。</w:t>
      </w:r>
    </w:p>
    <w:p>
      <w:pPr>
        <w:numPr>
          <w:ilvl w:val="0"/>
          <w:numId w:val="0"/>
        </w:numPr>
        <w:spacing w:line="56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（三）黑涝坝高位调节水池工程</w:t>
      </w:r>
    </w:p>
    <w:p>
      <w:pPr>
        <w:numPr>
          <w:ilvl w:val="0"/>
          <w:numId w:val="0"/>
        </w:num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3、</w:t>
      </w:r>
      <w:r>
        <w:rPr>
          <w:rStyle w:val="17"/>
          <w:rFonts w:hint="eastAsia" w:ascii="仿宋" w:hAnsi="仿宋" w:eastAsia="仿宋"/>
          <w:b w:val="0"/>
          <w:spacing w:val="-4"/>
          <w:sz w:val="32"/>
          <w:szCs w:val="32"/>
          <w:lang w:eastAsia="zh-CN"/>
        </w:rPr>
        <w:t>项目完成验收情况：对于日常检查监督管理工作，项目经理应对项目的安全全面负责，项目总工要完成总进度计划和现场管理工作，项目技术负责人做好质量标准和工程验收工作，项目安全负责人掌握安全动态，做好及时采取预防措施的准备，各项目人员应当通力合作，履行好本职工作义务，同时对发现的问题及时进行上报整改。在项目完工后的验收工作中，</w:t>
      </w:r>
      <w:r>
        <w:rPr>
          <w:rStyle w:val="17"/>
          <w:rFonts w:hint="eastAsia" w:ascii="仿宋" w:hAnsi="仿宋" w:eastAsia="仿宋"/>
          <w:b w:val="0"/>
          <w:spacing w:val="-4"/>
          <w:sz w:val="32"/>
          <w:szCs w:val="32"/>
          <w:lang w:val="en-US" w:eastAsia="zh-CN"/>
        </w:rPr>
        <w:t>3个项目全部验收合格。</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根据项目实际情况，我们制定了多项项目管理制度：</w:t>
      </w:r>
    </w:p>
    <w:p>
      <w:pPr>
        <w:numPr>
          <w:ilvl w:val="0"/>
          <w:numId w:val="5"/>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项目技术管理制度，严格执行操作规程，对施工进行指导、监督检查，对重要部位测量复核，并对发现的质量问题进行督促整改。</w:t>
      </w:r>
    </w:p>
    <w:p>
      <w:pPr>
        <w:numPr>
          <w:ilvl w:val="0"/>
          <w:numId w:val="5"/>
        </w:numPr>
        <w:spacing w:line="540" w:lineRule="exact"/>
        <w:ind w:left="0" w:leftChars="0"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项目质量管理制度，严格执行操作规程和质量标准，配合监理做好工程质量的监督工作，及时真实的反映质量动态信息。</w:t>
      </w:r>
    </w:p>
    <w:p>
      <w:pPr>
        <w:numPr>
          <w:ilvl w:val="0"/>
          <w:numId w:val="5"/>
        </w:numPr>
        <w:spacing w:line="540" w:lineRule="exact"/>
        <w:ind w:left="0" w:leftChars="0"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项目安全制度，建立健全项目各级人员和部门的安全施工责任制，各工种人员做到持证上岗，层层落实安全施工责任书，制定各工种安全技术操作规程，制定领导安全值班制度以及值班日志。</w:t>
      </w:r>
    </w:p>
    <w:p>
      <w:pPr>
        <w:numPr>
          <w:ilvl w:val="0"/>
          <w:numId w:val="5"/>
        </w:numPr>
        <w:spacing w:line="540" w:lineRule="exact"/>
        <w:ind w:left="0" w:leftChars="0"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项目信息管理制度必须认真收集施工过程中的各类信息数据，做到真实，准确反映施工实际情况，对收集到的信息要做到完善，符合信息管理的实际要求，信息存储保管，并建立档案，注明有效期。</w:t>
      </w:r>
    </w:p>
    <w:p>
      <w:pPr>
        <w:numPr>
          <w:ilvl w:val="0"/>
          <w:numId w:val="0"/>
        </w:num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对于日常检查监督管理工作，项目经理应对项目的安全全面负责，项目总工要完成总进度计划和现场管理工作，项目技术负责人做好质量标准和工程验收工作，项目安全负责人掌握安全动态，做好及时采取预防措施的准备，各项目人员应当通力合作，履行好本职工作义务，同时对发现的问题及时进行上报整改。</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24" w:firstLineChars="200"/>
        <w:rPr>
          <w:rFonts w:hint="eastAsia" w:ascii="仿宋_GB2312" w:hAnsi="仿宋_GB2312" w:eastAsia="仿宋_GB2312" w:cs="仿宋_GB2312"/>
          <w:b w:val="0"/>
          <w:bCs w:val="0"/>
          <w:color w:val="000000"/>
          <w:sz w:val="32"/>
          <w:szCs w:val="32"/>
          <w:lang w:eastAsia="zh-CN"/>
        </w:rPr>
      </w:pPr>
      <w:r>
        <w:rPr>
          <w:rStyle w:val="17"/>
          <w:rFonts w:hint="eastAsia" w:ascii="仿宋" w:hAnsi="仿宋" w:eastAsia="仿宋"/>
          <w:b w:val="0"/>
          <w:spacing w:val="-4"/>
          <w:sz w:val="32"/>
          <w:szCs w:val="32"/>
          <w:lang w:val="en-US" w:eastAsia="zh-CN"/>
        </w:rPr>
        <w:t>1、</w:t>
      </w:r>
      <w:r>
        <w:rPr>
          <w:rStyle w:val="17"/>
          <w:rFonts w:hint="eastAsia" w:ascii="仿宋" w:hAnsi="仿宋" w:eastAsia="仿宋"/>
          <w:b w:val="0"/>
          <w:spacing w:val="-4"/>
          <w:sz w:val="32"/>
          <w:szCs w:val="32"/>
          <w:lang w:eastAsia="zh-CN"/>
        </w:rPr>
        <w:t>项目的经济性：江布拉克景区位于奇台县半截沟镇，是天山东部一带的特色旅游黄金线路，</w:t>
      </w:r>
      <w:r>
        <w:rPr>
          <w:rFonts w:hint="eastAsia" w:ascii="仿宋_GB2312" w:hAnsi="仿宋_GB2312" w:eastAsia="仿宋_GB2312" w:cs="仿宋_GB2312"/>
          <w:b w:val="0"/>
          <w:bCs w:val="0"/>
          <w:color w:val="000000"/>
          <w:sz w:val="32"/>
          <w:szCs w:val="32"/>
        </w:rPr>
        <w:t>本项目建成后，社会效益显著，</w:t>
      </w:r>
      <w:r>
        <w:rPr>
          <w:rFonts w:hint="eastAsia" w:ascii="仿宋_GB2312" w:hAnsi="仿宋_GB2312" w:eastAsia="仿宋_GB2312" w:cs="仿宋_GB2312"/>
          <w:b w:val="0"/>
          <w:bCs w:val="0"/>
          <w:color w:val="000000"/>
          <w:sz w:val="32"/>
          <w:szCs w:val="32"/>
          <w:lang w:eastAsia="zh-CN"/>
        </w:rPr>
        <w:t>游客人数增加</w:t>
      </w:r>
      <w:r>
        <w:rPr>
          <w:rFonts w:hint="eastAsia" w:ascii="仿宋_GB2312" w:hAnsi="仿宋_GB2312" w:eastAsia="仿宋_GB2312" w:cs="仿宋_GB2312"/>
          <w:b w:val="0"/>
          <w:bCs w:val="0"/>
          <w:color w:val="000000"/>
          <w:sz w:val="32"/>
          <w:szCs w:val="32"/>
          <w:lang w:val="en-US" w:eastAsia="zh-CN"/>
        </w:rPr>
        <w:t>33.2万人次/年，景区直接收入增加600万/年，</w:t>
      </w:r>
      <w:r>
        <w:rPr>
          <w:rFonts w:hint="eastAsia" w:ascii="仿宋_GB2312" w:hAnsi="仿宋_GB2312" w:eastAsia="仿宋_GB2312" w:cs="仿宋_GB2312"/>
          <w:b w:val="0"/>
          <w:bCs w:val="0"/>
          <w:color w:val="000000"/>
          <w:sz w:val="32"/>
          <w:szCs w:val="32"/>
        </w:rPr>
        <w:t>有利于繁荣地方经济，取得较大的社会效益，有利扩大就业，促进社会各项事业发展，提高项目区人民收入</w:t>
      </w:r>
      <w:r>
        <w:rPr>
          <w:rFonts w:hint="eastAsia" w:ascii="仿宋_GB2312" w:hAnsi="仿宋_GB2312" w:eastAsia="仿宋_GB2312" w:cs="仿宋_GB2312"/>
          <w:b w:val="0"/>
          <w:bCs w:val="0"/>
          <w:color w:val="000000"/>
          <w:sz w:val="32"/>
          <w:szCs w:val="32"/>
          <w:lang w:eastAsia="zh-CN"/>
        </w:rPr>
        <w:t>。</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val="en-US" w:eastAsia="zh-CN"/>
        </w:rPr>
        <w:t>2、</w:t>
      </w:r>
      <w:r>
        <w:rPr>
          <w:rStyle w:val="17"/>
          <w:rFonts w:hint="eastAsia" w:ascii="仿宋" w:hAnsi="仿宋" w:eastAsia="仿宋"/>
          <w:b w:val="0"/>
          <w:spacing w:val="-4"/>
          <w:sz w:val="32"/>
          <w:szCs w:val="32"/>
          <w:lang w:eastAsia="zh-CN"/>
        </w:rPr>
        <w:t>项目的效率性：江布拉克景区基础设施建设项目的实施使景区环境更加整洁，各项景区内部的服务质量也大幅提升，使游客在旅途中能有更好的体验。</w:t>
      </w:r>
    </w:p>
    <w:p>
      <w:pPr>
        <w:spacing w:line="540" w:lineRule="exact"/>
        <w:ind w:firstLine="624" w:firstLineChars="200"/>
        <w:rPr>
          <w:rFonts w:hint="eastAsia" w:ascii="仿宋_GB2312" w:hAnsi="仿宋_GB2312" w:eastAsia="仿宋_GB2312" w:cs="仿宋_GB2312"/>
          <w:b w:val="0"/>
          <w:bCs w:val="0"/>
          <w:color w:val="000000"/>
          <w:sz w:val="32"/>
          <w:szCs w:val="32"/>
          <w:lang w:val="en-US" w:eastAsia="zh-CN"/>
        </w:rPr>
      </w:pPr>
      <w:r>
        <w:rPr>
          <w:rStyle w:val="17"/>
          <w:rFonts w:hint="eastAsia" w:ascii="仿宋" w:hAnsi="仿宋" w:eastAsia="仿宋"/>
          <w:b w:val="0"/>
          <w:spacing w:val="-4"/>
          <w:sz w:val="32"/>
          <w:szCs w:val="32"/>
          <w:lang w:val="en-US" w:eastAsia="zh-CN"/>
        </w:rPr>
        <w:t>3、</w:t>
      </w:r>
      <w:r>
        <w:rPr>
          <w:rStyle w:val="17"/>
          <w:rFonts w:hint="eastAsia" w:ascii="仿宋" w:hAnsi="仿宋" w:eastAsia="仿宋"/>
          <w:b w:val="0"/>
          <w:spacing w:val="-4"/>
          <w:sz w:val="32"/>
          <w:szCs w:val="32"/>
          <w:lang w:eastAsia="zh-CN"/>
        </w:rPr>
        <w:t>项目的有益性：</w:t>
      </w:r>
      <w:r>
        <w:rPr>
          <w:rFonts w:hint="eastAsia" w:ascii="仿宋_GB2312" w:hAnsi="仿宋_GB2312" w:eastAsia="仿宋_GB2312" w:cs="仿宋_GB2312"/>
          <w:b w:val="0"/>
          <w:bCs w:val="0"/>
          <w:color w:val="000000"/>
          <w:sz w:val="32"/>
          <w:szCs w:val="32"/>
        </w:rPr>
        <w:t>改善人民的生活环境，有利于改善当地自然和人文环境，提高文化教育水平和当地人民卫生健康水平，使项目区大多数群众从中受益。项目所在地社会环境的互适性、人文条件满足项目的建设与可持续发展。</w:t>
      </w:r>
      <w:r>
        <w:rPr>
          <w:rFonts w:hint="eastAsia" w:ascii="仿宋_GB2312" w:hAnsi="仿宋_GB2312" w:eastAsia="仿宋_GB2312" w:cs="仿宋_GB2312"/>
          <w:b w:val="0"/>
          <w:bCs w:val="0"/>
          <w:color w:val="000000"/>
          <w:sz w:val="32"/>
          <w:szCs w:val="32"/>
          <w:lang w:eastAsia="zh-CN"/>
        </w:rPr>
        <w:t>受益人口数量</w:t>
      </w:r>
      <w:r>
        <w:rPr>
          <w:rFonts w:hint="eastAsia" w:ascii="仿宋_GB2312" w:hAnsi="仿宋_GB2312" w:eastAsia="仿宋_GB2312" w:cs="仿宋_GB2312"/>
          <w:b w:val="0"/>
          <w:bCs w:val="0"/>
          <w:color w:val="000000"/>
          <w:sz w:val="32"/>
          <w:szCs w:val="32"/>
          <w:lang w:val="en-US" w:eastAsia="zh-CN"/>
        </w:rPr>
        <w:t>5.7万人，当地建档立卡贫困户受益户数15户，</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4、</w:t>
      </w:r>
      <w:r>
        <w:rPr>
          <w:rStyle w:val="17"/>
          <w:rFonts w:hint="eastAsia" w:ascii="仿宋" w:hAnsi="仿宋" w:eastAsia="仿宋"/>
          <w:b w:val="0"/>
          <w:spacing w:val="-4"/>
          <w:sz w:val="32"/>
          <w:szCs w:val="32"/>
          <w:lang w:eastAsia="zh-CN"/>
        </w:rPr>
        <w:t>项目的可持续性：综上所述，加快江布拉克景区基础设施建设项目是加快城步旅游发展的迫切需要，也是加强城镇建设，丰定人们精神文化生活的需要，不仅有显著的经济效益，而且有长远的社会效益。项目环保率</w:t>
      </w:r>
      <w:r>
        <w:rPr>
          <w:rStyle w:val="17"/>
          <w:rFonts w:hint="eastAsia" w:ascii="仿宋" w:hAnsi="仿宋" w:eastAsia="仿宋"/>
          <w:b w:val="0"/>
          <w:spacing w:val="-4"/>
          <w:sz w:val="32"/>
          <w:szCs w:val="32"/>
          <w:lang w:val="en-US" w:eastAsia="zh-CN"/>
        </w:rPr>
        <w:t>100%，交通、餐饮、娱乐等受益行业收益水平逐年增加。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spacing w:val="-4"/>
          <w:sz w:val="32"/>
          <w:szCs w:val="32"/>
          <w:lang w:eastAsia="zh-CN"/>
        </w:rPr>
      </w:pPr>
      <w:r>
        <w:rPr>
          <w:rFonts w:hint="eastAsia" w:ascii="仿宋" w:hAnsi="仿宋" w:eastAsia="仿宋"/>
          <w:spacing w:val="-4"/>
          <w:sz w:val="32"/>
          <w:szCs w:val="32"/>
          <w:lang w:eastAsia="zh-CN"/>
        </w:rPr>
        <w:t>项目已完成。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1、整理本年度项目档案资料的收集与整理，按照一项目一卷的要求严格保管好项目资料。</w:t>
      </w:r>
    </w:p>
    <w:p>
      <w:p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2、继续完成基础设施建设项目中的其他2个项目，争取在2018年12月底之前完成验收工作，并收集好项目档案资料。</w:t>
      </w:r>
    </w:p>
    <w:p>
      <w:p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3、在后续工程质量、档案缺失等出现问题时，应及时与相关部门联系，采取措施，整改问题。</w:t>
      </w:r>
    </w:p>
    <w:p>
      <w:p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4、吸取经验做法，找出存在问题，在今后的项目工作中扬长避短。</w:t>
      </w:r>
      <w:bookmarkStart w:id="0" w:name="_GoBack"/>
      <w:bookmarkEnd w:id="0"/>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Fonts w:hint="eastAsia" w:ascii="仿宋_GB2312" w:eastAsia="仿宋_GB2312"/>
          <w:spacing w:val="-4"/>
          <w:sz w:val="32"/>
          <w:szCs w:val="32"/>
        </w:rPr>
      </w:pPr>
      <w:r>
        <w:rPr>
          <w:rFonts w:hint="eastAsia" w:ascii="仿宋_GB2312" w:eastAsia="仿宋_GB2312"/>
          <w:spacing w:val="-4"/>
          <w:sz w:val="32"/>
          <w:szCs w:val="32"/>
        </w:rPr>
        <w:t>我</w:t>
      </w:r>
      <w:r>
        <w:rPr>
          <w:rFonts w:hint="eastAsia" w:ascii="仿宋_GB2312" w:eastAsia="仿宋_GB2312"/>
          <w:spacing w:val="-4"/>
          <w:sz w:val="32"/>
          <w:szCs w:val="32"/>
          <w:lang w:eastAsia="zh-CN"/>
        </w:rPr>
        <w:t>单位</w:t>
      </w:r>
      <w:r>
        <w:rPr>
          <w:rFonts w:hint="eastAsia" w:ascii="仿宋_GB2312" w:eastAsia="仿宋_GB2312"/>
          <w:spacing w:val="-4"/>
          <w:sz w:val="32"/>
          <w:szCs w:val="32"/>
        </w:rPr>
        <w:t>2017年的项目资金分配合理，资金监管有力。群众对县党委、政府工作的安排与协调满意度很高。工程已完成验收工作，现已正式投入使用。</w:t>
      </w:r>
      <w:r>
        <w:rPr>
          <w:rFonts w:hint="eastAsia" w:ascii="仿宋_GB2312" w:hAnsi="仿宋_GB2312" w:eastAsia="仿宋_GB2312" w:cs="仿宋_GB2312"/>
          <w:b w:val="0"/>
          <w:bCs w:val="0"/>
          <w:color w:val="000000"/>
          <w:sz w:val="32"/>
          <w:szCs w:val="32"/>
          <w:lang w:eastAsia="zh-CN"/>
        </w:rPr>
        <w:t>该项目为景区服务设施的升级建设项目，这将促进提升项目区的市场知名度和旅游影响力，对于吸纳后期建设资金，以及经营性投资将产生积极作用。</w:t>
      </w:r>
    </w:p>
    <w:p>
      <w:pPr>
        <w:spacing w:line="540" w:lineRule="exact"/>
        <w:ind w:firstLine="624" w:firstLineChars="200"/>
        <w:rPr>
          <w:rFonts w:hint="eastAsia" w:ascii="仿宋_GB2312" w:eastAsia="仿宋_GB2312"/>
          <w:spacing w:val="-4"/>
          <w:sz w:val="32"/>
          <w:szCs w:val="32"/>
        </w:rPr>
      </w:pPr>
      <w:r>
        <w:rPr>
          <w:rFonts w:hint="eastAsia" w:ascii="仿宋_GB2312" w:eastAsia="仿宋_GB2312"/>
          <w:spacing w:val="-4"/>
          <w:sz w:val="32"/>
          <w:szCs w:val="32"/>
        </w:rPr>
        <w:t>存在的问题：由于县财政收入有限，该项目工程预算安排不能跟上项目工程进度。</w:t>
      </w:r>
    </w:p>
    <w:p>
      <w:pPr>
        <w:spacing w:line="540" w:lineRule="exact"/>
        <w:ind w:firstLine="624" w:firstLineChars="200"/>
        <w:rPr>
          <w:rFonts w:hint="eastAsia" w:ascii="仿宋_GB2312" w:eastAsia="仿宋_GB2312"/>
          <w:spacing w:val="-4"/>
          <w:sz w:val="32"/>
          <w:szCs w:val="32"/>
        </w:rPr>
      </w:pPr>
      <w:r>
        <w:rPr>
          <w:rFonts w:hint="eastAsia" w:ascii="仿宋_GB2312" w:eastAsia="仿宋_GB2312"/>
          <w:spacing w:val="-4"/>
          <w:sz w:val="32"/>
          <w:szCs w:val="32"/>
        </w:rPr>
        <w:t>改进措施及建议：拓宽资金来源，积极争取和用好上级部门的专项财政资金，发挥政府的导向作用，融合相关部门资金，并鼓励社会各界积极参与到奇台县</w:t>
      </w:r>
      <w:r>
        <w:rPr>
          <w:rFonts w:hint="eastAsia" w:ascii="仿宋_GB2312" w:eastAsia="仿宋_GB2312"/>
          <w:spacing w:val="-4"/>
          <w:sz w:val="32"/>
          <w:szCs w:val="32"/>
          <w:lang w:eastAsia="zh-CN"/>
        </w:rPr>
        <w:t>景区</w:t>
      </w:r>
      <w:r>
        <w:rPr>
          <w:rFonts w:hint="eastAsia" w:ascii="仿宋_GB2312" w:eastAsia="仿宋_GB2312"/>
          <w:spacing w:val="-4"/>
          <w:sz w:val="32"/>
          <w:szCs w:val="32"/>
        </w:rPr>
        <w:t>建设中去。</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_GB2312" w:eastAsia="仿宋_GB2312"/>
          <w:spacing w:val="-4"/>
          <w:sz w:val="32"/>
          <w:szCs w:val="32"/>
          <w:lang w:eastAsia="zh-CN"/>
        </w:rPr>
      </w:pPr>
      <w:r>
        <w:rPr>
          <w:rFonts w:hint="eastAsia" w:ascii="仿宋_GB2312" w:eastAsia="仿宋_GB2312"/>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ind w:firstLine="624" w:firstLineChars="200"/>
        <w:rPr>
          <w:rFonts w:hint="eastAsia" w:ascii="仿宋_GB2312" w:eastAsia="仿宋_GB2312"/>
          <w:spacing w:val="-4"/>
          <w:sz w:val="32"/>
          <w:szCs w:val="32"/>
        </w:rPr>
      </w:pPr>
      <w:r>
        <w:rPr>
          <w:rFonts w:hint="eastAsia" w:ascii="仿宋_GB2312" w:eastAsia="仿宋_GB2312"/>
          <w:spacing w:val="-4"/>
          <w:sz w:val="32"/>
          <w:szCs w:val="32"/>
        </w:rPr>
        <w:t>我</w:t>
      </w:r>
      <w:r>
        <w:rPr>
          <w:rFonts w:hint="eastAsia" w:ascii="仿宋_GB2312" w:eastAsia="仿宋_GB2312"/>
          <w:spacing w:val="-4"/>
          <w:sz w:val="32"/>
          <w:szCs w:val="32"/>
          <w:lang w:eastAsia="zh-CN"/>
        </w:rPr>
        <w:t>单位</w:t>
      </w:r>
      <w:r>
        <w:rPr>
          <w:rFonts w:hint="eastAsia" w:ascii="仿宋_GB2312" w:eastAsia="仿宋_GB2312"/>
          <w:spacing w:val="-4"/>
          <w:sz w:val="32"/>
          <w:szCs w:val="32"/>
        </w:rPr>
        <w:t>按照县财政局项目绩效评价规程要求，第一阶段为前期准备阶段：单位制定了详细的工作方案，明确责任，确定评价指标细则；第二阶段为自评阶段：根据上一阶段任务布置，以监理方及项目办日常监管资料为依据，按照要求展开自评工作，并将评价结果报财政局；第三阶段为定性终评阶段，根据评价结果并出具评价报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161"/>
        <w:gridCol w:w="1279"/>
        <w:gridCol w:w="761"/>
        <w:gridCol w:w="1980"/>
        <w:gridCol w:w="1979"/>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自治州财政项目支出绩效自评表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61"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279"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761"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9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979"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02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99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奇台县江布拉克景区基础设施建设项目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02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999"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奇台县江布拉克景区管理委员会</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3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0</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9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260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3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260</w:t>
            </w:r>
            <w:r>
              <w:rPr>
                <w:rFonts w:hint="eastAsia" w:ascii="宋体" w:hAnsi="宋体" w:cs="宋体"/>
                <w:kern w:val="0"/>
                <w:sz w:val="20"/>
                <w:szCs w:val="20"/>
              </w:rPr>
              <w:t>　</w:t>
            </w:r>
          </w:p>
        </w:tc>
        <w:tc>
          <w:tcPr>
            <w:tcW w:w="198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260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3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5.074</w:t>
            </w:r>
            <w:r>
              <w:rPr>
                <w:rFonts w:hint="eastAsia" w:ascii="宋体" w:hAnsi="宋体" w:cs="宋体"/>
                <w:kern w:val="0"/>
                <w:sz w:val="20"/>
                <w:szCs w:val="20"/>
              </w:rPr>
              <w:t>　</w:t>
            </w:r>
          </w:p>
        </w:tc>
        <w:tc>
          <w:tcPr>
            <w:tcW w:w="198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5.074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34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95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341"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hint="eastAsia" w:ascii="宋体" w:hAnsi="宋体" w:cs="宋体"/>
                <w:kern w:val="0"/>
                <w:sz w:val="20"/>
                <w:szCs w:val="20"/>
                <w:lang w:eastAsia="zh-CN"/>
              </w:rPr>
              <w:t>该项目为景区服务设施的升级建设项目，这将促进提升项目区的市场知名度和旅游影响力，对于吸纳后期建设资金，以及经营性投资将产生积极作用。</w:t>
            </w:r>
          </w:p>
        </w:tc>
        <w:tc>
          <w:tcPr>
            <w:tcW w:w="3959" w:type="dxa"/>
            <w:gridSpan w:val="2"/>
            <w:tcBorders>
              <w:top w:val="single" w:color="auto" w:sz="4" w:space="0"/>
              <w:left w:val="nil"/>
              <w:bottom w:val="single" w:color="auto" w:sz="4" w:space="0"/>
              <w:right w:val="single" w:color="000000" w:sz="4" w:space="0"/>
            </w:tcBorders>
            <w:shd w:val="clear" w:color="auto" w:fill="auto"/>
          </w:tcPr>
          <w:p>
            <w:pPr>
              <w:widowControl/>
              <w:ind w:firstLine="400" w:firstLineChars="200"/>
              <w:jc w:val="left"/>
              <w:rPr>
                <w:rFonts w:ascii="宋体" w:hAnsi="宋体" w:cs="宋体"/>
                <w:kern w:val="0"/>
                <w:sz w:val="20"/>
                <w:szCs w:val="20"/>
              </w:rPr>
            </w:pPr>
            <w:r>
              <w:rPr>
                <w:rFonts w:hint="eastAsia" w:ascii="宋体" w:hAnsi="宋体" w:cs="宋体"/>
                <w:kern w:val="0"/>
                <w:sz w:val="20"/>
                <w:szCs w:val="20"/>
                <w:lang w:eastAsia="zh-CN"/>
              </w:rPr>
              <w:t>该项目为景区服务设施的升级建设项目，这将促进提升项目区的市场知名度和旅游影响力，对于吸纳后期建设资金，以及经营性投资将产生积极作用。</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9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1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项目数量</w:t>
            </w:r>
          </w:p>
        </w:tc>
        <w:tc>
          <w:tcPr>
            <w:tcW w:w="1980" w:type="dxa"/>
            <w:tcBorders>
              <w:top w:val="nil"/>
              <w:left w:val="nil"/>
              <w:bottom w:val="single" w:color="auto" w:sz="4" w:space="0"/>
              <w:right w:val="single" w:color="auto" w:sz="4" w:space="0"/>
            </w:tcBorders>
            <w:shd w:val="clear" w:color="auto" w:fill="auto"/>
            <w:vAlign w:val="center"/>
          </w:tcPr>
          <w:p>
            <w:pPr>
              <w:widowControl/>
              <w:ind w:firstLine="400" w:firstLineChars="200"/>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3个</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3个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项目名称</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疏勒城、道路工程、给水工程</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疏勒城、道路工程、给水工程</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占地面积</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355亩</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355亩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建成需达到的标准</w:t>
            </w:r>
          </w:p>
        </w:tc>
        <w:tc>
          <w:tcPr>
            <w:tcW w:w="19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国家AAAAA级</w:t>
            </w:r>
          </w:p>
        </w:tc>
        <w:tc>
          <w:tcPr>
            <w:tcW w:w="19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国家AAAAA级</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验收合格率</w:t>
            </w:r>
          </w:p>
        </w:tc>
        <w:tc>
          <w:tcPr>
            <w:tcW w:w="19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9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9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项目开工年限</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2015年3月</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2015年3月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项目完工年限</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2018年12月</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2018年12月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项目完成及时率</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项目总投资</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5.1亿元</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5.1亿元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18"/>
                <w:szCs w:val="18"/>
                <w:lang w:eastAsia="zh-CN"/>
              </w:rPr>
              <w:t>财政拨款资金</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260万元</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260万元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其他资金</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5.074亿元</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5.074亿元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1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游客增加数</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33.2万人次</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33.2万人次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景区直接收入增加</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600万元/年</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600万元/年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旅游及相关行业收入增加</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37.58亿元/年</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37.58亿元/年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受益人口数量</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5.7万人</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5.7万人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当地建档立卡贫困户受益户数</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15户</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15户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交通、餐饮、娱乐等受益行业收益水平</w:t>
            </w:r>
          </w:p>
        </w:tc>
        <w:tc>
          <w:tcPr>
            <w:tcW w:w="19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逐年增加</w:t>
            </w:r>
          </w:p>
        </w:tc>
        <w:tc>
          <w:tcPr>
            <w:tcW w:w="1979"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cs="宋体"/>
                <w:kern w:val="0"/>
                <w:sz w:val="20"/>
                <w:szCs w:val="20"/>
              </w:rPr>
            </w:pPr>
            <w:r>
              <w:rPr>
                <w:rFonts w:hint="eastAsia" w:ascii="宋体" w:hAnsi="宋体" w:cs="宋体"/>
                <w:kern w:val="0"/>
                <w:sz w:val="20"/>
                <w:szCs w:val="20"/>
                <w:lang w:eastAsia="zh-CN"/>
              </w:rPr>
              <w:t>逐年增加</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改善森林、草地整洁度</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48平方公里</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48平方公里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景区整洁率提高</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50%</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30年</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30年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环保率</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城镇建设步伐</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逐年增加</w:t>
            </w:r>
          </w:p>
        </w:tc>
        <w:tc>
          <w:tcPr>
            <w:tcW w:w="197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逐年增加</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1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当地建档立卡贫困户满意度</w:t>
            </w:r>
          </w:p>
        </w:tc>
        <w:tc>
          <w:tcPr>
            <w:tcW w:w="1980" w:type="dxa"/>
            <w:tcBorders>
              <w:top w:val="nil"/>
              <w:left w:val="nil"/>
              <w:bottom w:val="single" w:color="auto" w:sz="4" w:space="0"/>
              <w:right w:val="single" w:color="auto" w:sz="4" w:space="0"/>
            </w:tcBorders>
            <w:shd w:val="clear" w:color="auto" w:fill="auto"/>
            <w:vAlign w:val="center"/>
          </w:tcPr>
          <w:p>
            <w:pPr>
              <w:widowControl/>
              <w:ind w:firstLine="200" w:firstLineChars="100"/>
              <w:jc w:val="both"/>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979" w:type="dxa"/>
            <w:tcBorders>
              <w:top w:val="nil"/>
              <w:left w:val="nil"/>
              <w:bottom w:val="single" w:color="auto" w:sz="4" w:space="0"/>
              <w:right w:val="single" w:color="auto" w:sz="4" w:space="0"/>
            </w:tcBorders>
            <w:shd w:val="clear" w:color="auto" w:fill="auto"/>
            <w:vAlign w:val="center"/>
          </w:tcPr>
          <w:p>
            <w:pPr>
              <w:widowControl/>
              <w:ind w:firstLine="200" w:firstLineChars="100"/>
              <w:jc w:val="both"/>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游客满意度</w:t>
            </w:r>
          </w:p>
        </w:tc>
        <w:tc>
          <w:tcPr>
            <w:tcW w:w="1980" w:type="dxa"/>
            <w:tcBorders>
              <w:top w:val="nil"/>
              <w:left w:val="nil"/>
              <w:bottom w:val="single" w:color="auto" w:sz="4" w:space="0"/>
              <w:right w:val="single" w:color="auto" w:sz="4" w:space="0"/>
            </w:tcBorders>
            <w:shd w:val="clear" w:color="auto" w:fill="auto"/>
            <w:vAlign w:val="center"/>
          </w:tcPr>
          <w:p>
            <w:pPr>
              <w:widowControl/>
              <w:ind w:firstLine="200" w:firstLineChars="100"/>
              <w:jc w:val="both"/>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979" w:type="dxa"/>
            <w:tcBorders>
              <w:top w:val="nil"/>
              <w:left w:val="nil"/>
              <w:bottom w:val="single" w:color="auto" w:sz="4" w:space="0"/>
              <w:right w:val="single" w:color="auto" w:sz="4" w:space="0"/>
            </w:tcBorders>
            <w:shd w:val="clear" w:color="auto" w:fill="auto"/>
            <w:vAlign w:val="center"/>
          </w:tcPr>
          <w:p>
            <w:pPr>
              <w:widowControl/>
              <w:ind w:firstLine="200" w:firstLineChars="100"/>
              <w:jc w:val="both"/>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6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旅行社满意度</w:t>
            </w:r>
          </w:p>
        </w:tc>
        <w:tc>
          <w:tcPr>
            <w:tcW w:w="1980" w:type="dxa"/>
            <w:tcBorders>
              <w:top w:val="nil"/>
              <w:left w:val="nil"/>
              <w:bottom w:val="single" w:color="auto" w:sz="4" w:space="0"/>
              <w:right w:val="single" w:color="auto" w:sz="4" w:space="0"/>
            </w:tcBorders>
            <w:shd w:val="clear" w:color="auto" w:fill="auto"/>
            <w:vAlign w:val="center"/>
          </w:tcPr>
          <w:p>
            <w:pPr>
              <w:widowControl/>
              <w:ind w:firstLine="200" w:firstLineChars="100"/>
              <w:jc w:val="both"/>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979" w:type="dxa"/>
            <w:tcBorders>
              <w:top w:val="nil"/>
              <w:left w:val="nil"/>
              <w:bottom w:val="single" w:color="auto" w:sz="4" w:space="0"/>
              <w:right w:val="single" w:color="auto" w:sz="4" w:space="0"/>
            </w:tcBorders>
            <w:shd w:val="clear" w:color="auto" w:fill="auto"/>
            <w:vAlign w:val="center"/>
          </w:tcPr>
          <w:p>
            <w:pPr>
              <w:widowControl/>
              <w:ind w:firstLine="200" w:firstLineChars="100"/>
              <w:jc w:val="both"/>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440F99"/>
    <w:multiLevelType w:val="singleLevel"/>
    <w:tmpl w:val="AD440F99"/>
    <w:lvl w:ilvl="0" w:tentative="0">
      <w:start w:val="1"/>
      <w:numFmt w:val="decimal"/>
      <w:suff w:val="nothing"/>
      <w:lvlText w:val="%1、"/>
      <w:lvlJc w:val="left"/>
    </w:lvl>
  </w:abstractNum>
  <w:abstractNum w:abstractNumId="1">
    <w:nsid w:val="DD170F67"/>
    <w:multiLevelType w:val="singleLevel"/>
    <w:tmpl w:val="DD170F67"/>
    <w:lvl w:ilvl="0" w:tentative="0">
      <w:start w:val="1"/>
      <w:numFmt w:val="decimal"/>
      <w:suff w:val="nothing"/>
      <w:lvlText w:val="%1、"/>
      <w:lvlJc w:val="left"/>
    </w:lvl>
  </w:abstractNum>
  <w:abstractNum w:abstractNumId="2">
    <w:nsid w:val="15E7437B"/>
    <w:multiLevelType w:val="singleLevel"/>
    <w:tmpl w:val="15E7437B"/>
    <w:lvl w:ilvl="0" w:tentative="0">
      <w:start w:val="1"/>
      <w:numFmt w:val="chineseCounting"/>
      <w:suff w:val="nothing"/>
      <w:lvlText w:val="%1、"/>
      <w:lvlJc w:val="left"/>
      <w:rPr>
        <w:rFonts w:hint="eastAsia"/>
      </w:rPr>
    </w:lvl>
  </w:abstractNum>
  <w:abstractNum w:abstractNumId="3">
    <w:nsid w:val="2F116222"/>
    <w:multiLevelType w:val="singleLevel"/>
    <w:tmpl w:val="2F116222"/>
    <w:lvl w:ilvl="0" w:tentative="0">
      <w:start w:val="1"/>
      <w:numFmt w:val="chineseCounting"/>
      <w:suff w:val="nothing"/>
      <w:lvlText w:val="（%1）"/>
      <w:lvlJc w:val="left"/>
      <w:rPr>
        <w:rFonts w:hint="eastAsia"/>
      </w:rPr>
    </w:lvl>
  </w:abstractNum>
  <w:abstractNum w:abstractNumId="4">
    <w:nsid w:val="768A6427"/>
    <w:multiLevelType w:val="singleLevel"/>
    <w:tmpl w:val="768A6427"/>
    <w:lvl w:ilvl="0" w:tentative="0">
      <w:start w:val="1"/>
      <w:numFmt w:val="decimal"/>
      <w:suff w:val="nothing"/>
      <w:lvlText w:val="%1、"/>
      <w:lvlJc w:val="left"/>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F086E1B"/>
    <w:rsid w:val="10315DDC"/>
    <w:rsid w:val="12070846"/>
    <w:rsid w:val="157701B0"/>
    <w:rsid w:val="25371CB0"/>
    <w:rsid w:val="3926741D"/>
    <w:rsid w:val="4BD214E6"/>
    <w:rsid w:val="4EE4662C"/>
    <w:rsid w:val="4FE76924"/>
    <w:rsid w:val="55132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49</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 ㄝ乜</cp:lastModifiedBy>
  <cp:lastPrinted>2019-01-13T12:20:00Z</cp:lastPrinted>
  <dcterms:modified xsi:type="dcterms:W3CDTF">2019-01-15T08:41:43Z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