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法律援助</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司法局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司法局</w:t>
      </w:r>
    </w:p>
    <w:p>
      <w:pPr>
        <w:keepNext w:val="0"/>
        <w:keepLines w:val="0"/>
        <w:pageBreakBefore w:val="0"/>
        <w:widowControl w:val="0"/>
        <w:kinsoku/>
        <w:wordWrap/>
        <w:overflowPunct/>
        <w:topLinePunct w:val="0"/>
        <w:autoSpaceDE/>
        <w:autoSpaceDN/>
        <w:bidi w:val="0"/>
        <w:adjustRightInd/>
        <w:snapToGrid/>
        <w:spacing w:line="700" w:lineRule="exact"/>
        <w:ind w:firstLine="849" w:firstLineChars="236"/>
        <w:jc w:val="left"/>
        <w:textAlignment w:val="auto"/>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佟根念</w:t>
      </w:r>
    </w:p>
    <w:p>
      <w:pPr>
        <w:keepNext w:val="0"/>
        <w:keepLines w:val="0"/>
        <w:pageBreakBefore w:val="0"/>
        <w:widowControl w:val="0"/>
        <w:kinsoku/>
        <w:wordWrap/>
        <w:overflowPunct/>
        <w:topLinePunct w:val="0"/>
        <w:autoSpaceDE/>
        <w:autoSpaceDN/>
        <w:bidi w:val="0"/>
        <w:adjustRightInd/>
        <w:snapToGrid/>
        <w:spacing w:line="700" w:lineRule="exact"/>
        <w:ind w:firstLine="849" w:firstLineChars="236"/>
        <w:jc w:val="left"/>
        <w:textAlignment w:val="auto"/>
        <w:rPr>
          <w:rStyle w:val="18"/>
          <w:rFonts w:ascii="黑体" w:hAnsi="黑体" w:eastAsia="黑体"/>
          <w:b w:val="0"/>
          <w:spacing w:val="-4"/>
          <w:sz w:val="32"/>
          <w:szCs w:val="32"/>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日</w:t>
      </w: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beforeLines="0" w:afterLines="0"/>
        <w:ind w:firstLine="624" w:firstLineChars="200"/>
        <w:jc w:val="left"/>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eastAsia="zh-CN"/>
        </w:rPr>
        <w:t>法律援助服务中心主要的工作职能是：一是解答法律咨询，在线或现场解答来访群众法律咨询问题；二是提供法律援助，对符合法律援助条件的来访人告知其应提供的相关申请材料，依法受理并提供法律援助；三是提供法律服务，对来访人要求提供法律服务的，根据来访人的要求和具体情况，介绍律师事务所、公证处、基层法律服务的联系方式和联系人；四是提供人名调解，对来访人请求人民调解的，联系指定基层司法所和专业人民调解委员会进行调解；五是接受投诉举报，对全县司法行政系统所有工作人员和法律服务人员的投诉举报，准确清晰的记录下来及时告知相关部门处理；六是上报社情民意，每月一次定期统计、分析群访关注的热点难点问题，及时报送局领导，开展“</w:t>
      </w:r>
      <w:r>
        <w:rPr>
          <w:rStyle w:val="18"/>
          <w:rFonts w:hint="eastAsia" w:ascii="仿宋" w:hAnsi="仿宋" w:eastAsia="仿宋"/>
          <w:b w:val="0"/>
          <w:spacing w:val="-4"/>
          <w:sz w:val="32"/>
          <w:szCs w:val="32"/>
          <w:highlight w:val="none"/>
          <w:lang w:val="en-US" w:eastAsia="zh-CN"/>
        </w:rPr>
        <w:t>12348</w:t>
      </w:r>
      <w:r>
        <w:rPr>
          <w:rStyle w:val="18"/>
          <w:rFonts w:hint="eastAsia" w:ascii="仿宋" w:hAnsi="仿宋" w:eastAsia="仿宋"/>
          <w:b w:val="0"/>
          <w:spacing w:val="-4"/>
          <w:sz w:val="32"/>
          <w:szCs w:val="32"/>
          <w:highlight w:val="none"/>
          <w:lang w:eastAsia="zh-CN"/>
        </w:rPr>
        <w:t>”发露咨询舆情分析工作。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beforeLines="0" w:afterLines="0"/>
        <w:ind w:firstLine="624" w:firstLineChars="200"/>
        <w:jc w:val="left"/>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eastAsia="zh-CN"/>
        </w:rPr>
        <w:t>法律援助经费项目资金是县级财政拨款，开展法律援助服务。主要用于</w:t>
      </w:r>
      <w:r>
        <w:rPr>
          <w:rStyle w:val="18"/>
          <w:rFonts w:hint="eastAsia" w:ascii="仿宋" w:hAnsi="仿宋" w:eastAsia="仿宋"/>
          <w:b w:val="0"/>
          <w:spacing w:val="-4"/>
          <w:sz w:val="32"/>
          <w:szCs w:val="32"/>
          <w:highlight w:val="none"/>
          <w:lang w:val="en-US" w:eastAsia="zh-CN"/>
        </w:rPr>
        <w:t>2017年</w:t>
      </w:r>
      <w:r>
        <w:rPr>
          <w:rStyle w:val="18"/>
          <w:rFonts w:hint="eastAsia" w:ascii="仿宋" w:hAnsi="仿宋" w:eastAsia="仿宋"/>
          <w:b w:val="0"/>
          <w:spacing w:val="-4"/>
          <w:sz w:val="32"/>
          <w:szCs w:val="32"/>
          <w:highlight w:val="none"/>
          <w:lang w:eastAsia="zh-CN"/>
        </w:rPr>
        <w:t>奇台县司法局法律援助受理项目，预计该项目</w:t>
      </w:r>
      <w:r>
        <w:rPr>
          <w:rStyle w:val="18"/>
          <w:rFonts w:hint="eastAsia" w:ascii="仿宋" w:hAnsi="仿宋" w:eastAsia="仿宋"/>
          <w:b w:val="0"/>
          <w:spacing w:val="-4"/>
          <w:sz w:val="32"/>
          <w:szCs w:val="32"/>
          <w:highlight w:val="none"/>
          <w:lang w:val="en-US" w:eastAsia="zh-CN"/>
        </w:rPr>
        <w:t>2017年1月起实施，12月底该项目按期完成，该项目是我县对符合法律援助条件的来访人告知其应提供的相关申请材料，依法受理并提供法律援助，法律援助是一项扶助贫弱、保障社会弱势群体合法权益的社会公益事业，同时也是中国实践</w:t>
      </w:r>
      <w:r>
        <w:rPr>
          <w:rStyle w:val="18"/>
          <w:rFonts w:hint="eastAsia" w:ascii="仿宋" w:hAnsi="仿宋" w:eastAsia="仿宋"/>
          <w:b w:val="0"/>
          <w:spacing w:val="-4"/>
          <w:sz w:val="32"/>
          <w:szCs w:val="32"/>
          <w:highlight w:val="none"/>
          <w:lang w:val="en-US" w:eastAsia="zh-CN"/>
        </w:rPr>
        <w:fldChar w:fldCharType="begin"/>
      </w:r>
      <w:r>
        <w:rPr>
          <w:rStyle w:val="18"/>
          <w:rFonts w:hint="eastAsia" w:ascii="仿宋" w:hAnsi="仿宋" w:eastAsia="仿宋"/>
          <w:b w:val="0"/>
          <w:spacing w:val="-4"/>
          <w:sz w:val="32"/>
          <w:szCs w:val="32"/>
          <w:highlight w:val="none"/>
          <w:lang w:val="en-US" w:eastAsia="zh-CN"/>
        </w:rPr>
        <w:instrText xml:space="preserve"> HYPERLINK "https://baike.sogou.com/lemma/ShowInnerLink.htm?lemmaId=75861154&amp;ss_c=ssc.citiao.link" \t "https://baike.sogou.com/_blank" </w:instrText>
      </w:r>
      <w:r>
        <w:rPr>
          <w:rStyle w:val="18"/>
          <w:rFonts w:hint="eastAsia" w:ascii="仿宋" w:hAnsi="仿宋" w:eastAsia="仿宋"/>
          <w:b w:val="0"/>
          <w:spacing w:val="-4"/>
          <w:sz w:val="32"/>
          <w:szCs w:val="32"/>
          <w:highlight w:val="none"/>
          <w:lang w:val="en-US" w:eastAsia="zh-CN"/>
        </w:rPr>
        <w:fldChar w:fldCharType="separate"/>
      </w:r>
      <w:r>
        <w:rPr>
          <w:rStyle w:val="18"/>
          <w:rFonts w:hint="eastAsia" w:ascii="仿宋" w:hAnsi="仿宋" w:eastAsia="仿宋"/>
          <w:b w:val="0"/>
          <w:spacing w:val="-4"/>
          <w:sz w:val="32"/>
          <w:szCs w:val="32"/>
          <w:highlight w:val="none"/>
          <w:lang w:val="en-US" w:eastAsia="zh-CN"/>
        </w:rPr>
        <w:t>依法治国方略</w:t>
      </w:r>
      <w:r>
        <w:rPr>
          <w:rStyle w:val="18"/>
          <w:rFonts w:hint="eastAsia" w:ascii="仿宋" w:hAnsi="仿宋" w:eastAsia="仿宋"/>
          <w:b w:val="0"/>
          <w:spacing w:val="-4"/>
          <w:sz w:val="32"/>
          <w:szCs w:val="32"/>
          <w:highlight w:val="none"/>
          <w:lang w:val="en-US" w:eastAsia="zh-CN"/>
        </w:rPr>
        <w:fldChar w:fldCharType="end"/>
      </w:r>
      <w:r>
        <w:rPr>
          <w:rStyle w:val="18"/>
          <w:rFonts w:hint="eastAsia" w:ascii="仿宋" w:hAnsi="仿宋" w:eastAsia="仿宋"/>
          <w:b w:val="0"/>
          <w:spacing w:val="-4"/>
          <w:sz w:val="32"/>
          <w:szCs w:val="32"/>
          <w:highlight w:val="none"/>
          <w:lang w:val="en-US" w:eastAsia="zh-CN"/>
        </w:rPr>
        <w:t>，</w:t>
      </w:r>
      <w:r>
        <w:rPr>
          <w:rStyle w:val="18"/>
          <w:rFonts w:hint="eastAsia" w:ascii="仿宋" w:hAnsi="仿宋" w:eastAsia="仿宋"/>
          <w:b w:val="0"/>
          <w:spacing w:val="-4"/>
          <w:sz w:val="32"/>
          <w:szCs w:val="32"/>
          <w:highlight w:val="none"/>
          <w:lang w:val="en-US" w:eastAsia="zh-CN"/>
        </w:rPr>
        <w:fldChar w:fldCharType="begin"/>
      </w:r>
      <w:r>
        <w:rPr>
          <w:rStyle w:val="18"/>
          <w:rFonts w:hint="eastAsia" w:ascii="仿宋" w:hAnsi="仿宋" w:eastAsia="仿宋"/>
          <w:b w:val="0"/>
          <w:spacing w:val="-4"/>
          <w:sz w:val="32"/>
          <w:szCs w:val="32"/>
          <w:highlight w:val="none"/>
          <w:lang w:val="en-US" w:eastAsia="zh-CN"/>
        </w:rPr>
        <w:instrText xml:space="preserve"> HYPERLINK "https://baike.sogou.com/lemma/ShowInnerLink.htm?lemmaId=2476419&amp;ss_c=ssc.citiao.link" \t "https://baike.sogou.com/_blank" </w:instrText>
      </w:r>
      <w:r>
        <w:rPr>
          <w:rStyle w:val="18"/>
          <w:rFonts w:hint="eastAsia" w:ascii="仿宋" w:hAnsi="仿宋" w:eastAsia="仿宋"/>
          <w:b w:val="0"/>
          <w:spacing w:val="-4"/>
          <w:sz w:val="32"/>
          <w:szCs w:val="32"/>
          <w:highlight w:val="none"/>
          <w:lang w:val="en-US" w:eastAsia="zh-CN"/>
        </w:rPr>
        <w:fldChar w:fldCharType="separate"/>
      </w:r>
      <w:r>
        <w:rPr>
          <w:rStyle w:val="18"/>
          <w:rFonts w:hint="eastAsia" w:ascii="仿宋" w:hAnsi="仿宋" w:eastAsia="仿宋"/>
          <w:b w:val="0"/>
          <w:spacing w:val="-4"/>
          <w:sz w:val="32"/>
          <w:szCs w:val="32"/>
          <w:highlight w:val="none"/>
          <w:lang w:val="en-US" w:eastAsia="zh-CN"/>
        </w:rPr>
        <w:t>全面建设小康社会</w:t>
      </w:r>
      <w:r>
        <w:rPr>
          <w:rStyle w:val="18"/>
          <w:rFonts w:hint="eastAsia" w:ascii="仿宋" w:hAnsi="仿宋" w:eastAsia="仿宋"/>
          <w:b w:val="0"/>
          <w:spacing w:val="-4"/>
          <w:sz w:val="32"/>
          <w:szCs w:val="32"/>
          <w:highlight w:val="none"/>
          <w:lang w:val="en-US" w:eastAsia="zh-CN"/>
        </w:rPr>
        <w:fldChar w:fldCharType="end"/>
      </w:r>
      <w:r>
        <w:rPr>
          <w:rStyle w:val="18"/>
          <w:rFonts w:hint="eastAsia" w:ascii="仿宋" w:hAnsi="仿宋" w:eastAsia="仿宋"/>
          <w:b w:val="0"/>
          <w:spacing w:val="-4"/>
          <w:sz w:val="32"/>
          <w:szCs w:val="32"/>
          <w:highlight w:val="none"/>
          <w:lang w:val="en-US" w:eastAsia="zh-CN"/>
        </w:rPr>
        <w:t>的重要举措。</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eastAsia="zh-CN"/>
        </w:rPr>
        <w:t>法律援助项目资金用于</w:t>
      </w:r>
      <w:r>
        <w:rPr>
          <w:rStyle w:val="18"/>
          <w:rFonts w:hint="eastAsia" w:ascii="仿宋" w:hAnsi="仿宋" w:eastAsia="仿宋"/>
          <w:b w:val="0"/>
          <w:spacing w:val="-4"/>
          <w:sz w:val="32"/>
          <w:szCs w:val="32"/>
          <w:highlight w:val="none"/>
          <w:lang w:val="en-US" w:eastAsia="zh-CN"/>
        </w:rPr>
        <w:t>对符合法律援助条件的来访人告知其应提供的相关申请材料，依法受理并提供法律援助，</w:t>
      </w:r>
      <w:r>
        <w:rPr>
          <w:rStyle w:val="18"/>
          <w:rFonts w:hint="eastAsia" w:ascii="仿宋" w:hAnsi="仿宋" w:eastAsia="仿宋"/>
          <w:b w:val="0"/>
          <w:spacing w:val="-4"/>
          <w:sz w:val="32"/>
          <w:szCs w:val="32"/>
          <w:highlight w:val="none"/>
          <w:lang w:eastAsia="zh-CN"/>
        </w:rPr>
        <w:t>该项目总投入</w:t>
      </w:r>
      <w:r>
        <w:rPr>
          <w:rStyle w:val="18"/>
          <w:rFonts w:hint="eastAsia" w:ascii="仿宋" w:hAnsi="仿宋" w:eastAsia="仿宋"/>
          <w:b w:val="0"/>
          <w:spacing w:val="-4"/>
          <w:sz w:val="32"/>
          <w:szCs w:val="32"/>
          <w:highlight w:val="none"/>
          <w:lang w:val="en-US" w:eastAsia="zh-CN"/>
        </w:rPr>
        <w:t>16万元，其中上级财政拨款安排16万元。</w:t>
      </w:r>
    </w:p>
    <w:p>
      <w:pPr>
        <w:numPr>
          <w:ilvl w:val="0"/>
          <w:numId w:val="1"/>
        </w:num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项目资金实际使用情况分析</w:t>
      </w:r>
    </w:p>
    <w:p>
      <w:pPr>
        <w:numPr>
          <w:ilvl w:val="0"/>
          <w:numId w:val="0"/>
        </w:num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eastAsia="zh-CN"/>
        </w:rPr>
        <w:t>该项目使用财政资金</w:t>
      </w:r>
      <w:r>
        <w:rPr>
          <w:rStyle w:val="18"/>
          <w:rFonts w:hint="eastAsia" w:ascii="仿宋" w:hAnsi="仿宋" w:eastAsia="仿宋"/>
          <w:b w:val="0"/>
          <w:spacing w:val="-4"/>
          <w:sz w:val="32"/>
          <w:szCs w:val="32"/>
          <w:highlight w:val="none"/>
          <w:lang w:val="en-US" w:eastAsia="zh-CN"/>
        </w:rPr>
        <w:t>16万元，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1、制定法律援助经费专项资金管理暂行办法</w:t>
      </w:r>
    </w:p>
    <w:p>
      <w:pPr>
        <w:spacing w:line="540" w:lineRule="exact"/>
        <w:ind w:firstLine="624" w:firstLineChars="200"/>
        <w:rPr>
          <w:rStyle w:val="18"/>
          <w:rFonts w:hint="eastAsia" w:ascii="仿宋" w:hAnsi="仿宋" w:eastAsia="仿宋"/>
          <w:b w:val="0"/>
          <w:spacing w:val="-4"/>
          <w:sz w:val="32"/>
          <w:szCs w:val="32"/>
          <w:highlight w:val="yellow"/>
          <w:lang w:eastAsia="zh-CN"/>
        </w:rPr>
      </w:pPr>
      <w:r>
        <w:rPr>
          <w:rStyle w:val="18"/>
          <w:rFonts w:hint="eastAsia" w:ascii="仿宋" w:hAnsi="仿宋" w:eastAsia="仿宋"/>
          <w:b w:val="0"/>
          <w:spacing w:val="-4"/>
          <w:sz w:val="32"/>
          <w:szCs w:val="32"/>
          <w:highlight w:val="none"/>
          <w:lang w:val="en-US" w:eastAsia="zh-CN"/>
        </w:rPr>
        <w:t>2、制定法律援助经费工作绩效考核暂行办法及绩效考核评分细则。</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eastAsia="zh-CN"/>
        </w:rPr>
        <w:t>法律援助经费主要是开展法律服务，一般不需要进行项目投标，利用律师参与政府信访接待，为困难群众现场提供咨询、代书等法律援助服务。建立了每日值班接待制度，实行窗口文明用语，规范服务，做到来有迎声，问有答声，走有送声，通过一张笑脸，一杯茶，一张椅子，一席话，使来访群众感到舒心、放心，使他们抱着希望来，带着满意走。到目前为止，窗口服务满意度达</w:t>
      </w:r>
      <w:r>
        <w:rPr>
          <w:rStyle w:val="18"/>
          <w:rFonts w:hint="eastAsia" w:ascii="仿宋" w:hAnsi="仿宋" w:eastAsia="仿宋"/>
          <w:b w:val="0"/>
          <w:spacing w:val="-4"/>
          <w:sz w:val="32"/>
          <w:szCs w:val="32"/>
          <w:highlight w:val="none"/>
          <w:lang w:val="en-US" w:eastAsia="zh-CN"/>
        </w:rPr>
        <w:t>100%，实现了零投诉。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hint="eastAsia" w:ascii="仿宋" w:hAnsi="仿宋" w:eastAsia="仿宋"/>
          <w:b w:val="0"/>
          <w:spacing w:val="-4"/>
          <w:sz w:val="32"/>
          <w:szCs w:val="32"/>
          <w:highlight w:val="yellow"/>
          <w:lang w:val="en-US" w:eastAsia="zh-CN"/>
        </w:rPr>
      </w:pPr>
      <w:r>
        <w:rPr>
          <w:rStyle w:val="18"/>
          <w:rFonts w:hint="eastAsia" w:ascii="仿宋" w:hAnsi="仿宋" w:eastAsia="仿宋"/>
          <w:b w:val="0"/>
          <w:spacing w:val="-4"/>
          <w:sz w:val="32"/>
          <w:szCs w:val="32"/>
          <w:highlight w:val="none"/>
          <w:lang w:eastAsia="zh-CN"/>
        </w:rPr>
        <w:t>一是完善案件流程管理制度，从申请、审查、受理、指派、办案到归档建立工作标准和操作规程，严格按照《条例》规定的条件和范围，同时遵循亲民、便民、效率的原则，使符合援助条件的人做到应援尽援。二是建立办案监督制度，通过重点案件跟踪、一般案件抽查、派员出庭听审、征求受援人及主办检察官、法官意见等方法，掌握办案质量情况，发现问题及时纠正。三是坚持援助案件指派到所，法律援助是政府行为，所有办案人员都必须对受援人、对政府绝对负责。四是建立案件责任追究制度，对涉及法律援助办案质量的群众投诉要认真一查到底。</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64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eastAsia="zh-CN"/>
        </w:rPr>
        <w:t>认真制定了</w:t>
      </w:r>
      <w:r>
        <w:rPr>
          <w:rStyle w:val="18"/>
          <w:rFonts w:hint="eastAsia" w:ascii="仿宋" w:hAnsi="仿宋" w:eastAsia="仿宋"/>
          <w:b w:val="0"/>
          <w:spacing w:val="-4"/>
          <w:sz w:val="32"/>
          <w:szCs w:val="32"/>
          <w:highlight w:val="none"/>
          <w:lang w:val="en-US" w:eastAsia="zh-CN"/>
        </w:rPr>
        <w:t>2017年法律援助为民办事项目的实施方案，将法律援助任务进行了分解，明确了责任人，并纳入年底目标管理考核项目，继续将法律援助作为今年司法行政工作的重点，建立了局领导法律援助咨询接待日制度，招聘专门人员负责法律援助的咨询接待工作，推行六项便民服务措施，充分调动法律服务人员的积极性。切实加强质量建设，确保困难群众的合法利益得到有效维护。</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eastAsia="zh-CN"/>
        </w:rPr>
        <w:t>加强质量控制，实现应援优援</w:t>
      </w:r>
    </w:p>
    <w:p>
      <w:pPr>
        <w:spacing w:line="540" w:lineRule="exact"/>
        <w:ind w:firstLine="64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eastAsia="zh-CN"/>
        </w:rPr>
        <w:t>质量是法律援助工作的生命，我们将在现有的基础上坚持不懈抓质量。</w:t>
      </w:r>
    </w:p>
    <w:p>
      <w:pPr>
        <w:spacing w:line="540" w:lineRule="exact"/>
        <w:ind w:firstLine="64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eastAsia="zh-CN"/>
        </w:rPr>
        <w:t>1.关口前移，建立案件受理优配制。加强对专职援助律师培训，为每一名律师有所侧重的确定一个研究方向，指派案件时，充分考虑法律工作者的业务专长、执业水平及履行义务量，将法律援助义务与自愿相结合，做到合理分配、有的放矢。一是开通申请法律援助“绿色通道”，授权法律服务机构代理申请法律援助，方便群众就近获得法律援助；二是实施“点援制”，建立“执业律师、法律服务工作者法律援助信息库”，由受援人挑选自己满意的法律工作者为其提供法律援助服务。</w:t>
      </w:r>
    </w:p>
    <w:p>
      <w:pPr>
        <w:spacing w:line="540" w:lineRule="exact"/>
        <w:ind w:firstLine="64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eastAsia="zh-CN"/>
        </w:rPr>
        <w:t>2.全程跟踪，建立案件办理质量监控制。通过“三三五”模式加大对援助案件的流程管理。即落实“三项制度”——“首问负责制、服务承诺制、限时办结制”；加强“三个环节”监控，对援助前、援助中、援助后等三个环节加强办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4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eastAsia="zh-CN"/>
        </w:rPr>
        <w:t>法律援助经费是经济困难群众获得法律援助的重要保障，是法律援助机构履行职责的重要条件。对加强法律援助机构建设，提高法律援助服务质量和效率，推动法律援助事业又好又快发展具有重要作用。为了进一步增强法律援助经费保障能力和使用监督，切实加强法律援助经费保障工作，建立办案补贴标准动态调整机制，规范法律援助经费的使用管理，建立监督检查制度，建立绩效考评制度，严格责任追究。</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40"/>
        <w:rPr>
          <w:rStyle w:val="18"/>
          <w:rFonts w:hint="eastAsia" w:ascii="仿宋" w:hAnsi="仿宋" w:eastAsia="仿宋"/>
          <w:b w:val="0"/>
          <w:spacing w:val="-4"/>
          <w:sz w:val="32"/>
          <w:szCs w:val="32"/>
          <w:highlight w:val="none"/>
          <w:lang w:eastAsia="zh-CN"/>
        </w:rPr>
      </w:pPr>
    </w:p>
    <w:tbl>
      <w:tblPr>
        <w:tblW w:w="866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1244"/>
        <w:gridCol w:w="1050"/>
        <w:gridCol w:w="1005"/>
        <w:gridCol w:w="1035"/>
        <w:gridCol w:w="1095"/>
        <w:gridCol w:w="1170"/>
        <w:gridCol w:w="1125"/>
        <w:gridCol w:w="9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690" w:hRule="atLeast"/>
        </w:trPr>
        <w:tc>
          <w:tcPr>
            <w:tcW w:w="7724" w:type="dxa"/>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仿宋" w:hAnsi="仿宋" w:eastAsia="仿宋" w:cs="仿宋"/>
                <w:b/>
                <w:i w:val="0"/>
                <w:color w:val="000000"/>
                <w:sz w:val="24"/>
                <w:szCs w:val="24"/>
                <w:u w:val="none"/>
              </w:rPr>
            </w:pPr>
            <w:r>
              <w:rPr>
                <w:rFonts w:hint="default" w:ascii="仿宋" w:hAnsi="仿宋" w:eastAsia="仿宋" w:cs="仿宋"/>
                <w:b/>
                <w:i w:val="0"/>
                <w:color w:val="000000"/>
                <w:kern w:val="0"/>
                <w:sz w:val="24"/>
                <w:szCs w:val="24"/>
                <w:u w:val="none"/>
                <w:lang w:val="en-US" w:eastAsia="zh-CN" w:bidi="ar"/>
              </w:rPr>
              <w:t>绩效评价结果</w:t>
            </w:r>
          </w:p>
        </w:tc>
        <w:tc>
          <w:tcPr>
            <w:tcW w:w="94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 w:hAnsi="仿宋" w:eastAsia="仿宋" w:cs="仿宋"/>
                <w:b/>
                <w:i w:val="0"/>
                <w:color w:val="000000"/>
                <w:sz w:val="24"/>
                <w:szCs w:val="24"/>
                <w:u w:val="none"/>
              </w:rPr>
            </w:pPr>
            <w:r>
              <w:rPr>
                <w:rFonts w:hint="default" w:ascii="仿宋" w:hAnsi="仿宋" w:eastAsia="仿宋" w:cs="仿宋"/>
                <w:b/>
                <w:i w:val="0"/>
                <w:color w:val="000000"/>
                <w:kern w:val="0"/>
                <w:sz w:val="24"/>
                <w:szCs w:val="24"/>
                <w:u w:val="none"/>
                <w:lang w:val="en-US" w:eastAsia="zh-CN" w:bidi="ar"/>
              </w:rPr>
              <w:t>总分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124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rPr>
            </w:pPr>
            <w:r>
              <w:rPr>
                <w:rFonts w:hint="default" w:ascii="仿宋" w:hAnsi="仿宋" w:eastAsia="仿宋" w:cs="仿宋"/>
                <w:b/>
                <w:i w:val="0"/>
                <w:color w:val="000000"/>
                <w:kern w:val="0"/>
                <w:sz w:val="20"/>
                <w:szCs w:val="20"/>
                <w:u w:val="none"/>
                <w:lang w:val="en-US" w:eastAsia="zh-CN" w:bidi="ar"/>
              </w:rPr>
              <w:t>格式符合要求内容完整规范（10分）</w:t>
            </w:r>
          </w:p>
        </w:tc>
        <w:tc>
          <w:tcPr>
            <w:tcW w:w="10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rPr>
            </w:pPr>
            <w:r>
              <w:rPr>
                <w:rFonts w:hint="default" w:ascii="仿宋" w:hAnsi="仿宋" w:eastAsia="仿宋" w:cs="仿宋"/>
                <w:b/>
                <w:i w:val="0"/>
                <w:color w:val="000000"/>
                <w:kern w:val="0"/>
                <w:sz w:val="20"/>
                <w:szCs w:val="20"/>
                <w:u w:val="none"/>
                <w:lang w:val="en-US" w:eastAsia="zh-CN" w:bidi="ar"/>
              </w:rPr>
              <w:t xml:space="preserve">资金使用管理情况（20分） </w:t>
            </w:r>
          </w:p>
        </w:tc>
        <w:tc>
          <w:tcPr>
            <w:tcW w:w="100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rPr>
            </w:pPr>
            <w:r>
              <w:rPr>
                <w:rFonts w:hint="default" w:ascii="仿宋" w:hAnsi="仿宋" w:eastAsia="仿宋" w:cs="仿宋"/>
                <w:b/>
                <w:i w:val="0"/>
                <w:color w:val="000000"/>
                <w:kern w:val="0"/>
                <w:sz w:val="20"/>
                <w:szCs w:val="20"/>
                <w:u w:val="none"/>
                <w:lang w:val="en-US" w:eastAsia="zh-CN" w:bidi="ar"/>
              </w:rPr>
              <w:t xml:space="preserve">项目组织实施情况（15分） </w:t>
            </w:r>
          </w:p>
        </w:tc>
        <w:tc>
          <w:tcPr>
            <w:tcW w:w="103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rPr>
            </w:pPr>
            <w:r>
              <w:rPr>
                <w:rFonts w:hint="default" w:ascii="仿宋" w:hAnsi="仿宋" w:eastAsia="仿宋" w:cs="仿宋"/>
                <w:b/>
                <w:i w:val="0"/>
                <w:color w:val="000000"/>
                <w:kern w:val="0"/>
                <w:sz w:val="20"/>
                <w:szCs w:val="20"/>
                <w:u w:val="none"/>
                <w:lang w:val="en-US" w:eastAsia="zh-CN" w:bidi="ar"/>
              </w:rPr>
              <w:t>项目绩效情况（30分）</w:t>
            </w:r>
          </w:p>
        </w:tc>
        <w:tc>
          <w:tcPr>
            <w:tcW w:w="10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rPr>
            </w:pPr>
            <w:r>
              <w:rPr>
                <w:rFonts w:hint="default" w:ascii="仿宋" w:hAnsi="仿宋" w:eastAsia="仿宋" w:cs="仿宋"/>
                <w:b/>
                <w:i w:val="0"/>
                <w:color w:val="000000"/>
                <w:kern w:val="0"/>
                <w:sz w:val="20"/>
                <w:szCs w:val="20"/>
                <w:u w:val="none"/>
                <w:lang w:val="en-US" w:eastAsia="zh-CN" w:bidi="ar"/>
              </w:rPr>
              <w:t>未完成原因分析（10分）</w:t>
            </w:r>
          </w:p>
        </w:tc>
        <w:tc>
          <w:tcPr>
            <w:tcW w:w="117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rPr>
            </w:pPr>
            <w:r>
              <w:rPr>
                <w:rFonts w:hint="default" w:ascii="仿宋" w:hAnsi="仿宋" w:eastAsia="仿宋" w:cs="仿宋"/>
                <w:b/>
                <w:i w:val="0"/>
                <w:color w:val="000000"/>
                <w:kern w:val="0"/>
                <w:sz w:val="20"/>
                <w:szCs w:val="20"/>
                <w:u w:val="none"/>
                <w:lang w:val="en-US" w:eastAsia="zh-CN" w:bidi="ar"/>
              </w:rPr>
              <w:t>工作建议（10分）</w:t>
            </w:r>
          </w:p>
        </w:tc>
        <w:tc>
          <w:tcPr>
            <w:tcW w:w="112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rPr>
            </w:pPr>
            <w:r>
              <w:rPr>
                <w:rFonts w:hint="default" w:ascii="仿宋" w:hAnsi="仿宋" w:eastAsia="仿宋" w:cs="仿宋"/>
                <w:b/>
                <w:i w:val="0"/>
                <w:color w:val="000000"/>
                <w:kern w:val="0"/>
                <w:sz w:val="20"/>
                <w:szCs w:val="20"/>
                <w:u w:val="none"/>
                <w:lang w:val="en-US" w:eastAsia="zh-CN" w:bidi="ar"/>
              </w:rPr>
              <w:t xml:space="preserve">按时报送（5分） </w:t>
            </w:r>
          </w:p>
        </w:tc>
        <w:tc>
          <w:tcPr>
            <w:tcW w:w="94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 w:hAnsi="仿宋" w:eastAsia="仿宋" w:cs="仿宋"/>
                <w:b/>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06" w:hRule="atLeast"/>
        </w:trPr>
        <w:tc>
          <w:tcPr>
            <w:tcW w:w="12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 w:hAnsi="仿宋" w:eastAsia="仿宋" w:cs="仿宋"/>
                <w:b/>
                <w:i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 w:hAnsi="仿宋" w:eastAsia="仿宋" w:cs="仿宋"/>
                <w:b/>
                <w:i w:val="0"/>
                <w:color w:val="000000"/>
                <w:sz w:val="20"/>
                <w:szCs w:val="20"/>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 w:hAnsi="仿宋" w:eastAsia="仿宋" w:cs="仿宋"/>
                <w:b/>
                <w:i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 w:hAnsi="仿宋" w:eastAsia="仿宋" w:cs="仿宋"/>
                <w:b/>
                <w:i w:val="0"/>
                <w:color w:val="000000"/>
                <w:sz w:val="20"/>
                <w:szCs w:val="20"/>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 w:hAnsi="仿宋" w:eastAsia="仿宋" w:cs="仿宋"/>
                <w:b/>
                <w:i w:val="0"/>
                <w:color w:val="000000"/>
                <w:sz w:val="20"/>
                <w:szCs w:val="20"/>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 w:hAnsi="仿宋" w:eastAsia="仿宋" w:cs="仿宋"/>
                <w:b/>
                <w:i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 w:hAnsi="仿宋" w:eastAsia="仿宋" w:cs="仿宋"/>
                <w:b/>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 w:hAnsi="仿宋" w:eastAsia="仿宋" w:cs="仿宋"/>
                <w:b/>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12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 w:hAnsi="仿宋" w:eastAsia="仿宋" w:cs="仿宋"/>
                <w:i w:val="0"/>
                <w:color w:val="000000"/>
                <w:sz w:val="24"/>
                <w:szCs w:val="24"/>
                <w:u w:val="none"/>
              </w:rPr>
            </w:pPr>
            <w:r>
              <w:rPr>
                <w:rFonts w:hint="default" w:ascii="仿宋" w:hAnsi="仿宋" w:eastAsia="仿宋" w:cs="仿宋"/>
                <w:i w:val="0"/>
                <w:color w:val="000000"/>
                <w:kern w:val="0"/>
                <w:sz w:val="24"/>
                <w:szCs w:val="24"/>
                <w:u w:val="none"/>
                <w:lang w:val="en-US" w:eastAsia="zh-CN" w:bidi="ar"/>
              </w:rPr>
              <w:t>9</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 w:hAnsi="仿宋" w:eastAsia="仿宋" w:cs="仿宋"/>
                <w:i w:val="0"/>
                <w:color w:val="000000"/>
                <w:sz w:val="24"/>
                <w:szCs w:val="24"/>
                <w:u w:val="none"/>
              </w:rPr>
            </w:pPr>
            <w:r>
              <w:rPr>
                <w:rFonts w:hint="default" w:ascii="仿宋" w:hAnsi="仿宋" w:eastAsia="仿宋" w:cs="仿宋"/>
                <w:i w:val="0"/>
                <w:color w:val="000000"/>
                <w:kern w:val="0"/>
                <w:sz w:val="24"/>
                <w:szCs w:val="24"/>
                <w:u w:val="none"/>
                <w:lang w:val="en-US" w:eastAsia="zh-CN" w:bidi="ar"/>
              </w:rPr>
              <w:t>20</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 w:hAnsi="仿宋" w:eastAsia="仿宋" w:cs="仿宋"/>
                <w:i w:val="0"/>
                <w:color w:val="000000"/>
                <w:sz w:val="24"/>
                <w:szCs w:val="24"/>
                <w:u w:val="none"/>
              </w:rPr>
            </w:pPr>
            <w:r>
              <w:rPr>
                <w:rFonts w:hint="default" w:ascii="仿宋" w:hAnsi="仿宋" w:eastAsia="仿宋" w:cs="仿宋"/>
                <w:i w:val="0"/>
                <w:color w:val="000000"/>
                <w:kern w:val="0"/>
                <w:sz w:val="24"/>
                <w:szCs w:val="24"/>
                <w:u w:val="none"/>
                <w:lang w:val="en-US" w:eastAsia="zh-CN" w:bidi="ar"/>
              </w:rPr>
              <w:t>13</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 w:hAnsi="仿宋" w:eastAsia="仿宋" w:cs="仿宋"/>
                <w:i w:val="0"/>
                <w:color w:val="000000"/>
                <w:sz w:val="24"/>
                <w:szCs w:val="24"/>
                <w:u w:val="none"/>
              </w:rPr>
            </w:pPr>
            <w:r>
              <w:rPr>
                <w:rFonts w:hint="default" w:ascii="仿宋" w:hAnsi="仿宋" w:eastAsia="仿宋" w:cs="仿宋"/>
                <w:i w:val="0"/>
                <w:color w:val="000000"/>
                <w:kern w:val="0"/>
                <w:sz w:val="24"/>
                <w:szCs w:val="24"/>
                <w:u w:val="none"/>
                <w:lang w:val="en-US" w:eastAsia="zh-CN" w:bidi="ar"/>
              </w:rPr>
              <w:t>30</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 w:hAnsi="仿宋" w:eastAsia="仿宋" w:cs="仿宋"/>
                <w:i w:val="0"/>
                <w:color w:val="000000"/>
                <w:sz w:val="24"/>
                <w:szCs w:val="24"/>
                <w:u w:val="none"/>
              </w:rPr>
            </w:pPr>
            <w:r>
              <w:rPr>
                <w:rFonts w:hint="default" w:ascii="仿宋" w:hAnsi="仿宋" w:eastAsia="仿宋" w:cs="仿宋"/>
                <w:i w:val="0"/>
                <w:color w:val="000000"/>
                <w:kern w:val="0"/>
                <w:sz w:val="24"/>
                <w:szCs w:val="24"/>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 w:hAnsi="仿宋" w:eastAsia="仿宋" w:cs="仿宋"/>
                <w:i w:val="0"/>
                <w:color w:val="000000"/>
                <w:sz w:val="24"/>
                <w:szCs w:val="24"/>
                <w:u w:val="none"/>
              </w:rPr>
            </w:pPr>
            <w:r>
              <w:rPr>
                <w:rFonts w:hint="default" w:ascii="仿宋" w:hAnsi="仿宋" w:eastAsia="仿宋" w:cs="仿宋"/>
                <w:i w:val="0"/>
                <w:color w:val="000000"/>
                <w:kern w:val="0"/>
                <w:sz w:val="24"/>
                <w:szCs w:val="24"/>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 w:hAnsi="仿宋" w:eastAsia="仿宋" w:cs="仿宋"/>
                <w:i w:val="0"/>
                <w:color w:val="000000"/>
                <w:sz w:val="24"/>
                <w:szCs w:val="24"/>
                <w:u w:val="none"/>
              </w:rPr>
            </w:pPr>
            <w:r>
              <w:rPr>
                <w:rFonts w:hint="default" w:ascii="仿宋" w:hAnsi="仿宋" w:eastAsia="仿宋" w:cs="仿宋"/>
                <w:i w:val="0"/>
                <w:color w:val="000000"/>
                <w:kern w:val="0"/>
                <w:sz w:val="24"/>
                <w:szCs w:val="24"/>
                <w:u w:val="none"/>
                <w:lang w:val="en-US" w:eastAsia="zh-CN" w:bidi="ar"/>
              </w:rPr>
              <w:t>4</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 w:hAnsi="仿宋" w:eastAsia="仿宋" w:cs="仿宋"/>
                <w:i w:val="0"/>
                <w:color w:val="000000"/>
                <w:sz w:val="24"/>
                <w:szCs w:val="24"/>
                <w:u w:val="none"/>
              </w:rPr>
            </w:pPr>
            <w:r>
              <w:rPr>
                <w:rFonts w:hint="default" w:ascii="仿宋" w:hAnsi="仿宋" w:eastAsia="仿宋" w:cs="仿宋"/>
                <w:i w:val="0"/>
                <w:color w:val="000000"/>
                <w:kern w:val="0"/>
                <w:sz w:val="24"/>
                <w:szCs w:val="24"/>
                <w:u w:val="none"/>
                <w:lang w:val="en-US" w:eastAsia="zh-CN" w:bidi="ar"/>
              </w:rPr>
              <w:t>96</w:t>
            </w:r>
          </w:p>
        </w:tc>
      </w:tr>
    </w:tbl>
    <w:p>
      <w:pPr>
        <w:spacing w:line="540" w:lineRule="exact"/>
        <w:ind w:firstLine="624" w:firstLineChars="200"/>
        <w:rPr>
          <w:rStyle w:val="18"/>
          <w:rFonts w:hint="eastAsia" w:ascii="仿宋" w:hAnsi="仿宋" w:eastAsia="仿宋"/>
          <w:b w:val="0"/>
          <w:spacing w:val="-4"/>
          <w:sz w:val="32"/>
          <w:szCs w:val="32"/>
          <w:highlight w:val="none"/>
          <w:lang w:eastAsia="zh-CN"/>
        </w:rPr>
      </w:pP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eastAsia="zh-CN"/>
        </w:rPr>
        <w:t>奇台县司法局在法律援助项目资金的收入支出以及在项目实施过程中的监督管理等工作，都能严格执行，按时完成项目评价工作。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322AC9"/>
    <w:multiLevelType w:val="singleLevel"/>
    <w:tmpl w:val="7D322AC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CFE70EC"/>
    <w:rsid w:val="0D2E4E88"/>
    <w:rsid w:val="11DA0264"/>
    <w:rsid w:val="144C5BDC"/>
    <w:rsid w:val="4F83336A"/>
    <w:rsid w:val="606A3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7"/>
    <w:unhideWhenUsed/>
    <w:uiPriority w:val="99"/>
    <w:rPr>
      <w:sz w:val="18"/>
      <w:szCs w:val="18"/>
    </w:rPr>
  </w:style>
  <w:style w:type="paragraph" w:styleId="12">
    <w:name w:val="footer"/>
    <w:basedOn w:val="1"/>
    <w:link w:val="46"/>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5"/>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styleId="20">
    <w:name w:val="Hyperlink"/>
    <w:basedOn w:val="17"/>
    <w:semiHidden/>
    <w:unhideWhenUsed/>
    <w:uiPriority w:val="99"/>
    <w:rPr>
      <w:color w:val="0000FF"/>
      <w:u w:val="single"/>
    </w:rPr>
  </w:style>
  <w:style w:type="character" w:customStyle="1" w:styleId="22">
    <w:name w:val="标题 1 Char"/>
    <w:basedOn w:val="17"/>
    <w:link w:val="2"/>
    <w:uiPriority w:val="9"/>
    <w:rPr>
      <w:rFonts w:asciiTheme="majorHAnsi" w:hAnsiTheme="majorHAnsi" w:eastAsiaTheme="majorEastAsia"/>
      <w:b/>
      <w:bCs/>
      <w:kern w:val="32"/>
      <w:sz w:val="32"/>
      <w:szCs w:val="32"/>
    </w:rPr>
  </w:style>
  <w:style w:type="character" w:customStyle="1" w:styleId="23">
    <w:name w:val="标题 2 Char"/>
    <w:basedOn w:val="17"/>
    <w:link w:val="3"/>
    <w:semiHidden/>
    <w:uiPriority w:val="9"/>
    <w:rPr>
      <w:rFonts w:asciiTheme="majorHAnsi" w:hAnsiTheme="majorHAnsi" w:eastAsiaTheme="majorEastAsia"/>
      <w:b/>
      <w:bCs/>
      <w:i/>
      <w:iCs/>
      <w:sz w:val="28"/>
      <w:szCs w:val="28"/>
    </w:rPr>
  </w:style>
  <w:style w:type="character" w:customStyle="1" w:styleId="24">
    <w:name w:val="标题 3 Char"/>
    <w:basedOn w:val="17"/>
    <w:link w:val="4"/>
    <w:semiHidden/>
    <w:uiPriority w:val="9"/>
    <w:rPr>
      <w:rFonts w:asciiTheme="majorHAnsi" w:hAnsiTheme="majorHAnsi" w:eastAsiaTheme="majorEastAsia"/>
      <w:b/>
      <w:bCs/>
      <w:sz w:val="26"/>
      <w:szCs w:val="26"/>
    </w:rPr>
  </w:style>
  <w:style w:type="character" w:customStyle="1" w:styleId="25">
    <w:name w:val="标题 4 Char"/>
    <w:basedOn w:val="17"/>
    <w:link w:val="5"/>
    <w:semiHidden/>
    <w:uiPriority w:val="9"/>
    <w:rPr>
      <w:b/>
      <w:bCs/>
      <w:sz w:val="28"/>
      <w:szCs w:val="28"/>
    </w:rPr>
  </w:style>
  <w:style w:type="character" w:customStyle="1" w:styleId="26">
    <w:name w:val="标题 5 Char"/>
    <w:basedOn w:val="17"/>
    <w:link w:val="6"/>
    <w:semiHidden/>
    <w:qFormat/>
    <w:uiPriority w:val="9"/>
    <w:rPr>
      <w:b/>
      <w:bCs/>
      <w:i/>
      <w:iCs/>
      <w:sz w:val="26"/>
      <w:szCs w:val="26"/>
    </w:rPr>
  </w:style>
  <w:style w:type="character" w:customStyle="1" w:styleId="27">
    <w:name w:val="标题 6 Char"/>
    <w:basedOn w:val="17"/>
    <w:link w:val="7"/>
    <w:semiHidden/>
    <w:uiPriority w:val="9"/>
    <w:rPr>
      <w:b/>
      <w:bCs/>
    </w:rPr>
  </w:style>
  <w:style w:type="character" w:customStyle="1" w:styleId="28">
    <w:name w:val="标题 7 Char"/>
    <w:basedOn w:val="17"/>
    <w:link w:val="8"/>
    <w:semiHidden/>
    <w:uiPriority w:val="9"/>
    <w:rPr>
      <w:sz w:val="24"/>
      <w:szCs w:val="24"/>
    </w:rPr>
  </w:style>
  <w:style w:type="character" w:customStyle="1" w:styleId="29">
    <w:name w:val="标题 8 Char"/>
    <w:basedOn w:val="17"/>
    <w:link w:val="9"/>
    <w:semiHidden/>
    <w:uiPriority w:val="9"/>
    <w:rPr>
      <w:i/>
      <w:iCs/>
      <w:sz w:val="24"/>
      <w:szCs w:val="24"/>
    </w:rPr>
  </w:style>
  <w:style w:type="character" w:customStyle="1" w:styleId="30">
    <w:name w:val="标题 9 Char"/>
    <w:basedOn w:val="17"/>
    <w:link w:val="10"/>
    <w:semiHidden/>
    <w:uiPriority w:val="9"/>
    <w:rPr>
      <w:rFonts w:asciiTheme="majorHAnsi" w:hAnsiTheme="majorHAnsi" w:eastAsiaTheme="majorEastAsia"/>
    </w:rPr>
  </w:style>
  <w:style w:type="character" w:customStyle="1" w:styleId="31">
    <w:name w:val="标题 Char"/>
    <w:basedOn w:val="17"/>
    <w:link w:val="16"/>
    <w:uiPriority w:val="10"/>
    <w:rPr>
      <w:rFonts w:asciiTheme="majorHAnsi" w:hAnsiTheme="majorHAnsi" w:eastAsiaTheme="majorEastAsia"/>
      <w:b/>
      <w:bCs/>
      <w:kern w:val="28"/>
      <w:sz w:val="32"/>
      <w:szCs w:val="32"/>
    </w:rPr>
  </w:style>
  <w:style w:type="character" w:customStyle="1" w:styleId="32">
    <w:name w:val="副标题 Char"/>
    <w:basedOn w:val="17"/>
    <w:link w:val="14"/>
    <w:uiPriority w:val="11"/>
    <w:rPr>
      <w:rFonts w:asciiTheme="majorHAnsi" w:hAnsiTheme="majorHAnsi" w:eastAsiaTheme="majorEastAsia"/>
      <w:sz w:val="24"/>
      <w:szCs w:val="24"/>
    </w:rPr>
  </w:style>
  <w:style w:type="paragraph" w:customStyle="1"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7"/>
    <w:link w:val="35"/>
    <w:uiPriority w:val="29"/>
    <w:rPr>
      <w:i/>
      <w:sz w:val="24"/>
      <w:szCs w:val="24"/>
    </w:rPr>
  </w:style>
  <w:style w:type="paragraph" w:customStyle="1"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7"/>
    <w:link w:val="37"/>
    <w:uiPriority w:val="30"/>
    <w:rPr>
      <w:b/>
      <w:i/>
      <w:sz w:val="24"/>
    </w:rPr>
  </w:style>
  <w:style w:type="character" w:customStyle="1" w:styleId="39">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Intense Emphasis"/>
    <w:basedOn w:val="17"/>
    <w:qFormat/>
    <w:uiPriority w:val="21"/>
    <w:rPr>
      <w:b/>
      <w:i/>
      <w:sz w:val="24"/>
      <w:szCs w:val="24"/>
      <w:u w:val="single"/>
    </w:rPr>
  </w:style>
  <w:style w:type="character" w:customStyle="1" w:styleId="41">
    <w:name w:val="Subtle Reference"/>
    <w:basedOn w:val="17"/>
    <w:qFormat/>
    <w:uiPriority w:val="31"/>
    <w:rPr>
      <w:sz w:val="24"/>
      <w:szCs w:val="24"/>
      <w:u w:val="single"/>
    </w:rPr>
  </w:style>
  <w:style w:type="character" w:customStyle="1" w:styleId="42">
    <w:name w:val="Intense Reference"/>
    <w:basedOn w:val="17"/>
    <w:qFormat/>
    <w:uiPriority w:val="32"/>
    <w:rPr>
      <w:b/>
      <w:sz w:val="24"/>
      <w:u w:val="single"/>
    </w:rPr>
  </w:style>
  <w:style w:type="character" w:customStyle="1" w:styleId="43">
    <w:name w:val="Book Title"/>
    <w:basedOn w:val="17"/>
    <w:qFormat/>
    <w:uiPriority w:val="33"/>
    <w:rPr>
      <w:rFonts w:asciiTheme="majorHAnsi" w:hAnsiTheme="majorHAnsi" w:eastAsiaTheme="majorEastAsia"/>
      <w:b/>
      <w:i/>
      <w:sz w:val="24"/>
      <w:szCs w:val="24"/>
    </w:rPr>
  </w:style>
  <w:style w:type="paragraph" w:customStyle="1" w:styleId="44">
    <w:name w:val="TOC Heading"/>
    <w:basedOn w:val="2"/>
    <w:next w:val="1"/>
    <w:unhideWhenUsed/>
    <w:qFormat/>
    <w:uiPriority w:val="39"/>
    <w:pPr>
      <w:outlineLvl w:val="9"/>
    </w:pPr>
    <w:rPr>
      <w:lang w:eastAsia="en-US" w:bidi="en-US"/>
    </w:rPr>
  </w:style>
  <w:style w:type="character" w:customStyle="1" w:styleId="45">
    <w:name w:val="页眉 Char"/>
    <w:basedOn w:val="17"/>
    <w:link w:val="13"/>
    <w:uiPriority w:val="99"/>
    <w:rPr>
      <w:rFonts w:ascii="Calibri" w:hAnsi="Calibri" w:eastAsia="宋体"/>
      <w:kern w:val="2"/>
      <w:sz w:val="18"/>
      <w:szCs w:val="18"/>
    </w:rPr>
  </w:style>
  <w:style w:type="character" w:customStyle="1" w:styleId="46">
    <w:name w:val="页脚 Char"/>
    <w:basedOn w:val="17"/>
    <w:link w:val="12"/>
    <w:uiPriority w:val="99"/>
    <w:rPr>
      <w:rFonts w:ascii="Calibri" w:hAnsi="Calibri" w:eastAsia="宋体"/>
      <w:kern w:val="2"/>
      <w:sz w:val="18"/>
      <w:szCs w:val="18"/>
    </w:rPr>
  </w:style>
  <w:style w:type="character" w:customStyle="1" w:styleId="47">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13</TotalTime>
  <ScaleCrop>false</ScaleCrop>
  <LinksUpToDate>false</LinksUpToDate>
  <CharactersWithSpaces>1366</CharactersWithSpaces>
  <Application>WPS Office_11.1.0.8201_F1E327BC-269C-435d-A152-05C5408002CA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ღ 萌比哟,</cp:lastModifiedBy>
  <cp:lastPrinted>2019-01-15T09:27:40Z</cp:lastPrinted>
  <dcterms:modified xsi:type="dcterms:W3CDTF">2019-01-15T09:27:46Z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2052-11.1.0.8201</vt:lpwstr>
  </property>
</Properties>
</file>