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奇台县卡拉麦里东街景观桥梁改建</w:t>
      </w:r>
    </w:p>
    <w:p>
      <w:pPr>
        <w:spacing w:line="700" w:lineRule="exact"/>
        <w:jc w:val="left"/>
        <w:rPr>
          <w:rFonts w:hint="eastAsia" w:hAnsi="宋体" w:eastAsia="仿宋_GB2312" w:cs="宋体"/>
          <w:color w:val="FF0000"/>
          <w:kern w:val="0"/>
          <w:sz w:val="32"/>
          <w:szCs w:val="32"/>
          <w:lang w:val="en-US" w:eastAsia="zh-CN"/>
        </w:rPr>
      </w:pPr>
      <w:r>
        <w:rPr>
          <w:rFonts w:hint="eastAsia" w:hAnsi="宋体" w:eastAsia="仿宋_GB2312" w:cs="宋体"/>
          <w:kern w:val="0"/>
          <w:sz w:val="36"/>
          <w:szCs w:val="36"/>
          <w:lang w:eastAsia="zh-CN"/>
        </w:rPr>
        <w:t>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实施单位（公章）：奇台县住房和城乡建设局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主管部门（公章）：奇台县住房和城乡建设局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王晓忠</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一）贯彻落实执行国家、自治区、州关于建设事业（包括城市建设、村镇建设、建筑业、工程建设、住宅和房地产业、勘察设计咨询业、市政公用事业等）的方针、政策和法律、法规，研究拟定全县建设事业发展战略和中长期规划，并组织实施；对全县建设事业进行行业管理。</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二）组织实施工程建设实施阶段的国家标准、地方标准、全国统一定额和行业标准；组织制定工程建设实施阶段的全县统一标准、建设工期定额、建设用地指标、经济参数和工程造价管理制度，与县发改委等部门联合发布；监督指导各类工程建设标准定额的实施。</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（三）指导全县建筑业活动，培育规范建筑市场；指导监督建筑市场准入，管理工程招投标、工程监理、工程质量和施工安全；制定勘察、设计、施工监理和相关中介服务管理规章并监督实施。</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四）指导全县城市和村镇建设，负责城市供排水、节水、燃气、热力、市政设施、城市公共客运、园林绿化、市容环卫、等行业管理；负责县境内重点风景名胜区的保护监督工作；指导城市规划区内地下水的开发利用和保护；指导城市市容环境治理和城建监察工作；管理城市建设档案。研究拟定村镇建设发展战略、政策措施并监督实施；组织实施村镇建设试点；指导村镇基础设施建设，指导受灾地区村镇重建和大型建设项目地区的村镇迁建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（五）指导全县住宅建设和城镇住房制度改革工作；负责住宅和房地产业的行业管理、房屋拆迁管理；指导城镇土地使用权有偿转让和开发利用工作；指导和规范房地产市场。</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（六）负责组织实施各类房屋建筑及其附属设施和城市市政工程的抗震设计规范，审核、审批抗震防灾规划，组织实施抗震加固方案和抗震设防技术改造；指导城市地下空间的开发和利用。</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（七）负责组织编制全县建设行业科技发展战略、中长期规划、重点项目计划；组织建设行业重大科技项目攻关合作交流、技术创新和成果推广应用工作。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（八）指导和管理建设行业的职工培训和继续教育工作，负责建设系统的社团管理工作。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（九）负责组织开展建设行业的对外经济技术合作；引导县内企业开拓外地建筑市场和房地产市场，指导协调建设企业对外工程承包和建筑劳务工作。</w:t>
      </w:r>
    </w:p>
    <w:p>
      <w:pPr>
        <w:spacing w:beforeLines="0" w:afterLines="0"/>
        <w:ind w:firstLine="624" w:firstLineChars="200"/>
        <w:jc w:val="left"/>
        <w:rPr>
          <w:rStyle w:val="17"/>
          <w:rFonts w:ascii="楷体" w:hAnsi="楷体" w:eastAsia="楷体"/>
          <w:spacing w:val="-4"/>
          <w:sz w:val="32"/>
          <w:szCs w:val="32"/>
          <w:highlight w:val="yellow"/>
        </w:rPr>
      </w:pPr>
      <w:r>
        <w:rPr>
          <w:rStyle w:val="17"/>
          <w:rFonts w:hint="eastAsia" w:ascii="仿宋" w:hAnsi="仿宋" w:eastAsia="仿宋"/>
          <w:b w:val="0"/>
          <w:spacing w:val="-4"/>
          <w:sz w:val="32"/>
          <w:szCs w:val="32"/>
          <w:highlight w:val="none"/>
          <w:lang w:val="en-US" w:eastAsia="zh-CN"/>
        </w:rPr>
        <w:t>（十）承办县人民政府交办的其他事项。</w:t>
      </w:r>
      <w:r>
        <w:rPr>
          <w:rStyle w:val="17"/>
          <w:rFonts w:hint="eastAsia" w:ascii="楷体" w:hAnsi="楷体" w:eastAsia="楷体"/>
          <w:b w:val="0"/>
          <w:bCs w:val="0"/>
          <w:spacing w:val="-4"/>
          <w:sz w:val="32"/>
          <w:szCs w:val="32"/>
          <w:highlight w:val="none"/>
          <w:lang w:eastAsia="zh-CN"/>
        </w:rPr>
        <w:t>　</w:t>
      </w:r>
    </w:p>
    <w:p>
      <w:pPr>
        <w:spacing w:line="540" w:lineRule="exact"/>
        <w:ind w:firstLine="567" w:firstLineChars="181"/>
        <w:rPr>
          <w:rStyle w:val="17"/>
          <w:rFonts w:ascii="楷体" w:hAnsi="楷体" w:eastAsia="楷体"/>
          <w:color w:val="000000" w:themeColor="text1"/>
          <w:spacing w:val="-4"/>
          <w:sz w:val="32"/>
          <w:szCs w:val="32"/>
          <w14:textFill>
            <w14:solidFill>
              <w14:schemeClr w14:val="tx1"/>
            </w14:solidFill>
          </w14:textFill>
        </w:rPr>
      </w:pPr>
      <w:r>
        <w:rPr>
          <w:rStyle w:val="17"/>
          <w:rFonts w:hint="eastAsia" w:ascii="楷体" w:hAnsi="楷体" w:eastAsia="楷体"/>
          <w:color w:val="000000" w:themeColor="text1"/>
          <w:spacing w:val="-4"/>
          <w:sz w:val="32"/>
          <w:szCs w:val="32"/>
          <w14:textFill>
            <w14:solidFill>
              <w14:schemeClr w14:val="tx1"/>
            </w14:solidFill>
          </w14:textFill>
        </w:rPr>
        <w:t>（二）项目预算</w:t>
      </w:r>
      <w:r>
        <w:rPr>
          <w:rStyle w:val="17"/>
          <w:rFonts w:ascii="楷体" w:hAnsi="楷体" w:eastAsia="楷体"/>
          <w:color w:val="000000" w:themeColor="text1"/>
          <w:spacing w:val="-4"/>
          <w:sz w:val="32"/>
          <w:szCs w:val="32"/>
          <w14:textFill>
            <w14:solidFill>
              <w14:schemeClr w14:val="tx1"/>
            </w14:solidFill>
          </w14:textFill>
        </w:rPr>
        <w:t>绩效目标</w:t>
      </w:r>
      <w:r>
        <w:rPr>
          <w:rStyle w:val="17"/>
          <w:rFonts w:hint="eastAsia" w:ascii="楷体" w:hAnsi="楷体" w:eastAsia="楷体"/>
          <w:color w:val="000000" w:themeColor="text1"/>
          <w:spacing w:val="-4"/>
          <w:sz w:val="32"/>
          <w:szCs w:val="32"/>
          <w14:textFill>
            <w14:solidFill>
              <w14:schemeClr w14:val="tx1"/>
            </w14:solidFill>
          </w14:textFill>
        </w:rPr>
        <w:t>设定情况</w:t>
      </w:r>
    </w:p>
    <w:p>
      <w:pPr>
        <w:spacing w:beforeLines="0" w:afterLines="0"/>
        <w:ind w:firstLine="624" w:firstLineChars="200"/>
        <w:jc w:val="left"/>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奇台县卡拉麦里东街景观桥梁改建工程项目资金主要用于奇台县卡拉麦里东街景观桥梁改建，该项目2016年6月起实施，11月底完成工程进度100%，该项目是我县市政基础设施改造项目，主要用于改善我县人居环境，改善交通状况。该项目</w:t>
      </w: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建设规模为：修建一跨</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25米景观拱桥一座，桥梁总长38米，规划红线宽49米。</w:t>
      </w:r>
    </w:p>
    <w:p>
      <w:pPr>
        <w:spacing w:beforeLines="0" w:afterLines="0"/>
        <w:ind w:firstLine="624" w:firstLineChars="200"/>
        <w:jc w:val="left"/>
        <w:rPr>
          <w:rStyle w:val="17"/>
          <w:rFonts w:ascii="黑体" w:hAnsi="黑体" w:eastAsia="黑体"/>
          <w:b w:val="0"/>
          <w:color w:val="000000" w:themeColor="text1"/>
          <w:spacing w:val="-4"/>
          <w:sz w:val="32"/>
          <w:szCs w:val="32"/>
          <w14:textFill>
            <w14:solidFill>
              <w14:schemeClr w14:val="tx1"/>
            </w14:solidFill>
          </w14:textFill>
        </w:rPr>
      </w:pPr>
      <w:r>
        <w:rPr>
          <w:rStyle w:val="17"/>
          <w:rFonts w:hint="eastAsia" w:ascii="黑体" w:hAnsi="黑体" w:eastAsia="黑体"/>
          <w:b w:val="0"/>
          <w:color w:val="000000" w:themeColor="text1"/>
          <w:spacing w:val="-4"/>
          <w:sz w:val="32"/>
          <w:szCs w:val="32"/>
          <w14:textFill>
            <w14:solidFill>
              <w14:schemeClr w14:val="tx1"/>
            </w14:solidFill>
          </w14:textFill>
        </w:rPr>
        <w:t>二、项目资金使用及管理情况</w:t>
      </w:r>
    </w:p>
    <w:p>
      <w:pPr>
        <w:spacing w:line="540" w:lineRule="exact"/>
        <w:ind w:firstLine="567" w:firstLineChars="181"/>
        <w:rPr>
          <w:rStyle w:val="17"/>
          <w:rFonts w:ascii="楷体" w:hAnsi="楷体" w:eastAsia="楷体"/>
          <w:color w:val="000000" w:themeColor="text1"/>
          <w:spacing w:val="-4"/>
          <w:sz w:val="32"/>
          <w:szCs w:val="32"/>
          <w14:textFill>
            <w14:solidFill>
              <w14:schemeClr w14:val="tx1"/>
            </w14:solidFill>
          </w14:textFill>
        </w:rPr>
      </w:pPr>
      <w:r>
        <w:rPr>
          <w:rStyle w:val="17"/>
          <w:rFonts w:hint="eastAsia" w:ascii="楷体" w:hAnsi="楷体" w:eastAsia="楷体"/>
          <w:color w:val="000000" w:themeColor="text1"/>
          <w:spacing w:val="-4"/>
          <w:sz w:val="32"/>
          <w:szCs w:val="32"/>
          <w14:textFill>
            <w14:solidFill>
              <w14:schemeClr w14:val="tx1"/>
            </w14:solidFill>
          </w14:textFill>
        </w:rPr>
        <w:t>（一）项目资金安排落实、总投入等情况分析</w:t>
      </w:r>
    </w:p>
    <w:p>
      <w:pPr>
        <w:spacing w:line="540" w:lineRule="exact"/>
        <w:ind w:firstLine="624" w:firstLineChars="200"/>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奇台县卡拉麦里东街景观桥梁改建工程，该项目总投入</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3500万元，其中县财政拨款安排800万元。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该项目资金</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800万元，全部用于项目建设。</w:t>
      </w:r>
    </w:p>
    <w:p>
      <w:pPr>
        <w:spacing w:line="540" w:lineRule="exact"/>
        <w:ind w:firstLine="567" w:firstLineChars="181"/>
        <w:rPr>
          <w:rStyle w:val="17"/>
          <w:rFonts w:ascii="楷体" w:hAnsi="楷体" w:eastAsia="楷体"/>
          <w:color w:val="000000" w:themeColor="text1"/>
          <w:spacing w:val="-4"/>
          <w:sz w:val="32"/>
          <w:szCs w:val="32"/>
          <w14:textFill>
            <w14:solidFill>
              <w14:schemeClr w14:val="tx1"/>
            </w14:solidFill>
          </w14:textFill>
        </w:rPr>
      </w:pPr>
      <w:r>
        <w:rPr>
          <w:rStyle w:val="17"/>
          <w:rFonts w:hint="eastAsia" w:ascii="楷体" w:hAnsi="楷体" w:eastAsia="楷体"/>
          <w:color w:val="000000" w:themeColor="text1"/>
          <w:spacing w:val="-4"/>
          <w:sz w:val="32"/>
          <w:szCs w:val="32"/>
          <w14:textFill>
            <w14:solidFill>
              <w14:schemeClr w14:val="tx1"/>
            </w14:solidFill>
          </w14:textFill>
        </w:rPr>
        <w:t>（三）项目资金管理情况分析</w:t>
      </w:r>
    </w:p>
    <w:p>
      <w:pPr>
        <w:spacing w:line="540" w:lineRule="exact"/>
        <w:ind w:firstLine="640"/>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该项目资金管理严格按照奇台县政府投资项目资金拨付审批管理制度执行。</w:t>
      </w:r>
    </w:p>
    <w:p>
      <w:pPr>
        <w:spacing w:line="540" w:lineRule="exact"/>
        <w:ind w:firstLine="640"/>
        <w:rPr>
          <w:rStyle w:val="17"/>
          <w:rFonts w:ascii="黑体" w:hAnsi="黑体" w:eastAsia="黑体"/>
          <w:b w:val="0"/>
          <w:color w:val="000000" w:themeColor="text1"/>
          <w:spacing w:val="-4"/>
          <w:sz w:val="32"/>
          <w:szCs w:val="32"/>
          <w14:textFill>
            <w14:solidFill>
              <w14:schemeClr w14:val="tx1"/>
            </w14:solidFill>
          </w14:textFill>
        </w:rPr>
      </w:pPr>
      <w:r>
        <w:rPr>
          <w:rStyle w:val="17"/>
          <w:rFonts w:hint="eastAsia" w:ascii="黑体" w:hAnsi="黑体" w:eastAsia="黑体"/>
          <w:b w:val="0"/>
          <w:color w:val="000000" w:themeColor="text1"/>
          <w:spacing w:val="-4"/>
          <w:sz w:val="32"/>
          <w:szCs w:val="32"/>
          <w14:textFill>
            <w14:solidFill>
              <w14:schemeClr w14:val="tx1"/>
            </w14:solidFill>
          </w14:textFill>
        </w:rPr>
        <w:t>三、项目组织实施情况</w:t>
      </w:r>
    </w:p>
    <w:p>
      <w:pPr>
        <w:spacing w:line="540" w:lineRule="exact"/>
        <w:ind w:firstLine="567" w:firstLineChars="181"/>
        <w:rPr>
          <w:rStyle w:val="17"/>
          <w:rFonts w:ascii="楷体" w:hAnsi="楷体" w:eastAsia="楷体"/>
          <w:color w:val="000000" w:themeColor="text1"/>
          <w:spacing w:val="-4"/>
          <w:sz w:val="32"/>
          <w:szCs w:val="32"/>
          <w14:textFill>
            <w14:solidFill>
              <w14:schemeClr w14:val="tx1"/>
            </w14:solidFill>
          </w14:textFill>
        </w:rPr>
      </w:pPr>
      <w:r>
        <w:rPr>
          <w:rStyle w:val="17"/>
          <w:rFonts w:hint="eastAsia" w:ascii="楷体" w:hAnsi="楷体" w:eastAsia="楷体"/>
          <w:color w:val="000000" w:themeColor="text1"/>
          <w:spacing w:val="-4"/>
          <w:sz w:val="32"/>
          <w:szCs w:val="32"/>
          <w14:textFill>
            <w14:solidFill>
              <w14:schemeClr w14:val="tx1"/>
            </w14:solidFill>
          </w14:textFill>
        </w:rPr>
        <w:t>（一）项目组织情况分析</w:t>
      </w:r>
    </w:p>
    <w:p>
      <w:pPr>
        <w:spacing w:line="540" w:lineRule="exact"/>
        <w:ind w:firstLine="624" w:firstLineChars="200"/>
        <w:rPr>
          <w:rStyle w:val="17"/>
          <w:rFonts w:ascii="仿宋" w:hAnsi="仿宋" w:eastAsia="仿宋"/>
          <w:b w:val="0"/>
          <w:color w:val="000000" w:themeColor="text1"/>
          <w:spacing w:val="-4"/>
          <w:sz w:val="32"/>
          <w:szCs w:val="32"/>
          <w:highlight w:val="none"/>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该项目于</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2016年6月20日完成工程招投标工作，中标单位为：新建昌吉市政建设（集团）有限公司，中标价17225169.28元；该项目于2016年11月22日竣工并完成验收审计工作。</w:t>
      </w:r>
    </w:p>
    <w:p>
      <w:pPr>
        <w:spacing w:line="540" w:lineRule="exact"/>
        <w:ind w:firstLine="567" w:firstLineChars="181"/>
        <w:rPr>
          <w:rStyle w:val="17"/>
          <w:rFonts w:ascii="楷体" w:hAnsi="楷体" w:eastAsia="楷体"/>
          <w:color w:val="000000" w:themeColor="text1"/>
          <w:spacing w:val="-4"/>
          <w:sz w:val="32"/>
          <w:szCs w:val="32"/>
          <w14:textFill>
            <w14:solidFill>
              <w14:schemeClr w14:val="tx1"/>
            </w14:solidFill>
          </w14:textFill>
        </w:rPr>
      </w:pPr>
      <w:r>
        <w:rPr>
          <w:rStyle w:val="17"/>
          <w:rFonts w:hint="eastAsia" w:ascii="楷体" w:hAnsi="楷体" w:eastAsia="楷体"/>
          <w:color w:val="000000" w:themeColor="text1"/>
          <w:spacing w:val="-4"/>
          <w:sz w:val="32"/>
          <w:szCs w:val="32"/>
          <w14:textFill>
            <w14:solidFill>
              <w14:schemeClr w14:val="tx1"/>
            </w14:solidFill>
          </w14:textFill>
        </w:rPr>
        <w:t>（二）项目管理情况分析</w:t>
      </w:r>
    </w:p>
    <w:p>
      <w:pPr>
        <w:spacing w:line="540" w:lineRule="exact"/>
        <w:ind w:firstLine="624" w:firstLineChars="200"/>
        <w:rPr>
          <w:rStyle w:val="17"/>
          <w:rFonts w:ascii="仿宋" w:hAnsi="仿宋" w:eastAsia="仿宋"/>
          <w:b w:val="0"/>
          <w:color w:val="000000" w:themeColor="text1"/>
          <w:spacing w:val="-4"/>
          <w:sz w:val="32"/>
          <w:szCs w:val="32"/>
          <w:highlight w:val="none"/>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该项目由</w:t>
      </w:r>
      <w:r>
        <w:rPr>
          <w:rStyle w:val="17"/>
          <w:rFonts w:hint="eastAsia" w:ascii="仿宋" w:hAnsi="仿宋" w:eastAsia="仿宋"/>
          <w:b w:val="0"/>
          <w:bCs/>
          <w:color w:val="000000" w:themeColor="text1"/>
          <w:spacing w:val="-4"/>
          <w:sz w:val="32"/>
          <w:szCs w:val="32"/>
          <w:highlight w:val="none"/>
          <w:lang w:eastAsia="zh-CN"/>
          <w14:textFill>
            <w14:solidFill>
              <w14:schemeClr w14:val="tx1"/>
            </w14:solidFill>
          </w14:textFill>
        </w:rPr>
        <w:t>新疆高新工程项目管理有限责任公司</w:t>
      </w: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实施工程监理，工程完工后由建设单位、监理单位、施工单位、奇台县质量监督管理站、设计院五方进行验收，验收合格移交建设单位管理。施工单位提交工程结算资料，交由审计局完成项目审计。</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color w:val="000000" w:themeColor="text1"/>
          <w:spacing w:val="-4"/>
          <w:sz w:val="32"/>
          <w:szCs w:val="32"/>
          <w:highlight w:val="none"/>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奇台县卡拉麦里东街景观桥梁改建工程</w:t>
      </w:r>
      <w:r>
        <w:rPr>
          <w:rStyle w:val="17"/>
          <w:rFonts w:hint="eastAsia" w:ascii="仿宋" w:hAnsi="仿宋" w:eastAsia="仿宋"/>
          <w:b w:val="0"/>
          <w:bCs/>
          <w:color w:val="000000" w:themeColor="text1"/>
          <w:spacing w:val="-4"/>
          <w:sz w:val="32"/>
          <w:szCs w:val="32"/>
          <w:highlight w:val="none"/>
          <w:lang w:eastAsia="zh-CN"/>
          <w14:textFill>
            <w14:solidFill>
              <w14:schemeClr w14:val="tx1"/>
            </w14:solidFill>
          </w14:textFill>
        </w:rPr>
        <w:t>，</w:t>
      </w: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修建一跨</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25米景观拱桥一座，桥梁总长38米，规划红线宽49米</w:t>
      </w: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w:t>
      </w:r>
      <w:r>
        <w:rPr>
          <w:rStyle w:val="17"/>
          <w:rFonts w:hint="eastAsia" w:ascii="仿宋" w:hAnsi="仿宋" w:eastAsia="仿宋"/>
          <w:b w:val="0"/>
          <w:color w:val="000000" w:themeColor="text1"/>
          <w:spacing w:val="-4"/>
          <w:sz w:val="32"/>
          <w:szCs w:val="32"/>
          <w:highlight w:val="none"/>
          <w:lang w:val="en-US" w:eastAsia="zh-CN"/>
          <w14:textFill>
            <w14:solidFill>
              <w14:schemeClr w14:val="tx1"/>
            </w14:solidFill>
          </w14:textFill>
        </w:rPr>
        <w:t>项目属于公益性建设项目，无收益。项目建设完成后</w:t>
      </w: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达到设计预期效果。</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项目绩效目标未完成原因分析</w:t>
      </w:r>
    </w:p>
    <w:p>
      <w:pPr>
        <w:numPr>
          <w:ilvl w:val="0"/>
          <w:numId w:val="0"/>
        </w:numPr>
        <w:spacing w:line="540" w:lineRule="exact"/>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 xml:space="preserve">     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 xml:space="preserve"> 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24" w:firstLineChars="200"/>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pPr>
      <w:r>
        <w:rPr>
          <w:rStyle w:val="17"/>
          <w:rFonts w:hint="eastAsia" w:ascii="仿宋" w:hAnsi="仿宋" w:eastAsia="仿宋"/>
          <w:b w:val="0"/>
          <w:color w:val="000000" w:themeColor="text1"/>
          <w:spacing w:val="-4"/>
          <w:sz w:val="32"/>
          <w:szCs w:val="32"/>
          <w:highlight w:val="none"/>
          <w:lang w:eastAsia="zh-CN"/>
          <w14:textFill>
            <w14:solidFill>
              <w14:schemeClr w14:val="tx1"/>
            </w14:solidFill>
          </w14:textFill>
        </w:rPr>
        <w:t>该项目在实施过程中，由建设、监理方、质监站实施监管，项目完工后，由审计局指定审计单位对项目造价进行审核。</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numPr>
          <w:ilvl w:val="0"/>
          <w:numId w:val="2"/>
        </w:num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项目评价工作情况</w:t>
      </w:r>
    </w:p>
    <w:p>
      <w:pPr>
        <w:numPr>
          <w:ilvl w:val="0"/>
          <w:numId w:val="0"/>
        </w:numPr>
        <w:spacing w:line="540" w:lineRule="exact"/>
        <w:rPr>
          <w:rStyle w:val="17"/>
          <w:rFonts w:hint="eastAsia" w:ascii="黑体" w:hAnsi="黑体" w:eastAsia="黑体"/>
          <w:b w:val="0"/>
          <w:spacing w:val="-4"/>
          <w:sz w:val="32"/>
          <w:szCs w:val="32"/>
          <w:lang w:val="en-US" w:eastAsia="zh-CN"/>
        </w:rPr>
      </w:pPr>
      <w:r>
        <w:rPr>
          <w:rStyle w:val="17"/>
          <w:rFonts w:hint="eastAsia" w:ascii="仿宋" w:hAnsi="仿宋" w:eastAsia="仿宋"/>
          <w:b w:val="0"/>
          <w:color w:val="auto"/>
          <w:spacing w:val="-4"/>
          <w:sz w:val="32"/>
          <w:szCs w:val="32"/>
          <w:highlight w:val="none"/>
          <w:lang w:val="en-US" w:eastAsia="zh-CN"/>
        </w:rPr>
        <w:t>该项目由奇台县发展和改革</w:t>
      </w:r>
      <w:r>
        <w:rPr>
          <w:rStyle w:val="17"/>
          <w:rFonts w:hint="eastAsia" w:ascii="仿宋" w:hAnsi="仿宋" w:eastAsia="仿宋"/>
          <w:b w:val="0"/>
          <w:bCs/>
          <w:color w:val="auto"/>
          <w:spacing w:val="-4"/>
          <w:sz w:val="32"/>
          <w:szCs w:val="32"/>
          <w:highlight w:val="none"/>
          <w:lang w:val="en-US" w:eastAsia="zh-CN"/>
        </w:rPr>
        <w:t>委员会奇发改【2016】233号文件下</w:t>
      </w:r>
      <w:r>
        <w:rPr>
          <w:rStyle w:val="17"/>
          <w:rFonts w:hint="eastAsia" w:ascii="仿宋" w:hAnsi="仿宋" w:eastAsia="仿宋"/>
          <w:b w:val="0"/>
          <w:color w:val="auto"/>
          <w:spacing w:val="-4"/>
          <w:sz w:val="32"/>
          <w:szCs w:val="32"/>
          <w:highlight w:val="none"/>
          <w:lang w:val="en-US" w:eastAsia="zh-CN"/>
        </w:rPr>
        <w:t>达批复建设，项目在实施过程中，由建设、监理及质监站、审计方实施监管，项目达到预期效果，资金使用合理。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jc w:val="center"/>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jc w:val="center"/>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jc w:val="center"/>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jc w:val="center"/>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jc w:val="center"/>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themeColor="text1"/>
                <w:kern w:val="0"/>
                <w:sz w:val="20"/>
                <w:szCs w:val="20"/>
                <w:lang w:val="en-US" w:eastAsia="zh-CN"/>
                <w14:textFill>
                  <w14:solidFill>
                    <w14:schemeClr w14:val="tx1"/>
                  </w14:solidFill>
                </w14:textFill>
              </w:rPr>
              <w:t>奇台县卡拉麦里东街景观桥梁改建工程</w:t>
            </w:r>
            <w:r>
              <w:rPr>
                <w:rFonts w:hint="eastAsia" w:ascii="宋体" w:hAnsi="宋体" w:cs="宋体"/>
                <w:color w:val="000000" w:themeColor="text1"/>
                <w:kern w:val="0"/>
                <w:sz w:val="20"/>
                <w:szCs w:val="20"/>
                <w14:textFill>
                  <w14:solidFill>
                    <w14:schemeClr w14:val="tx1"/>
                  </w14:solidFill>
                </w14:textFill>
              </w:rPr>
              <w:t>　</w:t>
            </w:r>
          </w:p>
        </w:tc>
      </w:tr>
      <w:tr>
        <w:tblPrEx>
          <w:tblLayout w:type="fixed"/>
          <w:tblCellMar>
            <w:top w:w="0" w:type="dxa"/>
            <w:left w:w="108" w:type="dxa"/>
            <w:bottom w:w="0" w:type="dxa"/>
            <w:right w:w="108" w:type="dxa"/>
          </w:tblCellMar>
        </w:tblPrEx>
        <w:trPr>
          <w:trHeight w:val="435" w:hRule="atLeast"/>
          <w:jc w:val="center"/>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奇台县住房和城乡建设局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jc w:val="center"/>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800万元</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800万元</w:t>
            </w:r>
          </w:p>
        </w:tc>
      </w:tr>
      <w:tr>
        <w:tblPrEx>
          <w:tblLayout w:type="fixed"/>
          <w:tblCellMar>
            <w:top w:w="0" w:type="dxa"/>
            <w:left w:w="108" w:type="dxa"/>
            <w:bottom w:w="0" w:type="dxa"/>
            <w:right w:w="108" w:type="dxa"/>
          </w:tblCellMar>
        </w:tblPrEx>
        <w:trPr>
          <w:trHeight w:val="433" w:hRule="atLeast"/>
          <w:jc w:val="center"/>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Layout w:type="fixed"/>
          <w:tblCellMar>
            <w:top w:w="0" w:type="dxa"/>
            <w:left w:w="108" w:type="dxa"/>
            <w:bottom w:w="0" w:type="dxa"/>
            <w:right w:w="108" w:type="dxa"/>
          </w:tblCellMar>
        </w:tblPrEx>
        <w:trPr>
          <w:trHeight w:val="450"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实际完成目标</w:t>
            </w:r>
          </w:p>
        </w:tc>
      </w:tr>
      <w:tr>
        <w:tblPrEx>
          <w:tblLayout w:type="fixed"/>
          <w:tblCellMar>
            <w:top w:w="0" w:type="dxa"/>
            <w:left w:w="108" w:type="dxa"/>
            <w:bottom w:w="0" w:type="dxa"/>
            <w:right w:w="108" w:type="dxa"/>
          </w:tblCellMar>
        </w:tblPrEx>
        <w:trPr>
          <w:trHeight w:val="858" w:hRule="atLeast"/>
          <w:jc w:val="center"/>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建设规模为修建一跨</w:t>
            </w:r>
            <w:r>
              <w:rPr>
                <w:rFonts w:hint="eastAsia" w:ascii="宋体" w:hAnsi="宋体" w:cs="宋体"/>
                <w:color w:val="000000" w:themeColor="text1"/>
                <w:kern w:val="0"/>
                <w:sz w:val="20"/>
                <w:szCs w:val="20"/>
                <w:lang w:val="en-US" w:eastAsia="zh-CN"/>
                <w14:textFill>
                  <w14:solidFill>
                    <w14:schemeClr w14:val="tx1"/>
                  </w14:solidFill>
                </w14:textFill>
              </w:rPr>
              <w:t>25米景观拱桥一座，桥梁总长38米，规划红线宽49米。</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themeColor="text1"/>
                <w:kern w:val="0"/>
                <w:sz w:val="20"/>
                <w:szCs w:val="20"/>
                <w:lang w:eastAsia="zh-CN"/>
                <w14:textFill>
                  <w14:solidFill>
                    <w14:schemeClr w14:val="tx1"/>
                  </w14:solidFill>
                </w14:textFill>
              </w:rPr>
            </w:pPr>
          </w:p>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建设规模为修建一跨</w:t>
            </w:r>
            <w:r>
              <w:rPr>
                <w:rFonts w:hint="eastAsia" w:ascii="宋体" w:hAnsi="宋体" w:cs="宋体"/>
                <w:color w:val="000000" w:themeColor="text1"/>
                <w:kern w:val="0"/>
                <w:sz w:val="20"/>
                <w:szCs w:val="20"/>
                <w:lang w:val="en-US" w:eastAsia="zh-CN"/>
                <w14:textFill>
                  <w14:solidFill>
                    <w14:schemeClr w14:val="tx1"/>
                  </w14:solidFill>
                </w14:textFill>
              </w:rPr>
              <w:t>25米景观拱桥一座，桥梁总长38米，规划红线宽49米，完成目标100%</w:t>
            </w:r>
          </w:p>
        </w:tc>
      </w:tr>
      <w:tr>
        <w:tblPrEx>
          <w:tblLayout w:type="fixed"/>
          <w:tblCellMar>
            <w:top w:w="0" w:type="dxa"/>
            <w:left w:w="108" w:type="dxa"/>
            <w:bottom w:w="0" w:type="dxa"/>
            <w:right w:w="108" w:type="dxa"/>
          </w:tblCellMar>
        </w:tblPrEx>
        <w:trPr>
          <w:trHeight w:val="676" w:hRule="atLeast"/>
          <w:jc w:val="center"/>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813"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lang w:val="en-US"/>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r>
              <w:rPr>
                <w:rFonts w:hint="eastAsia" w:ascii="宋体" w:hAnsi="宋体" w:cs="宋体"/>
                <w:color w:val="000000" w:themeColor="text1"/>
                <w:kern w:val="0"/>
                <w:sz w:val="20"/>
                <w:szCs w:val="20"/>
                <w:lang w:eastAsia="zh-CN"/>
                <w14:textFill>
                  <w14:solidFill>
                    <w14:schemeClr w14:val="tx1"/>
                  </w14:solidFill>
                </w14:textFill>
              </w:rPr>
              <w:t>计划修建一跨</w:t>
            </w:r>
            <w:r>
              <w:rPr>
                <w:rFonts w:hint="eastAsia" w:ascii="宋体" w:hAnsi="宋体" w:cs="宋体"/>
                <w:color w:val="000000" w:themeColor="text1"/>
                <w:kern w:val="0"/>
                <w:sz w:val="20"/>
                <w:szCs w:val="20"/>
                <w:lang w:val="en-US" w:eastAsia="zh-CN"/>
                <w14:textFill>
                  <w14:solidFill>
                    <w14:schemeClr w14:val="tx1"/>
                  </w14:solidFill>
                </w14:textFill>
              </w:rPr>
              <w:t>25米景观拱桥一座，桥梁总长38米。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themeColor="text1"/>
                <w:kern w:val="0"/>
                <w:sz w:val="20"/>
                <w:szCs w:val="20"/>
                <w:lang w:val="en-US" w:eastAsia="zh-CN"/>
                <w14:textFill>
                  <w14:solidFill>
                    <w14:schemeClr w14:val="tx1"/>
                  </w14:solidFill>
                </w14:textFill>
              </w:rPr>
            </w:pPr>
          </w:p>
          <w:p>
            <w:pPr>
              <w:widowControl/>
              <w:jc w:val="left"/>
              <w:rPr>
                <w:rFonts w:hint="eastAsia" w:ascii="宋体" w:hAnsi="宋体" w:cs="宋体"/>
                <w:color w:val="000000" w:themeColor="text1"/>
                <w:kern w:val="0"/>
                <w:sz w:val="20"/>
                <w:szCs w:val="20"/>
                <w:lang w:val="en-US" w:eastAsia="zh-CN"/>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桥梁总长</w:t>
            </w:r>
            <w:r>
              <w:rPr>
                <w:rFonts w:hint="eastAsia" w:ascii="宋体" w:hAnsi="宋体" w:cs="宋体"/>
                <w:color w:val="000000" w:themeColor="text1"/>
                <w:kern w:val="0"/>
                <w:sz w:val="20"/>
                <w:szCs w:val="20"/>
                <w:lang w:eastAsia="zh-CN"/>
                <w14:textFill>
                  <w14:solidFill>
                    <w14:schemeClr w14:val="tx1"/>
                  </w14:solidFill>
                </w14:textFill>
              </w:rPr>
              <w:t>≥</w:t>
            </w:r>
            <w:r>
              <w:rPr>
                <w:rFonts w:hint="eastAsia" w:ascii="宋体" w:hAnsi="宋体" w:cs="宋体"/>
                <w:color w:val="000000" w:themeColor="text1"/>
                <w:kern w:val="0"/>
                <w:sz w:val="20"/>
                <w:szCs w:val="20"/>
                <w:lang w:val="en-US" w:eastAsia="zh-CN"/>
                <w14:textFill>
                  <w14:solidFill>
                    <w14:schemeClr w14:val="tx1"/>
                  </w14:solidFill>
                </w14:textFill>
              </w:rPr>
              <w:t>38米</w:t>
            </w:r>
            <w:r>
              <w:rPr>
                <w:rFonts w:hint="eastAsia" w:ascii="宋体" w:hAnsi="宋体" w:cs="宋体"/>
                <w:color w:val="000000" w:themeColor="text1"/>
                <w:kern w:val="0"/>
                <w:sz w:val="20"/>
                <w:szCs w:val="20"/>
                <w:lang w:eastAsia="zh-CN"/>
                <w14:textFill>
                  <w14:solidFill>
                    <w14:schemeClr w14:val="tx1"/>
                  </w14:solidFill>
                </w14:textFill>
              </w:rPr>
              <w:t>跨径≥</w:t>
            </w:r>
            <w:r>
              <w:rPr>
                <w:rFonts w:hint="eastAsia" w:ascii="宋体" w:hAnsi="宋体" w:cs="宋体"/>
                <w:color w:val="000000" w:themeColor="text1"/>
                <w:kern w:val="0"/>
                <w:sz w:val="20"/>
                <w:szCs w:val="20"/>
                <w:lang w:val="en-US" w:eastAsia="zh-CN"/>
                <w14:textFill>
                  <w14:solidFill>
                    <w14:schemeClr w14:val="tx1"/>
                  </w14:solidFill>
                </w14:textFill>
              </w:rPr>
              <w:t>25米</w:t>
            </w:r>
          </w:p>
          <w:p>
            <w:pPr>
              <w:widowControl/>
              <w:jc w:val="left"/>
              <w:rPr>
                <w:rFonts w:hint="eastAsia" w:ascii="宋体" w:hAnsi="宋体" w:cs="宋体"/>
                <w:color w:val="000000" w:themeColor="text1"/>
                <w:kern w:val="0"/>
                <w:sz w:val="20"/>
                <w:szCs w:val="20"/>
                <w:lang w:val="en-US" w:eastAsia="zh-CN"/>
                <w14:textFill>
                  <w14:solidFill>
                    <w14:schemeClr w14:val="tx1"/>
                  </w14:solidFill>
                </w14:textFill>
              </w:rPr>
            </w:pP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bookmarkStart w:id="0" w:name="_GoBack"/>
            <w:bookmarkEnd w:id="0"/>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工程验收合格率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工程量完成率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配套设施完成率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工程按期完成率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 xml:space="preserve"> 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工程完工率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 xml:space="preserve"> 5：</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日常巡查维修及时率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工程单位建设成本</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color w:val="000000" w:themeColor="text1"/>
                <w:kern w:val="0"/>
                <w:sz w:val="20"/>
                <w:szCs w:val="20"/>
                <w14:textFill>
                  <w14:solidFill>
                    <w14:schemeClr w14:val="tx1"/>
                  </w14:solidFill>
                </w14:textFill>
              </w:rPr>
              <w:t>　</w:t>
            </w:r>
            <w:r>
              <w:rPr>
                <w:rFonts w:hint="eastAsia" w:ascii="宋体" w:hAnsi="宋体" w:cs="宋体"/>
                <w:color w:val="000000" w:themeColor="text1"/>
                <w:kern w:val="0"/>
                <w:sz w:val="20"/>
                <w:szCs w:val="20"/>
                <w:lang w:eastAsia="zh-CN"/>
                <w14:textFill>
                  <w14:solidFill>
                    <w14:schemeClr w14:val="tx1"/>
                  </w14:solidFill>
                </w14:textFill>
              </w:rPr>
              <w:t>≥</w:t>
            </w:r>
            <w:r>
              <w:rPr>
                <w:rFonts w:hint="eastAsia" w:ascii="宋体" w:hAnsi="宋体" w:cs="宋体"/>
                <w:color w:val="000000" w:themeColor="text1"/>
                <w:kern w:val="0"/>
                <w:sz w:val="20"/>
                <w:szCs w:val="20"/>
                <w:lang w:val="en-US" w:eastAsia="zh-CN"/>
                <w14:textFill>
                  <w14:solidFill>
                    <w14:schemeClr w14:val="tx1"/>
                  </w14:solidFill>
                </w14:textFill>
              </w:rPr>
              <w:t>800万元</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设计功能实现率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基础设施完好率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隐患消除情况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消除隐患</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综合利用率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受益群众满意度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RomanS">
    <w:panose1 w:val="02000400000000000000"/>
    <w:charset w:val="00"/>
    <w:family w:val="auto"/>
    <w:pitch w:val="default"/>
    <w:sig w:usb0="00000207" w:usb1="00000000" w:usb2="00000000" w:usb3="00000000" w:csb0="000001F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18E81"/>
    <w:multiLevelType w:val="singleLevel"/>
    <w:tmpl w:val="07618E81"/>
    <w:lvl w:ilvl="0" w:tentative="0">
      <w:start w:val="6"/>
      <w:numFmt w:val="chineseCounting"/>
      <w:suff w:val="nothing"/>
      <w:lvlText w:val="%1、"/>
      <w:lvlJc w:val="left"/>
      <w:rPr>
        <w:rFonts w:hint="eastAsia"/>
      </w:rPr>
    </w:lvl>
  </w:abstractNum>
  <w:abstractNum w:abstractNumId="1">
    <w:nsid w:val="51383EB2"/>
    <w:multiLevelType w:val="singleLevel"/>
    <w:tmpl w:val="51383EB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EA6677"/>
    <w:rsid w:val="00F32FEE"/>
    <w:rsid w:val="00FB10BB"/>
    <w:rsid w:val="04AA6A25"/>
    <w:rsid w:val="052250FB"/>
    <w:rsid w:val="0C075763"/>
    <w:rsid w:val="0CFE70EC"/>
    <w:rsid w:val="11DA0264"/>
    <w:rsid w:val="13AB5F61"/>
    <w:rsid w:val="144C5BDC"/>
    <w:rsid w:val="1539446E"/>
    <w:rsid w:val="1710576B"/>
    <w:rsid w:val="22010074"/>
    <w:rsid w:val="22604046"/>
    <w:rsid w:val="230B0024"/>
    <w:rsid w:val="2320497B"/>
    <w:rsid w:val="239F2520"/>
    <w:rsid w:val="24762716"/>
    <w:rsid w:val="247D459E"/>
    <w:rsid w:val="263108FB"/>
    <w:rsid w:val="27054359"/>
    <w:rsid w:val="2BA47E85"/>
    <w:rsid w:val="2D8B14D6"/>
    <w:rsid w:val="2DF668E4"/>
    <w:rsid w:val="33552A57"/>
    <w:rsid w:val="351C31EE"/>
    <w:rsid w:val="361471D9"/>
    <w:rsid w:val="3EBB39C8"/>
    <w:rsid w:val="48FD78DF"/>
    <w:rsid w:val="4F694650"/>
    <w:rsid w:val="563D22B4"/>
    <w:rsid w:val="5EA412A1"/>
    <w:rsid w:val="5F847E8A"/>
    <w:rsid w:val="606A30C9"/>
    <w:rsid w:val="61C03B24"/>
    <w:rsid w:val="626440BE"/>
    <w:rsid w:val="676A1AED"/>
    <w:rsid w:val="67D22671"/>
    <w:rsid w:val="6A0C7AAD"/>
    <w:rsid w:val="72306BF9"/>
    <w:rsid w:val="73D410E0"/>
    <w:rsid w:val="75ED07BA"/>
    <w:rsid w:val="77772501"/>
    <w:rsid w:val="7AEE04CB"/>
    <w:rsid w:val="7F28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2019-01-15T09:10:43Z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