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城市环境卫生维护</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eastAsia="zh-CN"/>
        </w:rPr>
        <w:t>环境卫生管理局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主管部门（公章）：奇台县住房和城乡建设局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王晓忠</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6"/>
          <w:rFonts w:ascii="黑体" w:hAnsi="黑体" w:eastAsia="黑体"/>
          <w:b w:val="0"/>
          <w:spacing w:val="-4"/>
          <w:sz w:val="32"/>
          <w:szCs w:val="32"/>
        </w:rPr>
      </w:pP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一、项目概况</w:t>
      </w:r>
    </w:p>
    <w:p>
      <w:pPr>
        <w:spacing w:line="540" w:lineRule="exact"/>
        <w:ind w:firstLine="567"/>
        <w:rPr>
          <w:rStyle w:val="6"/>
          <w:rFonts w:hint="eastAsia" w:ascii="楷体" w:hAnsi="楷体" w:eastAsia="楷体"/>
          <w:spacing w:val="-4"/>
          <w:sz w:val="32"/>
          <w:szCs w:val="32"/>
        </w:rPr>
      </w:pPr>
      <w:r>
        <w:rPr>
          <w:rStyle w:val="6"/>
          <w:rFonts w:hint="eastAsia" w:ascii="楷体" w:hAnsi="楷体" w:eastAsia="楷体"/>
          <w:spacing w:val="-4"/>
          <w:sz w:val="32"/>
          <w:szCs w:val="32"/>
        </w:rPr>
        <w:t>（一）项目单位基本情况</w:t>
      </w:r>
    </w:p>
    <w:p>
      <w:pPr>
        <w:spacing w:line="120" w:lineRule="auto"/>
        <w:ind w:firstLine="640" w:firstLineChars="200"/>
        <w:rPr>
          <w:rFonts w:hint="eastAsia" w:ascii="仿宋_GB2312" w:eastAsia="仿宋_GB2312"/>
          <w:sz w:val="32"/>
          <w:szCs w:val="32"/>
        </w:rPr>
      </w:pPr>
      <w:r>
        <w:rPr>
          <w:rFonts w:hint="eastAsia" w:ascii="仿宋_GB2312" w:eastAsia="仿宋_GB2312"/>
          <w:sz w:val="32"/>
          <w:szCs w:val="32"/>
        </w:rPr>
        <w:t>（一）贯彻落实执行国家、自治区、州关于建设事业（包括城市建设、村镇建设、建筑业、工程建设、住宅和房地产业、勘察设计咨询业、市政公用事业等）的方针、政策和法律、法规，研究拟定全县建设事业发展战略和中长期规划，并组织实施；对全县建设事业进行行业管理。</w:t>
      </w:r>
    </w:p>
    <w:p>
      <w:pPr>
        <w:spacing w:line="120" w:lineRule="auto"/>
        <w:ind w:firstLine="640" w:firstLineChars="200"/>
        <w:rPr>
          <w:rFonts w:hint="eastAsia" w:ascii="仿宋_GB2312" w:eastAsia="仿宋_GB2312"/>
          <w:sz w:val="32"/>
          <w:szCs w:val="32"/>
        </w:rPr>
      </w:pPr>
      <w:r>
        <w:rPr>
          <w:rFonts w:hint="eastAsia" w:ascii="仿宋_GB2312" w:eastAsia="仿宋_GB2312"/>
          <w:sz w:val="32"/>
          <w:szCs w:val="32"/>
        </w:rPr>
        <w:t>（二）组织实施工程建设实施阶段的国家标准、地方标准、全国统一定额和行业标准；组织制定工程建设实施阶段的全县统一标准、建设工期定额、建设用地指标、经济参数和工程造价管理制度，与县发改委等部门联合发布；监督指导各类工程建设标准定额的实施。</w:t>
      </w:r>
    </w:p>
    <w:p>
      <w:pPr>
        <w:spacing w:line="120" w:lineRule="auto"/>
        <w:ind w:firstLine="640" w:firstLineChars="200"/>
        <w:rPr>
          <w:rFonts w:hint="eastAsia" w:ascii="仿宋_GB2312" w:eastAsia="仿宋_GB2312"/>
          <w:sz w:val="32"/>
          <w:szCs w:val="32"/>
        </w:rPr>
      </w:pPr>
      <w:r>
        <w:rPr>
          <w:rFonts w:hint="eastAsia" w:ascii="仿宋_GB2312" w:eastAsia="仿宋_GB2312"/>
          <w:sz w:val="32"/>
          <w:szCs w:val="32"/>
        </w:rPr>
        <w:t>（三）指导全县建筑业活动，培育规范建筑市场；指导监督建筑市场准入，管理工程招投标、工程监理、工程质量和施工安全；制定勘察、设计、施工监理和相关中介服务管理规章并监督实施。</w:t>
      </w:r>
    </w:p>
    <w:p>
      <w:pPr>
        <w:spacing w:line="120" w:lineRule="auto"/>
        <w:ind w:firstLine="640" w:firstLineChars="200"/>
        <w:rPr>
          <w:rFonts w:hint="eastAsia" w:ascii="仿宋_GB2312" w:eastAsia="仿宋_GB2312"/>
          <w:sz w:val="32"/>
          <w:szCs w:val="32"/>
        </w:rPr>
      </w:pPr>
      <w:r>
        <w:rPr>
          <w:rFonts w:hint="eastAsia" w:ascii="仿宋_GB2312" w:eastAsia="仿宋_GB2312"/>
          <w:sz w:val="32"/>
          <w:szCs w:val="32"/>
        </w:rPr>
        <w:t>（四）指导全县城市和村镇建设，负责城市供排水、节水、燃气、热力、市政设施、城市公共客运、园林绿化、市容环卫、等行业管理；负责县境内重点风景名胜区的保护监督工作；指导城市规划区内地下水的开发利用和保护；指导城市市容环境治理和城建监察工作；管理城市建设档案。研究拟定村镇建设发展战略、政策措施并监督实施；组织实施村镇建设试点；指导村镇基础设施建设，指导受灾地区村镇重建和大型建设项目地区的村镇迁建工作。</w:t>
      </w:r>
    </w:p>
    <w:p>
      <w:pPr>
        <w:spacing w:line="120" w:lineRule="auto"/>
        <w:ind w:firstLine="640" w:firstLineChars="200"/>
        <w:rPr>
          <w:rFonts w:hint="eastAsia" w:ascii="仿宋_GB2312" w:eastAsia="仿宋_GB2312"/>
          <w:sz w:val="32"/>
          <w:szCs w:val="32"/>
        </w:rPr>
      </w:pPr>
      <w:r>
        <w:rPr>
          <w:rFonts w:hint="eastAsia" w:ascii="仿宋_GB2312" w:eastAsia="仿宋_GB2312"/>
          <w:sz w:val="32"/>
          <w:szCs w:val="32"/>
        </w:rPr>
        <w:t>（五）指导全县住宅建设和城镇住房制度改革工作；负责住宅和房地产业的行业管理、房屋拆迁管理；指导城镇土地使用权有偿转让和开发利用工作；指导和规范房地产市场。</w:t>
      </w:r>
    </w:p>
    <w:p>
      <w:pPr>
        <w:spacing w:line="120" w:lineRule="auto"/>
        <w:ind w:firstLine="640" w:firstLineChars="200"/>
        <w:rPr>
          <w:rFonts w:hint="eastAsia" w:ascii="仿宋_GB2312" w:eastAsia="仿宋_GB2312"/>
          <w:sz w:val="32"/>
          <w:szCs w:val="32"/>
        </w:rPr>
      </w:pPr>
      <w:r>
        <w:rPr>
          <w:rFonts w:hint="eastAsia" w:ascii="仿宋_GB2312" w:eastAsia="仿宋_GB2312"/>
          <w:sz w:val="32"/>
          <w:szCs w:val="32"/>
        </w:rPr>
        <w:t>（六）负责组织实施各类房屋建筑及其附属设施和城市市政工程的抗震设计规范，审核、审批抗震防灾规划，组织实施抗震加固方案和抗震设防技术改造；指导城市地下空间的开发和利用。</w:t>
      </w:r>
    </w:p>
    <w:p>
      <w:pPr>
        <w:spacing w:line="120" w:lineRule="auto"/>
        <w:ind w:firstLine="640" w:firstLineChars="200"/>
        <w:rPr>
          <w:rFonts w:hint="eastAsia" w:ascii="仿宋_GB2312" w:eastAsia="仿宋_GB2312"/>
          <w:sz w:val="32"/>
          <w:szCs w:val="32"/>
        </w:rPr>
      </w:pPr>
      <w:r>
        <w:rPr>
          <w:rFonts w:hint="eastAsia" w:ascii="仿宋_GB2312" w:eastAsia="仿宋_GB2312"/>
          <w:sz w:val="32"/>
          <w:szCs w:val="32"/>
        </w:rPr>
        <w:t>（七）负责组织编制全县建设行业科技发展战略、中长期规划、重点项目计划；组织建设行业重大科技项目攻关合作交流、技术创新和成果推广应用工作。</w:t>
      </w:r>
    </w:p>
    <w:p>
      <w:pPr>
        <w:spacing w:line="120" w:lineRule="auto"/>
        <w:ind w:firstLine="640" w:firstLineChars="200"/>
        <w:rPr>
          <w:rFonts w:hint="eastAsia" w:ascii="仿宋_GB2312" w:eastAsia="仿宋_GB2312"/>
          <w:sz w:val="32"/>
          <w:szCs w:val="32"/>
        </w:rPr>
      </w:pPr>
      <w:r>
        <w:rPr>
          <w:rFonts w:hint="eastAsia" w:ascii="仿宋_GB2312" w:eastAsia="仿宋_GB2312"/>
          <w:sz w:val="32"/>
          <w:szCs w:val="32"/>
        </w:rPr>
        <w:t>（八）指导和管理建设行业的职工培训和继续教育工作，负责建设系统的社团管理工作。</w:t>
      </w:r>
    </w:p>
    <w:p>
      <w:pPr>
        <w:spacing w:line="120" w:lineRule="auto"/>
        <w:ind w:firstLine="640" w:firstLineChars="200"/>
        <w:rPr>
          <w:rFonts w:hint="eastAsia" w:ascii="仿宋_GB2312" w:eastAsia="仿宋_GB2312"/>
          <w:sz w:val="32"/>
          <w:szCs w:val="32"/>
        </w:rPr>
      </w:pPr>
      <w:r>
        <w:rPr>
          <w:rFonts w:hint="eastAsia" w:ascii="仿宋_GB2312" w:eastAsia="仿宋_GB2312"/>
          <w:sz w:val="32"/>
          <w:szCs w:val="32"/>
        </w:rPr>
        <w:t>（九）负责组织开展建设行业的对外经济技术合作；引导县内企业开拓外地建筑市场和房地产市场，指导协调建设企业对外工程承包和建筑劳务工作。</w:t>
      </w:r>
    </w:p>
    <w:p>
      <w:pPr>
        <w:widowControl/>
        <w:spacing w:line="560" w:lineRule="exact"/>
        <w:ind w:firstLine="640" w:firstLineChars="200"/>
        <w:jc w:val="left"/>
        <w:rPr>
          <w:rStyle w:val="6"/>
          <w:rFonts w:hint="eastAsia" w:ascii="楷体" w:hAnsi="楷体" w:eastAsia="楷体"/>
          <w:spacing w:val="-4"/>
          <w:sz w:val="32"/>
          <w:szCs w:val="32"/>
        </w:rPr>
      </w:pPr>
      <w:r>
        <w:rPr>
          <w:rFonts w:hint="eastAsia" w:ascii="仿宋_GB2312" w:eastAsia="仿宋_GB2312"/>
          <w:sz w:val="32"/>
          <w:szCs w:val="32"/>
        </w:rPr>
        <w:t>（十）承办县人民政府交办的其他事项。</w:t>
      </w:r>
      <w:r>
        <w:rPr>
          <w:rFonts w:hint="eastAsia" w:ascii="仿宋_GB2312" w:hAnsi="宋体" w:eastAsia="仿宋_GB2312" w:cs="宋体"/>
          <w:kern w:val="0"/>
          <w:sz w:val="32"/>
          <w:szCs w:val="32"/>
        </w:rPr>
        <w:t>　</w:t>
      </w:r>
    </w:p>
    <w:p>
      <w:pPr>
        <w:spacing w:line="540" w:lineRule="exact"/>
        <w:ind w:firstLine="567" w:firstLineChars="181"/>
        <w:rPr>
          <w:rStyle w:val="6"/>
          <w:rFonts w:hint="eastAsia" w:ascii="楷体" w:hAnsi="楷体" w:eastAsia="楷体"/>
          <w:spacing w:val="-4"/>
          <w:sz w:val="32"/>
          <w:szCs w:val="32"/>
        </w:rPr>
      </w:pPr>
      <w:r>
        <w:rPr>
          <w:rStyle w:val="6"/>
          <w:rFonts w:hint="eastAsia" w:ascii="楷体" w:hAnsi="楷体" w:eastAsia="楷体"/>
          <w:spacing w:val="-4"/>
          <w:sz w:val="32"/>
          <w:szCs w:val="32"/>
        </w:rPr>
        <w:t>（二）项目预算</w:t>
      </w:r>
      <w:r>
        <w:rPr>
          <w:rStyle w:val="6"/>
          <w:rFonts w:ascii="楷体" w:hAnsi="楷体" w:eastAsia="楷体"/>
          <w:spacing w:val="-4"/>
          <w:sz w:val="32"/>
          <w:szCs w:val="32"/>
        </w:rPr>
        <w:t>绩效目标</w:t>
      </w:r>
      <w:r>
        <w:rPr>
          <w:rStyle w:val="6"/>
          <w:rFonts w:hint="eastAsia" w:ascii="楷体" w:hAnsi="楷体" w:eastAsia="楷体"/>
          <w:spacing w:val="-4"/>
          <w:sz w:val="32"/>
          <w:szCs w:val="32"/>
        </w:rPr>
        <w:t>设定情况</w:t>
      </w:r>
    </w:p>
    <w:p>
      <w:pPr>
        <w:spacing w:line="540" w:lineRule="exact"/>
        <w:ind w:firstLine="564" w:firstLineChars="181"/>
        <w:rPr>
          <w:rStyle w:val="6"/>
          <w:rFonts w:hint="eastAsia" w:ascii="仿宋_GB2312" w:hAnsi="仿宋_GB2312" w:eastAsia="仿宋_GB2312" w:cs="仿宋_GB2312"/>
          <w:b w:val="0"/>
          <w:bCs w:val="0"/>
          <w:spacing w:val="-4"/>
          <w:sz w:val="32"/>
          <w:szCs w:val="32"/>
        </w:rPr>
      </w:pPr>
      <w:r>
        <w:rPr>
          <w:rStyle w:val="6"/>
          <w:rFonts w:hint="eastAsia" w:ascii="仿宋_GB2312" w:hAnsi="仿宋_GB2312" w:eastAsia="仿宋_GB2312" w:cs="仿宋_GB2312"/>
          <w:b w:val="0"/>
          <w:bCs w:val="0"/>
          <w:spacing w:val="-4"/>
          <w:sz w:val="32"/>
          <w:szCs w:val="32"/>
        </w:rPr>
        <w:t>2017年度奇台县城市环境卫生管理不断完善，环境卫生整体质量和水平不断提升</w:t>
      </w:r>
      <w:r>
        <w:rPr>
          <w:rStyle w:val="6"/>
          <w:rFonts w:hint="eastAsia" w:ascii="仿宋_GB2312" w:hAnsi="仿宋_GB2312" w:eastAsia="仿宋_GB2312" w:cs="仿宋_GB2312"/>
          <w:b w:val="0"/>
          <w:bCs w:val="0"/>
          <w:spacing w:val="-4"/>
          <w:sz w:val="32"/>
          <w:szCs w:val="32"/>
          <w:lang w:eastAsia="zh-CN"/>
        </w:rPr>
        <w:t>。</w:t>
      </w:r>
    </w:p>
    <w:p>
      <w:pPr>
        <w:spacing w:beforeLines="0" w:afterLines="0"/>
        <w:ind w:firstLine="624" w:firstLineChars="200"/>
        <w:jc w:val="left"/>
        <w:rPr>
          <w:rStyle w:val="6"/>
          <w:rFonts w:ascii="黑体" w:hAnsi="黑体" w:eastAsia="黑体"/>
          <w:b w:val="0"/>
          <w:spacing w:val="-4"/>
          <w:sz w:val="32"/>
          <w:szCs w:val="32"/>
        </w:rPr>
      </w:pPr>
      <w:r>
        <w:rPr>
          <w:rStyle w:val="6"/>
          <w:rFonts w:hint="eastAsia" w:ascii="黑体" w:hAnsi="黑体" w:eastAsia="黑体"/>
          <w:b w:val="0"/>
          <w:spacing w:val="-4"/>
          <w:sz w:val="32"/>
          <w:szCs w:val="32"/>
        </w:rPr>
        <w:t>二、项目资金使用及管理情况</w:t>
      </w:r>
    </w:p>
    <w:p>
      <w:pPr>
        <w:spacing w:line="540" w:lineRule="exact"/>
        <w:ind w:firstLine="567" w:firstLineChars="181"/>
        <w:rPr>
          <w:rStyle w:val="6"/>
          <w:rFonts w:ascii="楷体" w:hAnsi="楷体" w:eastAsia="楷体"/>
          <w:spacing w:val="-4"/>
          <w:sz w:val="32"/>
          <w:szCs w:val="32"/>
        </w:rPr>
      </w:pPr>
      <w:r>
        <w:rPr>
          <w:rStyle w:val="6"/>
          <w:rFonts w:hint="eastAsia" w:ascii="楷体" w:hAnsi="楷体" w:eastAsia="楷体"/>
          <w:spacing w:val="-4"/>
          <w:sz w:val="32"/>
          <w:szCs w:val="32"/>
        </w:rPr>
        <w:t>（一）项目资金安排落实、总投入等情况分析</w:t>
      </w:r>
    </w:p>
    <w:p>
      <w:pPr>
        <w:spacing w:line="540" w:lineRule="exact"/>
        <w:ind w:firstLine="624" w:firstLineChars="200"/>
        <w:rPr>
          <w:rStyle w:val="6"/>
          <w:rFonts w:hint="eastAsia" w:ascii="仿宋" w:hAnsi="仿宋" w:eastAsia="仿宋"/>
          <w:b w:val="0"/>
          <w:spacing w:val="-4"/>
          <w:sz w:val="32"/>
          <w:szCs w:val="32"/>
          <w:highlight w:val="yellow"/>
        </w:rPr>
      </w:pPr>
    </w:p>
    <w:p>
      <w:pPr>
        <w:spacing w:line="540" w:lineRule="exact"/>
        <w:ind w:firstLine="624" w:firstLineChars="200"/>
        <w:rPr>
          <w:rStyle w:val="6"/>
          <w:rFonts w:hint="eastAsia" w:ascii="仿宋" w:hAnsi="仿宋" w:eastAsia="仿宋"/>
          <w:b w:val="0"/>
          <w:spacing w:val="-4"/>
          <w:sz w:val="32"/>
          <w:szCs w:val="32"/>
          <w:highlight w:val="yellow"/>
          <w:lang w:eastAsia="zh-CN"/>
        </w:rPr>
      </w:pPr>
      <w:r>
        <w:rPr>
          <w:rStyle w:val="6"/>
          <w:rFonts w:hint="eastAsia" w:ascii="仿宋" w:hAnsi="仿宋" w:eastAsia="仿宋"/>
          <w:b w:val="0"/>
          <w:spacing w:val="-4"/>
          <w:sz w:val="32"/>
          <w:szCs w:val="32"/>
          <w:highlight w:val="yellow"/>
          <w:lang w:eastAsia="zh-CN"/>
        </w:rPr>
        <w:t>财政资金用于城市环境卫生维护，该项目总投入</w:t>
      </w:r>
      <w:r>
        <w:rPr>
          <w:rStyle w:val="6"/>
          <w:rFonts w:hint="eastAsia" w:ascii="仿宋" w:hAnsi="仿宋" w:eastAsia="仿宋"/>
          <w:b w:val="0"/>
          <w:spacing w:val="-4"/>
          <w:sz w:val="32"/>
          <w:szCs w:val="32"/>
          <w:highlight w:val="yellow"/>
          <w:lang w:val="en-US" w:eastAsia="zh-CN"/>
        </w:rPr>
        <w:t>2318.5万元，其中上级财政拨款安排2318.5万元。</w:t>
      </w:r>
    </w:p>
    <w:p>
      <w:pPr>
        <w:spacing w:line="540" w:lineRule="exact"/>
        <w:ind w:firstLine="567" w:firstLineChars="181"/>
        <w:rPr>
          <w:rStyle w:val="6"/>
          <w:rFonts w:ascii="楷体" w:hAnsi="楷体" w:eastAsia="楷体"/>
          <w:spacing w:val="-4"/>
          <w:sz w:val="32"/>
          <w:szCs w:val="32"/>
        </w:rPr>
      </w:pPr>
      <w:r>
        <w:rPr>
          <w:rStyle w:val="6"/>
          <w:rFonts w:hint="eastAsia" w:ascii="楷体" w:hAnsi="楷体" w:eastAsia="楷体"/>
          <w:spacing w:val="-4"/>
          <w:sz w:val="32"/>
          <w:szCs w:val="32"/>
        </w:rPr>
        <w:t>（二）项目资金实际使用情况分析</w:t>
      </w:r>
    </w:p>
    <w:p>
      <w:pPr>
        <w:spacing w:line="540" w:lineRule="exact"/>
        <w:ind w:firstLine="624" w:firstLineChars="200"/>
        <w:rPr>
          <w:rStyle w:val="6"/>
          <w:rFonts w:hint="eastAsia" w:ascii="仿宋" w:hAnsi="仿宋" w:eastAsia="仿宋"/>
          <w:b w:val="0"/>
          <w:spacing w:val="-4"/>
          <w:sz w:val="32"/>
          <w:szCs w:val="32"/>
          <w:highlight w:val="yellow"/>
          <w:lang w:eastAsia="zh-CN"/>
        </w:rPr>
      </w:pPr>
      <w:r>
        <w:rPr>
          <w:rStyle w:val="6"/>
          <w:rFonts w:hint="eastAsia" w:ascii="仿宋" w:hAnsi="仿宋" w:eastAsia="仿宋"/>
          <w:b w:val="0"/>
          <w:spacing w:val="-4"/>
          <w:sz w:val="32"/>
          <w:szCs w:val="32"/>
          <w:highlight w:val="yellow"/>
          <w:lang w:eastAsia="zh-CN"/>
        </w:rPr>
        <w:t>该项目资金</w:t>
      </w:r>
      <w:r>
        <w:rPr>
          <w:rStyle w:val="6"/>
          <w:rFonts w:hint="eastAsia" w:ascii="仿宋" w:hAnsi="仿宋" w:eastAsia="仿宋"/>
          <w:b w:val="0"/>
          <w:spacing w:val="-4"/>
          <w:sz w:val="32"/>
          <w:szCs w:val="32"/>
          <w:highlight w:val="yellow"/>
          <w:lang w:val="en-US" w:eastAsia="zh-CN"/>
        </w:rPr>
        <w:t>2318.5万元，其中工资1602.93万元，公务车运行维护费30.24万元，环卫车费用458.92万元，机关运行费用226.41万元。</w:t>
      </w:r>
    </w:p>
    <w:p>
      <w:pPr>
        <w:spacing w:line="540" w:lineRule="exact"/>
        <w:ind w:firstLine="567" w:firstLineChars="181"/>
        <w:rPr>
          <w:rStyle w:val="6"/>
          <w:rFonts w:ascii="楷体" w:hAnsi="楷体" w:eastAsia="楷体"/>
          <w:spacing w:val="-4"/>
          <w:sz w:val="32"/>
          <w:szCs w:val="32"/>
        </w:rPr>
      </w:pPr>
      <w:r>
        <w:rPr>
          <w:rStyle w:val="6"/>
          <w:rFonts w:hint="eastAsia" w:ascii="楷体" w:hAnsi="楷体" w:eastAsia="楷体"/>
          <w:spacing w:val="-4"/>
          <w:sz w:val="32"/>
          <w:szCs w:val="32"/>
        </w:rPr>
        <w:t>（三）项目资金管理情况分析</w:t>
      </w:r>
    </w:p>
    <w:p>
      <w:pPr>
        <w:pStyle w:val="2"/>
        <w:pageBreakBefore w:val="0"/>
        <w:widowControl w:val="0"/>
        <w:kinsoku/>
        <w:wordWrap/>
        <w:overflowPunct/>
        <w:topLinePunct w:val="0"/>
        <w:autoSpaceDE/>
        <w:autoSpaceDN/>
        <w:bidi w:val="0"/>
        <w:adjustRightInd/>
        <w:spacing w:line="460" w:lineRule="exact"/>
        <w:ind w:left="0" w:leftChars="0" w:right="0" w:rightChars="0"/>
        <w:jc w:val="left"/>
        <w:textAlignment w:val="auto"/>
        <w:rPr>
          <w:rStyle w:val="6"/>
          <w:rFonts w:hint="eastAsia" w:ascii="仿宋_GB2312" w:hAnsi="仿宋_GB2312" w:eastAsia="仿宋_GB2312" w:cs="仿宋_GB2312"/>
          <w:b w:val="0"/>
          <w:bCs/>
          <w:spacing w:val="-4"/>
          <w:sz w:val="32"/>
          <w:szCs w:val="32"/>
          <w:highlight w:val="yellow"/>
        </w:rPr>
      </w:pPr>
      <w:r>
        <w:rPr>
          <w:rStyle w:val="6"/>
          <w:rFonts w:hint="eastAsia" w:ascii="仿宋" w:hAnsi="仿宋" w:eastAsia="仿宋"/>
          <w:b w:val="0"/>
          <w:spacing w:val="-4"/>
          <w:sz w:val="32"/>
          <w:szCs w:val="32"/>
          <w:highlight w:val="none"/>
          <w:lang w:val="en-US" w:eastAsia="zh-CN"/>
        </w:rPr>
        <w:t>制度:</w:t>
      </w:r>
      <w:r>
        <w:rPr>
          <w:rStyle w:val="6"/>
          <w:rFonts w:hint="eastAsia" w:ascii="仿宋_GB2312" w:hAnsi="仿宋_GB2312" w:eastAsia="仿宋_GB2312" w:cs="仿宋_GB2312"/>
          <w:b w:val="0"/>
          <w:bCs/>
          <w:spacing w:val="-4"/>
          <w:sz w:val="32"/>
          <w:szCs w:val="32"/>
          <w:highlight w:val="none"/>
          <w:lang w:val="en-US" w:eastAsia="zh-CN"/>
        </w:rPr>
        <w:t>《</w:t>
      </w:r>
      <w:bookmarkStart w:id="0" w:name="_Toc9312"/>
      <w:r>
        <w:rPr>
          <w:rFonts w:hint="eastAsia" w:ascii="仿宋_GB2312" w:hAnsi="仿宋_GB2312" w:eastAsia="仿宋_GB2312" w:cs="仿宋_GB2312"/>
          <w:b w:val="0"/>
          <w:bCs/>
          <w:lang w:eastAsia="zh-CN"/>
        </w:rPr>
        <w:t>清洁工岗位职责</w:t>
      </w:r>
      <w:bookmarkEnd w:id="0"/>
      <w:r>
        <w:rPr>
          <w:rStyle w:val="6"/>
          <w:rFonts w:hint="eastAsia" w:ascii="仿宋_GB2312" w:hAnsi="仿宋_GB2312" w:eastAsia="仿宋_GB2312" w:cs="仿宋_GB2312"/>
          <w:b w:val="0"/>
          <w:bCs/>
          <w:spacing w:val="-4"/>
          <w:sz w:val="32"/>
          <w:szCs w:val="32"/>
          <w:highlight w:val="none"/>
          <w:lang w:val="en-US" w:eastAsia="zh-CN"/>
        </w:rPr>
        <w:t>》、《</w:t>
      </w:r>
      <w:bookmarkStart w:id="1" w:name="_Toc22649"/>
      <w:r>
        <w:rPr>
          <w:rFonts w:hint="eastAsia" w:ascii="仿宋_GB2312" w:hAnsi="仿宋_GB2312" w:eastAsia="仿宋_GB2312" w:cs="仿宋_GB2312"/>
          <w:b w:val="0"/>
          <w:bCs/>
          <w:lang w:eastAsia="zh-CN"/>
        </w:rPr>
        <w:t>路段管理员</w:t>
      </w:r>
      <w:r>
        <w:rPr>
          <w:rFonts w:hint="eastAsia" w:ascii="仿宋_GB2312" w:hAnsi="仿宋_GB2312" w:eastAsia="仿宋_GB2312" w:cs="仿宋_GB2312"/>
          <w:b w:val="0"/>
          <w:bCs/>
        </w:rPr>
        <w:t>岗位职责</w:t>
      </w:r>
      <w:bookmarkEnd w:id="1"/>
      <w:r>
        <w:rPr>
          <w:rStyle w:val="6"/>
          <w:rFonts w:hint="eastAsia" w:ascii="仿宋_GB2312" w:hAnsi="仿宋_GB2312" w:eastAsia="仿宋_GB2312" w:cs="仿宋_GB2312"/>
          <w:b w:val="0"/>
          <w:bCs/>
          <w:spacing w:val="-4"/>
          <w:sz w:val="32"/>
          <w:szCs w:val="32"/>
          <w:highlight w:val="none"/>
          <w:lang w:val="en-US" w:eastAsia="zh-CN"/>
        </w:rPr>
        <w:t>》、《</w:t>
      </w:r>
      <w:r>
        <w:rPr>
          <w:rFonts w:hint="eastAsia" w:ascii="仿宋_GB2312" w:hAnsi="仿宋_GB2312" w:eastAsia="仿宋_GB2312" w:cs="仿宋_GB2312"/>
          <w:b w:val="0"/>
          <w:bCs/>
          <w:sz w:val="32"/>
          <w:szCs w:val="32"/>
          <w:lang w:eastAsia="zh-CN"/>
        </w:rPr>
        <w:t>奇台县城区清扫保洁、垃圾收集、清运和处理</w:t>
      </w:r>
      <w:r>
        <w:rPr>
          <w:rFonts w:hint="eastAsia" w:ascii="仿宋_GB2312" w:hAnsi="仿宋_GB2312" w:eastAsia="仿宋_GB2312" w:cs="仿宋_GB2312"/>
          <w:b w:val="0"/>
          <w:bCs/>
          <w:sz w:val="32"/>
          <w:szCs w:val="32"/>
        </w:rPr>
        <w:t>管理规范</w:t>
      </w:r>
      <w:r>
        <w:rPr>
          <w:rStyle w:val="6"/>
          <w:rFonts w:hint="eastAsia" w:ascii="仿宋_GB2312" w:hAnsi="仿宋_GB2312" w:eastAsia="仿宋_GB2312" w:cs="仿宋_GB2312"/>
          <w:b w:val="0"/>
          <w:bCs/>
          <w:spacing w:val="-4"/>
          <w:sz w:val="32"/>
          <w:szCs w:val="32"/>
          <w:highlight w:val="none"/>
          <w:lang w:val="en-US" w:eastAsia="zh-CN"/>
        </w:rPr>
        <w:t>》</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三、项目组织实施情况</w:t>
      </w:r>
    </w:p>
    <w:p>
      <w:pPr>
        <w:spacing w:line="540" w:lineRule="exact"/>
        <w:ind w:firstLine="567" w:firstLineChars="181"/>
        <w:rPr>
          <w:rStyle w:val="6"/>
          <w:rFonts w:hint="eastAsia" w:ascii="楷体" w:hAnsi="楷体" w:eastAsia="楷体"/>
          <w:spacing w:val="-4"/>
          <w:sz w:val="32"/>
          <w:szCs w:val="32"/>
        </w:rPr>
      </w:pPr>
      <w:r>
        <w:rPr>
          <w:rStyle w:val="6"/>
          <w:rFonts w:hint="eastAsia" w:ascii="楷体" w:hAnsi="楷体" w:eastAsia="楷体"/>
          <w:spacing w:val="-4"/>
          <w:sz w:val="32"/>
          <w:szCs w:val="32"/>
        </w:rPr>
        <w:t>（一）项目组织情况分析</w:t>
      </w:r>
    </w:p>
    <w:p>
      <w:pPr>
        <w:spacing w:line="540" w:lineRule="exact"/>
        <w:ind w:firstLine="564" w:firstLineChars="181"/>
        <w:rPr>
          <w:rStyle w:val="6"/>
          <w:rFonts w:hint="eastAsia" w:ascii="仿宋" w:hAnsi="仿宋" w:eastAsia="仿宋" w:cs="仿宋"/>
          <w:b w:val="0"/>
          <w:bCs w:val="0"/>
          <w:spacing w:val="-4"/>
          <w:sz w:val="32"/>
          <w:szCs w:val="32"/>
          <w:lang w:val="en-US" w:eastAsia="zh-CN"/>
        </w:rPr>
      </w:pPr>
      <w:r>
        <w:rPr>
          <w:rStyle w:val="6"/>
          <w:rFonts w:hint="eastAsia" w:ascii="仿宋" w:hAnsi="仿宋" w:eastAsia="仿宋" w:cs="仿宋"/>
          <w:b w:val="0"/>
          <w:bCs w:val="0"/>
          <w:spacing w:val="-4"/>
          <w:sz w:val="32"/>
          <w:szCs w:val="32"/>
          <w:lang w:val="en-US" w:eastAsia="zh-CN"/>
        </w:rPr>
        <w:t>成立两个中队、办公室、建立了垃圾中转站、垃圾填埋场</w:t>
      </w:r>
    </w:p>
    <w:p>
      <w:pPr>
        <w:numPr>
          <w:ilvl w:val="0"/>
          <w:numId w:val="1"/>
        </w:numPr>
        <w:spacing w:line="540" w:lineRule="exact"/>
        <w:ind w:firstLine="567" w:firstLineChars="181"/>
        <w:rPr>
          <w:rStyle w:val="6"/>
          <w:rFonts w:hint="eastAsia" w:ascii="楷体" w:hAnsi="楷体" w:eastAsia="楷体"/>
          <w:spacing w:val="-4"/>
          <w:sz w:val="32"/>
          <w:szCs w:val="32"/>
        </w:rPr>
      </w:pPr>
      <w:r>
        <w:rPr>
          <w:rStyle w:val="6"/>
          <w:rFonts w:hint="eastAsia" w:ascii="楷体" w:hAnsi="楷体" w:eastAsia="楷体"/>
          <w:spacing w:val="-4"/>
          <w:sz w:val="32"/>
          <w:szCs w:val="32"/>
        </w:rPr>
        <w:t>项目管理情况分析</w:t>
      </w:r>
    </w:p>
    <w:p>
      <w:pPr>
        <w:keepNext w:val="0"/>
        <w:keepLines w:val="0"/>
        <w:pageBreakBefore w:val="0"/>
        <w:widowControl w:val="0"/>
        <w:numPr>
          <w:numId w:val="0"/>
        </w:numPr>
        <w:kinsoku/>
        <w:wordWrap/>
        <w:overflowPunct/>
        <w:topLinePunct w:val="0"/>
        <w:autoSpaceDE/>
        <w:autoSpaceDN/>
        <w:bidi w:val="0"/>
        <w:adjustRightInd/>
        <w:snapToGrid/>
        <w:spacing w:after="0" w:line="560" w:lineRule="exact"/>
        <w:ind w:left="0" w:leftChars="0" w:right="0" w:rightChars="0" w:firstLine="624" w:firstLineChars="200"/>
        <w:jc w:val="both"/>
        <w:textAlignment w:val="auto"/>
        <w:outlineLvl w:val="9"/>
        <w:rPr>
          <w:rStyle w:val="6"/>
          <w:rFonts w:hint="eastAsia" w:ascii="楷体" w:hAnsi="楷体" w:eastAsia="楷体"/>
          <w:b w:val="0"/>
          <w:bCs w:val="0"/>
          <w:spacing w:val="-4"/>
          <w:sz w:val="32"/>
          <w:szCs w:val="32"/>
          <w:lang w:eastAsia="zh-CN"/>
        </w:rPr>
      </w:pPr>
      <w:r>
        <w:rPr>
          <w:rStyle w:val="6"/>
          <w:rFonts w:hint="eastAsia" w:ascii="楷体" w:hAnsi="楷体" w:eastAsia="楷体"/>
          <w:b w:val="0"/>
          <w:bCs w:val="0"/>
          <w:spacing w:val="-4"/>
          <w:sz w:val="32"/>
          <w:szCs w:val="32"/>
          <w:lang w:eastAsia="zh-CN"/>
        </w:rPr>
        <w:t>严格按照相关管理制度，加强人员管理和分配，不断提升全县环境卫生管理水平。</w:t>
      </w:r>
    </w:p>
    <w:p>
      <w:pPr>
        <w:spacing w:line="540" w:lineRule="exact"/>
        <w:ind w:firstLine="640"/>
        <w:rPr>
          <w:rStyle w:val="6"/>
          <w:rFonts w:ascii="黑体" w:hAnsi="黑体" w:eastAsia="黑体"/>
        </w:rPr>
      </w:pPr>
      <w:r>
        <w:rPr>
          <w:rStyle w:val="6"/>
          <w:rFonts w:hint="eastAsia" w:ascii="黑体" w:hAnsi="黑体" w:eastAsia="黑体"/>
          <w:b w:val="0"/>
          <w:spacing w:val="-4"/>
          <w:sz w:val="32"/>
          <w:szCs w:val="32"/>
        </w:rPr>
        <w:t>四、项目绩效情况</w:t>
      </w:r>
      <w:r>
        <w:rPr>
          <w:rStyle w:val="6"/>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Fonts w:hint="eastAsia" w:ascii="仿宋" w:hAnsi="仿宋" w:eastAsia="仿宋" w:cs="仿宋"/>
          <w:b w:val="0"/>
          <w:bCs/>
          <w:spacing w:val="-4"/>
          <w:sz w:val="32"/>
          <w:szCs w:val="32"/>
          <w:lang w:eastAsia="zh-CN"/>
        </w:rPr>
      </w:pPr>
      <w:r>
        <w:rPr>
          <w:rFonts w:hint="eastAsia" w:ascii="仿宋" w:hAnsi="仿宋" w:eastAsia="仿宋" w:cs="仿宋"/>
          <w:b w:val="0"/>
          <w:bCs/>
          <w:spacing w:val="-4"/>
          <w:sz w:val="32"/>
          <w:szCs w:val="32"/>
          <w:lang w:eastAsia="zh-CN"/>
        </w:rPr>
        <w:t>城市环境卫生得到不断提升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Fonts w:hint="eastAsia" w:ascii="仿宋" w:hAnsi="仿宋" w:eastAsia="仿宋"/>
          <w:spacing w:val="-4"/>
          <w:sz w:val="32"/>
          <w:szCs w:val="32"/>
          <w:highlight w:val="none"/>
          <w:lang w:eastAsia="zh-CN"/>
        </w:rPr>
      </w:pPr>
      <w:r>
        <w:rPr>
          <w:rFonts w:hint="eastAsia" w:ascii="仿宋" w:hAnsi="仿宋" w:eastAsia="仿宋"/>
          <w:spacing w:val="-4"/>
          <w:sz w:val="32"/>
          <w:szCs w:val="32"/>
          <w:highlight w:val="none"/>
          <w:lang w:eastAsia="zh-CN"/>
        </w:rPr>
        <w:t>无</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eastAsia="zh-CN"/>
        </w:rPr>
      </w:pPr>
      <w:r>
        <w:rPr>
          <w:rFonts w:hint="eastAsia" w:ascii="仿宋" w:hAnsi="仿宋" w:eastAsia="仿宋" w:cs="仿宋"/>
          <w:b w:val="0"/>
          <w:bCs/>
          <w:spacing w:val="-4"/>
          <w:sz w:val="32"/>
          <w:szCs w:val="32"/>
          <w:lang w:eastAsia="zh-CN"/>
        </w:rPr>
        <w:t>加强设备维护，人员管理，提高环境卫生管理质量，落实环境卫生长效管理机制。</w:t>
      </w:r>
    </w:p>
    <w:p>
      <w:pPr>
        <w:numPr>
          <w:ilvl w:val="0"/>
          <w:numId w:val="2"/>
        </w:num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主要经验及做法、存在问题和建议</w:t>
      </w:r>
    </w:p>
    <w:p>
      <w:pPr>
        <w:numPr>
          <w:ilvl w:val="0"/>
          <w:numId w:val="0"/>
        </w:numPr>
        <w:spacing w:line="540" w:lineRule="exact"/>
        <w:ind w:firstLine="940" w:firstLineChars="300"/>
        <w:rPr>
          <w:rFonts w:ascii="楷体" w:hAnsi="楷体" w:eastAsia="楷体"/>
          <w:b/>
          <w:spacing w:val="-4"/>
          <w:sz w:val="32"/>
          <w:szCs w:val="32"/>
        </w:rPr>
      </w:pPr>
      <w:r>
        <w:rPr>
          <w:rFonts w:hint="eastAsia" w:ascii="楷体" w:hAnsi="楷体" w:eastAsia="楷体"/>
          <w:b/>
          <w:spacing w:val="-4"/>
          <w:sz w:val="32"/>
          <w:szCs w:val="32"/>
          <w:lang w:eastAsia="zh-CN"/>
        </w:rPr>
        <w:t>无</w:t>
      </w:r>
    </w:p>
    <w:p>
      <w:pPr>
        <w:numPr>
          <w:ilvl w:val="0"/>
          <w:numId w:val="3"/>
        </w:num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其他</w:t>
      </w:r>
    </w:p>
    <w:p>
      <w:pPr>
        <w:numPr>
          <w:ilvl w:val="0"/>
          <w:numId w:val="0"/>
        </w:numPr>
        <w:spacing w:line="540" w:lineRule="exact"/>
        <w:ind w:firstLine="940" w:firstLineChars="300"/>
        <w:jc w:val="left"/>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六、项目评价工作情况</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七、附表</w:t>
      </w:r>
    </w:p>
    <w:p>
      <w:pPr>
        <w:spacing w:line="540" w:lineRule="exact"/>
        <w:ind w:firstLine="567"/>
        <w:rPr>
          <w:rStyle w:val="6"/>
          <w:rFonts w:ascii="仿宋" w:hAnsi="仿宋" w:eastAsia="仿宋"/>
          <w:b w:val="0"/>
          <w:spacing w:val="-4"/>
          <w:sz w:val="32"/>
          <w:szCs w:val="32"/>
        </w:rPr>
      </w:pPr>
      <w:r>
        <w:rPr>
          <w:rStyle w:val="6"/>
          <w:rFonts w:hint="eastAsia" w:ascii="仿宋" w:hAnsi="仿宋" w:eastAsia="仿宋"/>
          <w:b w:val="0"/>
          <w:spacing w:val="-4"/>
          <w:sz w:val="32"/>
          <w:szCs w:val="32"/>
        </w:rPr>
        <w:t>《自治州财政项目支出绩效自评表》</w:t>
      </w: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tbl>
      <w:tblPr>
        <w:tblStyle w:val="7"/>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城市环境卫生维护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奇台县住房和城乡建设局</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2318.50万元</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2318.50万元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18"/>
                <w:szCs w:val="18"/>
              </w:rPr>
              <w:t>道路保洁及路面的洒水、降尘能够确保地区的环境质量，保障地区群众有一个良好的工作、生活环境，提升地区环境水平。</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2017年度奇台县城市环境卫生管理不断完善，环境卫生整体质量和水平不断提升</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环卫车辆88辆</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环卫车辆88辆</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城市道路机械化清扫率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≥77%</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工资按时发放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清雪按时完成</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环卫车辆投入</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≥458.92万元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环卫管理人员工资投入</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≥1602.93万元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公务车运行维护费</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≥30.24万元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18"/>
                <w:szCs w:val="18"/>
              </w:rPr>
              <w:t>道路保洁及路面的洒水、降尘能够确保地区的环境质量，保障地区群众有一个良好的工作、生活环境，提升地区环境水平。</w:t>
            </w:r>
            <w:r>
              <w:rPr>
                <w:rFonts w:hint="eastAsia" w:ascii="宋体" w:hAnsi="宋体" w:cs="宋体"/>
                <w:kern w:val="0"/>
                <w:sz w:val="20"/>
                <w:szCs w:val="20"/>
              </w:rPr>
              <w:t xml:space="preserve">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18"/>
                <w:szCs w:val="18"/>
              </w:rPr>
              <w:t>道路保洁及路面的洒水、降尘能够确保地区的环境质量，保障地区群众有一个良好的工作、生活环境，提升地区环境水平。</w:t>
            </w:r>
            <w:r>
              <w:rPr>
                <w:rFonts w:hint="eastAsia" w:ascii="宋体" w:hAnsi="宋体" w:cs="宋体"/>
                <w:kern w:val="0"/>
                <w:sz w:val="20"/>
                <w:szCs w:val="20"/>
              </w:rPr>
              <w:t xml:space="preserve">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确保</w:t>
            </w:r>
            <w:r>
              <w:rPr>
                <w:rFonts w:hint="eastAsia" w:ascii="宋体" w:hAnsi="宋体" w:cs="宋体"/>
                <w:kern w:val="0"/>
                <w:sz w:val="20"/>
                <w:szCs w:val="20"/>
                <w:lang w:eastAsia="zh-CN"/>
              </w:rPr>
              <w:t>县城</w:t>
            </w:r>
            <w:bookmarkStart w:id="2" w:name="_GoBack"/>
            <w:bookmarkEnd w:id="2"/>
            <w:r>
              <w:rPr>
                <w:rFonts w:hint="eastAsia" w:ascii="宋体" w:hAnsi="宋体" w:cs="宋体"/>
                <w:kern w:val="0"/>
                <w:sz w:val="20"/>
                <w:szCs w:val="20"/>
                <w:lang w:eastAsia="zh-CN"/>
              </w:rPr>
              <w:t>环境卫生良好</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确保</w:t>
            </w:r>
            <w:r>
              <w:rPr>
                <w:rFonts w:hint="eastAsia" w:ascii="宋体" w:hAnsi="宋体" w:cs="宋体"/>
                <w:kern w:val="0"/>
                <w:sz w:val="20"/>
                <w:szCs w:val="20"/>
                <w:lang w:eastAsia="zh-CN"/>
              </w:rPr>
              <w:t>县城环境卫生良好</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tabs>
                <w:tab w:val="left" w:pos="1138"/>
              </w:tabs>
              <w:adjustRightInd w:val="0"/>
              <w:snapToGrid w:val="0"/>
              <w:spacing w:line="400" w:lineRule="exact"/>
              <w:ind w:firstLine="400" w:firstLineChars="200"/>
              <w:outlineLvl w:val="0"/>
              <w:rPr>
                <w:rFonts w:hint="eastAsia" w:ascii="宋体" w:hAnsi="宋体"/>
                <w:sz w:val="20"/>
                <w:szCs w:val="20"/>
              </w:rPr>
            </w:pPr>
            <w:r>
              <w:rPr>
                <w:rFonts w:hint="eastAsia" w:ascii="宋体" w:hAnsi="宋体" w:cs="宋体"/>
                <w:kern w:val="0"/>
                <w:sz w:val="20"/>
                <w:szCs w:val="20"/>
              </w:rPr>
              <w:t>　</w:t>
            </w:r>
            <w:r>
              <w:rPr>
                <w:rFonts w:hint="eastAsia" w:ascii="宋体" w:hAnsi="宋体"/>
                <w:sz w:val="20"/>
                <w:szCs w:val="20"/>
              </w:rPr>
              <w:t>通过保洁外包及路面洒水、降尘，确保地区环境保洁，保障地区群众有一个良好的工作、生活环境，维护地区环境优美。</w:t>
            </w:r>
          </w:p>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tabs>
                <w:tab w:val="left" w:pos="1138"/>
              </w:tabs>
              <w:adjustRightInd w:val="0"/>
              <w:snapToGrid w:val="0"/>
              <w:spacing w:line="400" w:lineRule="exact"/>
              <w:ind w:firstLine="400" w:firstLineChars="200"/>
              <w:outlineLvl w:val="0"/>
              <w:rPr>
                <w:rFonts w:hint="eastAsia" w:ascii="宋体" w:hAnsi="宋体"/>
                <w:sz w:val="20"/>
                <w:szCs w:val="20"/>
              </w:rPr>
            </w:pPr>
            <w:r>
              <w:rPr>
                <w:rFonts w:hint="eastAsia" w:ascii="宋体" w:hAnsi="宋体" w:cs="宋体"/>
                <w:kern w:val="0"/>
                <w:sz w:val="20"/>
                <w:szCs w:val="20"/>
              </w:rPr>
              <w:t>　</w:t>
            </w:r>
            <w:r>
              <w:rPr>
                <w:rFonts w:hint="eastAsia" w:ascii="宋体" w:hAnsi="宋体"/>
                <w:sz w:val="20"/>
                <w:szCs w:val="20"/>
              </w:rPr>
              <w:t>通过保洁外包及路面洒水、降尘，确保地区环境保洁，保障地区群众有一个良好的工作、生活环境，维护地区环境优美。</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18"/>
                <w:szCs w:val="18"/>
              </w:rPr>
              <w:t>保障地区群众有一个良好的工作、生活环境，提高地区群众的获得感和幸福感。</w:t>
            </w:r>
            <w:r>
              <w:rPr>
                <w:rFonts w:hint="eastAsia" w:ascii="宋体" w:hAnsi="宋体" w:cs="宋体"/>
                <w:kern w:val="0"/>
                <w:sz w:val="20"/>
                <w:szCs w:val="20"/>
              </w:rPr>
              <w:t xml:space="preserve">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18"/>
                <w:szCs w:val="18"/>
              </w:rPr>
              <w:t>保障地区群众有一个良好的工作、生活环境，提高地区群众的获得感和幸福感。</w:t>
            </w:r>
            <w:r>
              <w:rPr>
                <w:rFonts w:hint="eastAsia" w:ascii="宋体" w:hAnsi="宋体" w:cs="宋体"/>
                <w:kern w:val="0"/>
                <w:sz w:val="20"/>
                <w:szCs w:val="20"/>
              </w:rPr>
              <w:t xml:space="preserve">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Helvetica">
    <w:altName w:val="Arial"/>
    <w:panose1 w:val="020B0604020202020204"/>
    <w:charset w:val="00"/>
    <w:family w:val="swiss"/>
    <w:pitch w:val="default"/>
    <w:sig w:usb0="00000000" w:usb1="00000000" w:usb2="00000000" w:usb3="00000000" w:csb0="00000001" w:csb1="00000000"/>
  </w:font>
  <w:font w:name="方正小标宋简体">
    <w:altName w:val="宋体"/>
    <w:panose1 w:val="02010601030101010101"/>
    <w:charset w:val="86"/>
    <w:family w:val="auto"/>
    <w:pitch w:val="default"/>
    <w:sig w:usb0="00000000" w:usb1="0000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4"/>
          <w:jc w:val="center"/>
        </w:pPr>
        <w:r>
          <w:fldChar w:fldCharType="begin"/>
        </w:r>
        <w:r>
          <w:instrText xml:space="preserve">PAGE   \* MERGEFORMAT</w:instrText>
        </w:r>
        <w:r>
          <w:fldChar w:fldCharType="separate"/>
        </w:r>
        <w:r>
          <w:rPr>
            <w:lang w:val="zh-CN"/>
          </w:rPr>
          <w:t>4</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6DCE"/>
    <w:multiLevelType w:val="singleLevel"/>
    <w:tmpl w:val="5C3D6DCE"/>
    <w:lvl w:ilvl="0" w:tentative="0">
      <w:start w:val="3"/>
      <w:numFmt w:val="chineseCounting"/>
      <w:suff w:val="nothing"/>
      <w:lvlText w:val="（%1）"/>
      <w:lvlJc w:val="left"/>
    </w:lvl>
  </w:abstractNum>
  <w:abstractNum w:abstractNumId="1">
    <w:nsid w:val="5C3DAB4B"/>
    <w:multiLevelType w:val="singleLevel"/>
    <w:tmpl w:val="5C3DAB4B"/>
    <w:lvl w:ilvl="0" w:tentative="0">
      <w:start w:val="2"/>
      <w:numFmt w:val="chineseCounting"/>
      <w:suff w:val="nothing"/>
      <w:lvlText w:val="（%1）"/>
      <w:lvlJc w:val="left"/>
    </w:lvl>
  </w:abstractNum>
  <w:abstractNum w:abstractNumId="2">
    <w:nsid w:val="5C3DAE62"/>
    <w:multiLevelType w:val="singleLevel"/>
    <w:tmpl w:val="5C3DAE62"/>
    <w:lvl w:ilvl="0" w:tentative="0">
      <w:start w:val="2"/>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8E57A5"/>
    <w:rsid w:val="4B6A57C0"/>
    <w:rsid w:val="688E57A5"/>
    <w:rsid w:val="6EEF4123"/>
    <w:rsid w:val="731A33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3"/>
    <w:next w:val="1"/>
    <w:qFormat/>
    <w:uiPriority w:val="0"/>
    <w:pPr>
      <w:keepNext/>
      <w:keepLines/>
      <w:spacing w:line="520" w:lineRule="exact"/>
    </w:pPr>
    <w:rPr>
      <w:rFonts w:ascii="宋体" w:hAnsi="宋体" w:eastAsia="宋体"/>
      <w:kern w:val="44"/>
    </w:rPr>
  </w:style>
  <w:style w:type="character" w:default="1" w:styleId="5">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4">
    <w:name w:val="footer"/>
    <w:basedOn w:val="1"/>
    <w:uiPriority w:val="0"/>
    <w:pPr>
      <w:tabs>
        <w:tab w:val="center" w:pos="4153"/>
        <w:tab w:val="right" w:pos="8306"/>
      </w:tabs>
      <w:snapToGrid w:val="0"/>
      <w:jc w:val="left"/>
    </w:pPr>
    <w:rPr>
      <w:rFonts w:ascii="Calibri" w:hAnsi="Calibri"/>
      <w:sz w:val="18"/>
      <w:szCs w:val="18"/>
    </w:rPr>
  </w:style>
  <w:style w:type="character" w:styleId="6">
    <w:name w:val="Strong"/>
    <w:basedOn w:val="5"/>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2019-01-14T11:42:00Z</dcterms:created>
  <dc:creator>jythyt</dc:creator>
  <cp:lastModifiedBy>Administrator</cp:lastModifiedBy>
  <dcterms:modified xsi:type="dcterms:W3CDTF">2019-01-15T09:56:07Z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